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7349_1280447820">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13197351_128044782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3197353_1280447820">
            <w:r>
              <w:rPr>
                <w:webHidden/>
                <w:rStyle w:val="IndexLink"/>
                <w:rtl w:val="true"/>
              </w:rPr>
              <w:t>دلیل أنوار الفقاهة</w:t>
            </w:r>
            <w:r>
              <w:rPr>
                <w:rStyle w:val="IndexLink"/>
                <w:rtl w:val="true"/>
              </w:rPr>
              <w:tab/>
            </w:r>
            <w:r>
              <w:rPr>
                <w:rStyle w:val="IndexLink"/>
              </w:rPr>
              <w:t>22</w:t>
            </w:r>
          </w:hyperlink>
        </w:p>
        <w:p>
          <w:pPr>
            <w:pStyle w:val="Contents2"/>
            <w:tabs>
              <w:tab w:val="clear" w:pos="8743"/>
              <w:tab w:val="right" w:pos="9026" w:leader="dot"/>
            </w:tabs>
            <w:rPr/>
          </w:pPr>
          <w:hyperlink w:anchor="__RefHeading___Toc13197355_1280447820">
            <w:r>
              <w:rPr>
                <w:webHidden/>
                <w:rStyle w:val="IndexLink"/>
                <w:rtl w:val="true"/>
              </w:rPr>
              <w:t>فهرس الموضوعات</w:t>
            </w:r>
            <w:r>
              <w:rPr>
                <w:rStyle w:val="IndexLink"/>
                <w:rtl w:val="true"/>
              </w:rPr>
              <w:tab/>
            </w:r>
            <w:r>
              <w:rPr>
                <w:rStyle w:val="IndexLink"/>
              </w:rPr>
              <w:t>24</w:t>
            </w:r>
          </w:hyperlink>
        </w:p>
        <w:p>
          <w:pPr>
            <w:pStyle w:val="Contents2"/>
            <w:tabs>
              <w:tab w:val="clear" w:pos="8743"/>
              <w:tab w:val="right" w:pos="9026" w:leader="dot"/>
            </w:tabs>
            <w:rPr/>
          </w:pPr>
          <w:hyperlink w:anchor="__RefHeading___Toc13197357_1280447820">
            <w:r>
              <w:rPr>
                <w:webHidden/>
                <w:rStyle w:val="IndexLink"/>
                <w:rtl w:val="true"/>
              </w:rPr>
              <w:t>مقدمة التحقيق</w:t>
            </w:r>
            <w:r>
              <w:rPr>
                <w:rStyle w:val="IndexLink"/>
                <w:rtl w:val="true"/>
              </w:rPr>
              <w:tab/>
            </w:r>
            <w:r>
              <w:rPr>
                <w:rStyle w:val="IndexLink"/>
              </w:rPr>
              <w:t>48</w:t>
            </w:r>
          </w:hyperlink>
        </w:p>
        <w:p>
          <w:pPr>
            <w:pStyle w:val="Contents3"/>
            <w:tabs>
              <w:tab w:val="clear" w:pos="8459"/>
              <w:tab w:val="right" w:pos="9026" w:leader="dot"/>
            </w:tabs>
            <w:rPr/>
          </w:pPr>
          <w:hyperlink w:anchor="__RefHeading___Toc13197359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3197361_1280447820">
            <w:r>
              <w:rPr>
                <w:webHidden/>
                <w:rStyle w:val="IndexLink"/>
                <w:rtl w:val="true"/>
              </w:rPr>
              <w:t xml:space="preserve">الفصل الأوّل </w:t>
            </w:r>
            <w:r>
              <w:rPr>
                <w:rStyle w:val="IndexLink"/>
                <w:rtl w:val="true"/>
              </w:rPr>
              <w:t xml:space="preserve">: </w:t>
            </w:r>
            <w:r>
              <w:rPr>
                <w:rStyle w:val="IndexLink"/>
                <w:rtl w:val="true"/>
              </w:rPr>
              <w:t>ترجمة المؤلّف</w:t>
            </w:r>
            <w:r>
              <w:rPr>
                <w:rStyle w:val="IndexLink"/>
                <w:rtl w:val="true"/>
              </w:rPr>
              <w:tab/>
            </w:r>
            <w:r>
              <w:rPr>
                <w:rStyle w:val="IndexLink"/>
              </w:rPr>
              <w:t>51</w:t>
            </w:r>
          </w:hyperlink>
        </w:p>
        <w:p>
          <w:pPr>
            <w:pStyle w:val="Contents4"/>
            <w:tabs>
              <w:tab w:val="clear" w:pos="8176"/>
              <w:tab w:val="right" w:pos="9026" w:leader="dot"/>
            </w:tabs>
            <w:rPr/>
          </w:pPr>
          <w:hyperlink w:anchor="__RefHeading___Toc13197363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3197365_1280447820">
            <w:r>
              <w:rPr>
                <w:webHidden/>
                <w:rStyle w:val="IndexLink"/>
                <w:rtl w:val="true"/>
              </w:rPr>
              <w:t>اسمه ونسبه وولادته</w:t>
            </w:r>
            <w:r>
              <w:rPr>
                <w:rStyle w:val="IndexLink"/>
                <w:rtl w:val="true"/>
              </w:rPr>
              <w:tab/>
            </w:r>
            <w:r>
              <w:rPr>
                <w:rStyle w:val="IndexLink"/>
              </w:rPr>
              <w:t>52</w:t>
            </w:r>
          </w:hyperlink>
        </w:p>
        <w:p>
          <w:pPr>
            <w:pStyle w:val="Contents4"/>
            <w:tabs>
              <w:tab w:val="clear" w:pos="8176"/>
              <w:tab w:val="right" w:pos="9026" w:leader="dot"/>
            </w:tabs>
            <w:rPr/>
          </w:pPr>
          <w:hyperlink w:anchor="__RefHeading___Toc13197367_1280447820">
            <w:r>
              <w:rPr>
                <w:webHidden/>
                <w:rStyle w:val="IndexLink"/>
                <w:rtl w:val="true"/>
              </w:rPr>
              <w:t>أُسرته وبيئته</w:t>
            </w:r>
            <w:r>
              <w:rPr>
                <w:rStyle w:val="IndexLink"/>
                <w:rtl w:val="true"/>
              </w:rPr>
              <w:tab/>
            </w:r>
            <w:r>
              <w:rPr>
                <w:rStyle w:val="IndexLink"/>
              </w:rPr>
              <w:t>55</w:t>
            </w:r>
          </w:hyperlink>
        </w:p>
        <w:p>
          <w:pPr>
            <w:pStyle w:val="Contents4"/>
            <w:tabs>
              <w:tab w:val="clear" w:pos="8176"/>
              <w:tab w:val="right" w:pos="9026" w:leader="dot"/>
            </w:tabs>
            <w:rPr/>
          </w:pPr>
          <w:hyperlink w:anchor="__RefHeading___Toc13197369_1280447820">
            <w:r>
              <w:rPr>
                <w:webHidden/>
                <w:rStyle w:val="IndexLink"/>
                <w:rtl w:val="true"/>
              </w:rPr>
              <w:t>حياته العلميّة</w:t>
            </w:r>
            <w:r>
              <w:rPr>
                <w:rStyle w:val="IndexLink"/>
                <w:rtl w:val="true"/>
              </w:rPr>
              <w:tab/>
            </w:r>
            <w:r>
              <w:rPr>
                <w:rStyle w:val="IndexLink"/>
              </w:rPr>
              <w:t>59</w:t>
            </w:r>
          </w:hyperlink>
        </w:p>
        <w:p>
          <w:pPr>
            <w:pStyle w:val="Contents4"/>
            <w:tabs>
              <w:tab w:val="clear" w:pos="8176"/>
              <w:tab w:val="right" w:pos="9026" w:leader="dot"/>
            </w:tabs>
            <w:rPr/>
          </w:pPr>
          <w:hyperlink w:anchor="__RefHeading___Toc13197371_1280447820">
            <w:r>
              <w:rPr>
                <w:webHidden/>
                <w:rStyle w:val="IndexLink"/>
                <w:rtl w:val="true"/>
              </w:rPr>
              <w:t>أقوال العلماء فيه</w:t>
            </w:r>
            <w:r>
              <w:rPr>
                <w:rStyle w:val="IndexLink"/>
                <w:rtl w:val="true"/>
              </w:rPr>
              <w:tab/>
            </w:r>
            <w:r>
              <w:rPr>
                <w:rStyle w:val="IndexLink"/>
              </w:rPr>
              <w:t>60</w:t>
            </w:r>
          </w:hyperlink>
        </w:p>
        <w:p>
          <w:pPr>
            <w:pStyle w:val="Contents4"/>
            <w:tabs>
              <w:tab w:val="clear" w:pos="8176"/>
              <w:tab w:val="right" w:pos="9026" w:leader="dot"/>
            </w:tabs>
            <w:rPr/>
          </w:pPr>
          <w:hyperlink w:anchor="__RefHeading___Toc13197373_1280447820">
            <w:r>
              <w:rPr>
                <w:webHidden/>
                <w:rStyle w:val="IndexLink"/>
                <w:rtl w:val="true"/>
              </w:rPr>
              <w:t>أساتذته</w:t>
            </w:r>
            <w:r>
              <w:rPr>
                <w:rStyle w:val="IndexLink"/>
                <w:rtl w:val="true"/>
              </w:rPr>
              <w:tab/>
            </w:r>
            <w:r>
              <w:rPr>
                <w:rStyle w:val="IndexLink"/>
              </w:rPr>
              <w:t>63</w:t>
            </w:r>
          </w:hyperlink>
        </w:p>
        <w:p>
          <w:pPr>
            <w:pStyle w:val="Contents4"/>
            <w:tabs>
              <w:tab w:val="clear" w:pos="8176"/>
              <w:tab w:val="right" w:pos="9026" w:leader="dot"/>
            </w:tabs>
            <w:rPr/>
          </w:pPr>
          <w:hyperlink w:anchor="__RefHeading___Toc13197375_1280447820">
            <w:r>
              <w:rPr>
                <w:webHidden/>
                <w:rStyle w:val="IndexLink"/>
                <w:rtl w:val="true"/>
              </w:rPr>
              <w:t>طريق إجازته</w:t>
            </w:r>
            <w:r>
              <w:rPr>
                <w:rStyle w:val="IndexLink"/>
                <w:rtl w:val="true"/>
              </w:rPr>
              <w:tab/>
            </w:r>
            <w:r>
              <w:rPr>
                <w:rStyle w:val="IndexLink"/>
              </w:rPr>
              <w:t>64</w:t>
            </w:r>
          </w:hyperlink>
        </w:p>
        <w:p>
          <w:pPr>
            <w:pStyle w:val="Contents4"/>
            <w:tabs>
              <w:tab w:val="clear" w:pos="8176"/>
              <w:tab w:val="right" w:pos="9026" w:leader="dot"/>
            </w:tabs>
            <w:rPr/>
          </w:pPr>
          <w:hyperlink w:anchor="__RefHeading___Toc13197377_1280447820">
            <w:r>
              <w:rPr>
                <w:webHidden/>
                <w:rStyle w:val="IndexLink"/>
                <w:rtl w:val="true"/>
              </w:rPr>
              <w:t>تلامذته والمجازون عنه</w:t>
            </w:r>
            <w:r>
              <w:rPr>
                <w:rStyle w:val="IndexLink"/>
                <w:rtl w:val="true"/>
              </w:rPr>
              <w:tab/>
            </w:r>
            <w:r>
              <w:rPr>
                <w:rStyle w:val="IndexLink"/>
              </w:rPr>
              <w:t>67</w:t>
            </w:r>
          </w:hyperlink>
        </w:p>
        <w:p>
          <w:pPr>
            <w:pStyle w:val="Contents4"/>
            <w:tabs>
              <w:tab w:val="clear" w:pos="8176"/>
              <w:tab w:val="right" w:pos="9026" w:leader="dot"/>
            </w:tabs>
            <w:rPr/>
          </w:pPr>
          <w:hyperlink w:anchor="__RefHeading___Toc13197379_1280447820">
            <w:r>
              <w:rPr>
                <w:webHidden/>
                <w:rStyle w:val="IndexLink"/>
                <w:rtl w:val="true"/>
              </w:rPr>
              <w:t>آثاره العلمية</w:t>
            </w:r>
            <w:r>
              <w:rPr>
                <w:rStyle w:val="IndexLink"/>
                <w:rtl w:val="true"/>
              </w:rPr>
              <w:tab/>
            </w:r>
            <w:r>
              <w:rPr>
                <w:rStyle w:val="IndexLink"/>
              </w:rPr>
              <w:t>70</w:t>
            </w:r>
          </w:hyperlink>
        </w:p>
        <w:p>
          <w:pPr>
            <w:pStyle w:val="Contents4"/>
            <w:tabs>
              <w:tab w:val="clear" w:pos="8176"/>
              <w:tab w:val="right" w:pos="9026" w:leader="dot"/>
            </w:tabs>
            <w:rPr/>
          </w:pPr>
          <w:hyperlink w:anchor="__RefHeading___Toc13197381_1280447820">
            <w:r>
              <w:rPr>
                <w:webHidden/>
                <w:rStyle w:val="IndexLink"/>
                <w:rtl w:val="true"/>
              </w:rPr>
              <w:t>ذكاؤه وقوة حافظته</w:t>
            </w:r>
            <w:r>
              <w:rPr>
                <w:rStyle w:val="IndexLink"/>
                <w:rtl w:val="true"/>
              </w:rPr>
              <w:tab/>
            </w:r>
            <w:r>
              <w:rPr>
                <w:rStyle w:val="IndexLink"/>
              </w:rPr>
              <w:t>75</w:t>
            </w:r>
          </w:hyperlink>
        </w:p>
        <w:p>
          <w:pPr>
            <w:pStyle w:val="Contents4"/>
            <w:tabs>
              <w:tab w:val="clear" w:pos="8176"/>
              <w:tab w:val="right" w:pos="9026" w:leader="dot"/>
            </w:tabs>
            <w:rPr/>
          </w:pPr>
          <w:hyperlink w:anchor="__RefHeading___Toc13197383_1280447820">
            <w:r>
              <w:rPr>
                <w:webHidden/>
                <w:rStyle w:val="IndexLink"/>
                <w:rtl w:val="true"/>
              </w:rPr>
              <w:t>مناظراته</w:t>
            </w:r>
            <w:r>
              <w:rPr>
                <w:rStyle w:val="IndexLink"/>
                <w:rtl w:val="true"/>
              </w:rPr>
              <w:tab/>
            </w:r>
            <w:r>
              <w:rPr>
                <w:rStyle w:val="IndexLink"/>
              </w:rPr>
              <w:t>76</w:t>
            </w:r>
          </w:hyperlink>
        </w:p>
        <w:p>
          <w:pPr>
            <w:pStyle w:val="Contents4"/>
            <w:tabs>
              <w:tab w:val="clear" w:pos="8176"/>
              <w:tab w:val="right" w:pos="9026" w:leader="dot"/>
            </w:tabs>
            <w:rPr/>
          </w:pPr>
          <w:hyperlink w:anchor="__RefHeading___Toc13197385_1280447820">
            <w:r>
              <w:rPr>
                <w:webHidden/>
                <w:rStyle w:val="IndexLink"/>
                <w:rtl w:val="true"/>
              </w:rPr>
              <w:t>مناظرته مع مفتي بغداد</w:t>
            </w:r>
            <w:r>
              <w:rPr>
                <w:rStyle w:val="IndexLink"/>
                <w:rtl w:val="true"/>
              </w:rPr>
              <w:tab/>
            </w:r>
            <w:r>
              <w:rPr>
                <w:rStyle w:val="IndexLink"/>
              </w:rPr>
              <w:t>76</w:t>
            </w:r>
          </w:hyperlink>
        </w:p>
        <w:p>
          <w:pPr>
            <w:pStyle w:val="Contents4"/>
            <w:tabs>
              <w:tab w:val="clear" w:pos="8176"/>
              <w:tab w:val="right" w:pos="9026" w:leader="dot"/>
            </w:tabs>
            <w:rPr/>
          </w:pPr>
          <w:hyperlink w:anchor="__RefHeading___Toc13197387_1280447820">
            <w:r>
              <w:rPr>
                <w:webHidden/>
                <w:rStyle w:val="IndexLink"/>
                <w:rtl w:val="true"/>
              </w:rPr>
              <w:t>بعض مواقفه السياسية</w:t>
            </w:r>
            <w:r>
              <w:rPr>
                <w:rStyle w:val="IndexLink"/>
                <w:rtl w:val="true"/>
              </w:rPr>
              <w:tab/>
            </w:r>
            <w:r>
              <w:rPr>
                <w:rStyle w:val="IndexLink"/>
              </w:rPr>
              <w:t>100</w:t>
            </w:r>
          </w:hyperlink>
        </w:p>
        <w:p>
          <w:pPr>
            <w:pStyle w:val="Contents4"/>
            <w:tabs>
              <w:tab w:val="clear" w:pos="8176"/>
              <w:tab w:val="right" w:pos="9026" w:leader="dot"/>
            </w:tabs>
            <w:rPr/>
          </w:pPr>
          <w:hyperlink w:anchor="__RefHeading___Toc13197389_1280447820">
            <w:r>
              <w:rPr>
                <w:webHidden/>
                <w:rStyle w:val="IndexLink"/>
                <w:rtl w:val="true"/>
              </w:rPr>
              <w:t>كراماته</w:t>
            </w:r>
            <w:r>
              <w:rPr>
                <w:rStyle w:val="IndexLink"/>
                <w:rtl w:val="true"/>
              </w:rPr>
              <w:tab/>
            </w:r>
            <w:r>
              <w:rPr>
                <w:rStyle w:val="IndexLink"/>
              </w:rPr>
              <w:t>102</w:t>
            </w:r>
          </w:hyperlink>
        </w:p>
        <w:p>
          <w:pPr>
            <w:pStyle w:val="Contents4"/>
            <w:tabs>
              <w:tab w:val="clear" w:pos="8176"/>
              <w:tab w:val="right" w:pos="9026" w:leader="dot"/>
            </w:tabs>
            <w:rPr/>
          </w:pPr>
          <w:hyperlink w:anchor="__RefHeading___Toc13197391_1280447820">
            <w:r>
              <w:rPr>
                <w:webHidden/>
                <w:rStyle w:val="IndexLink"/>
                <w:rtl w:val="true"/>
              </w:rPr>
              <w:t>أدبه</w:t>
            </w:r>
            <w:r>
              <w:rPr>
                <w:rStyle w:val="IndexLink"/>
                <w:rtl w:val="true"/>
              </w:rPr>
              <w:tab/>
            </w:r>
            <w:r>
              <w:rPr>
                <w:rStyle w:val="IndexLink"/>
              </w:rPr>
              <w:t>104</w:t>
            </w:r>
          </w:hyperlink>
        </w:p>
        <w:p>
          <w:pPr>
            <w:pStyle w:val="Contents4"/>
            <w:tabs>
              <w:tab w:val="clear" w:pos="8176"/>
              <w:tab w:val="right" w:pos="9026" w:leader="dot"/>
            </w:tabs>
            <w:rPr/>
          </w:pPr>
          <w:hyperlink w:anchor="__RefHeading___Toc13197393_1280447820">
            <w:r>
              <w:rPr>
                <w:webHidden/>
                <w:rStyle w:val="IndexLink"/>
                <w:rtl w:val="true"/>
              </w:rPr>
              <w:t>وفاته ومدفنه</w:t>
            </w:r>
            <w:r>
              <w:rPr>
                <w:rStyle w:val="IndexLink"/>
                <w:rtl w:val="true"/>
              </w:rPr>
              <w:tab/>
            </w:r>
            <w:r>
              <w:rPr>
                <w:rStyle w:val="IndexLink"/>
              </w:rPr>
              <w:t>106</w:t>
            </w:r>
          </w:hyperlink>
        </w:p>
        <w:p>
          <w:pPr>
            <w:pStyle w:val="Contents3"/>
            <w:tabs>
              <w:tab w:val="clear" w:pos="8459"/>
              <w:tab w:val="right" w:pos="9026" w:leader="dot"/>
            </w:tabs>
            <w:rPr/>
          </w:pPr>
          <w:hyperlink w:anchor="__RefHeading___Toc13197395_1280447820">
            <w:r>
              <w:rPr>
                <w:webHidden/>
                <w:rStyle w:val="IndexLink"/>
                <w:rtl w:val="true"/>
              </w:rPr>
              <w:t>الفصل الثاني</w:t>
            </w:r>
            <w:r>
              <w:rPr>
                <w:rStyle w:val="IndexLink"/>
                <w:rtl w:val="true"/>
              </w:rPr>
              <w:t xml:space="preserve">: </w:t>
            </w:r>
            <w:r>
              <w:rPr>
                <w:rStyle w:val="IndexLink"/>
                <w:rtl w:val="true"/>
              </w:rPr>
              <w:t>كتاب أنوار الفقاهة</w:t>
            </w:r>
            <w:r>
              <w:rPr>
                <w:rStyle w:val="IndexLink"/>
                <w:rtl w:val="true"/>
              </w:rPr>
              <w:tab/>
            </w:r>
            <w:r>
              <w:rPr>
                <w:rStyle w:val="IndexLink"/>
              </w:rPr>
              <w:t>111</w:t>
            </w:r>
          </w:hyperlink>
        </w:p>
        <w:p>
          <w:pPr>
            <w:pStyle w:val="Contents4"/>
            <w:tabs>
              <w:tab w:val="clear" w:pos="8176"/>
              <w:tab w:val="right" w:pos="9026" w:leader="dot"/>
            </w:tabs>
            <w:rPr/>
          </w:pPr>
          <w:hyperlink w:anchor="__RefHeading___Toc13197397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3197399_1280447820">
            <w:r>
              <w:rPr>
                <w:webHidden/>
                <w:rStyle w:val="IndexLink"/>
                <w:rtl w:val="true"/>
              </w:rPr>
              <w:t>أبواب الكتاب وتاريخ تأليفه</w:t>
            </w:r>
            <w:r>
              <w:rPr>
                <w:rStyle w:val="IndexLink"/>
                <w:rtl w:val="true"/>
              </w:rPr>
              <w:tab/>
            </w:r>
            <w:r>
              <w:rPr>
                <w:rStyle w:val="IndexLink"/>
              </w:rPr>
              <w:t>113</w:t>
            </w:r>
          </w:hyperlink>
        </w:p>
        <w:p>
          <w:pPr>
            <w:pStyle w:val="Contents3"/>
            <w:tabs>
              <w:tab w:val="clear" w:pos="8459"/>
              <w:tab w:val="right" w:pos="9026" w:leader="dot"/>
            </w:tabs>
            <w:rPr/>
          </w:pPr>
          <w:hyperlink w:anchor="__RefHeading___Toc13197401_1280447820">
            <w:r>
              <w:rPr>
                <w:webHidden/>
                <w:rStyle w:val="IndexLink"/>
                <w:rtl w:val="true"/>
              </w:rPr>
              <w:t xml:space="preserve">الخاتمة </w:t>
            </w:r>
            <w:r>
              <w:rPr>
                <w:rStyle w:val="IndexLink"/>
                <w:rtl w:val="true"/>
              </w:rPr>
              <w:t xml:space="preserve">: </w:t>
            </w:r>
            <w:r>
              <w:rPr>
                <w:rStyle w:val="IndexLink"/>
                <w:rtl w:val="true"/>
              </w:rPr>
              <w:t>منهجية التحقيق</w:t>
            </w:r>
            <w:r>
              <w:rPr>
                <w:rStyle w:val="IndexLink"/>
                <w:rtl w:val="true"/>
              </w:rPr>
              <w:tab/>
            </w:r>
            <w:r>
              <w:rPr>
                <w:rStyle w:val="IndexLink"/>
              </w:rPr>
              <w:t>116</w:t>
            </w:r>
          </w:hyperlink>
        </w:p>
        <w:p>
          <w:pPr>
            <w:pStyle w:val="Contents4"/>
            <w:tabs>
              <w:tab w:val="clear" w:pos="8176"/>
              <w:tab w:val="right" w:pos="9026" w:leader="dot"/>
            </w:tabs>
            <w:rPr/>
          </w:pPr>
          <w:hyperlink w:anchor="__RefHeading___Toc13197403_1280447820">
            <w:r>
              <w:rPr>
                <w:webHidden/>
                <w:rStyle w:val="IndexLink"/>
              </w:rPr>
              <w:t>1</w:t>
            </w:r>
            <w:r>
              <w:rPr>
                <w:rStyle w:val="IndexLink"/>
                <w:rtl w:val="true"/>
              </w:rPr>
              <w:t>.</w:t>
            </w:r>
            <w:r>
              <w:rPr>
                <w:rStyle w:val="IndexLink"/>
                <w:rtl w:val="true"/>
              </w:rPr>
              <w:t>مخطوطات أنوار الفقاهة</w:t>
            </w:r>
            <w:r>
              <w:rPr>
                <w:rStyle w:val="IndexLink"/>
                <w:rtl w:val="true"/>
              </w:rPr>
              <w:tab/>
            </w:r>
            <w:r>
              <w:rPr>
                <w:rStyle w:val="IndexLink"/>
              </w:rPr>
              <w:t>116</w:t>
            </w:r>
          </w:hyperlink>
        </w:p>
        <w:p>
          <w:pPr>
            <w:pStyle w:val="Contents4"/>
            <w:tabs>
              <w:tab w:val="clear" w:pos="8176"/>
              <w:tab w:val="right" w:pos="9026" w:leader="dot"/>
            </w:tabs>
            <w:rPr/>
          </w:pPr>
          <w:hyperlink w:anchor="__RefHeading___Toc13197405_1280447820">
            <w:r>
              <w:rPr>
                <w:webHidden/>
                <w:rStyle w:val="IndexLink"/>
              </w:rPr>
              <w:t>2</w:t>
            </w:r>
            <w:r>
              <w:rPr>
                <w:rStyle w:val="IndexLink"/>
                <w:rtl w:val="true"/>
              </w:rPr>
              <w:t xml:space="preserve">. </w:t>
            </w:r>
            <w:r>
              <w:rPr>
                <w:rStyle w:val="IndexLink"/>
                <w:rtl w:val="true"/>
              </w:rPr>
              <w:t>النسخ المعتمدة في التحقيق</w:t>
            </w:r>
            <w:r>
              <w:rPr>
                <w:rStyle w:val="IndexLink"/>
                <w:rtl w:val="true"/>
              </w:rPr>
              <w:tab/>
            </w:r>
            <w:r>
              <w:rPr>
                <w:rStyle w:val="IndexLink"/>
              </w:rPr>
              <w:t>119</w:t>
            </w:r>
          </w:hyperlink>
        </w:p>
        <w:p>
          <w:pPr>
            <w:pStyle w:val="Contents4"/>
            <w:tabs>
              <w:tab w:val="clear" w:pos="8176"/>
              <w:tab w:val="right" w:pos="9026" w:leader="dot"/>
            </w:tabs>
            <w:rPr/>
          </w:pPr>
          <w:hyperlink w:anchor="__RefHeading___Toc13197407_1280447820">
            <w:r>
              <w:rPr>
                <w:webHidden/>
                <w:rStyle w:val="IndexLink"/>
              </w:rPr>
              <w:t>3</w:t>
            </w:r>
            <w:r>
              <w:rPr>
                <w:rStyle w:val="IndexLink"/>
                <w:rtl w:val="true"/>
              </w:rPr>
              <w:t xml:space="preserve">. </w:t>
            </w:r>
            <w:r>
              <w:rPr>
                <w:rStyle w:val="IndexLink"/>
                <w:rtl w:val="true"/>
              </w:rPr>
              <w:t>منهج العمل والمساهمون في تنفيذه</w:t>
            </w:r>
            <w:r>
              <w:rPr>
                <w:rStyle w:val="IndexLink"/>
                <w:rtl w:val="true"/>
              </w:rPr>
              <w:tab/>
            </w:r>
            <w:r>
              <w:rPr>
                <w:rStyle w:val="IndexLink"/>
              </w:rPr>
              <w:t>124</w:t>
            </w:r>
          </w:hyperlink>
        </w:p>
        <w:p>
          <w:pPr>
            <w:pStyle w:val="Contents3"/>
            <w:tabs>
              <w:tab w:val="clear" w:pos="8459"/>
              <w:tab w:val="right" w:pos="9026" w:leader="dot"/>
            </w:tabs>
            <w:rPr/>
          </w:pPr>
          <w:hyperlink w:anchor="__RefHeading___Toc13197409_1280447820">
            <w:r>
              <w:rPr>
                <w:webHidden/>
                <w:rStyle w:val="IndexLink"/>
                <w:rtl w:val="true"/>
              </w:rPr>
              <w:t>شكر وثناء</w:t>
            </w:r>
            <w:r>
              <w:rPr>
                <w:rStyle w:val="IndexLink"/>
                <w:rtl w:val="true"/>
              </w:rPr>
              <w:tab/>
            </w:r>
            <w:r>
              <w:rPr>
                <w:rStyle w:val="IndexLink"/>
              </w:rPr>
              <w:t>126</w:t>
            </w:r>
          </w:hyperlink>
        </w:p>
        <w:p>
          <w:pPr>
            <w:pStyle w:val="Contents3"/>
            <w:tabs>
              <w:tab w:val="clear" w:pos="8459"/>
              <w:tab w:val="right" w:pos="9026" w:leader="dot"/>
            </w:tabs>
            <w:rPr/>
          </w:pPr>
          <w:hyperlink w:anchor="__RefHeading___Toc13197411_1280447820">
            <w:r>
              <w:rPr>
                <w:webHidden/>
                <w:rStyle w:val="IndexLink"/>
                <w:rtl w:val="true"/>
              </w:rPr>
              <w:t>نماذج من مصوّرات النسخ الخطية المعتمدة في التحقيق</w:t>
            </w:r>
            <w:r>
              <w:rPr>
                <w:rStyle w:val="IndexLink"/>
                <w:rtl w:val="true"/>
              </w:rPr>
              <w:tab/>
            </w:r>
            <w:r>
              <w:rPr>
                <w:rStyle w:val="IndexLink"/>
              </w:rPr>
              <w:t>130</w:t>
            </w:r>
          </w:hyperlink>
        </w:p>
        <w:p>
          <w:pPr>
            <w:pStyle w:val="Contents2"/>
            <w:tabs>
              <w:tab w:val="clear" w:pos="8743"/>
              <w:tab w:val="right" w:pos="9026" w:leader="dot"/>
            </w:tabs>
            <w:rPr/>
          </w:pPr>
          <w:hyperlink w:anchor="__RefHeading___Toc13197413_1280447820">
            <w:r>
              <w:rPr>
                <w:webHidden/>
                <w:rStyle w:val="IndexLink"/>
                <w:rtl w:val="true"/>
              </w:rPr>
              <w:t>كتاب الطهارة</w:t>
            </w:r>
            <w:r>
              <w:rPr>
                <w:rStyle w:val="IndexLink"/>
                <w:rtl w:val="true"/>
              </w:rPr>
              <w:tab/>
            </w:r>
            <w:r>
              <w:rPr>
                <w:rStyle w:val="IndexLink"/>
              </w:rPr>
              <w:t>142</w:t>
            </w:r>
          </w:hyperlink>
        </w:p>
        <w:p>
          <w:pPr>
            <w:pStyle w:val="Contents3"/>
            <w:tabs>
              <w:tab w:val="clear" w:pos="8459"/>
              <w:tab w:val="right" w:pos="9026" w:leader="dot"/>
            </w:tabs>
            <w:rPr/>
          </w:pPr>
          <w:hyperlink w:anchor="__RefHeading___Toc13197415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3197417_1280447820">
            <w:r>
              <w:rPr>
                <w:webHidden/>
                <w:rStyle w:val="IndexLink"/>
                <w:rtl w:val="true"/>
              </w:rPr>
              <w:t>تعریف الطهارۀ لغۀً و شرعاً</w:t>
            </w:r>
            <w:r>
              <w:rPr>
                <w:rStyle w:val="IndexLink"/>
                <w:rtl w:val="true"/>
              </w:rPr>
              <w:tab/>
            </w:r>
            <w:r>
              <w:rPr>
                <w:rStyle w:val="IndexLink"/>
              </w:rPr>
              <w:t>144</w:t>
            </w:r>
          </w:hyperlink>
        </w:p>
        <w:p>
          <w:pPr>
            <w:pStyle w:val="Contents3"/>
            <w:tabs>
              <w:tab w:val="clear" w:pos="8459"/>
              <w:tab w:val="right" w:pos="9026" w:leader="dot"/>
            </w:tabs>
            <w:rPr/>
          </w:pPr>
          <w:hyperlink w:anchor="__RefHeading___Toc13197419_1280447820">
            <w:r>
              <w:rPr>
                <w:webHidden/>
                <w:rStyle w:val="IndexLink"/>
                <w:rtl w:val="true"/>
              </w:rPr>
              <w:t>فيما تجب له الطهارة وما تستحبّ</w:t>
            </w:r>
            <w:r>
              <w:rPr>
                <w:rStyle w:val="IndexLink"/>
                <w:rtl w:val="true"/>
              </w:rPr>
              <w:tab/>
            </w:r>
            <w:r>
              <w:rPr>
                <w:rStyle w:val="IndexLink"/>
              </w:rPr>
              <w:t>146</w:t>
            </w:r>
          </w:hyperlink>
        </w:p>
        <w:p>
          <w:pPr>
            <w:pStyle w:val="Contents4"/>
            <w:tabs>
              <w:tab w:val="clear" w:pos="8176"/>
              <w:tab w:val="right" w:pos="9026" w:leader="dot"/>
            </w:tabs>
            <w:rPr/>
          </w:pPr>
          <w:hyperlink w:anchor="__RefHeading___Toc13197421_1280447820">
            <w:r>
              <w:rPr>
                <w:webHidden/>
                <w:rStyle w:val="IndexLink"/>
                <w:rtl w:val="true"/>
              </w:rPr>
              <w:t>بحث فیما یجب له الوضوء</w:t>
            </w:r>
            <w:r>
              <w:rPr>
                <w:rStyle w:val="IndexLink"/>
                <w:rtl w:val="true"/>
              </w:rPr>
              <w:tab/>
            </w:r>
            <w:r>
              <w:rPr>
                <w:rStyle w:val="IndexLink"/>
              </w:rPr>
              <w:t>146</w:t>
            </w:r>
          </w:hyperlink>
        </w:p>
        <w:p>
          <w:pPr>
            <w:pStyle w:val="Contents4"/>
            <w:tabs>
              <w:tab w:val="clear" w:pos="8176"/>
              <w:tab w:val="right" w:pos="9026" w:leader="dot"/>
            </w:tabs>
            <w:rPr/>
          </w:pPr>
          <w:hyperlink w:anchor="__RefHeading___Toc13197423_1280447820">
            <w:r>
              <w:rPr>
                <w:webHidden/>
                <w:rStyle w:val="IndexLink"/>
                <w:rtl w:val="true"/>
              </w:rPr>
              <w:t>بحث فیما یندب له الوضوء</w:t>
            </w:r>
            <w:r>
              <w:rPr>
                <w:rStyle w:val="IndexLink"/>
                <w:rtl w:val="true"/>
              </w:rPr>
              <w:t>:</w:t>
              <w:tab/>
            </w:r>
            <w:r>
              <w:rPr>
                <w:rStyle w:val="IndexLink"/>
              </w:rPr>
              <w:t>148</w:t>
            </w:r>
          </w:hyperlink>
        </w:p>
        <w:p>
          <w:pPr>
            <w:pStyle w:val="Contents5"/>
            <w:tabs>
              <w:tab w:val="clear" w:pos="7892"/>
              <w:tab w:val="right" w:pos="9026" w:leader="dot"/>
            </w:tabs>
            <w:rPr/>
          </w:pPr>
          <w:hyperlink w:anchor="__RefHeading___Toc13197425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3197427_1280447820">
            <w:r>
              <w:rPr>
                <w:webHidden/>
                <w:rStyle w:val="IndexLink"/>
                <w:rtl w:val="true"/>
              </w:rPr>
              <w:t xml:space="preserve">وهنا فوائد </w:t>
            </w:r>
            <w:r>
              <w:rPr>
                <w:rStyle w:val="IndexLink"/>
                <w:rtl w:val="true"/>
              </w:rPr>
              <w:t>:</w:t>
              <w:tab/>
            </w:r>
            <w:r>
              <w:rPr>
                <w:rStyle w:val="IndexLink"/>
              </w:rPr>
              <w:t>149</w:t>
            </w:r>
          </w:hyperlink>
        </w:p>
        <w:p>
          <w:pPr>
            <w:pStyle w:val="Contents5"/>
            <w:tabs>
              <w:tab w:val="clear" w:pos="7892"/>
              <w:tab w:val="right" w:pos="9026" w:leader="dot"/>
            </w:tabs>
            <w:rPr/>
          </w:pPr>
          <w:hyperlink w:anchor="__RefHeading___Toc13197429_1280447820">
            <w:r>
              <w:rPr>
                <w:webHidden/>
                <w:rStyle w:val="IndexLink"/>
                <w:rtl w:val="true"/>
              </w:rPr>
              <w:t>الأُولى</w:t>
            </w:r>
            <w:r>
              <w:rPr>
                <w:rStyle w:val="IndexLink"/>
                <w:rtl w:val="true"/>
              </w:rPr>
              <w:t xml:space="preserve">: </w:t>
            </w:r>
            <w:r>
              <w:rPr>
                <w:rStyle w:val="IndexLink"/>
                <w:rtl w:val="true"/>
              </w:rPr>
              <w:t>فی أنّ أکثر ما ذُکر له استحباب الوضوء قد ورد فیه روایات خاصّۀ</w:t>
            </w:r>
            <w:r>
              <w:rPr>
                <w:rStyle w:val="IndexLink"/>
                <w:rtl w:val="true"/>
              </w:rPr>
              <w:tab/>
            </w:r>
            <w:r>
              <w:rPr>
                <w:rStyle w:val="IndexLink"/>
              </w:rPr>
              <w:t>149</w:t>
            </w:r>
          </w:hyperlink>
        </w:p>
        <w:p>
          <w:pPr>
            <w:pStyle w:val="Contents5"/>
            <w:tabs>
              <w:tab w:val="clear" w:pos="7892"/>
              <w:tab w:val="right" w:pos="9026" w:leader="dot"/>
            </w:tabs>
            <w:rPr/>
          </w:pPr>
          <w:hyperlink w:anchor="__RefHeading___Toc13197431_1280447820">
            <w:r>
              <w:rPr>
                <w:webHidden/>
                <w:rStyle w:val="IndexLink"/>
                <w:rtl w:val="true"/>
              </w:rPr>
              <w:t>الثانية</w:t>
            </w:r>
            <w:r>
              <w:rPr>
                <w:rStyle w:val="IndexLink"/>
                <w:rtl w:val="true"/>
              </w:rPr>
              <w:t xml:space="preserve">: </w:t>
            </w:r>
            <w:r>
              <w:rPr>
                <w:rStyle w:val="IndexLink"/>
                <w:rtl w:val="true"/>
              </w:rPr>
              <w:t>فی أنّ کثیراً ممّا جاءت به الروایات موافق لفتوی العامّۀ</w:t>
            </w:r>
            <w:r>
              <w:rPr>
                <w:rStyle w:val="IndexLink"/>
                <w:rtl w:val="true"/>
              </w:rPr>
              <w:tab/>
            </w:r>
            <w:r>
              <w:rPr>
                <w:rStyle w:val="IndexLink"/>
              </w:rPr>
              <w:t>149</w:t>
            </w:r>
          </w:hyperlink>
        </w:p>
        <w:p>
          <w:pPr>
            <w:pStyle w:val="Contents5"/>
            <w:tabs>
              <w:tab w:val="clear" w:pos="7892"/>
              <w:tab w:val="right" w:pos="9026" w:leader="dot"/>
            </w:tabs>
            <w:rPr/>
          </w:pPr>
          <w:hyperlink w:anchor="__RefHeading___Toc13197433_1280447820">
            <w:r>
              <w:rPr>
                <w:webHidden/>
                <w:rStyle w:val="IndexLink"/>
                <w:rtl w:val="true"/>
              </w:rPr>
              <w:t>الثالثة</w:t>
            </w:r>
            <w:r>
              <w:rPr>
                <w:rStyle w:val="IndexLink"/>
                <w:rtl w:val="true"/>
              </w:rPr>
              <w:t>:</w:t>
            </w:r>
            <w:r>
              <w:rPr>
                <w:rStyle w:val="IndexLink"/>
                <w:rtl w:val="true"/>
              </w:rPr>
              <w:t>فی عدم الفرق فی إثبات الندب من الأخبار بین ما ورد الخطاب به صریحاً لغیره و بین ما ورد الخطاب بغیره متّصفاً به</w:t>
            </w:r>
            <w:r>
              <w:rPr>
                <w:rStyle w:val="IndexLink"/>
                <w:rtl w:val="true"/>
              </w:rPr>
              <w:tab/>
            </w:r>
            <w:r>
              <w:rPr>
                <w:rStyle w:val="IndexLink"/>
              </w:rPr>
              <w:t>150</w:t>
            </w:r>
          </w:hyperlink>
        </w:p>
        <w:p>
          <w:pPr>
            <w:pStyle w:val="Contents5"/>
            <w:tabs>
              <w:tab w:val="clear" w:pos="7892"/>
              <w:tab w:val="right" w:pos="9026" w:leader="dot"/>
            </w:tabs>
            <w:rPr/>
          </w:pPr>
          <w:hyperlink w:anchor="__RefHeading___Toc13197435_1280447820">
            <w:r>
              <w:rPr>
                <w:webHidden/>
                <w:rStyle w:val="IndexLink"/>
                <w:rtl w:val="true"/>
              </w:rPr>
              <w:t>الرابعة</w:t>
            </w:r>
            <w:r>
              <w:rPr>
                <w:rStyle w:val="IndexLink"/>
                <w:rtl w:val="true"/>
              </w:rPr>
              <w:t xml:space="preserve">: </w:t>
            </w:r>
            <w:r>
              <w:rPr>
                <w:rStyle w:val="IndexLink"/>
                <w:rtl w:val="true"/>
              </w:rPr>
              <w:t>فی أنّ الوضوء لو صادف الحدث الأصغر منویّاً به التقرّب رفعه</w:t>
            </w:r>
            <w:r>
              <w:rPr>
                <w:rStyle w:val="IndexLink"/>
                <w:rtl w:val="true"/>
              </w:rPr>
              <w:tab/>
            </w:r>
            <w:r>
              <w:rPr>
                <w:rStyle w:val="IndexLink"/>
              </w:rPr>
              <w:t>150</w:t>
            </w:r>
          </w:hyperlink>
        </w:p>
        <w:p>
          <w:pPr>
            <w:pStyle w:val="Contents5"/>
            <w:tabs>
              <w:tab w:val="clear" w:pos="7892"/>
              <w:tab w:val="right" w:pos="9026" w:leader="dot"/>
            </w:tabs>
            <w:rPr/>
          </w:pPr>
          <w:hyperlink w:anchor="__RefHeading___Toc13197437_1280447820">
            <w:r>
              <w:rPr>
                <w:webHidden/>
                <w:rStyle w:val="IndexLink"/>
                <w:rtl w:val="true"/>
              </w:rPr>
              <w:t>الخامسة</w:t>
            </w:r>
            <w:r>
              <w:rPr>
                <w:rStyle w:val="IndexLink"/>
                <w:rtl w:val="true"/>
              </w:rPr>
              <w:t xml:space="preserve">: </w:t>
            </w:r>
            <w:r>
              <w:rPr>
                <w:rStyle w:val="IndexLink"/>
                <w:rtl w:val="true"/>
              </w:rPr>
              <w:t>إنّما يشرع الوضوء عند دخول وقت المشروط به إن كان له وقت، أو عند إرادة فعله إن لم يكن كذلك</w:t>
            </w:r>
            <w:r>
              <w:rPr>
                <w:rStyle w:val="IndexLink"/>
                <w:rtl w:val="true"/>
              </w:rPr>
              <w:t>.</w:t>
              <w:tab/>
            </w:r>
            <w:r>
              <w:rPr>
                <w:rStyle w:val="IndexLink"/>
              </w:rPr>
              <w:t>151</w:t>
            </w:r>
          </w:hyperlink>
        </w:p>
        <w:p>
          <w:pPr>
            <w:pStyle w:val="Contents5"/>
            <w:tabs>
              <w:tab w:val="clear" w:pos="7892"/>
              <w:tab w:val="right" w:pos="9026" w:leader="dot"/>
            </w:tabs>
            <w:rPr/>
          </w:pPr>
          <w:hyperlink w:anchor="__RefHeading___Toc13197439_1280447820">
            <w:r>
              <w:rPr>
                <w:webHidden/>
                <w:rStyle w:val="IndexLink"/>
                <w:rtl w:val="true"/>
              </w:rPr>
              <w:t>السادسة</w:t>
            </w:r>
            <w:r>
              <w:rPr>
                <w:rStyle w:val="IndexLink"/>
                <w:rtl w:val="true"/>
              </w:rPr>
              <w:t xml:space="preserve">: </w:t>
            </w:r>
            <w:r>
              <w:rPr>
                <w:rStyle w:val="IndexLink"/>
                <w:rtl w:val="true"/>
              </w:rPr>
              <w:t>تحقّق الوضوء التجديدي بتجدّد كلّ صلاة نافلة أو فريضة</w:t>
            </w:r>
            <w:r>
              <w:rPr>
                <w:rStyle w:val="IndexLink"/>
                <w:rtl w:val="true"/>
              </w:rPr>
              <w:tab/>
            </w:r>
            <w:r>
              <w:rPr>
                <w:rStyle w:val="IndexLink"/>
              </w:rPr>
              <w:t>152</w:t>
            </w:r>
          </w:hyperlink>
        </w:p>
        <w:p>
          <w:pPr>
            <w:pStyle w:val="Contents4"/>
            <w:tabs>
              <w:tab w:val="clear" w:pos="8176"/>
              <w:tab w:val="right" w:pos="9026" w:leader="dot"/>
            </w:tabs>
            <w:rPr/>
          </w:pPr>
          <w:hyperlink w:anchor="__RefHeading___Toc13197441_1280447820">
            <w:r>
              <w:rPr>
                <w:webHidden/>
                <w:rStyle w:val="IndexLink"/>
                <w:rtl w:val="true"/>
              </w:rPr>
              <w:t>بحث فیما یحرم علی المحدث مسّه</w:t>
            </w:r>
            <w:r>
              <w:rPr>
                <w:rStyle w:val="IndexLink"/>
                <w:rtl w:val="true"/>
              </w:rPr>
              <w:t>:</w:t>
              <w:tab/>
            </w:r>
            <w:r>
              <w:rPr>
                <w:rStyle w:val="IndexLink"/>
              </w:rPr>
              <w:t>153</w:t>
            </w:r>
          </w:hyperlink>
        </w:p>
        <w:p>
          <w:pPr>
            <w:pStyle w:val="Contents4"/>
            <w:tabs>
              <w:tab w:val="clear" w:pos="8176"/>
              <w:tab w:val="right" w:pos="9026" w:leader="dot"/>
            </w:tabs>
            <w:rPr/>
          </w:pPr>
          <w:hyperlink w:anchor="__RefHeading___Toc13197443_1280447820">
            <w:r>
              <w:rPr>
                <w:webHidden/>
                <w:rStyle w:val="IndexLink"/>
                <w:rtl w:val="true"/>
              </w:rPr>
              <w:t>بحث فیما یجب له الغسل</w:t>
            </w:r>
            <w:r>
              <w:rPr>
                <w:rStyle w:val="IndexLink"/>
                <w:rtl w:val="true"/>
              </w:rPr>
              <w:t>:</w:t>
              <w:tab/>
            </w:r>
            <w:r>
              <w:rPr>
                <w:rStyle w:val="IndexLink"/>
              </w:rPr>
              <w:t>154</w:t>
            </w:r>
          </w:hyperlink>
        </w:p>
        <w:p>
          <w:pPr>
            <w:pStyle w:val="Contents5"/>
            <w:tabs>
              <w:tab w:val="clear" w:pos="7892"/>
              <w:tab w:val="right" w:pos="9026" w:leader="dot"/>
            </w:tabs>
            <w:rPr/>
          </w:pPr>
          <w:hyperlink w:anchor="__RefHeading___Toc13197445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3197447_1280447820">
            <w:r>
              <w:rPr>
                <w:webHidden/>
                <w:rStyle w:val="IndexLink"/>
                <w:rtl w:val="true"/>
              </w:rPr>
              <w:t>هل وجوب الغسل نفسیٌّ أو غیریٌّ؟</w:t>
            </w:r>
            <w:r>
              <w:rPr>
                <w:rStyle w:val="IndexLink"/>
                <w:rtl w:val="true"/>
              </w:rPr>
              <w:tab/>
            </w:r>
            <w:r>
              <w:rPr>
                <w:rStyle w:val="IndexLink"/>
              </w:rPr>
              <w:t>159</w:t>
            </w:r>
          </w:hyperlink>
        </w:p>
        <w:p>
          <w:pPr>
            <w:pStyle w:val="Contents4"/>
            <w:tabs>
              <w:tab w:val="clear" w:pos="8176"/>
              <w:tab w:val="right" w:pos="9026" w:leader="dot"/>
            </w:tabs>
            <w:rPr/>
          </w:pPr>
          <w:hyperlink w:anchor="__RefHeading___Toc13197449_1280447820">
            <w:r>
              <w:rPr>
                <w:webHidden/>
                <w:rStyle w:val="IndexLink"/>
                <w:rtl w:val="true"/>
              </w:rPr>
              <w:t>بحث فیما یجب أو یندب له التیمّم</w:t>
            </w:r>
            <w:r>
              <w:rPr>
                <w:rStyle w:val="IndexLink"/>
                <w:rtl w:val="true"/>
              </w:rPr>
              <w:tab/>
            </w:r>
            <w:r>
              <w:rPr>
                <w:rStyle w:val="IndexLink"/>
              </w:rPr>
              <w:t>161</w:t>
            </w:r>
          </w:hyperlink>
        </w:p>
        <w:p>
          <w:pPr>
            <w:pStyle w:val="Contents4"/>
            <w:tabs>
              <w:tab w:val="clear" w:pos="8176"/>
              <w:tab w:val="right" w:pos="9026" w:leader="dot"/>
            </w:tabs>
            <w:rPr/>
          </w:pPr>
          <w:hyperlink w:anchor="__RefHeading___Toc13197451_1280447820">
            <w:r>
              <w:rPr>
                <w:webHidden/>
                <w:rStyle w:val="IndexLink"/>
                <w:rtl w:val="true"/>
              </w:rPr>
              <w:t>بحث فیما لو نذر الطهارۀ</w:t>
            </w:r>
            <w:r>
              <w:rPr>
                <w:rStyle w:val="IndexLink"/>
                <w:rtl w:val="true"/>
              </w:rPr>
              <w:t>:</w:t>
              <w:tab/>
            </w:r>
            <w:r>
              <w:rPr>
                <w:rStyle w:val="IndexLink"/>
              </w:rPr>
              <w:t>165</w:t>
            </w:r>
          </w:hyperlink>
        </w:p>
        <w:p>
          <w:pPr>
            <w:pStyle w:val="Contents3"/>
            <w:tabs>
              <w:tab w:val="clear" w:pos="8459"/>
              <w:tab w:val="right" w:pos="9026" w:leader="dot"/>
            </w:tabs>
            <w:rPr/>
          </w:pPr>
          <w:hyperlink w:anchor="__RefHeading___Toc13197453_1280447820">
            <w:r>
              <w:rPr>
                <w:webHidden/>
                <w:rStyle w:val="IndexLink"/>
                <w:rtl w:val="true"/>
              </w:rPr>
              <w:t>أحكام المياه</w:t>
            </w:r>
            <w:r>
              <w:rPr>
                <w:rStyle w:val="IndexLink"/>
                <w:rtl w:val="true"/>
              </w:rPr>
              <w:tab/>
            </w:r>
            <w:r>
              <w:rPr>
                <w:rStyle w:val="IndexLink"/>
              </w:rPr>
              <w:t>168</w:t>
            </w:r>
          </w:hyperlink>
        </w:p>
        <w:p>
          <w:pPr>
            <w:pStyle w:val="Contents4"/>
            <w:tabs>
              <w:tab w:val="clear" w:pos="8176"/>
              <w:tab w:val="right" w:pos="9026" w:leader="dot"/>
            </w:tabs>
            <w:rPr/>
          </w:pPr>
          <w:hyperlink w:anchor="__RefHeading___Toc13197455_1280447820">
            <w:r>
              <w:rPr>
                <w:webHidden/>
                <w:rStyle w:val="IndexLink"/>
                <w:rtl w:val="true"/>
              </w:rPr>
              <w:t>بحث فی الماء المطلق</w:t>
            </w:r>
            <w:r>
              <w:rPr>
                <w:rStyle w:val="IndexLink"/>
                <w:rtl w:val="true"/>
              </w:rPr>
              <w:tab/>
            </w:r>
            <w:r>
              <w:rPr>
                <w:rStyle w:val="IndexLink"/>
              </w:rPr>
              <w:t>168</w:t>
            </w:r>
          </w:hyperlink>
        </w:p>
        <w:p>
          <w:pPr>
            <w:pStyle w:val="Contents5"/>
            <w:tabs>
              <w:tab w:val="clear" w:pos="7892"/>
              <w:tab w:val="right" w:pos="9026" w:leader="dot"/>
            </w:tabs>
            <w:rPr/>
          </w:pPr>
          <w:hyperlink w:anchor="__RefHeading___Toc13197457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3197459_1280447820">
            <w:r>
              <w:rPr>
                <w:webHidden/>
                <w:rStyle w:val="IndexLink"/>
                <w:rtl w:val="true"/>
              </w:rPr>
              <w:t>بحث فی أنّ طهوريّته الماء قضيّة مهملة أو مطلقۀ؟</w:t>
            </w:r>
            <w:r>
              <w:rPr>
                <w:rStyle w:val="IndexLink"/>
                <w:rtl w:val="true"/>
              </w:rPr>
              <w:tab/>
            </w:r>
            <w:r>
              <w:rPr>
                <w:rStyle w:val="IndexLink"/>
              </w:rPr>
              <w:t>171</w:t>
            </w:r>
          </w:hyperlink>
        </w:p>
        <w:p>
          <w:pPr>
            <w:pStyle w:val="Contents5"/>
            <w:tabs>
              <w:tab w:val="clear" w:pos="7892"/>
              <w:tab w:val="right" w:pos="9026" w:leader="dot"/>
            </w:tabs>
            <w:rPr/>
          </w:pPr>
          <w:hyperlink w:anchor="__RefHeading___Toc13197461_1280447820">
            <w:r>
              <w:rPr>
                <w:webHidden/>
                <w:rStyle w:val="IndexLink"/>
                <w:rtl w:val="true"/>
              </w:rPr>
              <w:t>بحث فی إستواء جمیع أفراد الماء الطاهر فی طهوریّته</w:t>
            </w:r>
            <w:r>
              <w:rPr>
                <w:rStyle w:val="IndexLink"/>
                <w:rtl w:val="true"/>
              </w:rPr>
              <w:tab/>
            </w:r>
            <w:r>
              <w:rPr>
                <w:rStyle w:val="IndexLink"/>
              </w:rPr>
              <w:t>171</w:t>
            </w:r>
          </w:hyperlink>
        </w:p>
        <w:p>
          <w:pPr>
            <w:pStyle w:val="Contents4"/>
            <w:tabs>
              <w:tab w:val="clear" w:pos="8176"/>
              <w:tab w:val="right" w:pos="9026" w:leader="dot"/>
            </w:tabs>
            <w:rPr/>
          </w:pPr>
          <w:hyperlink w:anchor="__RefHeading___Toc13197463_1280447820">
            <w:r>
              <w:rPr>
                <w:webHidden/>
                <w:rStyle w:val="IndexLink"/>
                <w:rtl w:val="true"/>
              </w:rPr>
              <w:t>بحث في الماء الجاري</w:t>
            </w:r>
            <w:r>
              <w:rPr>
                <w:rStyle w:val="IndexLink"/>
                <w:rtl w:val="true"/>
              </w:rPr>
              <w:tab/>
            </w:r>
            <w:r>
              <w:rPr>
                <w:rStyle w:val="IndexLink"/>
              </w:rPr>
              <w:t>172</w:t>
            </w:r>
          </w:hyperlink>
        </w:p>
        <w:p>
          <w:pPr>
            <w:pStyle w:val="Contents5"/>
            <w:tabs>
              <w:tab w:val="clear" w:pos="7892"/>
              <w:tab w:val="right" w:pos="9026" w:leader="dot"/>
            </w:tabs>
            <w:rPr/>
          </w:pPr>
          <w:hyperlink w:anchor="__RefHeading___Toc13197465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3197467_1280447820">
            <w:r>
              <w:rPr>
                <w:webHidden/>
                <w:rStyle w:val="IndexLink"/>
                <w:rtl w:val="true"/>
              </w:rPr>
              <w:t>الكلام في الجاري في مقامات</w:t>
            </w:r>
            <w:r>
              <w:rPr>
                <w:rStyle w:val="IndexLink"/>
                <w:rtl w:val="true"/>
              </w:rPr>
              <w:tab/>
            </w:r>
            <w:r>
              <w:rPr>
                <w:rStyle w:val="IndexLink"/>
              </w:rPr>
              <w:t>173</w:t>
            </w:r>
          </w:hyperlink>
        </w:p>
        <w:p>
          <w:pPr>
            <w:pStyle w:val="Contents5"/>
            <w:tabs>
              <w:tab w:val="clear" w:pos="7892"/>
              <w:tab w:val="right" w:pos="9026" w:leader="dot"/>
            </w:tabs>
            <w:rPr/>
          </w:pPr>
          <w:hyperlink w:anchor="__RefHeading___Toc13197469_1280447820">
            <w:r>
              <w:rPr>
                <w:webHidden/>
                <w:rStyle w:val="IndexLink"/>
                <w:rtl w:val="true"/>
              </w:rPr>
              <w:t>أحدها</w:t>
            </w:r>
            <w:r>
              <w:rPr>
                <w:rStyle w:val="IndexLink"/>
                <w:rtl w:val="true"/>
              </w:rPr>
              <w:t xml:space="preserve">: </w:t>
            </w:r>
            <w:r>
              <w:rPr>
                <w:rStyle w:val="IndexLink"/>
                <w:rtl w:val="true"/>
              </w:rPr>
              <w:t>لا ينجُس الجاري إلّا إذا تغيّر الماء عن طبيعته الخلقيّة بنجاسةٍ حلّت فيه</w:t>
            </w:r>
            <w:r>
              <w:rPr>
                <w:rStyle w:val="IndexLink"/>
                <w:rtl w:val="true"/>
              </w:rPr>
              <w:tab/>
            </w:r>
            <w:r>
              <w:rPr>
                <w:rStyle w:val="IndexLink"/>
              </w:rPr>
              <w:t>173</w:t>
            </w:r>
          </w:hyperlink>
        </w:p>
        <w:p>
          <w:pPr>
            <w:pStyle w:val="Contents5"/>
            <w:tabs>
              <w:tab w:val="clear" w:pos="7892"/>
              <w:tab w:val="right" w:pos="9026" w:leader="dot"/>
            </w:tabs>
            <w:rPr/>
          </w:pPr>
          <w:hyperlink w:anchor="__RefHeading___Toc13197471_1280447820">
            <w:r>
              <w:rPr>
                <w:webHidden/>
                <w:rStyle w:val="IndexLink"/>
                <w:rtl w:val="true"/>
              </w:rPr>
              <w:t>ثانيها</w:t>
            </w:r>
            <w:r>
              <w:rPr>
                <w:rStyle w:val="IndexLink"/>
                <w:rtl w:val="true"/>
              </w:rPr>
              <w:t xml:space="preserve">: </w:t>
            </w:r>
            <w:r>
              <w:rPr>
                <w:rStyle w:val="IndexLink"/>
                <w:rtl w:val="true"/>
              </w:rPr>
              <w:t>عدم يشترط في تنجيسه بالتغيّر أن يكون التغيّر بنفس لون النجاسة أو طعمها أو ريحها وبین غیره</w:t>
            </w:r>
            <w:r>
              <w:rPr>
                <w:rStyle w:val="IndexLink"/>
                <w:rtl w:val="true"/>
              </w:rPr>
              <w:tab/>
            </w:r>
            <w:r>
              <w:rPr>
                <w:rStyle w:val="IndexLink"/>
              </w:rPr>
              <w:t>173</w:t>
            </w:r>
          </w:hyperlink>
        </w:p>
        <w:p>
          <w:pPr>
            <w:pStyle w:val="Contents5"/>
            <w:tabs>
              <w:tab w:val="clear" w:pos="7892"/>
              <w:tab w:val="right" w:pos="9026" w:leader="dot"/>
            </w:tabs>
            <w:rPr/>
          </w:pPr>
          <w:hyperlink w:anchor="__RefHeading___Toc13197473_1280447820">
            <w:r>
              <w:rPr>
                <w:webHidden/>
                <w:rStyle w:val="IndexLink"/>
                <w:rtl w:val="true"/>
              </w:rPr>
              <w:t>ثالثها</w:t>
            </w:r>
            <w:r>
              <w:rPr>
                <w:rStyle w:val="IndexLink"/>
                <w:rtl w:val="true"/>
              </w:rPr>
              <w:t xml:space="preserve">: </w:t>
            </w:r>
            <w:r>
              <w:rPr>
                <w:rStyle w:val="IndexLink"/>
                <w:rtl w:val="true"/>
              </w:rPr>
              <w:t>عدم الاعتبار بتغیّر الماء ببرودۀ وسخونۀ و خفّۀٍ و ثقل وغیر ذلک</w:t>
            </w:r>
            <w:r>
              <w:rPr>
                <w:rStyle w:val="IndexLink"/>
                <w:rtl w:val="true"/>
              </w:rPr>
              <w:tab/>
            </w:r>
            <w:r>
              <w:rPr>
                <w:rStyle w:val="IndexLink"/>
              </w:rPr>
              <w:t>173</w:t>
            </w:r>
          </w:hyperlink>
        </w:p>
        <w:p>
          <w:pPr>
            <w:pStyle w:val="Contents5"/>
            <w:tabs>
              <w:tab w:val="clear" w:pos="7892"/>
              <w:tab w:val="right" w:pos="9026" w:leader="dot"/>
            </w:tabs>
            <w:rPr/>
          </w:pPr>
          <w:hyperlink w:anchor="__RefHeading___Toc13197475_1280447820">
            <w:r>
              <w:rPr>
                <w:webHidden/>
                <w:rStyle w:val="IndexLink"/>
                <w:rtl w:val="true"/>
              </w:rPr>
              <w:t>رابعها</w:t>
            </w:r>
            <w:r>
              <w:rPr>
                <w:rStyle w:val="IndexLink"/>
                <w:rtl w:val="true"/>
              </w:rPr>
              <w:t xml:space="preserve">: </w:t>
            </w:r>
            <w:r>
              <w:rPr>
                <w:rStyle w:val="IndexLink"/>
                <w:rtl w:val="true"/>
              </w:rPr>
              <w:t>عدم الاعتبار بالتغيّر الناشئ من المجاورة</w:t>
            </w:r>
            <w:r>
              <w:rPr>
                <w:rStyle w:val="IndexLink"/>
                <w:rtl w:val="true"/>
              </w:rPr>
              <w:tab/>
            </w:r>
            <w:r>
              <w:rPr>
                <w:rStyle w:val="IndexLink"/>
              </w:rPr>
              <w:t>173</w:t>
            </w:r>
          </w:hyperlink>
        </w:p>
        <w:p>
          <w:pPr>
            <w:pStyle w:val="Contents5"/>
            <w:tabs>
              <w:tab w:val="clear" w:pos="7892"/>
              <w:tab w:val="right" w:pos="9026" w:leader="dot"/>
            </w:tabs>
            <w:rPr/>
          </w:pPr>
          <w:hyperlink w:anchor="__RefHeading___Toc13197477_1280447820">
            <w:r>
              <w:rPr>
                <w:webHidden/>
                <w:rStyle w:val="IndexLink"/>
                <w:rtl w:val="true"/>
              </w:rPr>
              <w:t>خامسها</w:t>
            </w:r>
            <w:r>
              <w:rPr>
                <w:rStyle w:val="IndexLink"/>
                <w:rtl w:val="true"/>
              </w:rPr>
              <w:t xml:space="preserve">: </w:t>
            </w:r>
            <w:r>
              <w:rPr>
                <w:rStyle w:val="IndexLink"/>
                <w:rtl w:val="true"/>
              </w:rPr>
              <w:t>حکم وقوع نجسٍ لا وصف له فی الماء</w:t>
            </w:r>
            <w:r>
              <w:rPr>
                <w:rStyle w:val="IndexLink"/>
                <w:rtl w:val="true"/>
              </w:rPr>
              <w:tab/>
            </w:r>
            <w:r>
              <w:rPr>
                <w:rStyle w:val="IndexLink"/>
              </w:rPr>
              <w:t>173</w:t>
            </w:r>
          </w:hyperlink>
        </w:p>
        <w:p>
          <w:pPr>
            <w:pStyle w:val="Contents5"/>
            <w:tabs>
              <w:tab w:val="clear" w:pos="7892"/>
              <w:tab w:val="right" w:pos="9026" w:leader="dot"/>
            </w:tabs>
            <w:rPr/>
          </w:pPr>
          <w:hyperlink w:anchor="__RefHeading___Toc13197479_1280447820">
            <w:r>
              <w:rPr>
                <w:webHidden/>
                <w:rStyle w:val="IndexLink"/>
                <w:rtl w:val="true"/>
              </w:rPr>
              <w:t>سادسها</w:t>
            </w:r>
            <w:r>
              <w:rPr>
                <w:rStyle w:val="IndexLink"/>
                <w:rtl w:val="true"/>
              </w:rPr>
              <w:t xml:space="preserve">: </w:t>
            </w:r>
            <w:r>
              <w:rPr>
                <w:rStyle w:val="IndexLink"/>
                <w:rtl w:val="true"/>
              </w:rPr>
              <w:t>فی مسلوب الصفة علی القول بالتقدیر هل یقدّر الوصف السابق أو الأشدّ أو الأضعف أو الوسط؟</w:t>
            </w:r>
            <w:r>
              <w:rPr>
                <w:rStyle w:val="IndexLink"/>
                <w:rtl w:val="true"/>
              </w:rPr>
              <w:tab/>
            </w:r>
            <w:r>
              <w:rPr>
                <w:rStyle w:val="IndexLink"/>
              </w:rPr>
              <w:t>174</w:t>
            </w:r>
          </w:hyperlink>
        </w:p>
        <w:p>
          <w:pPr>
            <w:pStyle w:val="Contents5"/>
            <w:tabs>
              <w:tab w:val="clear" w:pos="7892"/>
              <w:tab w:val="right" w:pos="9026" w:leader="dot"/>
            </w:tabs>
            <w:rPr/>
          </w:pPr>
          <w:hyperlink w:anchor="__RefHeading___Toc13197481_1280447820">
            <w:r>
              <w:rPr>
                <w:webHidden/>
                <w:rStyle w:val="IndexLink"/>
                <w:rtl w:val="true"/>
              </w:rPr>
              <w:t>سابعها</w:t>
            </w:r>
            <w:r>
              <w:rPr>
                <w:rStyle w:val="IndexLink"/>
                <w:rtl w:val="true"/>
              </w:rPr>
              <w:t xml:space="preserve">: </w:t>
            </w:r>
            <w:r>
              <w:rPr>
                <w:rStyle w:val="IndexLink"/>
                <w:rtl w:val="true"/>
              </w:rPr>
              <w:t>حکم ما لو تغیّر الماء بالمتغیّر بوصف النجاسۀ</w:t>
            </w:r>
            <w:r>
              <w:rPr>
                <w:rStyle w:val="IndexLink"/>
                <w:rtl w:val="true"/>
              </w:rPr>
              <w:tab/>
            </w:r>
            <w:r>
              <w:rPr>
                <w:rStyle w:val="IndexLink"/>
              </w:rPr>
              <w:t>174</w:t>
            </w:r>
          </w:hyperlink>
        </w:p>
        <w:p>
          <w:pPr>
            <w:pStyle w:val="Contents5"/>
            <w:tabs>
              <w:tab w:val="clear" w:pos="7892"/>
              <w:tab w:val="right" w:pos="9026" w:leader="dot"/>
            </w:tabs>
            <w:rPr/>
          </w:pPr>
          <w:hyperlink w:anchor="__RefHeading___Toc13197483_1280447820">
            <w:r>
              <w:rPr>
                <w:webHidden/>
                <w:rStyle w:val="IndexLink"/>
                <w:rtl w:val="true"/>
              </w:rPr>
              <w:t>ثامنها</w:t>
            </w:r>
            <w:r>
              <w:rPr>
                <w:rStyle w:val="IndexLink"/>
                <w:rtl w:val="true"/>
              </w:rPr>
              <w:t xml:space="preserve">: </w:t>
            </w:r>
            <w:r>
              <w:rPr>
                <w:rStyle w:val="IndexLink"/>
                <w:rtl w:val="true"/>
              </w:rPr>
              <w:t>لو تغيّر الماء بالمتغيّر بوصف النجاسة</w:t>
            </w:r>
            <w:r>
              <w:rPr>
                <w:rStyle w:val="IndexLink"/>
                <w:rtl w:val="true"/>
              </w:rPr>
              <w:tab/>
            </w:r>
            <w:r>
              <w:rPr>
                <w:rStyle w:val="IndexLink"/>
              </w:rPr>
              <w:t>175</w:t>
            </w:r>
          </w:hyperlink>
        </w:p>
        <w:p>
          <w:pPr>
            <w:pStyle w:val="Contents5"/>
            <w:tabs>
              <w:tab w:val="clear" w:pos="7892"/>
              <w:tab w:val="right" w:pos="9026" w:leader="dot"/>
            </w:tabs>
            <w:rPr/>
          </w:pPr>
          <w:hyperlink w:anchor="__RefHeading___Toc13197485_1280447820">
            <w:r>
              <w:rPr>
                <w:webHidden/>
                <w:rStyle w:val="IndexLink"/>
                <w:rtl w:val="true"/>
              </w:rPr>
              <w:t>تاسعها</w:t>
            </w:r>
            <w:r>
              <w:rPr>
                <w:rStyle w:val="IndexLink"/>
                <w:rtl w:val="true"/>
              </w:rPr>
              <w:t xml:space="preserve">: </w:t>
            </w:r>
            <w:r>
              <w:rPr>
                <w:rStyle w:val="IndexLink"/>
                <w:rtl w:val="true"/>
              </w:rPr>
              <w:t>لا يشترط في الجاري كُرّيّة نفسه ولا كُرّيّة مادته ولا كُرّيّتهما</w:t>
            </w:r>
            <w:r>
              <w:rPr>
                <w:rStyle w:val="IndexLink"/>
                <w:rtl w:val="true"/>
              </w:rPr>
              <w:tab/>
            </w:r>
            <w:r>
              <w:rPr>
                <w:rStyle w:val="IndexLink"/>
              </w:rPr>
              <w:t>176</w:t>
            </w:r>
          </w:hyperlink>
        </w:p>
        <w:p>
          <w:pPr>
            <w:pStyle w:val="Contents5"/>
            <w:tabs>
              <w:tab w:val="clear" w:pos="7892"/>
              <w:tab w:val="right" w:pos="9026" w:leader="dot"/>
            </w:tabs>
            <w:rPr/>
          </w:pPr>
          <w:hyperlink w:anchor="__RefHeading___Toc13197487_1280447820">
            <w:r>
              <w:rPr>
                <w:webHidden/>
                <w:rStyle w:val="IndexLink"/>
                <w:rtl w:val="true"/>
              </w:rPr>
              <w:t>عاشرها</w:t>
            </w:r>
            <w:r>
              <w:rPr>
                <w:rStyle w:val="IndexLink"/>
                <w:rtl w:val="true"/>
              </w:rPr>
              <w:t xml:space="preserve">: </w:t>
            </w:r>
            <w:r>
              <w:rPr>
                <w:rStyle w:val="IndexLink"/>
                <w:rtl w:val="true"/>
              </w:rPr>
              <w:t>لو جرى ماء البئر على وجه الأرض أو جَرَت الآبار بعضاً على بعض</w:t>
            </w:r>
            <w:r>
              <w:rPr>
                <w:rStyle w:val="IndexLink"/>
                <w:rtl w:val="true"/>
              </w:rPr>
              <w:tab/>
            </w:r>
            <w:r>
              <w:rPr>
                <w:rStyle w:val="IndexLink"/>
              </w:rPr>
              <w:t>177</w:t>
            </w:r>
          </w:hyperlink>
        </w:p>
        <w:p>
          <w:pPr>
            <w:pStyle w:val="Contents5"/>
            <w:tabs>
              <w:tab w:val="clear" w:pos="7892"/>
              <w:tab w:val="right" w:pos="9026" w:leader="dot"/>
            </w:tabs>
            <w:rPr/>
          </w:pPr>
          <w:hyperlink w:anchor="__RefHeading___Toc13197489_1280447820">
            <w:r>
              <w:rPr>
                <w:webHidden/>
                <w:rStyle w:val="IndexLink"/>
                <w:rtl w:val="true"/>
              </w:rPr>
              <w:t>حادي عشرها</w:t>
            </w:r>
            <w:r>
              <w:rPr>
                <w:rStyle w:val="IndexLink"/>
                <w:rtl w:val="true"/>
              </w:rPr>
              <w:t xml:space="preserve">: </w:t>
            </w:r>
            <w:r>
              <w:rPr>
                <w:rStyle w:val="IndexLink"/>
                <w:rtl w:val="true"/>
              </w:rPr>
              <w:t>إذا تغيّر بعض الماء الجاري دون بعض فله صور</w:t>
            </w:r>
            <w:r>
              <w:rPr>
                <w:rStyle w:val="IndexLink"/>
                <w:rtl w:val="true"/>
              </w:rPr>
              <w:t>:</w:t>
              <w:tab/>
            </w:r>
            <w:r>
              <w:rPr>
                <w:rStyle w:val="IndexLink"/>
              </w:rPr>
              <w:t>177</w:t>
            </w:r>
          </w:hyperlink>
        </w:p>
        <w:p>
          <w:pPr>
            <w:pStyle w:val="Contents5"/>
            <w:tabs>
              <w:tab w:val="clear" w:pos="7892"/>
              <w:tab w:val="right" w:pos="9026" w:leader="dot"/>
            </w:tabs>
            <w:rPr/>
          </w:pPr>
          <w:hyperlink w:anchor="__RefHeading___Toc13197491_1280447820">
            <w:r>
              <w:rPr>
                <w:webHidden/>
                <w:rStyle w:val="IndexLink"/>
                <w:rtl w:val="true"/>
              </w:rPr>
              <w:t>ثاني عشرها</w:t>
            </w:r>
            <w:r>
              <w:rPr>
                <w:rStyle w:val="IndexLink"/>
                <w:rtl w:val="true"/>
              </w:rPr>
              <w:t xml:space="preserve">: </w:t>
            </w:r>
            <w:r>
              <w:rPr>
                <w:rStyle w:val="IndexLink"/>
                <w:rtl w:val="true"/>
              </w:rPr>
              <w:t>يطهر الجاري بزوال التغيّر عنه</w:t>
            </w:r>
            <w:r>
              <w:rPr>
                <w:rStyle w:val="IndexLink"/>
                <w:rtl w:val="true"/>
              </w:rPr>
              <w:tab/>
            </w:r>
            <w:r>
              <w:rPr>
                <w:rStyle w:val="IndexLink"/>
              </w:rPr>
              <w:t>179</w:t>
            </w:r>
          </w:hyperlink>
        </w:p>
        <w:p>
          <w:pPr>
            <w:pStyle w:val="Contents5"/>
            <w:tabs>
              <w:tab w:val="clear" w:pos="7892"/>
              <w:tab w:val="right" w:pos="9026" w:leader="dot"/>
            </w:tabs>
            <w:rPr/>
          </w:pPr>
          <w:hyperlink w:anchor="__RefHeading___Toc13197493_1280447820">
            <w:r>
              <w:rPr>
                <w:webHidden/>
                <w:rStyle w:val="IndexLink"/>
                <w:rtl w:val="true"/>
              </w:rPr>
              <w:t>بحث فی أنّ ماء الحمّام سبيله سبيل الجاري إذا كان له مادّة</w:t>
            </w:r>
            <w:r>
              <w:rPr>
                <w:rStyle w:val="IndexLink"/>
                <w:rtl w:val="true"/>
              </w:rPr>
              <w:tab/>
            </w:r>
            <w:r>
              <w:rPr>
                <w:rStyle w:val="IndexLink"/>
              </w:rPr>
              <w:t>180</w:t>
            </w:r>
          </w:hyperlink>
        </w:p>
        <w:p>
          <w:pPr>
            <w:pStyle w:val="Contents6"/>
            <w:tabs>
              <w:tab w:val="clear" w:pos="7609"/>
              <w:tab w:val="right" w:pos="9026" w:leader="dot"/>
            </w:tabs>
            <w:rPr/>
          </w:pPr>
          <w:hyperlink w:anchor="__RefHeading___Toc13197495_128044782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3197497_1280447820">
            <w:r>
              <w:rPr>
                <w:webHidden/>
                <w:rStyle w:val="IndexLink"/>
                <w:rtl w:val="true"/>
              </w:rPr>
              <w:t>فوائد</w:t>
            </w:r>
            <w:r>
              <w:rPr>
                <w:rStyle w:val="IndexLink"/>
                <w:rtl w:val="true"/>
              </w:rPr>
              <w:t>:</w:t>
              <w:tab/>
            </w:r>
            <w:r>
              <w:rPr>
                <w:rStyle w:val="IndexLink"/>
              </w:rPr>
              <w:t>183</w:t>
            </w:r>
          </w:hyperlink>
        </w:p>
        <w:p>
          <w:pPr>
            <w:pStyle w:val="Contents6"/>
            <w:tabs>
              <w:tab w:val="clear" w:pos="7609"/>
              <w:tab w:val="right" w:pos="9026" w:leader="dot"/>
            </w:tabs>
            <w:rPr/>
          </w:pPr>
          <w:hyperlink w:anchor="__RefHeading___Toc13197499_1280447820">
            <w:r>
              <w:rPr>
                <w:webHidden/>
                <w:rStyle w:val="IndexLink"/>
                <w:rtl w:val="true"/>
              </w:rPr>
              <w:t>الأُولى</w:t>
            </w:r>
            <w:r>
              <w:rPr>
                <w:rStyle w:val="IndexLink"/>
                <w:rtl w:val="true"/>
              </w:rPr>
              <w:t xml:space="preserve">: </w:t>
            </w:r>
            <w:r>
              <w:rPr>
                <w:rStyle w:val="IndexLink"/>
                <w:rtl w:val="true"/>
              </w:rPr>
              <w:t>لو شكّ ببلوغ مجموع ماء المادّة والحياض الكُرّيّة، أو شكّ في كُرّيّة المادّة</w:t>
            </w:r>
            <w:r>
              <w:rPr>
                <w:rStyle w:val="IndexLink"/>
                <w:rtl w:val="true"/>
              </w:rPr>
              <w:tab/>
            </w:r>
            <w:r>
              <w:rPr>
                <w:rStyle w:val="IndexLink"/>
              </w:rPr>
              <w:t>183</w:t>
            </w:r>
          </w:hyperlink>
        </w:p>
        <w:p>
          <w:pPr>
            <w:pStyle w:val="Contents6"/>
            <w:tabs>
              <w:tab w:val="clear" w:pos="7609"/>
              <w:tab w:val="right" w:pos="9026" w:leader="dot"/>
            </w:tabs>
            <w:rPr/>
          </w:pPr>
          <w:hyperlink w:anchor="__RefHeading___Toc13197501_1280447820">
            <w:r>
              <w:rPr>
                <w:webHidden/>
                <w:rStyle w:val="IndexLink"/>
                <w:rtl w:val="true"/>
              </w:rPr>
              <w:t>الثانية</w:t>
            </w:r>
            <w:r>
              <w:rPr>
                <w:rStyle w:val="IndexLink"/>
                <w:rtl w:val="true"/>
              </w:rPr>
              <w:t xml:space="preserve">: </w:t>
            </w:r>
            <w:r>
              <w:rPr>
                <w:rStyle w:val="IndexLink"/>
                <w:rtl w:val="true"/>
              </w:rPr>
              <w:t>تثبت الكُرّيّة عند الشكّ بشاهدَيْن أو شاهدٍ واحد على الأظهر مع العدالة في الكلّ، وتثبت بقول صاحب الحمّام؛ لأنّه ذو يدٍ</w:t>
            </w:r>
            <w:r>
              <w:rPr>
                <w:rStyle w:val="IndexLink"/>
                <w:rtl w:val="true"/>
              </w:rPr>
              <w:t>.</w:t>
              <w:tab/>
            </w:r>
            <w:r>
              <w:rPr>
                <w:rStyle w:val="IndexLink"/>
              </w:rPr>
              <w:t>183</w:t>
            </w:r>
          </w:hyperlink>
        </w:p>
        <w:p>
          <w:pPr>
            <w:pStyle w:val="Contents6"/>
            <w:tabs>
              <w:tab w:val="clear" w:pos="7609"/>
              <w:tab w:val="right" w:pos="9026" w:leader="dot"/>
            </w:tabs>
            <w:rPr/>
          </w:pPr>
          <w:hyperlink w:anchor="__RefHeading___Toc13197503_1280447820">
            <w:r>
              <w:rPr>
                <w:webHidden/>
                <w:rStyle w:val="IndexLink"/>
                <w:rtl w:val="true"/>
              </w:rPr>
              <w:t>الثالثة</w:t>
            </w:r>
            <w:r>
              <w:rPr>
                <w:rStyle w:val="IndexLink"/>
                <w:rtl w:val="true"/>
              </w:rPr>
              <w:t xml:space="preserve">: </w:t>
            </w:r>
            <w:r>
              <w:rPr>
                <w:rStyle w:val="IndexLink"/>
                <w:rtl w:val="true"/>
              </w:rPr>
              <w:t>إذا تنجّس الحوض الصغير، كفى اتّصاله بالمادّة</w:t>
            </w:r>
            <w:r>
              <w:rPr>
                <w:rStyle w:val="IndexLink"/>
                <w:rtl w:val="true"/>
              </w:rPr>
              <w:tab/>
            </w:r>
            <w:r>
              <w:rPr>
                <w:rStyle w:val="IndexLink"/>
              </w:rPr>
              <w:t>183</w:t>
            </w:r>
          </w:hyperlink>
        </w:p>
        <w:p>
          <w:pPr>
            <w:pStyle w:val="Contents6"/>
            <w:tabs>
              <w:tab w:val="clear" w:pos="7609"/>
              <w:tab w:val="right" w:pos="9026" w:leader="dot"/>
            </w:tabs>
            <w:rPr/>
          </w:pPr>
          <w:hyperlink w:anchor="__RefHeading___Toc13197505_1280447820">
            <w:r>
              <w:rPr>
                <w:webHidden/>
                <w:rStyle w:val="IndexLink"/>
                <w:rtl w:val="true"/>
              </w:rPr>
              <w:t xml:space="preserve">الرابعة </w:t>
            </w:r>
            <w:r>
              <w:rPr>
                <w:rStyle w:val="IndexLink"/>
                <w:rtl w:val="true"/>
              </w:rPr>
              <w:t xml:space="preserve">: </w:t>
            </w:r>
            <w:r>
              <w:rPr>
                <w:rStyle w:val="IndexLink"/>
                <w:rtl w:val="true"/>
              </w:rPr>
              <w:t>يكفي في التطهير نفس الاتّصال</w:t>
            </w:r>
            <w:r>
              <w:rPr>
                <w:rStyle w:val="IndexLink"/>
                <w:rtl w:val="true"/>
              </w:rPr>
              <w:tab/>
            </w:r>
            <w:r>
              <w:rPr>
                <w:rStyle w:val="IndexLink"/>
              </w:rPr>
              <w:t>183</w:t>
            </w:r>
          </w:hyperlink>
        </w:p>
        <w:p>
          <w:pPr>
            <w:pStyle w:val="Contents6"/>
            <w:tabs>
              <w:tab w:val="clear" w:pos="7609"/>
              <w:tab w:val="right" w:pos="9026" w:leader="dot"/>
            </w:tabs>
            <w:rPr/>
          </w:pPr>
          <w:hyperlink w:anchor="__RefHeading___Toc13197507_1280447820">
            <w:r>
              <w:rPr>
                <w:webHidden/>
                <w:rStyle w:val="IndexLink"/>
                <w:rtl w:val="true"/>
              </w:rPr>
              <w:t>الخامسة</w:t>
            </w:r>
            <w:r>
              <w:rPr>
                <w:rStyle w:val="IndexLink"/>
                <w:rtl w:val="true"/>
              </w:rPr>
              <w:t xml:space="preserve">: </w:t>
            </w:r>
            <w:r>
              <w:rPr>
                <w:rStyle w:val="IndexLink"/>
                <w:rtl w:val="true"/>
              </w:rPr>
              <w:t>لا يشترط زيادة المادّة على الكُرّ عند اتّصالها بالحياض في دفع النجاسة عند الملاقاة</w:t>
            </w:r>
            <w:r>
              <w:rPr>
                <w:rStyle w:val="IndexLink"/>
                <w:rtl w:val="true"/>
              </w:rPr>
              <w:tab/>
            </w:r>
            <w:r>
              <w:rPr>
                <w:rStyle w:val="IndexLink"/>
              </w:rPr>
              <w:t>183</w:t>
            </w:r>
          </w:hyperlink>
        </w:p>
        <w:p>
          <w:pPr>
            <w:pStyle w:val="Contents4"/>
            <w:tabs>
              <w:tab w:val="clear" w:pos="8176"/>
              <w:tab w:val="right" w:pos="9026" w:leader="dot"/>
            </w:tabs>
            <w:rPr/>
          </w:pPr>
          <w:hyperlink w:anchor="__RefHeading___Toc13197509_1280447820">
            <w:r>
              <w:rPr>
                <w:webHidden/>
                <w:rStyle w:val="IndexLink"/>
                <w:rtl w:val="true"/>
              </w:rPr>
              <w:t>بحث في أحكام الماء القليل</w:t>
            </w:r>
            <w:r>
              <w:rPr>
                <w:rStyle w:val="IndexLink"/>
                <w:rtl w:val="true"/>
              </w:rPr>
              <w:tab/>
            </w:r>
            <w:r>
              <w:rPr>
                <w:rStyle w:val="IndexLink"/>
              </w:rPr>
              <w:t>185</w:t>
            </w:r>
          </w:hyperlink>
        </w:p>
        <w:p>
          <w:pPr>
            <w:pStyle w:val="Contents5"/>
            <w:tabs>
              <w:tab w:val="clear" w:pos="7892"/>
              <w:tab w:val="right" w:pos="9026" w:leader="dot"/>
            </w:tabs>
            <w:rPr/>
          </w:pPr>
          <w:hyperlink w:anchor="__RefHeading___Toc13197511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3197513_1280447820">
            <w:r>
              <w:rPr>
                <w:webHidden/>
                <w:rStyle w:val="IndexLink"/>
                <w:rtl w:val="true"/>
              </w:rPr>
              <w:t>فوائد</w:t>
            </w:r>
            <w:r>
              <w:rPr>
                <w:rStyle w:val="IndexLink"/>
                <w:rtl w:val="true"/>
              </w:rPr>
              <w:t>:</w:t>
              <w:tab/>
            </w:r>
            <w:r>
              <w:rPr>
                <w:rStyle w:val="IndexLink"/>
              </w:rPr>
              <w:t>192</w:t>
            </w:r>
          </w:hyperlink>
        </w:p>
        <w:p>
          <w:pPr>
            <w:pStyle w:val="Contents5"/>
            <w:tabs>
              <w:tab w:val="clear" w:pos="7892"/>
              <w:tab w:val="right" w:pos="9026" w:leader="dot"/>
            </w:tabs>
            <w:rPr/>
          </w:pPr>
          <w:hyperlink w:anchor="__RefHeading___Toc13197515_1280447820">
            <w:r>
              <w:rPr>
                <w:webHidden/>
                <w:rStyle w:val="IndexLink"/>
                <w:rtl w:val="true"/>
              </w:rPr>
              <w:t>الأُولى</w:t>
            </w:r>
            <w:r>
              <w:rPr>
                <w:rStyle w:val="IndexLink"/>
                <w:rtl w:val="true"/>
              </w:rPr>
              <w:t xml:space="preserve">: </w:t>
            </w:r>
            <w:r>
              <w:rPr>
                <w:rStyle w:val="IndexLink"/>
                <w:rtl w:val="true"/>
              </w:rPr>
              <w:t>لا فرق في انفعال القليل بالنجاسة بين النجس والمتنجّس</w:t>
            </w:r>
            <w:r>
              <w:rPr>
                <w:rStyle w:val="IndexLink"/>
                <w:rtl w:val="true"/>
              </w:rPr>
              <w:tab/>
            </w:r>
            <w:r>
              <w:rPr>
                <w:rStyle w:val="IndexLink"/>
              </w:rPr>
              <w:t>192</w:t>
            </w:r>
          </w:hyperlink>
        </w:p>
        <w:p>
          <w:pPr>
            <w:pStyle w:val="Contents5"/>
            <w:tabs>
              <w:tab w:val="clear" w:pos="7892"/>
              <w:tab w:val="right" w:pos="9026" w:leader="dot"/>
            </w:tabs>
            <w:rPr/>
          </w:pPr>
          <w:hyperlink w:anchor="__RefHeading___Toc13197517_1280447820">
            <w:r>
              <w:rPr>
                <w:webHidden/>
                <w:rStyle w:val="IndexLink"/>
                <w:rtl w:val="true"/>
              </w:rPr>
              <w:t>الثانية</w:t>
            </w:r>
            <w:r>
              <w:rPr>
                <w:rStyle w:val="IndexLink"/>
                <w:rtl w:val="true"/>
              </w:rPr>
              <w:t xml:space="preserve">: </w:t>
            </w:r>
            <w:r>
              <w:rPr>
                <w:rStyle w:val="IndexLink"/>
                <w:rtl w:val="true"/>
              </w:rPr>
              <w:t>يطهر القليل النجس إذا لم يكن متغيّراً باتّصاله بالكثير</w:t>
            </w:r>
            <w:r>
              <w:rPr>
                <w:rStyle w:val="IndexLink"/>
                <w:rtl w:val="true"/>
              </w:rPr>
              <w:tab/>
            </w:r>
            <w:r>
              <w:rPr>
                <w:rStyle w:val="IndexLink"/>
              </w:rPr>
              <w:t>193</w:t>
            </w:r>
          </w:hyperlink>
        </w:p>
        <w:p>
          <w:pPr>
            <w:pStyle w:val="Contents5"/>
            <w:tabs>
              <w:tab w:val="clear" w:pos="7892"/>
              <w:tab w:val="right" w:pos="9026" w:leader="dot"/>
            </w:tabs>
            <w:rPr/>
          </w:pPr>
          <w:hyperlink w:anchor="__RefHeading___Toc13197519_1280447820">
            <w:r>
              <w:rPr>
                <w:webHidden/>
                <w:rStyle w:val="IndexLink"/>
                <w:rtl w:val="true"/>
              </w:rPr>
              <w:t>الثالثة</w:t>
            </w:r>
            <w:r>
              <w:rPr>
                <w:rStyle w:val="IndexLink"/>
                <w:rtl w:val="true"/>
              </w:rPr>
              <w:t xml:space="preserve">: </w:t>
            </w:r>
            <w:r>
              <w:rPr>
                <w:rStyle w:val="IndexLink"/>
                <w:rtl w:val="true"/>
              </w:rPr>
              <w:t>هل يطهر القليل بإتمامه كُرّاً من ماءٍ طاهر أو ماءٍ نجس؟</w:t>
            </w:r>
            <w:r>
              <w:rPr>
                <w:rStyle w:val="IndexLink"/>
                <w:rtl w:val="true"/>
              </w:rPr>
              <w:tab/>
            </w:r>
            <w:r>
              <w:rPr>
                <w:rStyle w:val="IndexLink"/>
              </w:rPr>
              <w:t>197</w:t>
            </w:r>
          </w:hyperlink>
        </w:p>
        <w:p>
          <w:pPr>
            <w:pStyle w:val="Contents5"/>
            <w:tabs>
              <w:tab w:val="clear" w:pos="7892"/>
              <w:tab w:val="right" w:pos="9026" w:leader="dot"/>
            </w:tabs>
            <w:rPr/>
          </w:pPr>
          <w:hyperlink w:anchor="__RefHeading___Toc13197521_1280447820">
            <w:r>
              <w:rPr>
                <w:webHidden/>
                <w:rStyle w:val="IndexLink"/>
                <w:rtl w:val="true"/>
              </w:rPr>
              <w:t>الرابعة</w:t>
            </w:r>
            <w:r>
              <w:rPr>
                <w:rStyle w:val="IndexLink"/>
                <w:rtl w:val="true"/>
              </w:rPr>
              <w:t xml:space="preserve">: </w:t>
            </w:r>
            <w:r>
              <w:rPr>
                <w:rStyle w:val="IndexLink"/>
                <w:rtl w:val="true"/>
              </w:rPr>
              <w:t>لا يطهر الكُرّ إذا كان نجساً إلّا باتّصاله بجارٍ أو ماء مطر أو كُرّ آخَر</w:t>
            </w:r>
            <w:r>
              <w:rPr>
                <w:rStyle w:val="IndexLink"/>
                <w:rtl w:val="true"/>
              </w:rPr>
              <w:tab/>
            </w:r>
            <w:r>
              <w:rPr>
                <w:rStyle w:val="IndexLink"/>
              </w:rPr>
              <w:t>197</w:t>
            </w:r>
          </w:hyperlink>
        </w:p>
        <w:p>
          <w:pPr>
            <w:pStyle w:val="Contents5"/>
            <w:tabs>
              <w:tab w:val="clear" w:pos="7892"/>
              <w:tab w:val="right" w:pos="9026" w:leader="dot"/>
            </w:tabs>
            <w:rPr/>
          </w:pPr>
          <w:hyperlink w:anchor="__RefHeading___Toc13197523_1280447820">
            <w:r>
              <w:rPr>
                <w:webHidden/>
                <w:rStyle w:val="IndexLink"/>
                <w:rtl w:val="true"/>
              </w:rPr>
              <w:t>الخامسة</w:t>
            </w:r>
            <w:r>
              <w:rPr>
                <w:rStyle w:val="IndexLink"/>
                <w:rtl w:val="true"/>
              </w:rPr>
              <w:t xml:space="preserve">: </w:t>
            </w:r>
            <w:r>
              <w:rPr>
                <w:rStyle w:val="IndexLink"/>
                <w:rtl w:val="true"/>
              </w:rPr>
              <w:t>لو جمد الكُرّ، كان كسائر الجامدات ينفعل بالملاقاة، ولا تسري نجاسته إلى جميعه</w:t>
            </w:r>
            <w:r>
              <w:rPr>
                <w:rStyle w:val="IndexLink"/>
                <w:rtl w:val="true"/>
              </w:rPr>
              <w:tab/>
            </w:r>
            <w:r>
              <w:rPr>
                <w:rStyle w:val="IndexLink"/>
              </w:rPr>
              <w:t>198</w:t>
            </w:r>
          </w:hyperlink>
        </w:p>
        <w:p>
          <w:pPr>
            <w:pStyle w:val="Contents5"/>
            <w:tabs>
              <w:tab w:val="clear" w:pos="7892"/>
              <w:tab w:val="right" w:pos="9026" w:leader="dot"/>
            </w:tabs>
            <w:rPr/>
          </w:pPr>
          <w:hyperlink w:anchor="__RefHeading___Toc13197525_1280447820">
            <w:r>
              <w:rPr>
                <w:webHidden/>
                <w:rStyle w:val="IndexLink"/>
                <w:rtl w:val="true"/>
              </w:rPr>
              <w:t>السادسة</w:t>
            </w:r>
            <w:r>
              <w:rPr>
                <w:rStyle w:val="IndexLink"/>
                <w:rtl w:val="true"/>
              </w:rPr>
              <w:t xml:space="preserve">: </w:t>
            </w:r>
            <w:r>
              <w:rPr>
                <w:rStyle w:val="IndexLink"/>
                <w:rtl w:val="true"/>
              </w:rPr>
              <w:t>لو وجد في الكُرّ نجاسة شكّ في زمن وقوعها أنّها بعد حصول الكُرّيّة أو قبلها</w:t>
            </w:r>
            <w:r>
              <w:rPr>
                <w:rStyle w:val="IndexLink"/>
                <w:rtl w:val="true"/>
              </w:rPr>
              <w:tab/>
            </w:r>
            <w:r>
              <w:rPr>
                <w:rStyle w:val="IndexLink"/>
              </w:rPr>
              <w:t>198</w:t>
            </w:r>
          </w:hyperlink>
        </w:p>
        <w:p>
          <w:pPr>
            <w:pStyle w:val="Contents5"/>
            <w:tabs>
              <w:tab w:val="clear" w:pos="7892"/>
              <w:tab w:val="right" w:pos="9026" w:leader="dot"/>
            </w:tabs>
            <w:rPr/>
          </w:pPr>
          <w:hyperlink w:anchor="__RefHeading___Toc13197527_1280447820">
            <w:r>
              <w:rPr>
                <w:webHidden/>
                <w:rStyle w:val="IndexLink"/>
                <w:rtl w:val="true"/>
              </w:rPr>
              <w:t>السابعة</w:t>
            </w:r>
            <w:r>
              <w:rPr>
                <w:rStyle w:val="IndexLink"/>
                <w:rtl w:val="true"/>
              </w:rPr>
              <w:t xml:space="preserve">: </w:t>
            </w:r>
            <w:r>
              <w:rPr>
                <w:rStyle w:val="IndexLink"/>
                <w:rtl w:val="true"/>
              </w:rPr>
              <w:t>عدم انفعال الكُرّ شامل لكلّ ماء مطلق، بأيّ مكان كان</w:t>
            </w:r>
            <w:r>
              <w:rPr>
                <w:rStyle w:val="IndexLink"/>
                <w:rtl w:val="true"/>
              </w:rPr>
              <w:tab/>
            </w:r>
            <w:r>
              <w:rPr>
                <w:rStyle w:val="IndexLink"/>
              </w:rPr>
              <w:t>199</w:t>
            </w:r>
          </w:hyperlink>
        </w:p>
        <w:p>
          <w:pPr>
            <w:pStyle w:val="Contents4"/>
            <w:tabs>
              <w:tab w:val="clear" w:pos="8176"/>
              <w:tab w:val="right" w:pos="9026" w:leader="dot"/>
            </w:tabs>
            <w:rPr/>
          </w:pPr>
          <w:hyperlink w:anchor="__RefHeading___Toc13197529_1280447820">
            <w:r>
              <w:rPr>
                <w:webHidden/>
                <w:rStyle w:val="IndexLink"/>
                <w:rtl w:val="true"/>
              </w:rPr>
              <w:t>بحث في أحكام الماء الكرّ</w:t>
            </w:r>
            <w:r>
              <w:rPr>
                <w:rStyle w:val="IndexLink"/>
                <w:rtl w:val="true"/>
              </w:rPr>
              <w:tab/>
            </w:r>
            <w:r>
              <w:rPr>
                <w:rStyle w:val="IndexLink"/>
              </w:rPr>
              <w:t>201</w:t>
            </w:r>
          </w:hyperlink>
        </w:p>
        <w:p>
          <w:pPr>
            <w:pStyle w:val="Contents5"/>
            <w:tabs>
              <w:tab w:val="clear" w:pos="7892"/>
              <w:tab w:val="right" w:pos="9026" w:leader="dot"/>
            </w:tabs>
            <w:rPr/>
          </w:pPr>
          <w:hyperlink w:anchor="__RefHeading___Toc13197531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3197533_1280447820">
            <w:r>
              <w:rPr>
                <w:webHidden/>
                <w:rStyle w:val="IndexLink"/>
                <w:rtl w:val="true"/>
              </w:rPr>
              <w:t>بحث فی تقدیر الکرّ وزناً</w:t>
            </w:r>
            <w:r>
              <w:rPr>
                <w:rStyle w:val="IndexLink"/>
                <w:rtl w:val="true"/>
              </w:rPr>
              <w:tab/>
            </w:r>
            <w:r>
              <w:rPr>
                <w:rStyle w:val="IndexLink"/>
              </w:rPr>
              <w:t>202</w:t>
            </w:r>
          </w:hyperlink>
        </w:p>
        <w:p>
          <w:pPr>
            <w:pStyle w:val="Contents5"/>
            <w:tabs>
              <w:tab w:val="clear" w:pos="7892"/>
              <w:tab w:val="right" w:pos="9026" w:leader="dot"/>
            </w:tabs>
            <w:rPr/>
          </w:pPr>
          <w:hyperlink w:anchor="__RefHeading___Toc13197535_1280447820">
            <w:r>
              <w:rPr>
                <w:webHidden/>
                <w:rStyle w:val="IndexLink"/>
                <w:rtl w:val="true"/>
              </w:rPr>
              <w:t>بحث فی تحدید الکُرّ مساحۀً</w:t>
            </w:r>
            <w:r>
              <w:rPr>
                <w:rStyle w:val="IndexLink"/>
                <w:rtl w:val="true"/>
              </w:rPr>
              <w:tab/>
            </w:r>
            <w:r>
              <w:rPr>
                <w:rStyle w:val="IndexLink"/>
              </w:rPr>
              <w:t>205</w:t>
            </w:r>
          </w:hyperlink>
        </w:p>
        <w:p>
          <w:pPr>
            <w:pStyle w:val="Contents4"/>
            <w:tabs>
              <w:tab w:val="clear" w:pos="8176"/>
              <w:tab w:val="right" w:pos="9026" w:leader="dot"/>
            </w:tabs>
            <w:rPr/>
          </w:pPr>
          <w:hyperlink w:anchor="__RefHeading___Toc13197537_1280447820">
            <w:r>
              <w:rPr>
                <w:webHidden/>
                <w:rStyle w:val="IndexLink"/>
                <w:rtl w:val="true"/>
              </w:rPr>
              <w:t>بحث في ماء البئر</w:t>
            </w:r>
            <w:r>
              <w:rPr>
                <w:rStyle w:val="IndexLink"/>
                <w:rtl w:val="true"/>
              </w:rPr>
              <w:tab/>
            </w:r>
            <w:r>
              <w:rPr>
                <w:rStyle w:val="IndexLink"/>
              </w:rPr>
              <w:t>210</w:t>
            </w:r>
          </w:hyperlink>
        </w:p>
        <w:p>
          <w:pPr>
            <w:pStyle w:val="Contents5"/>
            <w:tabs>
              <w:tab w:val="clear" w:pos="7892"/>
              <w:tab w:val="right" w:pos="9026" w:leader="dot"/>
            </w:tabs>
            <w:rPr/>
          </w:pPr>
          <w:hyperlink w:anchor="__RefHeading___Toc13197539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3197541_1280447820">
            <w:r>
              <w:rPr>
                <w:webHidden/>
                <w:rStyle w:val="IndexLink"/>
                <w:rtl w:val="true"/>
              </w:rPr>
              <w:t>بحث فی انّه هل ینفعل ماء البئر بالإنفعال مطلقاً ،أو عدمه مطلقاً أو ینفعل مع عدم البلوغ کرّاً؟</w:t>
            </w:r>
            <w:r>
              <w:rPr>
                <w:rStyle w:val="IndexLink"/>
                <w:rtl w:val="true"/>
              </w:rPr>
              <w:tab/>
            </w:r>
            <w:r>
              <w:rPr>
                <w:rStyle w:val="IndexLink"/>
              </w:rPr>
              <w:t>211</w:t>
            </w:r>
          </w:hyperlink>
        </w:p>
        <w:p>
          <w:pPr>
            <w:pStyle w:val="Contents5"/>
            <w:tabs>
              <w:tab w:val="clear" w:pos="7892"/>
              <w:tab w:val="right" w:pos="9026" w:leader="dot"/>
            </w:tabs>
            <w:rPr/>
          </w:pPr>
          <w:hyperlink w:anchor="__RefHeading___Toc13197543_1280447820">
            <w:r>
              <w:rPr>
                <w:webHidden/>
                <w:rStyle w:val="IndexLink"/>
                <w:rtl w:val="true"/>
              </w:rPr>
              <w:t>فوائد في منزوحات البئر</w:t>
            </w:r>
            <w:r>
              <w:rPr>
                <w:rStyle w:val="IndexLink"/>
                <w:rtl w:val="true"/>
              </w:rPr>
              <w:tab/>
            </w:r>
            <w:r>
              <w:rPr>
                <w:rStyle w:val="IndexLink"/>
              </w:rPr>
              <w:t>217</w:t>
            </w:r>
          </w:hyperlink>
        </w:p>
        <w:p>
          <w:pPr>
            <w:pStyle w:val="Contents5"/>
            <w:tabs>
              <w:tab w:val="clear" w:pos="7892"/>
              <w:tab w:val="right" w:pos="9026" w:leader="dot"/>
            </w:tabs>
            <w:rPr/>
          </w:pPr>
          <w:hyperlink w:anchor="__RefHeading___Toc13197545_1280447820">
            <w:r>
              <w:rPr>
                <w:webHidden/>
                <w:rStyle w:val="IndexLink"/>
                <w:rtl w:val="true"/>
              </w:rPr>
              <w:t>الأُولى</w:t>
            </w:r>
            <w:r>
              <w:rPr>
                <w:rStyle w:val="IndexLink"/>
                <w:rtl w:val="true"/>
              </w:rPr>
              <w:t xml:space="preserve">: </w:t>
            </w:r>
            <w:r>
              <w:rPr>
                <w:rStyle w:val="IndexLink"/>
                <w:rtl w:val="true"/>
              </w:rPr>
              <w:t>هل النزح واجب تعبّديّ لنفسه، أو تعبّديّ من جهة الاستعمال</w:t>
            </w:r>
            <w:r>
              <w:rPr>
                <w:rStyle w:val="IndexLink"/>
                <w:rtl w:val="true"/>
              </w:rPr>
              <w:t>?</w:t>
              <w:tab/>
            </w:r>
            <w:r>
              <w:rPr>
                <w:rStyle w:val="IndexLink"/>
              </w:rPr>
              <w:t>217</w:t>
            </w:r>
          </w:hyperlink>
        </w:p>
        <w:p>
          <w:pPr>
            <w:pStyle w:val="Contents5"/>
            <w:tabs>
              <w:tab w:val="clear" w:pos="7892"/>
              <w:tab w:val="right" w:pos="9026" w:leader="dot"/>
            </w:tabs>
            <w:rPr/>
          </w:pPr>
          <w:hyperlink w:anchor="__RefHeading___Toc13197547_1280447820">
            <w:r>
              <w:rPr>
                <w:webHidden/>
                <w:rStyle w:val="IndexLink"/>
                <w:rtl w:val="true"/>
              </w:rPr>
              <w:t xml:space="preserve">الثانية </w:t>
            </w:r>
            <w:r>
              <w:rPr>
                <w:rStyle w:val="IndexLink"/>
                <w:rtl w:val="true"/>
              </w:rPr>
              <w:t>:</w:t>
            </w:r>
            <w:r>
              <w:rPr>
                <w:rStyle w:val="IndexLink"/>
                <w:rtl w:val="true"/>
              </w:rPr>
              <w:t>عدم انحصار المطهّر لبئر بالنزح</w:t>
            </w:r>
            <w:r>
              <w:rPr>
                <w:rStyle w:val="IndexLink"/>
                <w:rtl w:val="true"/>
              </w:rPr>
              <w:tab/>
            </w:r>
            <w:r>
              <w:rPr>
                <w:rStyle w:val="IndexLink"/>
              </w:rPr>
              <w:t>218</w:t>
            </w:r>
          </w:hyperlink>
        </w:p>
        <w:p>
          <w:pPr>
            <w:pStyle w:val="Contents5"/>
            <w:tabs>
              <w:tab w:val="clear" w:pos="7892"/>
              <w:tab w:val="right" w:pos="9026" w:leader="dot"/>
            </w:tabs>
            <w:rPr/>
          </w:pPr>
          <w:hyperlink w:anchor="__RefHeading___Toc13197549_1280447820">
            <w:r>
              <w:rPr>
                <w:webHidden/>
                <w:rStyle w:val="IndexLink"/>
                <w:rtl w:val="true"/>
              </w:rPr>
              <w:t>الثالثة</w:t>
            </w:r>
            <w:r>
              <w:rPr>
                <w:rStyle w:val="IndexLink"/>
                <w:rtl w:val="true"/>
              </w:rPr>
              <w:t xml:space="preserve">: </w:t>
            </w:r>
            <w:r>
              <w:rPr>
                <w:rStyle w:val="IndexLink"/>
                <w:rtl w:val="true"/>
              </w:rPr>
              <w:t>طهارة الدلو والرشا وحواشي البئر بالنزح</w:t>
            </w:r>
            <w:r>
              <w:rPr>
                <w:rStyle w:val="IndexLink"/>
                <w:rtl w:val="true"/>
              </w:rPr>
              <w:tab/>
            </w:r>
            <w:r>
              <w:rPr>
                <w:rStyle w:val="IndexLink"/>
              </w:rPr>
              <w:t>218</w:t>
            </w:r>
          </w:hyperlink>
        </w:p>
        <w:p>
          <w:pPr>
            <w:pStyle w:val="Contents5"/>
            <w:tabs>
              <w:tab w:val="clear" w:pos="7892"/>
              <w:tab w:val="right" w:pos="9026" w:leader="dot"/>
            </w:tabs>
            <w:rPr/>
          </w:pPr>
          <w:hyperlink w:anchor="__RefHeading___Toc13197551_1280447820">
            <w:r>
              <w:rPr>
                <w:webHidden/>
                <w:rStyle w:val="IndexLink"/>
                <w:rtl w:val="true"/>
              </w:rPr>
              <w:t>الرابعة</w:t>
            </w:r>
            <w:r>
              <w:rPr>
                <w:rStyle w:val="IndexLink"/>
                <w:rtl w:val="true"/>
              </w:rPr>
              <w:t>:</w:t>
            </w:r>
            <w:r>
              <w:rPr>
                <w:rStyle w:val="IndexLink"/>
                <w:rtl w:val="true"/>
              </w:rPr>
              <w:t>كفاية الرجوع بالدلو إلى العرف زمن الصدور</w:t>
            </w:r>
            <w:r>
              <w:rPr>
                <w:rStyle w:val="IndexLink"/>
                <w:rtl w:val="true"/>
              </w:rPr>
              <w:tab/>
            </w:r>
            <w:r>
              <w:rPr>
                <w:rStyle w:val="IndexLink"/>
              </w:rPr>
              <w:t>219</w:t>
            </w:r>
          </w:hyperlink>
        </w:p>
        <w:p>
          <w:pPr>
            <w:pStyle w:val="Contents5"/>
            <w:tabs>
              <w:tab w:val="clear" w:pos="7892"/>
              <w:tab w:val="right" w:pos="9026" w:leader="dot"/>
            </w:tabs>
            <w:rPr/>
          </w:pPr>
          <w:hyperlink w:anchor="__RefHeading___Toc13197553_1280447820">
            <w:r>
              <w:rPr>
                <w:webHidden/>
                <w:rStyle w:val="IndexLink"/>
                <w:rtl w:val="true"/>
              </w:rPr>
              <w:t>الخامسة</w:t>
            </w:r>
            <w:r>
              <w:rPr>
                <w:rStyle w:val="IndexLink"/>
                <w:rtl w:val="true"/>
              </w:rPr>
              <w:t xml:space="preserve">: </w:t>
            </w:r>
            <w:r>
              <w:rPr>
                <w:rStyle w:val="IndexLink"/>
                <w:rtl w:val="true"/>
              </w:rPr>
              <w:t>فی انّه لایُنزح لغیر المقّدر</w:t>
            </w:r>
            <w:r>
              <w:rPr>
                <w:rStyle w:val="IndexLink"/>
                <w:rtl w:val="true"/>
              </w:rPr>
              <w:tab/>
            </w:r>
            <w:r>
              <w:rPr>
                <w:rStyle w:val="IndexLink"/>
              </w:rPr>
              <w:t>219</w:t>
            </w:r>
          </w:hyperlink>
        </w:p>
        <w:p>
          <w:pPr>
            <w:pStyle w:val="Contents5"/>
            <w:tabs>
              <w:tab w:val="clear" w:pos="7892"/>
              <w:tab w:val="right" w:pos="9026" w:leader="dot"/>
            </w:tabs>
            <w:rPr/>
          </w:pPr>
          <w:hyperlink w:anchor="__RefHeading___Toc13197555_1280447820">
            <w:r>
              <w:rPr>
                <w:webHidden/>
                <w:rStyle w:val="IndexLink"/>
                <w:rtl w:val="true"/>
              </w:rPr>
              <w:t>السادسة</w:t>
            </w:r>
            <w:r>
              <w:rPr>
                <w:rStyle w:val="IndexLink"/>
                <w:rtl w:val="true"/>
              </w:rPr>
              <w:t xml:space="preserve">: </w:t>
            </w:r>
            <w:r>
              <w:rPr>
                <w:rStyle w:val="IndexLink"/>
                <w:rtl w:val="true"/>
              </w:rPr>
              <w:t>حکم ما لو تكثّرت النجاسة الواقعة في البئر وكان فيها المقدّر بنزح الجميع، أو غير المقدّر</w:t>
            </w:r>
            <w:r>
              <w:rPr>
                <w:rStyle w:val="IndexLink"/>
                <w:rtl w:val="true"/>
              </w:rPr>
              <w:tab/>
            </w:r>
            <w:r>
              <w:rPr>
                <w:rStyle w:val="IndexLink"/>
              </w:rPr>
              <w:t>220</w:t>
            </w:r>
          </w:hyperlink>
        </w:p>
        <w:p>
          <w:pPr>
            <w:pStyle w:val="Contents5"/>
            <w:tabs>
              <w:tab w:val="clear" w:pos="7892"/>
              <w:tab w:val="right" w:pos="9026" w:leader="dot"/>
            </w:tabs>
            <w:rPr/>
          </w:pPr>
          <w:hyperlink w:anchor="__RefHeading___Toc13197557_1280447820">
            <w:r>
              <w:rPr>
                <w:webHidden/>
                <w:rStyle w:val="IndexLink"/>
                <w:rtl w:val="true"/>
              </w:rPr>
              <w:t>السابعة</w:t>
            </w:r>
            <w:r>
              <w:rPr>
                <w:rStyle w:val="IndexLink"/>
                <w:rtl w:val="true"/>
              </w:rPr>
              <w:t xml:space="preserve">: </w:t>
            </w:r>
            <w:r>
              <w:rPr>
                <w:rStyle w:val="IndexLink"/>
                <w:rtl w:val="true"/>
              </w:rPr>
              <w:t>عدم الاحتیاج في النزح إلى نيّةٍ و قصدٍ</w:t>
            </w:r>
            <w:r>
              <w:rPr>
                <w:rStyle w:val="IndexLink"/>
                <w:rtl w:val="true"/>
              </w:rPr>
              <w:tab/>
            </w:r>
            <w:r>
              <w:rPr>
                <w:rStyle w:val="IndexLink"/>
              </w:rPr>
              <w:t>220</w:t>
            </w:r>
          </w:hyperlink>
        </w:p>
        <w:p>
          <w:pPr>
            <w:pStyle w:val="Contents5"/>
            <w:tabs>
              <w:tab w:val="clear" w:pos="7892"/>
              <w:tab w:val="right" w:pos="9026" w:leader="dot"/>
            </w:tabs>
            <w:rPr/>
          </w:pPr>
          <w:hyperlink w:anchor="__RefHeading___Toc13197559_1280447820">
            <w:r>
              <w:rPr>
                <w:webHidden/>
                <w:rStyle w:val="IndexLink"/>
                <w:rtl w:val="true"/>
              </w:rPr>
              <w:t xml:space="preserve">الثامنة </w:t>
            </w:r>
            <w:r>
              <w:rPr>
                <w:rStyle w:val="IndexLink"/>
                <w:rtl w:val="true"/>
              </w:rPr>
              <w:t xml:space="preserve">: </w:t>
            </w:r>
            <w:r>
              <w:rPr>
                <w:rStyle w:val="IndexLink"/>
                <w:rtl w:val="true"/>
              </w:rPr>
              <w:t>فی انّه لا يكتفى في النزح المقدّر إلّا بعد إخراج النجاسة</w:t>
            </w:r>
            <w:r>
              <w:rPr>
                <w:rStyle w:val="IndexLink"/>
                <w:rtl w:val="true"/>
              </w:rPr>
              <w:tab/>
            </w:r>
            <w:r>
              <w:rPr>
                <w:rStyle w:val="IndexLink"/>
              </w:rPr>
              <w:t>220</w:t>
            </w:r>
          </w:hyperlink>
        </w:p>
        <w:p>
          <w:pPr>
            <w:pStyle w:val="Contents5"/>
            <w:tabs>
              <w:tab w:val="clear" w:pos="7892"/>
              <w:tab w:val="right" w:pos="9026" w:leader="dot"/>
            </w:tabs>
            <w:rPr/>
          </w:pPr>
          <w:hyperlink w:anchor="__RefHeading___Toc13197561_1280447820">
            <w:r>
              <w:rPr>
                <w:webHidden/>
                <w:rStyle w:val="IndexLink"/>
                <w:rtl w:val="true"/>
              </w:rPr>
              <w:t>التاسعة</w:t>
            </w:r>
            <w:r>
              <w:rPr>
                <w:rStyle w:val="IndexLink"/>
                <w:rtl w:val="true"/>
              </w:rPr>
              <w:t xml:space="preserve">: </w:t>
            </w:r>
            <w:r>
              <w:rPr>
                <w:rStyle w:val="IndexLink"/>
                <w:rtl w:val="true"/>
              </w:rPr>
              <w:t>فیما لو تغيّرت البئر بالنجاسة فهل يكفي على القول بنجاستها نزح ما يزول به التغيّر مطلقاً</w:t>
            </w:r>
            <w:r>
              <w:rPr>
                <w:rStyle w:val="IndexLink"/>
                <w:rtl w:val="true"/>
              </w:rPr>
              <w:tab/>
            </w:r>
            <w:r>
              <w:rPr>
                <w:rStyle w:val="IndexLink"/>
              </w:rPr>
              <w:t>221</w:t>
            </w:r>
          </w:hyperlink>
        </w:p>
        <w:p>
          <w:pPr>
            <w:pStyle w:val="Contents5"/>
            <w:tabs>
              <w:tab w:val="clear" w:pos="7892"/>
              <w:tab w:val="right" w:pos="9026" w:leader="dot"/>
            </w:tabs>
            <w:rPr/>
          </w:pPr>
          <w:hyperlink w:anchor="__RefHeading___Toc13197563_1280447820">
            <w:r>
              <w:rPr>
                <w:webHidden/>
                <w:rStyle w:val="IndexLink"/>
                <w:rtl w:val="true"/>
              </w:rPr>
              <w:t>العاشرة</w:t>
            </w:r>
            <w:r>
              <w:rPr>
                <w:rStyle w:val="IndexLink"/>
                <w:rtl w:val="true"/>
              </w:rPr>
              <w:t>:</w:t>
            </w:r>
            <w:r>
              <w:rPr>
                <w:rStyle w:val="IndexLink"/>
                <w:rtl w:val="true"/>
              </w:rPr>
              <w:t>حکم ما لو وقع في البئر متنجّس بأحد النجاسات المقدّر لها النزح</w:t>
            </w:r>
            <w:r>
              <w:rPr>
                <w:rStyle w:val="IndexLink"/>
                <w:rtl w:val="true"/>
              </w:rPr>
              <w:tab/>
            </w:r>
            <w:r>
              <w:rPr>
                <w:rStyle w:val="IndexLink"/>
              </w:rPr>
              <w:t>222</w:t>
            </w:r>
          </w:hyperlink>
        </w:p>
        <w:p>
          <w:pPr>
            <w:pStyle w:val="Contents5"/>
            <w:tabs>
              <w:tab w:val="clear" w:pos="7892"/>
              <w:tab w:val="right" w:pos="9026" w:leader="dot"/>
            </w:tabs>
            <w:rPr/>
          </w:pPr>
          <w:hyperlink w:anchor="__RefHeading___Toc13197565_1280447820">
            <w:r>
              <w:rPr>
                <w:webHidden/>
                <w:rStyle w:val="IndexLink"/>
                <w:rtl w:val="true"/>
              </w:rPr>
              <w:t>الحادية عشر</w:t>
            </w:r>
            <w:r>
              <w:rPr>
                <w:rStyle w:val="IndexLink"/>
                <w:rtl w:val="true"/>
              </w:rPr>
              <w:t>:</w:t>
            </w:r>
            <w:r>
              <w:rPr>
                <w:rStyle w:val="IndexLink"/>
                <w:rtl w:val="true"/>
              </w:rPr>
              <w:t>حکم ما لو نقص ماء البئر عن النزح المقدّر</w:t>
            </w:r>
            <w:r>
              <w:rPr>
                <w:rStyle w:val="IndexLink"/>
                <w:rtl w:val="true"/>
              </w:rPr>
              <w:tab/>
            </w:r>
            <w:r>
              <w:rPr>
                <w:rStyle w:val="IndexLink"/>
              </w:rPr>
              <w:t>222</w:t>
            </w:r>
          </w:hyperlink>
        </w:p>
        <w:p>
          <w:pPr>
            <w:pStyle w:val="Contents5"/>
            <w:tabs>
              <w:tab w:val="clear" w:pos="7892"/>
              <w:tab w:val="right" w:pos="9026" w:leader="dot"/>
            </w:tabs>
            <w:rPr/>
          </w:pPr>
          <w:hyperlink w:anchor="__RefHeading___Toc13197567_1280447820">
            <w:r>
              <w:rPr>
                <w:webHidden/>
                <w:rStyle w:val="IndexLink"/>
                <w:rtl w:val="true"/>
              </w:rPr>
              <w:t>الثانية عشر</w:t>
            </w:r>
            <w:r>
              <w:rPr>
                <w:rStyle w:val="IndexLink"/>
                <w:rtl w:val="true"/>
              </w:rPr>
              <w:t xml:space="preserve">: </w:t>
            </w:r>
            <w:r>
              <w:rPr>
                <w:rStyle w:val="IndexLink"/>
                <w:rtl w:val="true"/>
              </w:rPr>
              <w:t>فیما ينزح ماء البئر كلّه</w:t>
            </w:r>
            <w:r>
              <w:rPr>
                <w:rStyle w:val="IndexLink"/>
                <w:rtl w:val="true"/>
              </w:rPr>
              <w:tab/>
            </w:r>
            <w:r>
              <w:rPr>
                <w:rStyle w:val="IndexLink"/>
              </w:rPr>
              <w:t>222</w:t>
            </w:r>
          </w:hyperlink>
        </w:p>
        <w:p>
          <w:pPr>
            <w:pStyle w:val="Contents5"/>
            <w:tabs>
              <w:tab w:val="clear" w:pos="7892"/>
              <w:tab w:val="right" w:pos="9026" w:leader="dot"/>
            </w:tabs>
            <w:rPr/>
          </w:pPr>
          <w:hyperlink w:anchor="__RefHeading___Toc13197569_1280447820">
            <w:r>
              <w:rPr>
                <w:webHidden/>
                <w:rStyle w:val="IndexLink"/>
                <w:rtl w:val="true"/>
              </w:rPr>
              <w:t xml:space="preserve">الثالثة عشر </w:t>
            </w:r>
            <w:r>
              <w:rPr>
                <w:rStyle w:val="IndexLink"/>
                <w:rtl w:val="true"/>
              </w:rPr>
              <w:t>:</w:t>
            </w:r>
            <w:r>
              <w:rPr>
                <w:rStyle w:val="IndexLink"/>
                <w:rtl w:val="true"/>
              </w:rPr>
              <w:t>حکم ما إذا تعذّر نزح الجميع أو تعسّر</w:t>
            </w:r>
            <w:r>
              <w:rPr>
                <w:rStyle w:val="IndexLink"/>
                <w:rtl w:val="true"/>
              </w:rPr>
              <w:tab/>
            </w:r>
            <w:r>
              <w:rPr>
                <w:rStyle w:val="IndexLink"/>
              </w:rPr>
              <w:t>224</w:t>
            </w:r>
          </w:hyperlink>
        </w:p>
        <w:p>
          <w:pPr>
            <w:pStyle w:val="Contents5"/>
            <w:tabs>
              <w:tab w:val="clear" w:pos="7892"/>
              <w:tab w:val="right" w:pos="9026" w:leader="dot"/>
            </w:tabs>
            <w:rPr/>
          </w:pPr>
          <w:hyperlink w:anchor="__RefHeading___Toc13197571_1280447820">
            <w:r>
              <w:rPr>
                <w:webHidden/>
                <w:rStyle w:val="IndexLink"/>
                <w:rtl w:val="true"/>
              </w:rPr>
              <w:t>الرابعة عشر</w:t>
            </w:r>
            <w:r>
              <w:rPr>
                <w:rStyle w:val="IndexLink"/>
                <w:rtl w:val="true"/>
              </w:rPr>
              <w:t xml:space="preserve">: </w:t>
            </w:r>
            <w:r>
              <w:rPr>
                <w:rStyle w:val="IndexLink"/>
                <w:rtl w:val="true"/>
              </w:rPr>
              <w:t>يُنزح كُرٌّ لموت الحمار والبغل</w:t>
            </w:r>
            <w:r>
              <w:rPr>
                <w:rStyle w:val="IndexLink"/>
                <w:rtl w:val="true"/>
              </w:rPr>
              <w:tab/>
            </w:r>
            <w:r>
              <w:rPr>
                <w:rStyle w:val="IndexLink"/>
              </w:rPr>
              <w:t>226</w:t>
            </w:r>
          </w:hyperlink>
        </w:p>
        <w:p>
          <w:pPr>
            <w:pStyle w:val="Contents5"/>
            <w:tabs>
              <w:tab w:val="clear" w:pos="7892"/>
              <w:tab w:val="right" w:pos="9026" w:leader="dot"/>
            </w:tabs>
            <w:rPr/>
          </w:pPr>
          <w:hyperlink w:anchor="__RefHeading___Toc13197573_1280447820">
            <w:r>
              <w:rPr>
                <w:webHidden/>
                <w:rStyle w:val="IndexLink"/>
                <w:rtl w:val="true"/>
              </w:rPr>
              <w:t>الخامسة عشر</w:t>
            </w:r>
            <w:r>
              <w:rPr>
                <w:rStyle w:val="IndexLink"/>
                <w:rtl w:val="true"/>
              </w:rPr>
              <w:t xml:space="preserve">: </w:t>
            </w:r>
            <w:r>
              <w:rPr>
                <w:rStyle w:val="IndexLink"/>
                <w:rtl w:val="true"/>
              </w:rPr>
              <w:t>فیما يُنزح سبعون دلواً</w:t>
            </w:r>
            <w:r>
              <w:rPr>
                <w:rStyle w:val="IndexLink"/>
                <w:rtl w:val="true"/>
              </w:rPr>
              <w:tab/>
            </w:r>
            <w:r>
              <w:rPr>
                <w:rStyle w:val="IndexLink"/>
              </w:rPr>
              <w:t>226</w:t>
            </w:r>
          </w:hyperlink>
        </w:p>
        <w:p>
          <w:pPr>
            <w:pStyle w:val="Contents5"/>
            <w:tabs>
              <w:tab w:val="clear" w:pos="7892"/>
              <w:tab w:val="right" w:pos="9026" w:leader="dot"/>
            </w:tabs>
            <w:rPr/>
          </w:pPr>
          <w:hyperlink w:anchor="__RefHeading___Toc13197575_1280447820">
            <w:r>
              <w:rPr>
                <w:webHidden/>
                <w:rStyle w:val="IndexLink"/>
                <w:rtl w:val="true"/>
              </w:rPr>
              <w:t>السادسة عشر</w:t>
            </w:r>
            <w:r>
              <w:rPr>
                <w:rStyle w:val="IndexLink"/>
                <w:rtl w:val="true"/>
              </w:rPr>
              <w:t xml:space="preserve">: </w:t>
            </w:r>
            <w:r>
              <w:rPr>
                <w:rStyle w:val="IndexLink"/>
                <w:rtl w:val="true"/>
              </w:rPr>
              <w:t>فیما يُنزح للعذرة اليابسة أو المذابۀ</w:t>
            </w:r>
            <w:r>
              <w:rPr>
                <w:rStyle w:val="IndexLink"/>
                <w:rtl w:val="true"/>
              </w:rPr>
              <w:tab/>
            </w:r>
            <w:r>
              <w:rPr>
                <w:rStyle w:val="IndexLink"/>
              </w:rPr>
              <w:t>227</w:t>
            </w:r>
          </w:hyperlink>
        </w:p>
        <w:p>
          <w:pPr>
            <w:pStyle w:val="Contents5"/>
            <w:tabs>
              <w:tab w:val="clear" w:pos="7892"/>
              <w:tab w:val="right" w:pos="9026" w:leader="dot"/>
            </w:tabs>
            <w:rPr/>
          </w:pPr>
          <w:hyperlink w:anchor="__RefHeading___Toc13197577_1280447820">
            <w:r>
              <w:rPr>
                <w:webHidden/>
                <w:rStyle w:val="IndexLink"/>
                <w:rtl w:val="true"/>
              </w:rPr>
              <w:t>السابعة عشر</w:t>
            </w:r>
            <w:r>
              <w:rPr>
                <w:rStyle w:val="IndexLink"/>
                <w:rtl w:val="true"/>
              </w:rPr>
              <w:t xml:space="preserve">: </w:t>
            </w:r>
            <w:r>
              <w:rPr>
                <w:rStyle w:val="IndexLink"/>
                <w:rtl w:val="true"/>
              </w:rPr>
              <w:t>فیما يُنزح لكثير الدم عرفاً</w:t>
            </w:r>
            <w:r>
              <w:rPr>
                <w:rStyle w:val="IndexLink"/>
                <w:rtl w:val="true"/>
              </w:rPr>
              <w:tab/>
            </w:r>
            <w:r>
              <w:rPr>
                <w:rStyle w:val="IndexLink"/>
              </w:rPr>
              <w:t>227</w:t>
            </w:r>
          </w:hyperlink>
        </w:p>
        <w:p>
          <w:pPr>
            <w:pStyle w:val="Contents5"/>
            <w:tabs>
              <w:tab w:val="clear" w:pos="7892"/>
              <w:tab w:val="right" w:pos="9026" w:leader="dot"/>
            </w:tabs>
            <w:rPr/>
          </w:pPr>
          <w:hyperlink w:anchor="__RefHeading___Toc13197579_1280447820">
            <w:r>
              <w:rPr>
                <w:webHidden/>
                <w:rStyle w:val="IndexLink"/>
                <w:rtl w:val="true"/>
              </w:rPr>
              <w:t>الثامنة عشر</w:t>
            </w:r>
            <w:r>
              <w:rPr>
                <w:rStyle w:val="IndexLink"/>
                <w:rtl w:val="true"/>
              </w:rPr>
              <w:t xml:space="preserve">: </w:t>
            </w:r>
            <w:r>
              <w:rPr>
                <w:rStyle w:val="IndexLink"/>
                <w:rtl w:val="true"/>
              </w:rPr>
              <w:t>فیما يُنزح لبول الرجل</w:t>
            </w:r>
            <w:r>
              <w:rPr>
                <w:rStyle w:val="IndexLink"/>
                <w:rtl w:val="true"/>
              </w:rPr>
              <w:tab/>
            </w:r>
            <w:r>
              <w:rPr>
                <w:rStyle w:val="IndexLink"/>
              </w:rPr>
              <w:t>229</w:t>
            </w:r>
          </w:hyperlink>
        </w:p>
        <w:p>
          <w:pPr>
            <w:pStyle w:val="Contents5"/>
            <w:tabs>
              <w:tab w:val="clear" w:pos="7892"/>
              <w:tab w:val="right" w:pos="9026" w:leader="dot"/>
            </w:tabs>
            <w:rPr/>
          </w:pPr>
          <w:hyperlink w:anchor="__RefHeading___Toc13197581_1280447820">
            <w:r>
              <w:rPr>
                <w:webHidden/>
                <w:rStyle w:val="IndexLink"/>
                <w:rtl w:val="true"/>
              </w:rPr>
              <w:t>التاسعة عشر</w:t>
            </w:r>
            <w:r>
              <w:rPr>
                <w:rStyle w:val="IndexLink"/>
                <w:rtl w:val="true"/>
              </w:rPr>
              <w:t xml:space="preserve">: </w:t>
            </w:r>
            <w:r>
              <w:rPr>
                <w:rStyle w:val="IndexLink"/>
                <w:rtl w:val="true"/>
              </w:rPr>
              <w:t>فیما يُنزح لموت الثعلب والارنب والسنّور و</w:t>
            </w:r>
            <w:r>
              <w:rPr>
                <w:rStyle w:val="IndexLink"/>
                <w:rtl w:val="true"/>
              </w:rPr>
              <w:tab/>
            </w:r>
            <w:r>
              <w:rPr>
                <w:rStyle w:val="IndexLink"/>
              </w:rPr>
              <w:t>229</w:t>
            </w:r>
          </w:hyperlink>
        </w:p>
        <w:p>
          <w:pPr>
            <w:pStyle w:val="Contents5"/>
            <w:tabs>
              <w:tab w:val="clear" w:pos="7892"/>
              <w:tab w:val="right" w:pos="9026" w:leader="dot"/>
            </w:tabs>
            <w:rPr/>
          </w:pPr>
          <w:hyperlink w:anchor="__RefHeading___Toc13197583_1280447820">
            <w:r>
              <w:rPr>
                <w:webHidden/>
                <w:rStyle w:val="IndexLink"/>
                <w:rtl w:val="true"/>
              </w:rPr>
              <w:t>العشرون</w:t>
            </w:r>
            <w:r>
              <w:rPr>
                <w:rStyle w:val="IndexLink"/>
                <w:rtl w:val="true"/>
              </w:rPr>
              <w:t xml:space="preserve">: </w:t>
            </w:r>
            <w:r>
              <w:rPr>
                <w:rStyle w:val="IndexLink"/>
                <w:rtl w:val="true"/>
              </w:rPr>
              <w:t>يُنزح سبع لأُمور</w:t>
            </w:r>
            <w:r>
              <w:rPr>
                <w:rStyle w:val="IndexLink"/>
                <w:rtl w:val="true"/>
              </w:rPr>
              <w:tab/>
            </w:r>
            <w:r>
              <w:rPr>
                <w:rStyle w:val="IndexLink"/>
              </w:rPr>
              <w:t>230</w:t>
            </w:r>
          </w:hyperlink>
        </w:p>
        <w:p>
          <w:pPr>
            <w:pStyle w:val="Contents5"/>
            <w:tabs>
              <w:tab w:val="clear" w:pos="7892"/>
              <w:tab w:val="right" w:pos="9026" w:leader="dot"/>
            </w:tabs>
            <w:rPr/>
          </w:pPr>
          <w:hyperlink w:anchor="__RefHeading___Toc13197585_1280447820">
            <w:r>
              <w:rPr>
                <w:webHidden/>
                <w:rStyle w:val="IndexLink"/>
                <w:rtl w:val="true"/>
              </w:rPr>
              <w:t>الحادية والعشرون</w:t>
            </w:r>
            <w:r>
              <w:rPr>
                <w:rStyle w:val="IndexLink"/>
                <w:rtl w:val="true"/>
              </w:rPr>
              <w:t>:</w:t>
            </w:r>
            <w:r>
              <w:rPr>
                <w:rStyle w:val="IndexLink"/>
                <w:rtl w:val="true"/>
              </w:rPr>
              <w:t>فیما يُنزح خمس لذرق الدجاج الجلّال</w:t>
            </w:r>
            <w:r>
              <w:rPr>
                <w:rStyle w:val="IndexLink"/>
                <w:rtl w:val="true"/>
              </w:rPr>
              <w:tab/>
            </w:r>
            <w:r>
              <w:rPr>
                <w:rStyle w:val="IndexLink"/>
              </w:rPr>
              <w:t>233</w:t>
            </w:r>
          </w:hyperlink>
        </w:p>
        <w:p>
          <w:pPr>
            <w:pStyle w:val="Contents5"/>
            <w:tabs>
              <w:tab w:val="clear" w:pos="7892"/>
              <w:tab w:val="right" w:pos="9026" w:leader="dot"/>
            </w:tabs>
            <w:rPr/>
          </w:pPr>
          <w:hyperlink w:anchor="__RefHeading___Toc13197587_1280447820">
            <w:r>
              <w:rPr>
                <w:webHidden/>
                <w:rStyle w:val="IndexLink"/>
                <w:rtl w:val="true"/>
              </w:rPr>
              <w:t>الثانية والعشرون</w:t>
            </w:r>
            <w:r>
              <w:rPr>
                <w:rStyle w:val="IndexLink"/>
                <w:rtl w:val="true"/>
              </w:rPr>
              <w:t xml:space="preserve">: </w:t>
            </w:r>
            <w:r>
              <w:rPr>
                <w:rStyle w:val="IndexLink"/>
                <w:rtl w:val="true"/>
              </w:rPr>
              <w:t>فیما يُنزح لموت الحيّة دلاء ثلاث؛ لفتوى المشهور والإجماع المنقول</w:t>
            </w:r>
            <w:r>
              <w:rPr>
                <w:rStyle w:val="IndexLink"/>
                <w:rtl w:val="true"/>
              </w:rPr>
              <w:tab/>
            </w:r>
            <w:r>
              <w:rPr>
                <w:rStyle w:val="IndexLink"/>
              </w:rPr>
              <w:t>234</w:t>
            </w:r>
          </w:hyperlink>
        </w:p>
        <w:p>
          <w:pPr>
            <w:pStyle w:val="Contents5"/>
            <w:tabs>
              <w:tab w:val="clear" w:pos="7892"/>
              <w:tab w:val="right" w:pos="9026" w:leader="dot"/>
            </w:tabs>
            <w:rPr/>
          </w:pPr>
          <w:hyperlink w:anchor="__RefHeading___Toc13197589_1280447820">
            <w:r>
              <w:rPr>
                <w:webHidden/>
                <w:rStyle w:val="IndexLink"/>
                <w:rtl w:val="true"/>
              </w:rPr>
              <w:t>الثالثة والعشرون</w:t>
            </w:r>
            <w:r>
              <w:rPr>
                <w:rStyle w:val="IndexLink"/>
                <w:rtl w:val="true"/>
              </w:rPr>
              <w:t xml:space="preserve">: </w:t>
            </w:r>
            <w:r>
              <w:rPr>
                <w:rStyle w:val="IndexLink"/>
                <w:rtl w:val="true"/>
              </w:rPr>
              <w:t>فیما يُنزح لموت العصفور و لبول الرضیع</w:t>
            </w:r>
            <w:r>
              <w:rPr>
                <w:rStyle w:val="IndexLink"/>
                <w:rtl w:val="true"/>
              </w:rPr>
              <w:tab/>
            </w:r>
            <w:r>
              <w:rPr>
                <w:rStyle w:val="IndexLink"/>
              </w:rPr>
              <w:t>235</w:t>
            </w:r>
          </w:hyperlink>
        </w:p>
        <w:p>
          <w:pPr>
            <w:pStyle w:val="Contents5"/>
            <w:tabs>
              <w:tab w:val="clear" w:pos="7892"/>
              <w:tab w:val="right" w:pos="9026" w:leader="dot"/>
            </w:tabs>
            <w:rPr/>
          </w:pPr>
          <w:hyperlink w:anchor="__RefHeading___Toc13197591_1280447820">
            <w:r>
              <w:rPr>
                <w:webHidden/>
                <w:rStyle w:val="IndexLink"/>
                <w:rtl w:val="true"/>
              </w:rPr>
              <w:t>الرابعة والعشرون</w:t>
            </w:r>
            <w:r>
              <w:rPr>
                <w:rStyle w:val="IndexLink"/>
                <w:rtl w:val="true"/>
              </w:rPr>
              <w:t xml:space="preserve">: </w:t>
            </w:r>
            <w:r>
              <w:rPr>
                <w:rStyle w:val="IndexLink"/>
                <w:rtl w:val="true"/>
              </w:rPr>
              <w:t>فیما يُنزح ثلاثون لماء المطر المخالط للبول والعذرة وخرء الكلب</w:t>
            </w:r>
            <w:r>
              <w:rPr>
                <w:rStyle w:val="IndexLink"/>
                <w:rtl w:val="true"/>
              </w:rPr>
              <w:tab/>
            </w:r>
            <w:r>
              <w:rPr>
                <w:rStyle w:val="IndexLink"/>
              </w:rPr>
              <w:t>236</w:t>
            </w:r>
          </w:hyperlink>
        </w:p>
        <w:p>
          <w:pPr>
            <w:pStyle w:val="Contents5"/>
            <w:tabs>
              <w:tab w:val="clear" w:pos="7892"/>
              <w:tab w:val="right" w:pos="9026" w:leader="dot"/>
            </w:tabs>
            <w:rPr/>
          </w:pPr>
          <w:hyperlink w:anchor="__RefHeading___Toc13197593_1280447820">
            <w:r>
              <w:rPr>
                <w:webHidden/>
                <w:rStyle w:val="IndexLink"/>
                <w:rtl w:val="true"/>
              </w:rPr>
              <w:t>الخامسة والعشرون</w:t>
            </w:r>
            <w:r>
              <w:rPr>
                <w:rStyle w:val="IndexLink"/>
                <w:rtl w:val="true"/>
              </w:rPr>
              <w:t xml:space="preserve">: </w:t>
            </w:r>
            <w:r>
              <w:rPr>
                <w:rStyle w:val="IndexLink"/>
                <w:rtl w:val="true"/>
              </w:rPr>
              <w:t>جزء الحيوان ككلّه في النزح</w:t>
            </w:r>
            <w:r>
              <w:rPr>
                <w:rStyle w:val="IndexLink"/>
                <w:rtl w:val="true"/>
              </w:rPr>
              <w:tab/>
            </w:r>
            <w:r>
              <w:rPr>
                <w:rStyle w:val="IndexLink"/>
              </w:rPr>
              <w:t>236</w:t>
            </w:r>
          </w:hyperlink>
        </w:p>
        <w:p>
          <w:pPr>
            <w:pStyle w:val="Contents5"/>
            <w:tabs>
              <w:tab w:val="clear" w:pos="7892"/>
              <w:tab w:val="right" w:pos="9026" w:leader="dot"/>
            </w:tabs>
            <w:rPr/>
          </w:pPr>
          <w:hyperlink w:anchor="__RefHeading___Toc13197595_1280447820">
            <w:r>
              <w:rPr>
                <w:webHidden/>
                <w:rStyle w:val="IndexLink"/>
                <w:rtl w:val="true"/>
              </w:rPr>
              <w:t>السادسة والعشرون</w:t>
            </w:r>
            <w:r>
              <w:rPr>
                <w:rStyle w:val="IndexLink"/>
                <w:rtl w:val="true"/>
              </w:rPr>
              <w:t xml:space="preserve">: </w:t>
            </w:r>
            <w:r>
              <w:rPr>
                <w:rStyle w:val="IndexLink"/>
                <w:rtl w:val="true"/>
              </w:rPr>
              <w:t>زوال التغيّر مطهّر</w:t>
            </w:r>
            <w:r>
              <w:rPr>
                <w:rStyle w:val="IndexLink"/>
                <w:rtl w:val="true"/>
              </w:rPr>
              <w:tab/>
            </w:r>
            <w:r>
              <w:rPr>
                <w:rStyle w:val="IndexLink"/>
              </w:rPr>
              <w:t>237</w:t>
            </w:r>
          </w:hyperlink>
        </w:p>
        <w:p>
          <w:pPr>
            <w:pStyle w:val="Contents5"/>
            <w:tabs>
              <w:tab w:val="clear" w:pos="7892"/>
              <w:tab w:val="right" w:pos="9026" w:leader="dot"/>
            </w:tabs>
            <w:rPr/>
          </w:pPr>
          <w:hyperlink w:anchor="__RefHeading___Toc13197597_1280447820">
            <w:r>
              <w:rPr>
                <w:webHidden/>
                <w:rStyle w:val="IndexLink"/>
                <w:rtl w:val="true"/>
              </w:rPr>
              <w:t>السابعة والعشرون</w:t>
            </w:r>
            <w:r>
              <w:rPr>
                <w:rStyle w:val="IndexLink"/>
                <w:rtl w:val="true"/>
              </w:rPr>
              <w:t xml:space="preserve">: </w:t>
            </w:r>
            <w:r>
              <w:rPr>
                <w:rStyle w:val="IndexLink"/>
                <w:rtl w:val="true"/>
              </w:rPr>
              <w:t>حکم ما لو غيّرت البالوعة المتنجّس ماؤها ماء البئر</w:t>
            </w:r>
            <w:r>
              <w:rPr>
                <w:rStyle w:val="IndexLink"/>
                <w:rtl w:val="true"/>
              </w:rPr>
              <w:tab/>
            </w:r>
            <w:r>
              <w:rPr>
                <w:rStyle w:val="IndexLink"/>
              </w:rPr>
              <w:t>237</w:t>
            </w:r>
          </w:hyperlink>
        </w:p>
        <w:p>
          <w:pPr>
            <w:pStyle w:val="Contents4"/>
            <w:tabs>
              <w:tab w:val="clear" w:pos="8176"/>
              <w:tab w:val="right" w:pos="9026" w:leader="dot"/>
            </w:tabs>
            <w:rPr/>
          </w:pPr>
          <w:hyperlink w:anchor="__RefHeading___Toc13197599_1280447820">
            <w:r>
              <w:rPr>
                <w:webHidden/>
                <w:rStyle w:val="IndexLink"/>
                <w:rtl w:val="true"/>
              </w:rPr>
              <w:t>بحث في حكم الماء المشتبه</w:t>
            </w:r>
            <w:r>
              <w:rPr>
                <w:rStyle w:val="IndexLink"/>
                <w:rtl w:val="true"/>
              </w:rPr>
              <w:tab/>
            </w:r>
            <w:r>
              <w:rPr>
                <w:rStyle w:val="IndexLink"/>
              </w:rPr>
              <w:t>239</w:t>
            </w:r>
          </w:hyperlink>
        </w:p>
        <w:p>
          <w:pPr>
            <w:pStyle w:val="Contents5"/>
            <w:tabs>
              <w:tab w:val="clear" w:pos="7892"/>
              <w:tab w:val="right" w:pos="9026" w:leader="dot"/>
            </w:tabs>
            <w:rPr/>
          </w:pPr>
          <w:hyperlink w:anchor="__RefHeading___Toc13197601_1280447820">
            <w:r>
              <w:rPr>
                <w:webHidden/>
                <w:rStyle w:val="IndexLink"/>
                <w:rtl w:val="true"/>
              </w:rPr>
              <w:t>حکم الماء النجس</w:t>
            </w:r>
            <w:r>
              <w:rPr>
                <w:rStyle w:val="IndexLink"/>
                <w:rtl w:val="true"/>
              </w:rPr>
              <w:tab/>
            </w:r>
            <w:r>
              <w:rPr>
                <w:rStyle w:val="IndexLink"/>
              </w:rPr>
              <w:t>239</w:t>
            </w:r>
          </w:hyperlink>
        </w:p>
        <w:p>
          <w:pPr>
            <w:pStyle w:val="Contents6"/>
            <w:tabs>
              <w:tab w:val="clear" w:pos="7609"/>
              <w:tab w:val="right" w:pos="9026" w:leader="dot"/>
            </w:tabs>
            <w:rPr/>
          </w:pPr>
          <w:hyperlink w:anchor="__RefHeading___Toc13197603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3197605_1280447820">
            <w:r>
              <w:rPr>
                <w:webHidden/>
                <w:rStyle w:val="IndexLink"/>
                <w:rtl w:val="true"/>
              </w:rPr>
              <w:t>فی الماء المشتبه أُمور</w:t>
            </w:r>
            <w:r>
              <w:rPr>
                <w:rStyle w:val="IndexLink"/>
                <w:rtl w:val="true"/>
              </w:rPr>
              <w:t>:</w:t>
              <w:tab/>
            </w:r>
            <w:r>
              <w:rPr>
                <w:rStyle w:val="IndexLink"/>
              </w:rPr>
              <w:t>239</w:t>
            </w:r>
          </w:hyperlink>
        </w:p>
        <w:p>
          <w:pPr>
            <w:pStyle w:val="Contents6"/>
            <w:tabs>
              <w:tab w:val="clear" w:pos="7609"/>
              <w:tab w:val="right" w:pos="9026" w:leader="dot"/>
            </w:tabs>
            <w:rPr/>
          </w:pPr>
          <w:hyperlink w:anchor="__RefHeading___Toc13197607_1280447820">
            <w:r>
              <w:rPr>
                <w:webHidden/>
                <w:rStyle w:val="IndexLink"/>
                <w:rtl w:val="true"/>
              </w:rPr>
              <w:t>أحدها</w:t>
            </w:r>
            <w:r>
              <w:rPr>
                <w:rStyle w:val="IndexLink"/>
                <w:rtl w:val="true"/>
              </w:rPr>
              <w:t xml:space="preserve">: </w:t>
            </w:r>
            <w:r>
              <w:rPr>
                <w:rStyle w:val="IndexLink"/>
                <w:rtl w:val="true"/>
              </w:rPr>
              <w:t>بیان الشبهة إمّا محصورة أو غير محصورة</w:t>
            </w:r>
            <w:r>
              <w:rPr>
                <w:rStyle w:val="IndexLink"/>
                <w:rtl w:val="true"/>
              </w:rPr>
              <w:tab/>
            </w:r>
            <w:r>
              <w:rPr>
                <w:rStyle w:val="IndexLink"/>
              </w:rPr>
              <w:t>239</w:t>
            </w:r>
          </w:hyperlink>
        </w:p>
        <w:p>
          <w:pPr>
            <w:pStyle w:val="Contents6"/>
            <w:tabs>
              <w:tab w:val="clear" w:pos="7609"/>
              <w:tab w:val="right" w:pos="9026" w:leader="dot"/>
            </w:tabs>
            <w:rPr/>
          </w:pPr>
          <w:hyperlink w:anchor="__RefHeading___Toc13197609_1280447820">
            <w:r>
              <w:rPr>
                <w:webHidden/>
                <w:rStyle w:val="IndexLink"/>
                <w:rtl w:val="true"/>
              </w:rPr>
              <w:t>ثانيها</w:t>
            </w:r>
            <w:r>
              <w:rPr>
                <w:rStyle w:val="IndexLink"/>
                <w:rtl w:val="true"/>
              </w:rPr>
              <w:t xml:space="preserve">: </w:t>
            </w:r>
            <w:r>
              <w:rPr>
                <w:rStyle w:val="IndexLink"/>
                <w:rtl w:val="true"/>
              </w:rPr>
              <w:t>حكم الشبهة المحصورة وجوب الإتيان بالجميع إن اشتبه الواجب في غير المحرّم من الأفراد</w:t>
            </w:r>
            <w:r>
              <w:rPr>
                <w:rStyle w:val="IndexLink"/>
                <w:rtl w:val="true"/>
              </w:rPr>
              <w:tab/>
            </w:r>
            <w:r>
              <w:rPr>
                <w:rStyle w:val="IndexLink"/>
              </w:rPr>
              <w:t>240</w:t>
            </w:r>
          </w:hyperlink>
        </w:p>
        <w:p>
          <w:pPr>
            <w:pStyle w:val="Contents6"/>
            <w:tabs>
              <w:tab w:val="clear" w:pos="7609"/>
              <w:tab w:val="right" w:pos="9026" w:leader="dot"/>
            </w:tabs>
            <w:rPr/>
          </w:pPr>
          <w:hyperlink w:anchor="__RefHeading___Toc13197611_1280447820">
            <w:r>
              <w:rPr>
                <w:webHidden/>
                <w:rStyle w:val="IndexLink"/>
                <w:rtl w:val="true"/>
              </w:rPr>
              <w:t>ثالثها</w:t>
            </w:r>
            <w:r>
              <w:rPr>
                <w:rStyle w:val="IndexLink"/>
                <w:rtl w:val="true"/>
              </w:rPr>
              <w:t xml:space="preserve">: </w:t>
            </w:r>
            <w:r>
              <w:rPr>
                <w:rStyle w:val="IndexLink"/>
                <w:rtl w:val="true"/>
              </w:rPr>
              <w:t>حكم الشبهة المحصورة تجنّب الجميع إذا دخل المحرَّم في غيره من الأفراد</w:t>
            </w:r>
            <w:r>
              <w:rPr>
                <w:rStyle w:val="IndexLink"/>
                <w:rtl w:val="true"/>
              </w:rPr>
              <w:tab/>
            </w:r>
            <w:r>
              <w:rPr>
                <w:rStyle w:val="IndexLink"/>
              </w:rPr>
              <w:t>240</w:t>
            </w:r>
          </w:hyperlink>
        </w:p>
        <w:p>
          <w:pPr>
            <w:pStyle w:val="Contents6"/>
            <w:tabs>
              <w:tab w:val="clear" w:pos="7609"/>
              <w:tab w:val="right" w:pos="9026" w:leader="dot"/>
            </w:tabs>
            <w:rPr/>
          </w:pPr>
          <w:hyperlink w:anchor="__RefHeading___Toc13197613_1280447820">
            <w:r>
              <w:rPr>
                <w:webHidden/>
                <w:rStyle w:val="IndexLink"/>
                <w:rtl w:val="true"/>
              </w:rPr>
              <w:t>رابعها</w:t>
            </w:r>
            <w:r>
              <w:rPr>
                <w:rStyle w:val="IndexLink"/>
                <w:rtl w:val="true"/>
              </w:rPr>
              <w:t xml:space="preserve">: </w:t>
            </w:r>
            <w:r>
              <w:rPr>
                <w:rStyle w:val="IndexLink"/>
                <w:rtl w:val="true"/>
              </w:rPr>
              <w:t>مقتضى ما ذكرناه من حكم الشبهة في الواجب المشتبه هو</w:t>
            </w:r>
            <w:r>
              <w:rPr>
                <w:rStyle w:val="IndexLink"/>
                <w:rtl w:val="true"/>
              </w:rPr>
              <w:t xml:space="preserve">: </w:t>
            </w:r>
            <w:r>
              <w:rPr>
                <w:rStyle w:val="IndexLink"/>
                <w:rtl w:val="true"/>
              </w:rPr>
              <w:t>وجوب فعل كلّ ما يدخل فيه الواجب ولم يكن محرّماً أصليّاً</w:t>
            </w:r>
            <w:r>
              <w:rPr>
                <w:rStyle w:val="IndexLink"/>
                <w:rtl w:val="true"/>
              </w:rPr>
              <w:tab/>
            </w:r>
            <w:r>
              <w:rPr>
                <w:rStyle w:val="IndexLink"/>
              </w:rPr>
              <w:t>242</w:t>
            </w:r>
          </w:hyperlink>
        </w:p>
        <w:p>
          <w:pPr>
            <w:pStyle w:val="Contents6"/>
            <w:tabs>
              <w:tab w:val="clear" w:pos="7609"/>
              <w:tab w:val="right" w:pos="9026" w:leader="dot"/>
            </w:tabs>
            <w:rPr/>
          </w:pPr>
          <w:hyperlink w:anchor="__RefHeading___Toc13197615_1280447820">
            <w:r>
              <w:rPr>
                <w:webHidden/>
                <w:rStyle w:val="IndexLink"/>
                <w:rtl w:val="true"/>
              </w:rPr>
              <w:t>خامسها</w:t>
            </w:r>
            <w:r>
              <w:rPr>
                <w:rStyle w:val="IndexLink"/>
                <w:rtl w:val="true"/>
              </w:rPr>
              <w:t xml:space="preserve">: </w:t>
            </w:r>
            <w:r>
              <w:rPr>
                <w:rStyle w:val="IndexLink"/>
                <w:rtl w:val="true"/>
              </w:rPr>
              <w:t>هل يجوز ارتكاب الشبهة المحصورة عند إمكان استعمال غيرها؟</w:t>
            </w:r>
            <w:r>
              <w:rPr>
                <w:rStyle w:val="IndexLink"/>
                <w:rtl w:val="true"/>
              </w:rPr>
              <w:tab/>
            </w:r>
            <w:r>
              <w:rPr>
                <w:rStyle w:val="IndexLink"/>
              </w:rPr>
              <w:t>243</w:t>
            </w:r>
          </w:hyperlink>
        </w:p>
        <w:p>
          <w:pPr>
            <w:pStyle w:val="Contents6"/>
            <w:tabs>
              <w:tab w:val="clear" w:pos="7609"/>
              <w:tab w:val="right" w:pos="9026" w:leader="dot"/>
            </w:tabs>
            <w:rPr/>
          </w:pPr>
          <w:hyperlink w:anchor="__RefHeading___Toc13197617_1280447820">
            <w:r>
              <w:rPr>
                <w:webHidden/>
                <w:rStyle w:val="IndexLink"/>
                <w:rtl w:val="true"/>
              </w:rPr>
              <w:t>سادسها</w:t>
            </w:r>
            <w:r>
              <w:rPr>
                <w:rStyle w:val="IndexLink"/>
                <w:rtl w:val="true"/>
              </w:rPr>
              <w:t xml:space="preserve">: </w:t>
            </w:r>
            <w:r>
              <w:rPr>
                <w:rStyle w:val="IndexLink"/>
                <w:rtl w:val="true"/>
              </w:rPr>
              <w:t>هل تجب إراقة الماء تعبّداً عند اشتباه الإناءين؟</w:t>
            </w:r>
            <w:r>
              <w:rPr>
                <w:rStyle w:val="IndexLink"/>
                <w:rtl w:val="true"/>
              </w:rPr>
              <w:tab/>
            </w:r>
            <w:r>
              <w:rPr>
                <w:rStyle w:val="IndexLink"/>
              </w:rPr>
              <w:t>243</w:t>
            </w:r>
          </w:hyperlink>
        </w:p>
        <w:p>
          <w:pPr>
            <w:pStyle w:val="Contents6"/>
            <w:tabs>
              <w:tab w:val="clear" w:pos="7609"/>
              <w:tab w:val="right" w:pos="9026" w:leader="dot"/>
            </w:tabs>
            <w:rPr/>
          </w:pPr>
          <w:hyperlink w:anchor="__RefHeading___Toc13197619_1280447820">
            <w:r>
              <w:rPr>
                <w:webHidden/>
                <w:rStyle w:val="IndexLink"/>
                <w:rtl w:val="true"/>
              </w:rPr>
              <w:t>سابعها</w:t>
            </w:r>
            <w:r>
              <w:rPr>
                <w:rStyle w:val="IndexLink"/>
                <w:rtl w:val="true"/>
              </w:rPr>
              <w:t xml:space="preserve">: </w:t>
            </w:r>
            <w:r>
              <w:rPr>
                <w:rStyle w:val="IndexLink"/>
                <w:rtl w:val="true"/>
              </w:rPr>
              <w:t>ليس من الشبهة المحصورة اشتباه التكليف بالنسبة إلى المكلّفين</w:t>
            </w:r>
            <w:r>
              <w:rPr>
                <w:rStyle w:val="IndexLink"/>
                <w:rtl w:val="true"/>
              </w:rPr>
              <w:tab/>
            </w:r>
            <w:r>
              <w:rPr>
                <w:rStyle w:val="IndexLink"/>
              </w:rPr>
              <w:t>243</w:t>
            </w:r>
          </w:hyperlink>
        </w:p>
        <w:p>
          <w:pPr>
            <w:pStyle w:val="Contents6"/>
            <w:tabs>
              <w:tab w:val="clear" w:pos="7609"/>
              <w:tab w:val="right" w:pos="9026" w:leader="dot"/>
            </w:tabs>
            <w:rPr/>
          </w:pPr>
          <w:hyperlink w:anchor="__RefHeading___Toc13197621_1280447820">
            <w:r>
              <w:rPr>
                <w:webHidden/>
                <w:rStyle w:val="IndexLink"/>
                <w:rtl w:val="true"/>
              </w:rPr>
              <w:t>ثامنها</w:t>
            </w:r>
            <w:r>
              <w:rPr>
                <w:rStyle w:val="IndexLink"/>
                <w:rtl w:val="true"/>
              </w:rPr>
              <w:t xml:space="preserve">: </w:t>
            </w:r>
            <w:r>
              <w:rPr>
                <w:rStyle w:val="IndexLink"/>
                <w:rtl w:val="true"/>
              </w:rPr>
              <w:t>لو دخلت الأرض في الاشتباه بين وقوع النجاسة عليها أو على غيرها</w:t>
            </w:r>
            <w:r>
              <w:rPr>
                <w:rStyle w:val="IndexLink"/>
                <w:rtl w:val="true"/>
              </w:rPr>
              <w:tab/>
            </w:r>
            <w:r>
              <w:rPr>
                <w:rStyle w:val="IndexLink"/>
              </w:rPr>
              <w:t>243</w:t>
            </w:r>
          </w:hyperlink>
        </w:p>
        <w:p>
          <w:pPr>
            <w:pStyle w:val="Contents6"/>
            <w:tabs>
              <w:tab w:val="clear" w:pos="7609"/>
              <w:tab w:val="right" w:pos="9026" w:leader="dot"/>
            </w:tabs>
            <w:rPr/>
          </w:pPr>
          <w:hyperlink w:anchor="__RefHeading___Toc13197623_1280447820">
            <w:r>
              <w:rPr>
                <w:webHidden/>
                <w:rStyle w:val="IndexLink"/>
                <w:rtl w:val="true"/>
              </w:rPr>
              <w:t xml:space="preserve">تاسعها </w:t>
            </w:r>
            <w:r>
              <w:rPr>
                <w:rStyle w:val="IndexLink"/>
                <w:rtl w:val="true"/>
              </w:rPr>
              <w:t xml:space="preserve">: </w:t>
            </w:r>
            <w:r>
              <w:rPr>
                <w:rStyle w:val="IndexLink"/>
                <w:rtl w:val="true"/>
              </w:rPr>
              <w:t>لو انكفأ أحد المشتبهين وجب اجتناب الباقي</w:t>
            </w:r>
            <w:r>
              <w:rPr>
                <w:rStyle w:val="IndexLink"/>
                <w:rtl w:val="true"/>
              </w:rPr>
              <w:tab/>
            </w:r>
            <w:r>
              <w:rPr>
                <w:rStyle w:val="IndexLink"/>
              </w:rPr>
              <w:t>244</w:t>
            </w:r>
          </w:hyperlink>
        </w:p>
        <w:p>
          <w:pPr>
            <w:pStyle w:val="Contents6"/>
            <w:tabs>
              <w:tab w:val="clear" w:pos="7609"/>
              <w:tab w:val="right" w:pos="9026" w:leader="dot"/>
            </w:tabs>
            <w:rPr/>
          </w:pPr>
          <w:hyperlink w:anchor="__RefHeading___Toc13197625_1280447820">
            <w:r>
              <w:rPr>
                <w:webHidden/>
                <w:rStyle w:val="IndexLink"/>
                <w:rtl w:val="true"/>
              </w:rPr>
              <w:t>عاشرها</w:t>
            </w:r>
            <w:r>
              <w:rPr>
                <w:rStyle w:val="IndexLink"/>
                <w:rtl w:val="true"/>
              </w:rPr>
              <w:t xml:space="preserve">: </w:t>
            </w:r>
            <w:r>
              <w:rPr>
                <w:rStyle w:val="IndexLink"/>
                <w:rtl w:val="true"/>
              </w:rPr>
              <w:t>لو اشتبه أحد المشتبهين بغيره من المحصور</w:t>
            </w:r>
            <w:r>
              <w:rPr>
                <w:rStyle w:val="IndexLink"/>
                <w:rtl w:val="true"/>
              </w:rPr>
              <w:tab/>
            </w:r>
            <w:r>
              <w:rPr>
                <w:rStyle w:val="IndexLink"/>
              </w:rPr>
              <w:t>244</w:t>
            </w:r>
          </w:hyperlink>
        </w:p>
        <w:p>
          <w:pPr>
            <w:pStyle w:val="Contents6"/>
            <w:tabs>
              <w:tab w:val="clear" w:pos="7609"/>
              <w:tab w:val="right" w:pos="9026" w:leader="dot"/>
            </w:tabs>
            <w:rPr/>
          </w:pPr>
          <w:hyperlink w:anchor="__RefHeading___Toc13197627_1280447820">
            <w:r>
              <w:rPr>
                <w:webHidden/>
                <w:rStyle w:val="IndexLink"/>
                <w:rtl w:val="true"/>
              </w:rPr>
              <w:t>حادي عشرها</w:t>
            </w:r>
            <w:r>
              <w:rPr>
                <w:rStyle w:val="IndexLink"/>
                <w:rtl w:val="true"/>
              </w:rPr>
              <w:t xml:space="preserve">: </w:t>
            </w:r>
            <w:r>
              <w:rPr>
                <w:rStyle w:val="IndexLink"/>
                <w:rtl w:val="true"/>
              </w:rPr>
              <w:t>هل یجزی حکم الإراقۀ فیما لو کانت الإناءات أکثر من واحدٍ أو</w:t>
            </w:r>
            <w:r>
              <w:rPr>
                <w:rStyle w:val="IndexLink"/>
                <w:rtl w:val="true"/>
              </w:rPr>
              <w:t>...</w:t>
            </w:r>
            <w:r>
              <w:rPr>
                <w:rStyle w:val="IndexLink"/>
                <w:rtl w:val="true"/>
              </w:rPr>
              <w:t>؟</w:t>
            </w:r>
            <w:r>
              <w:rPr>
                <w:rStyle w:val="IndexLink"/>
                <w:rtl w:val="true"/>
              </w:rPr>
              <w:tab/>
            </w:r>
            <w:r>
              <w:rPr>
                <w:rStyle w:val="IndexLink"/>
              </w:rPr>
              <w:t>244</w:t>
            </w:r>
          </w:hyperlink>
        </w:p>
        <w:p>
          <w:pPr>
            <w:pStyle w:val="Contents6"/>
            <w:tabs>
              <w:tab w:val="clear" w:pos="7609"/>
              <w:tab w:val="right" w:pos="9026" w:leader="dot"/>
            </w:tabs>
            <w:rPr/>
          </w:pPr>
          <w:hyperlink w:anchor="__RefHeading___Toc13197629_1280447820">
            <w:r>
              <w:rPr>
                <w:webHidden/>
                <w:rStyle w:val="IndexLink"/>
                <w:rtl w:val="true"/>
              </w:rPr>
              <w:t>ثاني عشرها</w:t>
            </w:r>
            <w:r>
              <w:rPr>
                <w:rStyle w:val="IndexLink"/>
                <w:rtl w:val="true"/>
              </w:rPr>
              <w:t xml:space="preserve">: </w:t>
            </w:r>
            <w:r>
              <w:rPr>
                <w:rStyle w:val="IndexLink"/>
                <w:rtl w:val="true"/>
              </w:rPr>
              <w:t>المشتبه المحصور لا ينجّس غيره</w:t>
            </w:r>
            <w:r>
              <w:rPr>
                <w:rStyle w:val="IndexLink"/>
                <w:rtl w:val="true"/>
              </w:rPr>
              <w:tab/>
            </w:r>
            <w:r>
              <w:rPr>
                <w:rStyle w:val="IndexLink"/>
              </w:rPr>
              <w:t>244</w:t>
            </w:r>
          </w:hyperlink>
        </w:p>
        <w:p>
          <w:pPr>
            <w:pStyle w:val="Contents6"/>
            <w:tabs>
              <w:tab w:val="clear" w:pos="7609"/>
              <w:tab w:val="right" w:pos="9026" w:leader="dot"/>
            </w:tabs>
            <w:rPr/>
          </w:pPr>
          <w:hyperlink w:anchor="__RefHeading___Toc13197631_1280447820">
            <w:r>
              <w:rPr>
                <w:webHidden/>
                <w:rStyle w:val="IndexLink"/>
                <w:rtl w:val="true"/>
              </w:rPr>
              <w:t>ثالث عشرها</w:t>
            </w:r>
            <w:r>
              <w:rPr>
                <w:rStyle w:val="IndexLink"/>
                <w:rtl w:val="true"/>
              </w:rPr>
              <w:t>:</w:t>
            </w:r>
            <w:r>
              <w:rPr>
                <w:rStyle w:val="IndexLink"/>
                <w:rtl w:val="true"/>
              </w:rPr>
              <w:t>حکم ما لو قامت البيّنة أو أخبر ذو اليد أو العدل</w:t>
            </w:r>
            <w:r>
              <w:rPr>
                <w:rStyle w:val="IndexLink"/>
                <w:rtl w:val="true"/>
              </w:rPr>
              <w:t>-</w:t>
            </w:r>
            <w:r>
              <w:rPr>
                <w:rStyle w:val="IndexLink"/>
                <w:rtl w:val="true"/>
              </w:rPr>
              <w:t xml:space="preserve">على الأظهر </w:t>
            </w:r>
            <w:r>
              <w:rPr>
                <w:rStyle w:val="IndexLink"/>
                <w:rtl w:val="true"/>
              </w:rPr>
              <w:t xml:space="preserve">- </w:t>
            </w:r>
            <w:r>
              <w:rPr>
                <w:rStyle w:val="IndexLink"/>
                <w:rtl w:val="true"/>
              </w:rPr>
              <w:t>بطهارة أحد الإناءين وحلّيّة أحد الفردين</w:t>
            </w:r>
            <w:r>
              <w:rPr>
                <w:rStyle w:val="IndexLink"/>
                <w:rtl w:val="true"/>
              </w:rPr>
              <w:tab/>
            </w:r>
            <w:r>
              <w:rPr>
                <w:rStyle w:val="IndexLink"/>
              </w:rPr>
              <w:t>244</w:t>
            </w:r>
          </w:hyperlink>
        </w:p>
        <w:p>
          <w:pPr>
            <w:pStyle w:val="Contents6"/>
            <w:tabs>
              <w:tab w:val="clear" w:pos="7609"/>
              <w:tab w:val="right" w:pos="9026" w:leader="dot"/>
            </w:tabs>
            <w:rPr/>
          </w:pPr>
          <w:hyperlink w:anchor="__RefHeading___Toc13197633_1280447820">
            <w:r>
              <w:rPr>
                <w:webHidden/>
                <w:rStyle w:val="IndexLink"/>
                <w:rtl w:val="true"/>
              </w:rPr>
              <w:t>رابع عشرها</w:t>
            </w:r>
            <w:r>
              <w:rPr>
                <w:rStyle w:val="IndexLink"/>
                <w:rtl w:val="true"/>
              </w:rPr>
              <w:t xml:space="preserve">: </w:t>
            </w:r>
            <w:r>
              <w:rPr>
                <w:rStyle w:val="IndexLink"/>
                <w:rtl w:val="true"/>
              </w:rPr>
              <w:t>لا فرق في الشبهة المحصورة بين طروء ما يؤثّر نجاسةً وتحريماً على أحدهما بعد أن كان الإناءان طاهرين والشيئان محلّلين، وبين ما كان أحدهما ابتداءٌ نجساً أو حراماً</w:t>
            </w:r>
            <w:r>
              <w:rPr>
                <w:rStyle w:val="IndexLink"/>
                <w:rtl w:val="true"/>
              </w:rPr>
              <w:tab/>
            </w:r>
            <w:r>
              <w:rPr>
                <w:rStyle w:val="IndexLink"/>
              </w:rPr>
              <w:t>244</w:t>
            </w:r>
          </w:hyperlink>
        </w:p>
        <w:p>
          <w:pPr>
            <w:pStyle w:val="Contents6"/>
            <w:tabs>
              <w:tab w:val="clear" w:pos="7609"/>
              <w:tab w:val="right" w:pos="9026" w:leader="dot"/>
            </w:tabs>
            <w:rPr/>
          </w:pPr>
          <w:hyperlink w:anchor="__RefHeading___Toc13197635_1280447820">
            <w:r>
              <w:rPr>
                <w:webHidden/>
                <w:rStyle w:val="IndexLink"/>
                <w:rtl w:val="true"/>
              </w:rPr>
              <w:t xml:space="preserve">خامس عشرها </w:t>
            </w:r>
            <w:r>
              <w:rPr>
                <w:rStyle w:val="IndexLink"/>
                <w:rtl w:val="true"/>
              </w:rPr>
              <w:t xml:space="preserve">: </w:t>
            </w:r>
            <w:r>
              <w:rPr>
                <w:rStyle w:val="IndexLink"/>
                <w:rtl w:val="true"/>
              </w:rPr>
              <w:t>يصحّ رفع الخبث في المشتبه طاهره بنجسه</w:t>
            </w:r>
            <w:r>
              <w:rPr>
                <w:rStyle w:val="IndexLink"/>
                <w:rtl w:val="true"/>
              </w:rPr>
              <w:tab/>
            </w:r>
            <w:r>
              <w:rPr>
                <w:rStyle w:val="IndexLink"/>
              </w:rPr>
              <w:t>244</w:t>
            </w:r>
          </w:hyperlink>
        </w:p>
        <w:p>
          <w:pPr>
            <w:pStyle w:val="Contents6"/>
            <w:tabs>
              <w:tab w:val="clear" w:pos="7609"/>
              <w:tab w:val="right" w:pos="9026" w:leader="dot"/>
            </w:tabs>
            <w:rPr/>
          </w:pPr>
          <w:hyperlink w:anchor="__RefHeading___Toc13197637_1280447820">
            <w:r>
              <w:rPr>
                <w:webHidden/>
                <w:rStyle w:val="IndexLink"/>
                <w:rtl w:val="true"/>
              </w:rPr>
              <w:t>سادس عشرها</w:t>
            </w:r>
            <w:r>
              <w:rPr>
                <w:rStyle w:val="IndexLink"/>
                <w:rtl w:val="true"/>
              </w:rPr>
              <w:t xml:space="preserve">: </w:t>
            </w:r>
            <w:r>
              <w:rPr>
                <w:rStyle w:val="IndexLink"/>
                <w:rtl w:val="true"/>
              </w:rPr>
              <w:t>لو اشتبه التراب النجس بالطاهر</w:t>
            </w:r>
            <w:r>
              <w:rPr>
                <w:rStyle w:val="IndexLink"/>
                <w:rtl w:val="true"/>
              </w:rPr>
              <w:tab/>
            </w:r>
            <w:r>
              <w:rPr>
                <w:rStyle w:val="IndexLink"/>
              </w:rPr>
              <w:t>246</w:t>
            </w:r>
          </w:hyperlink>
        </w:p>
        <w:p>
          <w:pPr>
            <w:pStyle w:val="Contents6"/>
            <w:tabs>
              <w:tab w:val="clear" w:pos="7609"/>
              <w:tab w:val="right" w:pos="9026" w:leader="dot"/>
            </w:tabs>
            <w:rPr/>
          </w:pPr>
          <w:hyperlink w:anchor="__RefHeading___Toc13197639_1280447820">
            <w:r>
              <w:rPr>
                <w:webHidden/>
                <w:rStyle w:val="IndexLink"/>
                <w:rtl w:val="true"/>
              </w:rPr>
              <w:t>سابع عشرها</w:t>
            </w:r>
            <w:r>
              <w:rPr>
                <w:rStyle w:val="IndexLink"/>
                <w:rtl w:val="true"/>
              </w:rPr>
              <w:t xml:space="preserve">: </w:t>
            </w:r>
            <w:r>
              <w:rPr>
                <w:rStyle w:val="IndexLink"/>
                <w:rtl w:val="true"/>
              </w:rPr>
              <w:t>لو تعارضت البيّنتان في الإناءين</w:t>
            </w:r>
            <w:r>
              <w:rPr>
                <w:rStyle w:val="IndexLink"/>
                <w:rtl w:val="true"/>
              </w:rPr>
              <w:tab/>
            </w:r>
            <w:r>
              <w:rPr>
                <w:rStyle w:val="IndexLink"/>
              </w:rPr>
              <w:t>246</w:t>
            </w:r>
          </w:hyperlink>
        </w:p>
        <w:p>
          <w:pPr>
            <w:pStyle w:val="Contents6"/>
            <w:tabs>
              <w:tab w:val="clear" w:pos="7609"/>
              <w:tab w:val="right" w:pos="9026" w:leader="dot"/>
            </w:tabs>
            <w:rPr/>
          </w:pPr>
          <w:hyperlink w:anchor="__RefHeading___Toc13197641_1280447820">
            <w:r>
              <w:rPr>
                <w:webHidden/>
                <w:rStyle w:val="IndexLink"/>
                <w:rtl w:val="true"/>
              </w:rPr>
              <w:t>ثامن عشرها</w:t>
            </w:r>
            <w:r>
              <w:rPr>
                <w:rStyle w:val="IndexLink"/>
                <w:rtl w:val="true"/>
              </w:rPr>
              <w:t xml:space="preserve">: </w:t>
            </w:r>
            <w:r>
              <w:rPr>
                <w:rStyle w:val="IndexLink"/>
                <w:rtl w:val="true"/>
              </w:rPr>
              <w:t>لو اشتبه المضاف بالمطلق</w:t>
            </w:r>
            <w:r>
              <w:rPr>
                <w:rStyle w:val="IndexLink"/>
                <w:rtl w:val="true"/>
              </w:rPr>
              <w:tab/>
            </w:r>
            <w:r>
              <w:rPr>
                <w:rStyle w:val="IndexLink"/>
              </w:rPr>
              <w:t>246</w:t>
            </w:r>
          </w:hyperlink>
        </w:p>
        <w:p>
          <w:pPr>
            <w:pStyle w:val="Contents6"/>
            <w:tabs>
              <w:tab w:val="clear" w:pos="7609"/>
              <w:tab w:val="right" w:pos="9026" w:leader="dot"/>
            </w:tabs>
            <w:rPr/>
          </w:pPr>
          <w:hyperlink w:anchor="__RefHeading___Toc13197643_1280447820">
            <w:r>
              <w:rPr>
                <w:webHidden/>
                <w:rStyle w:val="IndexLink"/>
                <w:rtl w:val="true"/>
              </w:rPr>
              <w:t>تاسع عشرها</w:t>
            </w:r>
            <w:r>
              <w:rPr>
                <w:rStyle w:val="IndexLink"/>
                <w:rtl w:val="true"/>
              </w:rPr>
              <w:t xml:space="preserve">: </w:t>
            </w:r>
            <w:r>
              <w:rPr>
                <w:rStyle w:val="IndexLink"/>
                <w:rtl w:val="true"/>
              </w:rPr>
              <w:t>لو انكفأ أحد الإناءين من المشتبه بالمطلق</w:t>
            </w:r>
            <w:r>
              <w:rPr>
                <w:rStyle w:val="IndexLink"/>
                <w:rtl w:val="true"/>
              </w:rPr>
              <w:tab/>
            </w:r>
            <w:r>
              <w:rPr>
                <w:rStyle w:val="IndexLink"/>
              </w:rPr>
              <w:t>246</w:t>
            </w:r>
          </w:hyperlink>
        </w:p>
        <w:p>
          <w:pPr>
            <w:pStyle w:val="Contents4"/>
            <w:tabs>
              <w:tab w:val="clear" w:pos="8176"/>
              <w:tab w:val="right" w:pos="9026" w:leader="dot"/>
            </w:tabs>
            <w:rPr/>
          </w:pPr>
          <w:hyperlink w:anchor="__RefHeading___Toc13197645_1280447820">
            <w:r>
              <w:rPr>
                <w:webHidden/>
                <w:rStyle w:val="IndexLink"/>
                <w:rtl w:val="true"/>
              </w:rPr>
              <w:t>بحث في الماء المضاف</w:t>
            </w:r>
            <w:r>
              <w:rPr>
                <w:rStyle w:val="IndexLink"/>
                <w:rtl w:val="true"/>
              </w:rPr>
              <w:tab/>
            </w:r>
            <w:r>
              <w:rPr>
                <w:rStyle w:val="IndexLink"/>
              </w:rPr>
              <w:t>247</w:t>
            </w:r>
          </w:hyperlink>
        </w:p>
        <w:p>
          <w:pPr>
            <w:pStyle w:val="Contents5"/>
            <w:tabs>
              <w:tab w:val="clear" w:pos="7892"/>
              <w:tab w:val="right" w:pos="9026" w:leader="dot"/>
            </w:tabs>
            <w:rPr/>
          </w:pPr>
          <w:hyperlink w:anchor="__RefHeading___Toc13197647_1280447820">
            <w:r>
              <w:rPr>
                <w:webHidden/>
                <w:rStyle w:val="IndexLink"/>
                <w:rtl w:val="true"/>
              </w:rPr>
              <w:t>وفيه أُمور</w:t>
            </w:r>
            <w:r>
              <w:rPr>
                <w:rStyle w:val="IndexLink"/>
                <w:rtl w:val="true"/>
              </w:rPr>
              <w:t>:</w:t>
              <w:tab/>
            </w:r>
            <w:r>
              <w:rPr>
                <w:rStyle w:val="IndexLink"/>
              </w:rPr>
              <w:t>247</w:t>
            </w:r>
          </w:hyperlink>
        </w:p>
        <w:p>
          <w:pPr>
            <w:pStyle w:val="Contents5"/>
            <w:tabs>
              <w:tab w:val="clear" w:pos="7892"/>
              <w:tab w:val="right" w:pos="9026" w:leader="dot"/>
            </w:tabs>
            <w:rPr/>
          </w:pPr>
          <w:hyperlink w:anchor="__RefHeading___Toc13197649_1280447820">
            <w:r>
              <w:rPr>
                <w:webHidden/>
                <w:rStyle w:val="IndexLink"/>
                <w:rtl w:val="true"/>
              </w:rPr>
              <w:t>أحدها</w:t>
            </w:r>
            <w:r>
              <w:rPr>
                <w:rStyle w:val="IndexLink"/>
                <w:rtl w:val="true"/>
              </w:rPr>
              <w:t xml:space="preserve">: </w:t>
            </w:r>
            <w:r>
              <w:rPr>
                <w:rStyle w:val="IndexLink"/>
                <w:rtl w:val="true"/>
              </w:rPr>
              <w:t>الماء المضاف قد يكون مضافاً بأصله أو بعارض</w:t>
            </w:r>
            <w:r>
              <w:rPr>
                <w:rStyle w:val="IndexLink"/>
                <w:rtl w:val="true"/>
              </w:rPr>
              <w:tab/>
            </w:r>
            <w:r>
              <w:rPr>
                <w:rStyle w:val="IndexLink"/>
              </w:rPr>
              <w:t>247</w:t>
            </w:r>
          </w:hyperlink>
        </w:p>
        <w:p>
          <w:pPr>
            <w:pStyle w:val="Contents5"/>
            <w:tabs>
              <w:tab w:val="clear" w:pos="7892"/>
              <w:tab w:val="right" w:pos="9026" w:leader="dot"/>
            </w:tabs>
            <w:rPr/>
          </w:pPr>
          <w:hyperlink w:anchor="__RefHeading___Toc13197651_1280447820">
            <w:r>
              <w:rPr>
                <w:webHidden/>
                <w:rStyle w:val="IndexLink"/>
                <w:rtl w:val="true"/>
              </w:rPr>
              <w:t>ثانيها</w:t>
            </w:r>
            <w:r>
              <w:rPr>
                <w:rStyle w:val="IndexLink"/>
                <w:rtl w:val="true"/>
              </w:rPr>
              <w:t xml:space="preserve">: </w:t>
            </w:r>
            <w:r>
              <w:rPr>
                <w:rStyle w:val="IndexLink"/>
                <w:rtl w:val="true"/>
              </w:rPr>
              <w:t>لا يرفع الماء المضاف حدثاً</w:t>
            </w:r>
            <w:r>
              <w:rPr>
                <w:rStyle w:val="IndexLink"/>
                <w:rtl w:val="true"/>
              </w:rPr>
              <w:tab/>
            </w:r>
            <w:r>
              <w:rPr>
                <w:rStyle w:val="IndexLink"/>
              </w:rPr>
              <w:t>247</w:t>
            </w:r>
          </w:hyperlink>
        </w:p>
        <w:p>
          <w:pPr>
            <w:pStyle w:val="Contents5"/>
            <w:tabs>
              <w:tab w:val="clear" w:pos="7892"/>
              <w:tab w:val="right" w:pos="9026" w:leader="dot"/>
            </w:tabs>
            <w:rPr/>
          </w:pPr>
          <w:hyperlink w:anchor="__RefHeading___Toc13197653_1280447820">
            <w:r>
              <w:rPr>
                <w:webHidden/>
                <w:rStyle w:val="IndexLink"/>
                <w:rtl w:val="true"/>
              </w:rPr>
              <w:t>ثالثها</w:t>
            </w:r>
            <w:r>
              <w:rPr>
                <w:rStyle w:val="IndexLink"/>
                <w:rtl w:val="true"/>
              </w:rPr>
              <w:t xml:space="preserve">: </w:t>
            </w:r>
            <w:r>
              <w:rPr>
                <w:rStyle w:val="IndexLink"/>
                <w:rtl w:val="true"/>
              </w:rPr>
              <w:t>عدم رفع المال المضاف للخبث</w:t>
            </w:r>
            <w:r>
              <w:rPr>
                <w:rStyle w:val="IndexLink"/>
                <w:rtl w:val="true"/>
              </w:rPr>
              <w:tab/>
            </w:r>
            <w:r>
              <w:rPr>
                <w:rStyle w:val="IndexLink"/>
              </w:rPr>
              <w:t>248</w:t>
            </w:r>
          </w:hyperlink>
        </w:p>
        <w:p>
          <w:pPr>
            <w:pStyle w:val="Contents5"/>
            <w:tabs>
              <w:tab w:val="clear" w:pos="7892"/>
              <w:tab w:val="right" w:pos="9026" w:leader="dot"/>
            </w:tabs>
            <w:rPr/>
          </w:pPr>
          <w:hyperlink w:anchor="__RefHeading___Toc13197655_1280447820">
            <w:r>
              <w:rPr>
                <w:webHidden/>
                <w:rStyle w:val="IndexLink"/>
                <w:rtl w:val="true"/>
              </w:rPr>
              <w:t>رابعها</w:t>
            </w:r>
            <w:r>
              <w:rPr>
                <w:rStyle w:val="IndexLink"/>
                <w:rtl w:val="true"/>
              </w:rPr>
              <w:t xml:space="preserve">: </w:t>
            </w:r>
            <w:r>
              <w:rPr>
                <w:rStyle w:val="IndexLink"/>
                <w:rtl w:val="true"/>
              </w:rPr>
              <w:t>ينجس المضاف بملاقاة النجاسة</w:t>
            </w:r>
            <w:r>
              <w:rPr>
                <w:rStyle w:val="IndexLink"/>
                <w:rtl w:val="true"/>
              </w:rPr>
              <w:tab/>
            </w:r>
            <w:r>
              <w:rPr>
                <w:rStyle w:val="IndexLink"/>
              </w:rPr>
              <w:t>249</w:t>
            </w:r>
          </w:hyperlink>
        </w:p>
        <w:p>
          <w:pPr>
            <w:pStyle w:val="Contents5"/>
            <w:tabs>
              <w:tab w:val="clear" w:pos="7892"/>
              <w:tab w:val="right" w:pos="9026" w:leader="dot"/>
            </w:tabs>
            <w:rPr/>
          </w:pPr>
          <w:hyperlink w:anchor="__RefHeading___Toc13197657_1280447820">
            <w:r>
              <w:rPr>
                <w:webHidden/>
                <w:rStyle w:val="IndexLink"/>
                <w:rtl w:val="true"/>
              </w:rPr>
              <w:t>خامسها</w:t>
            </w:r>
            <w:r>
              <w:rPr>
                <w:rStyle w:val="IndexLink"/>
                <w:rtl w:val="true"/>
              </w:rPr>
              <w:t>:</w:t>
            </w:r>
            <w:r>
              <w:rPr>
                <w:rStyle w:val="IndexLink"/>
                <w:rtl w:val="true"/>
              </w:rPr>
              <w:t>حکم ما لو امتزج المضاف بالمطلق</w:t>
            </w:r>
            <w:r>
              <w:rPr>
                <w:rStyle w:val="IndexLink"/>
                <w:rtl w:val="true"/>
              </w:rPr>
              <w:tab/>
            </w:r>
            <w:r>
              <w:rPr>
                <w:rStyle w:val="IndexLink"/>
              </w:rPr>
              <w:t>250</w:t>
            </w:r>
          </w:hyperlink>
        </w:p>
        <w:p>
          <w:pPr>
            <w:pStyle w:val="Contents5"/>
            <w:tabs>
              <w:tab w:val="clear" w:pos="7892"/>
              <w:tab w:val="right" w:pos="9026" w:leader="dot"/>
            </w:tabs>
            <w:rPr/>
          </w:pPr>
          <w:hyperlink w:anchor="__RefHeading___Toc13197659_1280447820">
            <w:r>
              <w:rPr>
                <w:webHidden/>
                <w:rStyle w:val="IndexLink"/>
                <w:rtl w:val="true"/>
              </w:rPr>
              <w:t xml:space="preserve">سادسها </w:t>
            </w:r>
            <w:r>
              <w:rPr>
                <w:rStyle w:val="IndexLink"/>
                <w:rtl w:val="true"/>
              </w:rPr>
              <w:t xml:space="preserve">: </w:t>
            </w:r>
            <w:r>
              <w:rPr>
                <w:rStyle w:val="IndexLink"/>
                <w:rtl w:val="true"/>
              </w:rPr>
              <w:t>لو تنجّس المضاف قوي القول بعدم قبوله للتطهير</w:t>
            </w:r>
            <w:r>
              <w:rPr>
                <w:rStyle w:val="IndexLink"/>
                <w:rtl w:val="true"/>
              </w:rPr>
              <w:tab/>
            </w:r>
            <w:r>
              <w:rPr>
                <w:rStyle w:val="IndexLink"/>
              </w:rPr>
              <w:t>251</w:t>
            </w:r>
          </w:hyperlink>
        </w:p>
        <w:p>
          <w:pPr>
            <w:pStyle w:val="Contents5"/>
            <w:tabs>
              <w:tab w:val="clear" w:pos="7892"/>
              <w:tab w:val="right" w:pos="9026" w:leader="dot"/>
            </w:tabs>
            <w:rPr/>
          </w:pPr>
          <w:hyperlink w:anchor="__RefHeading___Toc13197661_1280447820">
            <w:r>
              <w:rPr>
                <w:webHidden/>
                <w:rStyle w:val="IndexLink"/>
                <w:rtl w:val="true"/>
              </w:rPr>
              <w:t>سابعها</w:t>
            </w:r>
            <w:r>
              <w:rPr>
                <w:rStyle w:val="IndexLink"/>
                <w:rtl w:val="true"/>
              </w:rPr>
              <w:t xml:space="preserve">: </w:t>
            </w:r>
            <w:r>
              <w:rPr>
                <w:rStyle w:val="IndexLink"/>
                <w:rtl w:val="true"/>
              </w:rPr>
              <w:t>ما لم يعلم إطلاقه لا يجوز استعماله</w:t>
            </w:r>
            <w:r>
              <w:rPr>
                <w:rStyle w:val="IndexLink"/>
                <w:rtl w:val="true"/>
              </w:rPr>
              <w:tab/>
            </w:r>
            <w:r>
              <w:rPr>
                <w:rStyle w:val="IndexLink"/>
              </w:rPr>
              <w:t>252</w:t>
            </w:r>
          </w:hyperlink>
        </w:p>
        <w:p>
          <w:pPr>
            <w:pStyle w:val="Contents3"/>
            <w:tabs>
              <w:tab w:val="clear" w:pos="8459"/>
              <w:tab w:val="right" w:pos="9026" w:leader="dot"/>
            </w:tabs>
            <w:rPr/>
          </w:pPr>
          <w:hyperlink w:anchor="__RefHeading___Toc13197663_1280447820">
            <w:r>
              <w:rPr>
                <w:webHidden/>
                <w:rStyle w:val="IndexLink"/>
                <w:rtl w:val="true"/>
              </w:rPr>
              <w:t>أحكام الماء المستعمل</w:t>
            </w:r>
            <w:r>
              <w:rPr>
                <w:rStyle w:val="IndexLink"/>
                <w:rtl w:val="true"/>
              </w:rPr>
              <w:tab/>
            </w:r>
            <w:r>
              <w:rPr>
                <w:rStyle w:val="IndexLink"/>
              </w:rPr>
              <w:t>253</w:t>
            </w:r>
          </w:hyperlink>
        </w:p>
        <w:p>
          <w:pPr>
            <w:pStyle w:val="Contents4"/>
            <w:tabs>
              <w:tab w:val="clear" w:pos="8176"/>
              <w:tab w:val="right" w:pos="9026" w:leader="dot"/>
            </w:tabs>
            <w:rPr/>
          </w:pPr>
          <w:hyperlink w:anchor="__RefHeading___Toc13197665_1280447820">
            <w:r>
              <w:rPr>
                <w:webHidden/>
                <w:rStyle w:val="IndexLink"/>
                <w:rtl w:val="true"/>
              </w:rPr>
              <w:t>بحث فی طهارۀ ماء الاستنجاء</w:t>
            </w:r>
            <w:r>
              <w:rPr>
                <w:rStyle w:val="IndexLink"/>
                <w:rtl w:val="true"/>
              </w:rPr>
              <w:tab/>
            </w:r>
            <w:r>
              <w:rPr>
                <w:rStyle w:val="IndexLink"/>
              </w:rPr>
              <w:t>253</w:t>
            </w:r>
          </w:hyperlink>
        </w:p>
        <w:p>
          <w:pPr>
            <w:pStyle w:val="Contents5"/>
            <w:tabs>
              <w:tab w:val="clear" w:pos="7892"/>
              <w:tab w:val="right" w:pos="9026" w:leader="dot"/>
            </w:tabs>
            <w:rPr/>
          </w:pPr>
          <w:hyperlink w:anchor="__RefHeading___Toc13197667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3197669_1280447820">
            <w:r>
              <w:rPr>
                <w:webHidden/>
                <w:rStyle w:val="IndexLink"/>
                <w:rtl w:val="true"/>
              </w:rPr>
              <w:t xml:space="preserve">بحث </w:t>
            </w:r>
            <w:r>
              <w:rPr>
                <w:rStyle w:val="IndexLink"/>
                <w:rtl w:val="true"/>
              </w:rPr>
              <w:t>:</w:t>
            </w:r>
            <w:r>
              <w:rPr>
                <w:rStyle w:val="IndexLink"/>
                <w:rtl w:val="true"/>
              </w:rPr>
              <w:t>فی حکم الماء المستعمل فی غسل الخبث</w:t>
            </w:r>
            <w:r>
              <w:rPr>
                <w:rStyle w:val="IndexLink"/>
                <w:rtl w:val="true"/>
              </w:rPr>
              <w:tab/>
            </w:r>
            <w:r>
              <w:rPr>
                <w:rStyle w:val="IndexLink"/>
              </w:rPr>
              <w:t>254</w:t>
            </w:r>
          </w:hyperlink>
        </w:p>
        <w:p>
          <w:pPr>
            <w:pStyle w:val="Contents5"/>
            <w:tabs>
              <w:tab w:val="clear" w:pos="7892"/>
              <w:tab w:val="right" w:pos="9026" w:leader="dot"/>
            </w:tabs>
            <w:rPr/>
          </w:pPr>
          <w:hyperlink w:anchor="__RefHeading___Toc13197671_1280447820">
            <w:r>
              <w:rPr>
                <w:webHidden/>
                <w:rStyle w:val="IndexLink"/>
                <w:rtl w:val="true"/>
              </w:rPr>
              <w:t>بحث</w:t>
            </w:r>
            <w:r>
              <w:rPr>
                <w:rStyle w:val="IndexLink"/>
                <w:rtl w:val="true"/>
              </w:rPr>
              <w:t xml:space="preserve">: </w:t>
            </w:r>
            <w:r>
              <w:rPr>
                <w:rStyle w:val="IndexLink"/>
                <w:rtl w:val="true"/>
              </w:rPr>
              <w:t>فی طهارۀ الماء المستعمل في رفع الحدث الأصغر وكذا المستعمل في الأغسال المندوبة</w:t>
            </w:r>
            <w:r>
              <w:rPr>
                <w:rStyle w:val="IndexLink"/>
                <w:rtl w:val="true"/>
              </w:rPr>
              <w:tab/>
            </w:r>
            <w:r>
              <w:rPr>
                <w:rStyle w:val="IndexLink"/>
              </w:rPr>
              <w:t>259</w:t>
            </w:r>
          </w:hyperlink>
        </w:p>
        <w:p>
          <w:pPr>
            <w:pStyle w:val="Contents6"/>
            <w:tabs>
              <w:tab w:val="clear" w:pos="7609"/>
              <w:tab w:val="right" w:pos="9026" w:leader="dot"/>
            </w:tabs>
            <w:rPr/>
          </w:pPr>
          <w:hyperlink w:anchor="__RefHeading___Toc13197673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3197675_1280447820">
            <w:r>
              <w:rPr>
                <w:webHidden/>
                <w:rStyle w:val="IndexLink"/>
                <w:rtl w:val="true"/>
              </w:rPr>
              <w:t>طهارۀ الماء المستعمل فی رفع الحدث الأکبر</w:t>
            </w:r>
            <w:r>
              <w:rPr>
                <w:rStyle w:val="IndexLink"/>
                <w:rtl w:val="true"/>
              </w:rPr>
              <w:tab/>
            </w:r>
            <w:r>
              <w:rPr>
                <w:rStyle w:val="IndexLink"/>
              </w:rPr>
              <w:t>260</w:t>
            </w:r>
          </w:hyperlink>
        </w:p>
        <w:p>
          <w:pPr>
            <w:pStyle w:val="Contents6"/>
            <w:tabs>
              <w:tab w:val="clear" w:pos="7609"/>
              <w:tab w:val="right" w:pos="9026" w:leader="dot"/>
            </w:tabs>
            <w:rPr/>
          </w:pPr>
          <w:hyperlink w:anchor="__RefHeading___Toc13197677_1280447820">
            <w:r>
              <w:rPr>
                <w:webHidden/>
                <w:rStyle w:val="IndexLink"/>
                <w:rtl w:val="true"/>
              </w:rPr>
              <w:t>وهل يصحّ استعماله في رفع في رفع الحدث الأكبر أو الأصغر؟</w:t>
            </w:r>
            <w:r>
              <w:rPr>
                <w:rStyle w:val="IndexLink"/>
                <w:rtl w:val="true"/>
              </w:rPr>
              <w:tab/>
            </w:r>
            <w:r>
              <w:rPr>
                <w:rStyle w:val="IndexLink"/>
              </w:rPr>
              <w:t>260</w:t>
            </w:r>
          </w:hyperlink>
        </w:p>
        <w:p>
          <w:pPr>
            <w:pStyle w:val="Contents6"/>
            <w:tabs>
              <w:tab w:val="clear" w:pos="7609"/>
              <w:tab w:val="right" w:pos="9026" w:leader="dot"/>
            </w:tabs>
            <w:rPr/>
          </w:pPr>
          <w:hyperlink w:anchor="__RefHeading___Toc13197679_1280447820">
            <w:r>
              <w:rPr>
                <w:webHidden/>
                <w:rStyle w:val="IndexLink"/>
                <w:rtl w:val="true"/>
              </w:rPr>
              <w:t>فروع</w:t>
            </w:r>
            <w:r>
              <w:rPr>
                <w:rStyle w:val="IndexLink"/>
                <w:rtl w:val="true"/>
              </w:rPr>
              <w:tab/>
            </w:r>
            <w:r>
              <w:rPr>
                <w:rStyle w:val="IndexLink"/>
              </w:rPr>
              <w:t>261</w:t>
            </w:r>
          </w:hyperlink>
        </w:p>
        <w:p>
          <w:pPr>
            <w:pStyle w:val="Contents6"/>
            <w:tabs>
              <w:tab w:val="clear" w:pos="7609"/>
              <w:tab w:val="right" w:pos="9026" w:leader="dot"/>
            </w:tabs>
            <w:rPr/>
          </w:pPr>
          <w:hyperlink w:anchor="__RefHeading___Toc13197681_1280447820">
            <w:r>
              <w:rPr>
                <w:webHidden/>
                <w:rStyle w:val="IndexLink"/>
                <w:rtl w:val="true"/>
              </w:rPr>
              <w:t>أحدها</w:t>
            </w:r>
            <w:r>
              <w:rPr>
                <w:rStyle w:val="IndexLink"/>
                <w:rtl w:val="true"/>
              </w:rPr>
              <w:t xml:space="preserve">: </w:t>
            </w:r>
            <w:r>
              <w:rPr>
                <w:rStyle w:val="IndexLink"/>
                <w:rtl w:val="true"/>
              </w:rPr>
              <w:t>لا بأس ببقيّة الماء الذي يؤخذ منه ماء الغسل</w:t>
            </w:r>
            <w:r>
              <w:rPr>
                <w:rStyle w:val="IndexLink"/>
                <w:rtl w:val="true"/>
              </w:rPr>
              <w:tab/>
            </w:r>
            <w:r>
              <w:rPr>
                <w:rStyle w:val="IndexLink"/>
              </w:rPr>
              <w:t>261</w:t>
            </w:r>
          </w:hyperlink>
        </w:p>
        <w:p>
          <w:pPr>
            <w:pStyle w:val="Contents6"/>
            <w:tabs>
              <w:tab w:val="clear" w:pos="7609"/>
              <w:tab w:val="right" w:pos="9026" w:leader="dot"/>
            </w:tabs>
            <w:rPr/>
          </w:pPr>
          <w:hyperlink w:anchor="__RefHeading___Toc13197683_1280447820">
            <w:r>
              <w:rPr>
                <w:webHidden/>
                <w:rStyle w:val="IndexLink"/>
                <w:rtl w:val="true"/>
              </w:rPr>
              <w:t>ثانيها</w:t>
            </w:r>
            <w:r>
              <w:rPr>
                <w:rStyle w:val="IndexLink"/>
                <w:rtl w:val="true"/>
              </w:rPr>
              <w:t xml:space="preserve">: </w:t>
            </w:r>
            <w:r>
              <w:rPr>
                <w:rStyle w:val="IndexLink"/>
                <w:rtl w:val="true"/>
              </w:rPr>
              <w:t>لا بأس بوقوع القطرات من المغتسل في الماء إذا استهلكت</w:t>
            </w:r>
            <w:r>
              <w:rPr>
                <w:rStyle w:val="IndexLink"/>
                <w:rtl w:val="true"/>
              </w:rPr>
              <w:tab/>
            </w:r>
            <w:r>
              <w:rPr>
                <w:rStyle w:val="IndexLink"/>
              </w:rPr>
              <w:t>261</w:t>
            </w:r>
          </w:hyperlink>
        </w:p>
        <w:p>
          <w:pPr>
            <w:pStyle w:val="Contents6"/>
            <w:tabs>
              <w:tab w:val="clear" w:pos="7609"/>
              <w:tab w:val="right" w:pos="9026" w:leader="dot"/>
            </w:tabs>
            <w:rPr/>
          </w:pPr>
          <w:hyperlink w:anchor="__RefHeading___Toc13197685_1280447820">
            <w:r>
              <w:rPr>
                <w:webHidden/>
                <w:rStyle w:val="IndexLink"/>
                <w:rtl w:val="true"/>
              </w:rPr>
              <w:t>ثالثها</w:t>
            </w:r>
            <w:r>
              <w:rPr>
                <w:rStyle w:val="IndexLink"/>
                <w:rtl w:val="true"/>
              </w:rPr>
              <w:t xml:space="preserve">: </w:t>
            </w:r>
            <w:r>
              <w:rPr>
                <w:rStyle w:val="IndexLink"/>
                <w:rtl w:val="true"/>
              </w:rPr>
              <w:t>لا بأس بالمتّصل من الماء قبل انفصاله عن بدن المغتسل</w:t>
            </w:r>
            <w:r>
              <w:rPr>
                <w:rStyle w:val="IndexLink"/>
                <w:rtl w:val="true"/>
              </w:rPr>
              <w:tab/>
            </w:r>
            <w:r>
              <w:rPr>
                <w:rStyle w:val="IndexLink"/>
              </w:rPr>
              <w:t>262</w:t>
            </w:r>
          </w:hyperlink>
        </w:p>
        <w:p>
          <w:pPr>
            <w:pStyle w:val="Contents6"/>
            <w:tabs>
              <w:tab w:val="clear" w:pos="7609"/>
              <w:tab w:val="right" w:pos="9026" w:leader="dot"/>
            </w:tabs>
            <w:rPr/>
          </w:pPr>
          <w:hyperlink w:anchor="__RefHeading___Toc13197687_1280447820">
            <w:r>
              <w:rPr>
                <w:webHidden/>
                <w:rStyle w:val="IndexLink"/>
                <w:rtl w:val="true"/>
              </w:rPr>
              <w:t>رابعها</w:t>
            </w:r>
            <w:r>
              <w:rPr>
                <w:rStyle w:val="IndexLink"/>
                <w:rtl w:val="true"/>
              </w:rPr>
              <w:t xml:space="preserve">: </w:t>
            </w:r>
            <w:r>
              <w:rPr>
                <w:rStyle w:val="IndexLink"/>
                <w:rtl w:val="true"/>
              </w:rPr>
              <w:t>غسل الجنابة عند الشكّ فيها حكمه كحكم غسل الجنابة</w:t>
            </w:r>
            <w:r>
              <w:rPr>
                <w:rStyle w:val="IndexLink"/>
                <w:rtl w:val="true"/>
              </w:rPr>
              <w:tab/>
            </w:r>
            <w:r>
              <w:rPr>
                <w:rStyle w:val="IndexLink"/>
              </w:rPr>
              <w:t>262</w:t>
            </w:r>
          </w:hyperlink>
        </w:p>
        <w:p>
          <w:pPr>
            <w:pStyle w:val="Contents6"/>
            <w:tabs>
              <w:tab w:val="clear" w:pos="7609"/>
              <w:tab w:val="right" w:pos="9026" w:leader="dot"/>
            </w:tabs>
            <w:rPr/>
          </w:pPr>
          <w:hyperlink w:anchor="__RefHeading___Toc13197689_1280447820">
            <w:r>
              <w:rPr>
                <w:webHidden/>
                <w:rStyle w:val="IndexLink"/>
                <w:rtl w:val="true"/>
              </w:rPr>
              <w:t>خامسها</w:t>
            </w:r>
            <w:r>
              <w:rPr>
                <w:rStyle w:val="IndexLink"/>
                <w:rtl w:val="true"/>
              </w:rPr>
              <w:t xml:space="preserve">: </w:t>
            </w:r>
            <w:r>
              <w:rPr>
                <w:rStyle w:val="IndexLink"/>
                <w:rtl w:val="true"/>
              </w:rPr>
              <w:t>المستعمل من الماء الكثير في ترتيبٍ أو ارتماسٍ</w:t>
            </w:r>
            <w:r>
              <w:rPr>
                <w:rStyle w:val="IndexLink"/>
                <w:rtl w:val="true"/>
              </w:rPr>
              <w:tab/>
            </w:r>
            <w:r>
              <w:rPr>
                <w:rStyle w:val="IndexLink"/>
              </w:rPr>
              <w:t>262</w:t>
            </w:r>
          </w:hyperlink>
        </w:p>
        <w:p>
          <w:pPr>
            <w:pStyle w:val="Contents6"/>
            <w:tabs>
              <w:tab w:val="clear" w:pos="7609"/>
              <w:tab w:val="right" w:pos="9026" w:leader="dot"/>
            </w:tabs>
            <w:rPr/>
          </w:pPr>
          <w:hyperlink w:anchor="__RefHeading___Toc13197691_1280447820">
            <w:r>
              <w:rPr>
                <w:webHidden/>
                <w:rStyle w:val="IndexLink"/>
                <w:rtl w:val="true"/>
              </w:rPr>
              <w:t>سادسها</w:t>
            </w:r>
            <w:r>
              <w:rPr>
                <w:rStyle w:val="IndexLink"/>
                <w:rtl w:val="true"/>
              </w:rPr>
              <w:t xml:space="preserve">: </w:t>
            </w:r>
            <w:r>
              <w:rPr>
                <w:rStyle w:val="IndexLink"/>
                <w:rtl w:val="true"/>
              </w:rPr>
              <w:t>لو اغتسل الجنب فبطل غسله في الأثناء، فالأقوى عدم إلحاقه بالماء المستعمل لرفع الحدث</w:t>
            </w:r>
            <w:r>
              <w:rPr>
                <w:rStyle w:val="IndexLink"/>
                <w:rtl w:val="true"/>
              </w:rPr>
              <w:tab/>
            </w:r>
            <w:r>
              <w:rPr>
                <w:rStyle w:val="IndexLink"/>
              </w:rPr>
              <w:t>262</w:t>
            </w:r>
          </w:hyperlink>
        </w:p>
        <w:p>
          <w:pPr>
            <w:pStyle w:val="Contents6"/>
            <w:tabs>
              <w:tab w:val="clear" w:pos="7609"/>
              <w:tab w:val="right" w:pos="9026" w:leader="dot"/>
            </w:tabs>
            <w:rPr/>
          </w:pPr>
          <w:hyperlink w:anchor="__RefHeading___Toc13197693_1280447820">
            <w:r>
              <w:rPr>
                <w:webHidden/>
                <w:rStyle w:val="IndexLink"/>
                <w:rtl w:val="true"/>
              </w:rPr>
              <w:t>سابعها</w:t>
            </w:r>
            <w:r>
              <w:rPr>
                <w:rStyle w:val="IndexLink"/>
                <w:rtl w:val="true"/>
              </w:rPr>
              <w:t xml:space="preserve">: </w:t>
            </w:r>
            <w:r>
              <w:rPr>
                <w:rStyle w:val="IndexLink"/>
                <w:rtl w:val="true"/>
              </w:rPr>
              <w:t>حکم الماء المستعمل فی جميع الأغسال الرافع للأحداث الكبريات</w:t>
            </w:r>
            <w:r>
              <w:rPr>
                <w:rStyle w:val="IndexLink"/>
                <w:rtl w:val="true"/>
              </w:rPr>
              <w:tab/>
            </w:r>
            <w:r>
              <w:rPr>
                <w:rStyle w:val="IndexLink"/>
              </w:rPr>
              <w:t>262</w:t>
            </w:r>
          </w:hyperlink>
        </w:p>
        <w:p>
          <w:pPr>
            <w:pStyle w:val="Contents6"/>
            <w:tabs>
              <w:tab w:val="clear" w:pos="7609"/>
              <w:tab w:val="right" w:pos="9026" w:leader="dot"/>
            </w:tabs>
            <w:rPr/>
          </w:pPr>
          <w:hyperlink w:anchor="__RefHeading___Toc13197695_1280447820">
            <w:r>
              <w:rPr>
                <w:webHidden/>
                <w:rStyle w:val="IndexLink"/>
                <w:rtl w:val="true"/>
              </w:rPr>
              <w:t>ثامنها</w:t>
            </w:r>
            <w:r>
              <w:rPr>
                <w:rStyle w:val="IndexLink"/>
                <w:rtl w:val="true"/>
              </w:rPr>
              <w:t xml:space="preserve">: </w:t>
            </w:r>
            <w:r>
              <w:rPr>
                <w:rStyle w:val="IndexLink"/>
                <w:rtl w:val="true"/>
              </w:rPr>
              <w:t>لو ارتمس الجنب في ماءٍ قليل</w:t>
            </w:r>
            <w:r>
              <w:rPr>
                <w:rStyle w:val="IndexLink"/>
                <w:rtl w:val="true"/>
              </w:rPr>
              <w:tab/>
            </w:r>
            <w:r>
              <w:rPr>
                <w:rStyle w:val="IndexLink"/>
              </w:rPr>
              <w:t>262</w:t>
            </w:r>
          </w:hyperlink>
        </w:p>
        <w:p>
          <w:pPr>
            <w:pStyle w:val="Contents6"/>
            <w:tabs>
              <w:tab w:val="clear" w:pos="7609"/>
              <w:tab w:val="right" w:pos="9026" w:leader="dot"/>
            </w:tabs>
            <w:rPr/>
          </w:pPr>
          <w:hyperlink w:anchor="__RefHeading___Toc13197697_1280447820">
            <w:r>
              <w:rPr>
                <w:webHidden/>
                <w:rStyle w:val="IndexLink"/>
                <w:rtl w:val="true"/>
              </w:rPr>
              <w:t>تاسعها</w:t>
            </w:r>
            <w:r>
              <w:rPr>
                <w:rStyle w:val="IndexLink"/>
                <w:rtl w:val="true"/>
              </w:rPr>
              <w:t xml:space="preserve">: </w:t>
            </w:r>
            <w:r>
              <w:rPr>
                <w:rStyle w:val="IndexLink"/>
                <w:rtl w:val="true"/>
              </w:rPr>
              <w:t>لو وجد ماءً قليلاً وخِيف من رجوع ماء اغتسال الجنب إليه</w:t>
            </w:r>
            <w:r>
              <w:rPr>
                <w:rStyle w:val="IndexLink"/>
                <w:rtl w:val="true"/>
              </w:rPr>
              <w:tab/>
            </w:r>
            <w:r>
              <w:rPr>
                <w:rStyle w:val="IndexLink"/>
              </w:rPr>
              <w:t>264</w:t>
            </w:r>
          </w:hyperlink>
        </w:p>
        <w:p>
          <w:pPr>
            <w:pStyle w:val="Contents6"/>
            <w:tabs>
              <w:tab w:val="clear" w:pos="7609"/>
              <w:tab w:val="right" w:pos="9026" w:leader="dot"/>
            </w:tabs>
            <w:rPr/>
          </w:pPr>
          <w:hyperlink w:anchor="__RefHeading___Toc13197699_1280447820">
            <w:r>
              <w:rPr>
                <w:webHidden/>
                <w:rStyle w:val="IndexLink"/>
                <w:rtl w:val="true"/>
              </w:rPr>
              <w:t>عاشرها</w:t>
            </w:r>
            <w:r>
              <w:rPr>
                <w:rStyle w:val="IndexLink"/>
                <w:rtl w:val="true"/>
              </w:rPr>
              <w:t xml:space="preserve">: </w:t>
            </w:r>
            <w:r>
              <w:rPr>
                <w:rStyle w:val="IndexLink"/>
                <w:rtl w:val="true"/>
              </w:rPr>
              <w:t>ليس المدار على الوضوء والغسل، بل المدار على رفع الأكبر والأصغر</w:t>
            </w:r>
            <w:r>
              <w:rPr>
                <w:rStyle w:val="IndexLink"/>
                <w:rtl w:val="true"/>
              </w:rPr>
              <w:tab/>
            </w:r>
            <w:r>
              <w:rPr>
                <w:rStyle w:val="IndexLink"/>
              </w:rPr>
              <w:t>264</w:t>
            </w:r>
          </w:hyperlink>
        </w:p>
        <w:p>
          <w:pPr>
            <w:pStyle w:val="Contents5"/>
            <w:tabs>
              <w:tab w:val="clear" w:pos="7892"/>
              <w:tab w:val="right" w:pos="9026" w:leader="dot"/>
            </w:tabs>
            <w:rPr/>
          </w:pPr>
          <w:hyperlink w:anchor="__RefHeading___Toc13197701_1280447820">
            <w:r>
              <w:rPr>
                <w:webHidden/>
                <w:rStyle w:val="IndexLink"/>
                <w:rtl w:val="true"/>
              </w:rPr>
              <w:t xml:space="preserve">بحث </w:t>
            </w:r>
            <w:r>
              <w:rPr>
                <w:rStyle w:val="IndexLink"/>
                <w:rtl w:val="true"/>
              </w:rPr>
              <w:t xml:space="preserve">: </w:t>
            </w:r>
            <w:r>
              <w:rPr>
                <w:rStyle w:val="IndexLink"/>
                <w:rtl w:val="true"/>
              </w:rPr>
              <w:t>فی غساله ماء الحمّام</w:t>
            </w:r>
            <w:r>
              <w:rPr>
                <w:rStyle w:val="IndexLink"/>
                <w:rtl w:val="true"/>
              </w:rPr>
              <w:tab/>
            </w:r>
            <w:r>
              <w:rPr>
                <w:rStyle w:val="IndexLink"/>
              </w:rPr>
              <w:t>264</w:t>
            </w:r>
          </w:hyperlink>
        </w:p>
        <w:p>
          <w:pPr>
            <w:pStyle w:val="Contents5"/>
            <w:tabs>
              <w:tab w:val="clear" w:pos="7892"/>
              <w:tab w:val="right" w:pos="9026" w:leader="dot"/>
            </w:tabs>
            <w:rPr/>
          </w:pPr>
          <w:hyperlink w:anchor="__RefHeading___Toc13197703_1280447820">
            <w:r>
              <w:rPr>
                <w:webHidden/>
                <w:rStyle w:val="IndexLink"/>
                <w:rtl w:val="true"/>
              </w:rPr>
              <w:t>بحث</w:t>
            </w:r>
            <w:r>
              <w:rPr>
                <w:rStyle w:val="IndexLink"/>
                <w:rtl w:val="true"/>
              </w:rPr>
              <w:t xml:space="preserve">: </w:t>
            </w:r>
            <w:r>
              <w:rPr>
                <w:rStyle w:val="IndexLink"/>
                <w:rtl w:val="true"/>
              </w:rPr>
              <w:t>ماء المطر</w:t>
            </w:r>
            <w:r>
              <w:rPr>
                <w:rStyle w:val="IndexLink"/>
                <w:rtl w:val="true"/>
              </w:rPr>
              <w:tab/>
            </w:r>
            <w:r>
              <w:rPr>
                <w:rStyle w:val="IndexLink"/>
              </w:rPr>
              <w:t>266</w:t>
            </w:r>
          </w:hyperlink>
        </w:p>
        <w:p>
          <w:pPr>
            <w:pStyle w:val="Contents4"/>
            <w:tabs>
              <w:tab w:val="clear" w:pos="8176"/>
              <w:tab w:val="right" w:pos="9026" w:leader="dot"/>
            </w:tabs>
            <w:rPr/>
          </w:pPr>
          <w:hyperlink w:anchor="__RefHeading___Toc13197705_1280447820">
            <w:r>
              <w:rPr>
                <w:webHidden/>
                <w:rStyle w:val="IndexLink"/>
                <w:rtl w:val="true"/>
              </w:rPr>
              <w:t>بحث</w:t>
            </w:r>
            <w:r>
              <w:rPr>
                <w:rStyle w:val="IndexLink"/>
                <w:rtl w:val="true"/>
              </w:rPr>
              <w:t xml:space="preserve">: </w:t>
            </w:r>
            <w:r>
              <w:rPr>
                <w:rStyle w:val="IndexLink"/>
                <w:rtl w:val="true"/>
              </w:rPr>
              <w:t>فی تعریف السؤر وطهارۀ سؤر کلّ حیوان طاهر</w:t>
            </w:r>
            <w:r>
              <w:rPr>
                <w:rStyle w:val="IndexLink"/>
                <w:rtl w:val="true"/>
              </w:rPr>
              <w:tab/>
            </w:r>
            <w:r>
              <w:rPr>
                <w:rStyle w:val="IndexLink"/>
              </w:rPr>
              <w:t>267</w:t>
            </w:r>
          </w:hyperlink>
        </w:p>
        <w:p>
          <w:pPr>
            <w:pStyle w:val="Contents5"/>
            <w:tabs>
              <w:tab w:val="clear" w:pos="7892"/>
              <w:tab w:val="right" w:pos="9026" w:leader="dot"/>
            </w:tabs>
            <w:rPr/>
          </w:pPr>
          <w:hyperlink w:anchor="__RefHeading___Toc13197707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3197709_1280447820">
            <w:r>
              <w:rPr>
                <w:webHidden/>
                <w:rStyle w:val="IndexLink"/>
                <w:rtl w:val="true"/>
              </w:rPr>
              <w:t>فوائد</w:t>
            </w:r>
            <w:r>
              <w:rPr>
                <w:rStyle w:val="IndexLink"/>
                <w:rtl w:val="true"/>
              </w:rPr>
              <w:t>:</w:t>
              <w:tab/>
            </w:r>
            <w:r>
              <w:rPr>
                <w:rStyle w:val="IndexLink"/>
              </w:rPr>
              <w:t>269</w:t>
            </w:r>
          </w:hyperlink>
        </w:p>
        <w:p>
          <w:pPr>
            <w:pStyle w:val="Contents5"/>
            <w:tabs>
              <w:tab w:val="clear" w:pos="7892"/>
              <w:tab w:val="right" w:pos="9026" w:leader="dot"/>
            </w:tabs>
            <w:rPr/>
          </w:pPr>
          <w:hyperlink w:anchor="__RefHeading___Toc13197711_1280447820">
            <w:r>
              <w:rPr>
                <w:webHidden/>
                <w:rStyle w:val="IndexLink"/>
                <w:rtl w:val="true"/>
              </w:rPr>
              <w:t>الأُولى</w:t>
            </w:r>
            <w:r>
              <w:rPr>
                <w:rStyle w:val="IndexLink"/>
                <w:rtl w:val="true"/>
              </w:rPr>
              <w:t xml:space="preserve">: </w:t>
            </w:r>
            <w:r>
              <w:rPr>
                <w:rStyle w:val="IndexLink"/>
                <w:rtl w:val="true"/>
              </w:rPr>
              <w:t>زوال العين النجسة من الحيوان مطهّر له</w:t>
            </w:r>
            <w:r>
              <w:rPr>
                <w:rStyle w:val="IndexLink"/>
                <w:rtl w:val="true"/>
              </w:rPr>
              <w:tab/>
            </w:r>
            <w:r>
              <w:rPr>
                <w:rStyle w:val="IndexLink"/>
              </w:rPr>
              <w:t>269</w:t>
            </w:r>
          </w:hyperlink>
        </w:p>
        <w:p>
          <w:pPr>
            <w:pStyle w:val="Contents5"/>
            <w:tabs>
              <w:tab w:val="clear" w:pos="7892"/>
              <w:tab w:val="right" w:pos="9026" w:leader="dot"/>
            </w:tabs>
            <w:rPr/>
          </w:pPr>
          <w:hyperlink w:anchor="__RefHeading___Toc13197713_1280447820">
            <w:r>
              <w:rPr>
                <w:webHidden/>
                <w:rStyle w:val="IndexLink"/>
                <w:rtl w:val="true"/>
              </w:rPr>
              <w:t>الثانية</w:t>
            </w:r>
            <w:r>
              <w:rPr>
                <w:rStyle w:val="IndexLink"/>
                <w:rtl w:val="true"/>
              </w:rPr>
              <w:t xml:space="preserve">: </w:t>
            </w:r>
            <w:r>
              <w:rPr>
                <w:rStyle w:val="IndexLink"/>
                <w:rtl w:val="true"/>
              </w:rPr>
              <w:t>يكفي في تطهير البواطن من الإنسان زوال عين النجاسة</w:t>
            </w:r>
            <w:r>
              <w:rPr>
                <w:rStyle w:val="IndexLink"/>
                <w:rtl w:val="true"/>
              </w:rPr>
              <w:tab/>
            </w:r>
            <w:r>
              <w:rPr>
                <w:rStyle w:val="IndexLink"/>
              </w:rPr>
              <w:t>270</w:t>
            </w:r>
          </w:hyperlink>
        </w:p>
        <w:p>
          <w:pPr>
            <w:pStyle w:val="Contents5"/>
            <w:tabs>
              <w:tab w:val="clear" w:pos="7892"/>
              <w:tab w:val="right" w:pos="9026" w:leader="dot"/>
            </w:tabs>
            <w:rPr/>
          </w:pPr>
          <w:hyperlink w:anchor="__RefHeading___Toc13197715_1280447820">
            <w:r>
              <w:rPr>
                <w:webHidden/>
                <w:rStyle w:val="IndexLink"/>
                <w:rtl w:val="true"/>
              </w:rPr>
              <w:t>الثالثة</w:t>
            </w:r>
            <w:r>
              <w:rPr>
                <w:rStyle w:val="IndexLink"/>
                <w:rtl w:val="true"/>
              </w:rPr>
              <w:t xml:space="preserve">: </w:t>
            </w:r>
            <w:r>
              <w:rPr>
                <w:rStyle w:val="IndexLink"/>
                <w:rtl w:val="true"/>
              </w:rPr>
              <w:t>لا تكفي الغيبة مع احتمال التطهير مع العلم بالنجاسة وعدمه في غير بدن الإنسان وثيابه المتّصلة به</w:t>
            </w:r>
            <w:r>
              <w:rPr>
                <w:rStyle w:val="IndexLink"/>
                <w:rtl w:val="true"/>
              </w:rPr>
              <w:tab/>
            </w:r>
            <w:r>
              <w:rPr>
                <w:rStyle w:val="IndexLink"/>
              </w:rPr>
              <w:t>270</w:t>
            </w:r>
          </w:hyperlink>
        </w:p>
        <w:p>
          <w:pPr>
            <w:pStyle w:val="Contents5"/>
            <w:tabs>
              <w:tab w:val="clear" w:pos="7892"/>
              <w:tab w:val="right" w:pos="9026" w:leader="dot"/>
            </w:tabs>
            <w:rPr/>
          </w:pPr>
          <w:hyperlink w:anchor="__RefHeading___Toc13197717_1280447820">
            <w:r>
              <w:rPr>
                <w:webHidden/>
                <w:rStyle w:val="IndexLink"/>
                <w:rtl w:val="true"/>
              </w:rPr>
              <w:t>الرابعة</w:t>
            </w:r>
            <w:r>
              <w:rPr>
                <w:rStyle w:val="IndexLink"/>
                <w:rtl w:val="true"/>
              </w:rPr>
              <w:t xml:space="preserve">: </w:t>
            </w:r>
            <w:r>
              <w:rPr>
                <w:rStyle w:val="IndexLink"/>
                <w:rtl w:val="true"/>
              </w:rPr>
              <w:t>کراهۀ سؤر الخيل والبغال والحمير و ما یؤکل لحمه والجلّال وآکل الجیف</w:t>
            </w:r>
            <w:r>
              <w:rPr>
                <w:rStyle w:val="IndexLink"/>
                <w:rtl w:val="true"/>
              </w:rPr>
              <w:tab/>
            </w:r>
            <w:r>
              <w:rPr>
                <w:rStyle w:val="IndexLink"/>
              </w:rPr>
              <w:t>270</w:t>
            </w:r>
          </w:hyperlink>
        </w:p>
        <w:p>
          <w:pPr>
            <w:pStyle w:val="Contents5"/>
            <w:tabs>
              <w:tab w:val="clear" w:pos="7892"/>
              <w:tab w:val="right" w:pos="9026" w:leader="dot"/>
            </w:tabs>
            <w:rPr/>
          </w:pPr>
          <w:hyperlink w:anchor="__RefHeading___Toc13197719_1280447820">
            <w:r>
              <w:rPr>
                <w:webHidden/>
                <w:rStyle w:val="IndexLink"/>
                <w:rtl w:val="true"/>
              </w:rPr>
              <w:t>الخامسة</w:t>
            </w:r>
            <w:r>
              <w:rPr>
                <w:rStyle w:val="IndexLink"/>
                <w:rtl w:val="true"/>
              </w:rPr>
              <w:t xml:space="preserve">: </w:t>
            </w:r>
            <w:r>
              <w:rPr>
                <w:rStyle w:val="IndexLink"/>
                <w:rtl w:val="true"/>
              </w:rPr>
              <w:t>كراهۀ سؤر الحائض الغير مأمونة في الشرب والوضوء</w:t>
            </w:r>
            <w:r>
              <w:rPr>
                <w:rStyle w:val="IndexLink"/>
                <w:rtl w:val="true"/>
              </w:rPr>
              <w:tab/>
            </w:r>
            <w:r>
              <w:rPr>
                <w:rStyle w:val="IndexLink"/>
              </w:rPr>
              <w:t>271</w:t>
            </w:r>
          </w:hyperlink>
        </w:p>
        <w:p>
          <w:pPr>
            <w:pStyle w:val="Contents5"/>
            <w:tabs>
              <w:tab w:val="clear" w:pos="7892"/>
              <w:tab w:val="right" w:pos="9026" w:leader="dot"/>
            </w:tabs>
            <w:rPr/>
          </w:pPr>
          <w:hyperlink w:anchor="__RefHeading___Toc13197721_1280447820">
            <w:r>
              <w:rPr>
                <w:webHidden/>
                <w:rStyle w:val="IndexLink"/>
                <w:rtl w:val="true"/>
              </w:rPr>
              <w:t>السادسة</w:t>
            </w:r>
            <w:r>
              <w:rPr>
                <w:rStyle w:val="IndexLink"/>
                <w:rtl w:val="true"/>
              </w:rPr>
              <w:t xml:space="preserve">: </w:t>
            </w:r>
            <w:r>
              <w:rPr>
                <w:rStyle w:val="IndexLink"/>
                <w:rtl w:val="true"/>
              </w:rPr>
              <w:t>طهارۀ سؤر ولد الزنی وکراهۀ</w:t>
            </w:r>
            <w:r>
              <w:rPr>
                <w:rStyle w:val="IndexLink"/>
                <w:rtl w:val="true"/>
              </w:rPr>
              <w:tab/>
            </w:r>
            <w:r>
              <w:rPr>
                <w:rStyle w:val="IndexLink"/>
              </w:rPr>
              <w:t>272</w:t>
            </w:r>
          </w:hyperlink>
        </w:p>
        <w:p>
          <w:pPr>
            <w:pStyle w:val="Contents5"/>
            <w:tabs>
              <w:tab w:val="clear" w:pos="7892"/>
              <w:tab w:val="right" w:pos="9026" w:leader="dot"/>
            </w:tabs>
            <w:rPr/>
          </w:pPr>
          <w:hyperlink w:anchor="__RefHeading___Toc13197723_1280447820">
            <w:r>
              <w:rPr>
                <w:webHidden/>
                <w:rStyle w:val="IndexLink"/>
                <w:rtl w:val="true"/>
              </w:rPr>
              <w:t>السابعة</w:t>
            </w:r>
            <w:r>
              <w:rPr>
                <w:rStyle w:val="IndexLink"/>
                <w:rtl w:val="true"/>
              </w:rPr>
              <w:t xml:space="preserve">: </w:t>
            </w:r>
            <w:r>
              <w:rPr>
                <w:rStyle w:val="IndexLink"/>
                <w:rtl w:val="true"/>
              </w:rPr>
              <w:t>حکم سؤر المسوخ</w:t>
            </w:r>
            <w:r>
              <w:rPr>
                <w:rStyle w:val="IndexLink"/>
                <w:rtl w:val="true"/>
              </w:rPr>
              <w:tab/>
            </w:r>
            <w:r>
              <w:rPr>
                <w:rStyle w:val="IndexLink"/>
              </w:rPr>
              <w:t>272</w:t>
            </w:r>
          </w:hyperlink>
        </w:p>
        <w:p>
          <w:pPr>
            <w:pStyle w:val="Contents5"/>
            <w:tabs>
              <w:tab w:val="clear" w:pos="7892"/>
              <w:tab w:val="right" w:pos="9026" w:leader="dot"/>
            </w:tabs>
            <w:rPr/>
          </w:pPr>
          <w:hyperlink w:anchor="__RefHeading___Toc13197725_1280447820">
            <w:r>
              <w:rPr>
                <w:webHidden/>
                <w:rStyle w:val="IndexLink"/>
                <w:rtl w:val="true"/>
              </w:rPr>
              <w:t>الثامنة</w:t>
            </w:r>
            <w:r>
              <w:rPr>
                <w:rStyle w:val="IndexLink"/>
                <w:rtl w:val="true"/>
              </w:rPr>
              <w:t xml:space="preserve">: </w:t>
            </w:r>
            <w:r>
              <w:rPr>
                <w:rStyle w:val="IndexLink"/>
                <w:rtl w:val="true"/>
              </w:rPr>
              <w:t>هل الثعلب والأرنب طاهر أم نجس؟</w:t>
            </w:r>
            <w:r>
              <w:rPr>
                <w:rStyle w:val="IndexLink"/>
                <w:rtl w:val="true"/>
              </w:rPr>
              <w:tab/>
            </w:r>
            <w:r>
              <w:rPr>
                <w:rStyle w:val="IndexLink"/>
              </w:rPr>
              <w:t>273</w:t>
            </w:r>
          </w:hyperlink>
        </w:p>
        <w:p>
          <w:pPr>
            <w:pStyle w:val="Contents5"/>
            <w:tabs>
              <w:tab w:val="clear" w:pos="7892"/>
              <w:tab w:val="right" w:pos="9026" w:leader="dot"/>
            </w:tabs>
            <w:rPr/>
          </w:pPr>
          <w:hyperlink w:anchor="__RefHeading___Toc13197727_1280447820">
            <w:r>
              <w:rPr>
                <w:webHidden/>
                <w:rStyle w:val="IndexLink"/>
                <w:rtl w:val="true"/>
              </w:rPr>
              <w:t>التاسعة</w:t>
            </w:r>
            <w:r>
              <w:rPr>
                <w:rStyle w:val="IndexLink"/>
                <w:rtl w:val="true"/>
              </w:rPr>
              <w:t xml:space="preserve">: </w:t>
            </w:r>
            <w:r>
              <w:rPr>
                <w:rStyle w:val="IndexLink"/>
                <w:rtl w:val="true"/>
              </w:rPr>
              <w:t>طهارة سؤر الحيّة والوزغة والعقرب حياةً وكراهته</w:t>
            </w:r>
            <w:r>
              <w:rPr>
                <w:rStyle w:val="IndexLink"/>
                <w:rtl w:val="true"/>
              </w:rPr>
              <w:tab/>
            </w:r>
            <w:r>
              <w:rPr>
                <w:rStyle w:val="IndexLink"/>
              </w:rPr>
              <w:t>273</w:t>
            </w:r>
          </w:hyperlink>
        </w:p>
        <w:p>
          <w:pPr>
            <w:pStyle w:val="Contents5"/>
            <w:tabs>
              <w:tab w:val="clear" w:pos="7892"/>
              <w:tab w:val="right" w:pos="9026" w:leader="dot"/>
            </w:tabs>
            <w:rPr/>
          </w:pPr>
          <w:hyperlink w:anchor="__RefHeading___Toc13197729_1280447820">
            <w:r>
              <w:rPr>
                <w:webHidden/>
                <w:rStyle w:val="IndexLink"/>
                <w:rtl w:val="true"/>
              </w:rPr>
              <w:t>العاشرة</w:t>
            </w:r>
            <w:r>
              <w:rPr>
                <w:rStyle w:val="IndexLink"/>
                <w:rtl w:val="true"/>
              </w:rPr>
              <w:t xml:space="preserve">: </w:t>
            </w:r>
            <w:r>
              <w:rPr>
                <w:rStyle w:val="IndexLink"/>
                <w:rtl w:val="true"/>
              </w:rPr>
              <w:t>طهارۀ سؤر الفارۀ وکراهۀ</w:t>
            </w:r>
            <w:r>
              <w:rPr>
                <w:rStyle w:val="IndexLink"/>
                <w:rtl w:val="true"/>
              </w:rPr>
              <w:tab/>
            </w:r>
            <w:r>
              <w:rPr>
                <w:rStyle w:val="IndexLink"/>
              </w:rPr>
              <w:t>274</w:t>
            </w:r>
          </w:hyperlink>
        </w:p>
        <w:p>
          <w:pPr>
            <w:pStyle w:val="Contents5"/>
            <w:tabs>
              <w:tab w:val="clear" w:pos="7892"/>
              <w:tab w:val="right" w:pos="9026" w:leader="dot"/>
            </w:tabs>
            <w:rPr/>
          </w:pPr>
          <w:hyperlink w:anchor="__RefHeading___Toc13197731_1280447820">
            <w:r>
              <w:rPr>
                <w:webHidden/>
                <w:rStyle w:val="IndexLink"/>
                <w:rtl w:val="true"/>
              </w:rPr>
              <w:t>الحادية عشر</w:t>
            </w:r>
            <w:r>
              <w:rPr>
                <w:rStyle w:val="IndexLink"/>
                <w:rtl w:val="true"/>
              </w:rPr>
              <w:t xml:space="preserve">: </w:t>
            </w:r>
            <w:r>
              <w:rPr>
                <w:rStyle w:val="IndexLink"/>
                <w:rtl w:val="true"/>
              </w:rPr>
              <w:t>طهارة سؤر الفأرة الفأرة وکراهتۀ</w:t>
            </w:r>
            <w:r>
              <w:rPr>
                <w:rStyle w:val="IndexLink"/>
                <w:rtl w:val="true"/>
              </w:rPr>
              <w:tab/>
            </w:r>
            <w:r>
              <w:rPr>
                <w:rStyle w:val="IndexLink"/>
              </w:rPr>
              <w:t>274</w:t>
            </w:r>
          </w:hyperlink>
        </w:p>
        <w:p>
          <w:pPr>
            <w:pStyle w:val="Contents4"/>
            <w:tabs>
              <w:tab w:val="clear" w:pos="8176"/>
              <w:tab w:val="right" w:pos="9026" w:leader="dot"/>
            </w:tabs>
            <w:rPr/>
          </w:pPr>
          <w:hyperlink w:anchor="__RefHeading___Toc13197733_1280447820">
            <w:r>
              <w:rPr>
                <w:webHidden/>
                <w:rStyle w:val="IndexLink"/>
                <w:rtl w:val="true"/>
              </w:rPr>
              <w:t>بحث في الأحداث</w:t>
            </w:r>
            <w:r>
              <w:rPr>
                <w:rStyle w:val="IndexLink"/>
                <w:rtl w:val="true"/>
              </w:rPr>
              <w:tab/>
            </w:r>
            <w:r>
              <w:rPr>
                <w:rStyle w:val="IndexLink"/>
              </w:rPr>
              <w:t>276</w:t>
            </w:r>
          </w:hyperlink>
        </w:p>
        <w:p>
          <w:pPr>
            <w:pStyle w:val="Contents5"/>
            <w:tabs>
              <w:tab w:val="clear" w:pos="7892"/>
              <w:tab w:val="right" w:pos="9026" w:leader="dot"/>
            </w:tabs>
            <w:rPr/>
          </w:pPr>
          <w:hyperlink w:anchor="__RefHeading___Toc13197735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3197737_1280447820">
            <w:r>
              <w:rPr>
                <w:webHidden/>
                <w:rStyle w:val="IndexLink"/>
                <w:rtl w:val="true"/>
              </w:rPr>
              <w:t>وفي المقام مباحث</w:t>
            </w:r>
            <w:r>
              <w:rPr>
                <w:rStyle w:val="IndexLink"/>
                <w:rtl w:val="true"/>
              </w:rPr>
              <w:t>:</w:t>
              <w:tab/>
            </w:r>
            <w:r>
              <w:rPr>
                <w:rStyle w:val="IndexLink"/>
              </w:rPr>
              <w:t>276</w:t>
            </w:r>
          </w:hyperlink>
        </w:p>
        <w:p>
          <w:pPr>
            <w:pStyle w:val="Contents5"/>
            <w:tabs>
              <w:tab w:val="clear" w:pos="7892"/>
              <w:tab w:val="right" w:pos="9026" w:leader="dot"/>
            </w:tabs>
            <w:rPr/>
          </w:pPr>
          <w:hyperlink w:anchor="__RefHeading___Toc13197739_1280447820">
            <w:r>
              <w:rPr>
                <w:webHidden/>
                <w:rStyle w:val="IndexLink"/>
                <w:rtl w:val="true"/>
              </w:rPr>
              <w:t>أحدها</w:t>
            </w:r>
            <w:r>
              <w:rPr>
                <w:rStyle w:val="IndexLink"/>
                <w:rtl w:val="true"/>
              </w:rPr>
              <w:t xml:space="preserve">: </w:t>
            </w:r>
            <w:r>
              <w:rPr>
                <w:rStyle w:val="IndexLink"/>
                <w:rtl w:val="true"/>
              </w:rPr>
              <w:t>البول والغائط والريح أحداثٌ ناقضة للوضوء</w:t>
            </w:r>
            <w:r>
              <w:rPr>
                <w:rStyle w:val="IndexLink"/>
                <w:rtl w:val="true"/>
              </w:rPr>
              <w:tab/>
            </w:r>
            <w:r>
              <w:rPr>
                <w:rStyle w:val="IndexLink"/>
              </w:rPr>
              <w:t>276</w:t>
            </w:r>
          </w:hyperlink>
        </w:p>
        <w:p>
          <w:pPr>
            <w:pStyle w:val="Contents5"/>
            <w:tabs>
              <w:tab w:val="clear" w:pos="7892"/>
              <w:tab w:val="right" w:pos="9026" w:leader="dot"/>
            </w:tabs>
            <w:rPr/>
          </w:pPr>
          <w:hyperlink w:anchor="__RefHeading___Toc13197741_1280447820">
            <w:r>
              <w:rPr>
                <w:webHidden/>
                <w:rStyle w:val="IndexLink"/>
                <w:rtl w:val="true"/>
              </w:rPr>
              <w:t>ثانيها</w:t>
            </w:r>
            <w:r>
              <w:rPr>
                <w:rStyle w:val="IndexLink"/>
                <w:rtl w:val="true"/>
              </w:rPr>
              <w:t xml:space="preserve">: </w:t>
            </w:r>
            <w:r>
              <w:rPr>
                <w:rStyle w:val="IndexLink"/>
                <w:rtl w:val="true"/>
              </w:rPr>
              <w:t>الريح إن خرج من الطبيعي المعتاد لعامّة الناس أو الخلقي لذلك الشخص، أو المعتاد له مع انسداد الطبيعي جرى عليه حكم الحدث</w:t>
            </w:r>
            <w:r>
              <w:rPr>
                <w:rStyle w:val="IndexLink"/>
                <w:rtl w:val="true"/>
              </w:rPr>
              <w:tab/>
            </w:r>
            <w:r>
              <w:rPr>
                <w:rStyle w:val="IndexLink"/>
              </w:rPr>
              <w:t>278</w:t>
            </w:r>
          </w:hyperlink>
        </w:p>
        <w:p>
          <w:pPr>
            <w:pStyle w:val="Contents5"/>
            <w:tabs>
              <w:tab w:val="clear" w:pos="7892"/>
              <w:tab w:val="right" w:pos="9026" w:leader="dot"/>
            </w:tabs>
            <w:rPr/>
          </w:pPr>
          <w:hyperlink w:anchor="__RefHeading___Toc13197743_1280447820">
            <w:r>
              <w:rPr>
                <w:webHidden/>
                <w:rStyle w:val="IndexLink"/>
                <w:rtl w:val="true"/>
              </w:rPr>
              <w:t>ثالثها</w:t>
            </w:r>
            <w:r>
              <w:rPr>
                <w:rStyle w:val="IndexLink"/>
                <w:rtl w:val="true"/>
              </w:rPr>
              <w:t xml:space="preserve">: </w:t>
            </w:r>
            <w:r>
              <w:rPr>
                <w:rStyle w:val="IndexLink"/>
                <w:rtl w:val="true"/>
              </w:rPr>
              <w:t>لو خرج أحد الخبثين ولم ينفصل، أو خرجت المقعدة ملوّثةً به ثمّ رجعت، أو</w:t>
            </w:r>
            <w:r>
              <w:rPr>
                <w:rStyle w:val="IndexLink"/>
                <w:rtl w:val="true"/>
              </w:rPr>
              <w:t>...</w:t>
              <w:tab/>
            </w:r>
            <w:r>
              <w:rPr>
                <w:rStyle w:val="IndexLink"/>
              </w:rPr>
              <w:t>278</w:t>
            </w:r>
          </w:hyperlink>
        </w:p>
        <w:p>
          <w:pPr>
            <w:pStyle w:val="Contents5"/>
            <w:tabs>
              <w:tab w:val="clear" w:pos="7892"/>
              <w:tab w:val="right" w:pos="9026" w:leader="dot"/>
            </w:tabs>
            <w:rPr/>
          </w:pPr>
          <w:hyperlink w:anchor="__RefHeading___Toc13197745_1280447820">
            <w:r>
              <w:rPr>
                <w:webHidden/>
                <w:rStyle w:val="IndexLink"/>
                <w:rtl w:val="true"/>
              </w:rPr>
              <w:t>رابعها</w:t>
            </w:r>
            <w:r>
              <w:rPr>
                <w:rStyle w:val="IndexLink"/>
                <w:rtl w:val="true"/>
              </w:rPr>
              <w:t xml:space="preserve">: </w:t>
            </w:r>
            <w:r>
              <w:rPr>
                <w:rStyle w:val="IndexLink"/>
                <w:rtl w:val="true"/>
              </w:rPr>
              <w:t>النوم ناقض للوضوء</w:t>
            </w:r>
            <w:r>
              <w:rPr>
                <w:rStyle w:val="IndexLink"/>
                <w:rtl w:val="true"/>
              </w:rPr>
              <w:tab/>
            </w:r>
            <w:r>
              <w:rPr>
                <w:rStyle w:val="IndexLink"/>
              </w:rPr>
              <w:t>279</w:t>
            </w:r>
          </w:hyperlink>
        </w:p>
        <w:p>
          <w:pPr>
            <w:pStyle w:val="Contents5"/>
            <w:tabs>
              <w:tab w:val="clear" w:pos="7892"/>
              <w:tab w:val="right" w:pos="9026" w:leader="dot"/>
            </w:tabs>
            <w:rPr/>
          </w:pPr>
          <w:hyperlink w:anchor="__RefHeading___Toc13197747_1280447820">
            <w:r>
              <w:rPr>
                <w:webHidden/>
                <w:rStyle w:val="IndexLink"/>
                <w:rtl w:val="true"/>
              </w:rPr>
              <w:t>خامسها</w:t>
            </w:r>
            <w:r>
              <w:rPr>
                <w:rStyle w:val="IndexLink"/>
                <w:rtl w:val="true"/>
              </w:rPr>
              <w:t xml:space="preserve">: </w:t>
            </w:r>
            <w:r>
              <w:rPr>
                <w:rStyle w:val="IndexLink"/>
                <w:rtl w:val="true"/>
              </w:rPr>
              <w:t>فاقد الحاسّة يرجع حكمه إلى تقديرها</w:t>
            </w:r>
            <w:r>
              <w:rPr>
                <w:rStyle w:val="IndexLink"/>
                <w:rtl w:val="true"/>
              </w:rPr>
              <w:tab/>
            </w:r>
            <w:r>
              <w:rPr>
                <w:rStyle w:val="IndexLink"/>
              </w:rPr>
              <w:t>280</w:t>
            </w:r>
          </w:hyperlink>
        </w:p>
        <w:p>
          <w:pPr>
            <w:pStyle w:val="Contents5"/>
            <w:tabs>
              <w:tab w:val="clear" w:pos="7892"/>
              <w:tab w:val="right" w:pos="9026" w:leader="dot"/>
            </w:tabs>
            <w:rPr/>
          </w:pPr>
          <w:hyperlink w:anchor="__RefHeading___Toc13197749_1280447820">
            <w:r>
              <w:rPr>
                <w:webHidden/>
                <w:rStyle w:val="IndexLink"/>
                <w:rtl w:val="true"/>
              </w:rPr>
              <w:t>سادسها</w:t>
            </w:r>
            <w:r>
              <w:rPr>
                <w:rStyle w:val="IndexLink"/>
                <w:rtl w:val="true"/>
              </w:rPr>
              <w:t xml:space="preserve">: </w:t>
            </w:r>
            <w:r>
              <w:rPr>
                <w:rStyle w:val="IndexLink"/>
                <w:rtl w:val="true"/>
              </w:rPr>
              <w:t>فی مفاد حدیث</w:t>
            </w:r>
            <w:r>
              <w:rPr>
                <w:rStyle w:val="IndexLink"/>
                <w:rtl w:val="true"/>
              </w:rPr>
              <w:t>«</w:t>
            </w:r>
            <w:r>
              <w:rPr>
                <w:rStyle w:val="IndexLink"/>
                <w:rtl w:val="true"/>
              </w:rPr>
              <w:t>لا ینق الوضوء إلّا حدث والنوم حدث</w:t>
            </w:r>
            <w:r>
              <w:rPr>
                <w:rStyle w:val="IndexLink"/>
                <w:rtl w:val="true"/>
              </w:rPr>
              <w:t>»</w:t>
              <w:tab/>
            </w:r>
            <w:r>
              <w:rPr>
                <w:rStyle w:val="IndexLink"/>
              </w:rPr>
              <w:t>280</w:t>
            </w:r>
          </w:hyperlink>
        </w:p>
        <w:p>
          <w:pPr>
            <w:pStyle w:val="Contents5"/>
            <w:tabs>
              <w:tab w:val="clear" w:pos="7892"/>
              <w:tab w:val="right" w:pos="9026" w:leader="dot"/>
            </w:tabs>
            <w:rPr/>
          </w:pPr>
          <w:hyperlink w:anchor="__RefHeading___Toc13197751_1280447820">
            <w:r>
              <w:rPr>
                <w:webHidden/>
                <w:rStyle w:val="IndexLink"/>
                <w:rtl w:val="true"/>
              </w:rPr>
              <w:t>سابعها</w:t>
            </w:r>
            <w:r>
              <w:rPr>
                <w:rStyle w:val="IndexLink"/>
                <w:rtl w:val="true"/>
              </w:rPr>
              <w:t xml:space="preserve">: </w:t>
            </w:r>
            <w:r>
              <w:rPr>
                <w:rStyle w:val="IndexLink"/>
                <w:rtl w:val="true"/>
              </w:rPr>
              <w:t>ناقضیّۀ كلّ ما غلب على العقل عرفاً</w:t>
            </w:r>
            <w:r>
              <w:rPr>
                <w:rStyle w:val="IndexLink"/>
                <w:rtl w:val="true"/>
              </w:rPr>
              <w:tab/>
            </w:r>
            <w:r>
              <w:rPr>
                <w:rStyle w:val="IndexLink"/>
              </w:rPr>
              <w:t>281</w:t>
            </w:r>
          </w:hyperlink>
        </w:p>
        <w:p>
          <w:pPr>
            <w:pStyle w:val="Contents5"/>
            <w:tabs>
              <w:tab w:val="clear" w:pos="7892"/>
              <w:tab w:val="right" w:pos="9026" w:leader="dot"/>
            </w:tabs>
            <w:rPr/>
          </w:pPr>
          <w:hyperlink w:anchor="__RefHeading___Toc13197753_1280447820">
            <w:r>
              <w:rPr>
                <w:webHidden/>
                <w:rStyle w:val="IndexLink"/>
                <w:rtl w:val="true"/>
              </w:rPr>
              <w:t>ثامنها</w:t>
            </w:r>
            <w:r>
              <w:rPr>
                <w:rStyle w:val="IndexLink"/>
                <w:rtl w:val="true"/>
              </w:rPr>
              <w:t xml:space="preserve">: </w:t>
            </w:r>
            <w:r>
              <w:rPr>
                <w:rStyle w:val="IndexLink"/>
                <w:rtl w:val="true"/>
              </w:rPr>
              <w:t>الاستحاضة القليلة ناقضة للوضوء وموجبة له</w:t>
            </w:r>
            <w:r>
              <w:rPr>
                <w:rStyle w:val="IndexLink"/>
                <w:rtl w:val="true"/>
              </w:rPr>
              <w:tab/>
            </w:r>
            <w:r>
              <w:rPr>
                <w:rStyle w:val="IndexLink"/>
              </w:rPr>
              <w:t>282</w:t>
            </w:r>
          </w:hyperlink>
        </w:p>
        <w:p>
          <w:pPr>
            <w:pStyle w:val="Contents4"/>
            <w:tabs>
              <w:tab w:val="clear" w:pos="8176"/>
              <w:tab w:val="right" w:pos="9026" w:leader="dot"/>
            </w:tabs>
            <w:rPr/>
          </w:pPr>
          <w:hyperlink w:anchor="__RefHeading___Toc13197755_1280447820">
            <w:r>
              <w:rPr>
                <w:webHidden/>
                <w:rStyle w:val="IndexLink"/>
                <w:rtl w:val="true"/>
              </w:rPr>
              <w:t>بحث في أحكام التخلّي</w:t>
            </w:r>
            <w:r>
              <w:rPr>
                <w:rStyle w:val="IndexLink"/>
                <w:rtl w:val="true"/>
              </w:rPr>
              <w:tab/>
            </w:r>
            <w:r>
              <w:rPr>
                <w:rStyle w:val="IndexLink"/>
              </w:rPr>
              <w:t>284</w:t>
            </w:r>
          </w:hyperlink>
        </w:p>
        <w:p>
          <w:pPr>
            <w:pStyle w:val="Contents5"/>
            <w:tabs>
              <w:tab w:val="clear" w:pos="7892"/>
              <w:tab w:val="right" w:pos="9026" w:leader="dot"/>
            </w:tabs>
            <w:rPr/>
          </w:pPr>
          <w:hyperlink w:anchor="__RefHeading___Toc13197757_1280447820">
            <w:r>
              <w:rPr>
                <w:webHidden/>
                <w:rStyle w:val="IndexLink"/>
                <w:rtl w:val="true"/>
              </w:rPr>
              <w:t>وفيه مطالب</w:t>
            </w:r>
            <w:r>
              <w:rPr>
                <w:rStyle w:val="IndexLink"/>
                <w:rtl w:val="true"/>
              </w:rPr>
              <w:tab/>
            </w:r>
            <w:r>
              <w:rPr>
                <w:rStyle w:val="IndexLink"/>
              </w:rPr>
              <w:t>284</w:t>
            </w:r>
          </w:hyperlink>
        </w:p>
        <w:p>
          <w:pPr>
            <w:pStyle w:val="Contents5"/>
            <w:tabs>
              <w:tab w:val="clear" w:pos="7892"/>
              <w:tab w:val="right" w:pos="9026" w:leader="dot"/>
            </w:tabs>
            <w:rPr/>
          </w:pPr>
          <w:hyperlink w:anchor="__RefHeading___Toc13197759_1280447820">
            <w:r>
              <w:rPr>
                <w:webHidden/>
                <w:rStyle w:val="IndexLink"/>
                <w:rtl w:val="true"/>
              </w:rPr>
              <w:t>أحدها</w:t>
            </w:r>
            <w:r>
              <w:rPr>
                <w:rStyle w:val="IndexLink"/>
                <w:rtl w:val="true"/>
              </w:rPr>
              <w:t xml:space="preserve">: </w:t>
            </w:r>
            <w:r>
              <w:rPr>
                <w:rStyle w:val="IndexLink"/>
                <w:rtl w:val="true"/>
              </w:rPr>
              <w:t>يجب ستر العورة</w:t>
            </w:r>
            <w:r>
              <w:rPr>
                <w:rStyle w:val="IndexLink"/>
                <w:rtl w:val="true"/>
              </w:rPr>
              <w:tab/>
            </w:r>
            <w:r>
              <w:rPr>
                <w:rStyle w:val="IndexLink"/>
              </w:rPr>
              <w:t>284</w:t>
            </w:r>
          </w:hyperlink>
        </w:p>
        <w:p>
          <w:pPr>
            <w:pStyle w:val="Contents5"/>
            <w:tabs>
              <w:tab w:val="clear" w:pos="7892"/>
              <w:tab w:val="right" w:pos="9026" w:leader="dot"/>
            </w:tabs>
            <w:rPr/>
          </w:pPr>
          <w:hyperlink w:anchor="__RefHeading___Toc13197761_1280447820">
            <w:r>
              <w:rPr>
                <w:webHidden/>
                <w:rStyle w:val="IndexLink"/>
                <w:rtl w:val="true"/>
              </w:rPr>
              <w:t>ثانيها</w:t>
            </w:r>
            <w:r>
              <w:rPr>
                <w:rStyle w:val="IndexLink"/>
                <w:rtl w:val="true"/>
              </w:rPr>
              <w:t xml:space="preserve">: </w:t>
            </w:r>
            <w:r>
              <w:rPr>
                <w:rStyle w:val="IndexLink"/>
                <w:rtl w:val="true"/>
              </w:rPr>
              <w:t>حرمۀ استقبال القبلة واستدبارها علی المتخلّی</w:t>
            </w:r>
            <w:r>
              <w:rPr>
                <w:rStyle w:val="IndexLink"/>
                <w:rtl w:val="true"/>
              </w:rPr>
              <w:tab/>
            </w:r>
            <w:r>
              <w:rPr>
                <w:rStyle w:val="IndexLink"/>
              </w:rPr>
              <w:t>285</w:t>
            </w:r>
          </w:hyperlink>
        </w:p>
        <w:p>
          <w:pPr>
            <w:pStyle w:val="Contents5"/>
            <w:tabs>
              <w:tab w:val="clear" w:pos="7892"/>
              <w:tab w:val="right" w:pos="9026" w:leader="dot"/>
            </w:tabs>
            <w:rPr/>
          </w:pPr>
          <w:hyperlink w:anchor="__RefHeading___Toc13197763_1280447820">
            <w:r>
              <w:rPr>
                <w:webHidden/>
                <w:rStyle w:val="IndexLink"/>
                <w:rtl w:val="true"/>
              </w:rPr>
              <w:t>ثالثها</w:t>
            </w:r>
            <w:r>
              <w:rPr>
                <w:rStyle w:val="IndexLink"/>
                <w:rtl w:val="true"/>
              </w:rPr>
              <w:t xml:space="preserve">: </w:t>
            </w:r>
            <w:r>
              <w:rPr>
                <w:rStyle w:val="IndexLink"/>
                <w:rtl w:val="true"/>
              </w:rPr>
              <w:t>يجب تطهير ظاهر المخرج من البول والغائط</w:t>
            </w:r>
            <w:r>
              <w:rPr>
                <w:rStyle w:val="IndexLink"/>
                <w:rtl w:val="true"/>
              </w:rPr>
              <w:tab/>
            </w:r>
            <w:r>
              <w:rPr>
                <w:rStyle w:val="IndexLink"/>
              </w:rPr>
              <w:t>287</w:t>
            </w:r>
          </w:hyperlink>
        </w:p>
        <w:p>
          <w:pPr>
            <w:pStyle w:val="Contents5"/>
            <w:tabs>
              <w:tab w:val="clear" w:pos="7892"/>
              <w:tab w:val="right" w:pos="9026" w:leader="dot"/>
            </w:tabs>
            <w:rPr/>
          </w:pPr>
          <w:hyperlink w:anchor="__RefHeading___Toc13197765_1280447820">
            <w:r>
              <w:rPr>
                <w:webHidden/>
                <w:rStyle w:val="IndexLink"/>
                <w:rtl w:val="true"/>
              </w:rPr>
              <w:t>رابعها</w:t>
            </w:r>
            <w:r>
              <w:rPr>
                <w:rStyle w:val="IndexLink"/>
                <w:rtl w:val="true"/>
              </w:rPr>
              <w:t xml:space="preserve">: </w:t>
            </w:r>
            <w:r>
              <w:rPr>
                <w:rStyle w:val="IndexLink"/>
                <w:rtl w:val="true"/>
              </w:rPr>
              <w:t>يجب غسل مخرج الغائط عند التعدّي عن المحلّ المعتاد</w:t>
            </w:r>
            <w:r>
              <w:rPr>
                <w:rStyle w:val="IndexLink"/>
                <w:rtl w:val="true"/>
              </w:rPr>
              <w:tab/>
            </w:r>
            <w:r>
              <w:rPr>
                <w:rStyle w:val="IndexLink"/>
              </w:rPr>
              <w:t>288</w:t>
            </w:r>
          </w:hyperlink>
        </w:p>
        <w:p>
          <w:pPr>
            <w:pStyle w:val="Contents5"/>
            <w:tabs>
              <w:tab w:val="clear" w:pos="7892"/>
              <w:tab w:val="right" w:pos="9026" w:leader="dot"/>
            </w:tabs>
            <w:rPr/>
          </w:pPr>
          <w:hyperlink w:anchor="__RefHeading___Toc13197767_1280447820">
            <w:r>
              <w:rPr>
                <w:webHidden/>
                <w:rStyle w:val="IndexLink"/>
                <w:rtl w:val="true"/>
              </w:rPr>
              <w:t>خامسها</w:t>
            </w:r>
            <w:r>
              <w:rPr>
                <w:rStyle w:val="IndexLink"/>
                <w:rtl w:val="true"/>
              </w:rPr>
              <w:t xml:space="preserve">: </w:t>
            </w:r>
            <w:r>
              <w:rPr>
                <w:rStyle w:val="IndexLink"/>
                <w:rtl w:val="true"/>
              </w:rPr>
              <w:t>کفایۀ في غسل الغائط ذهاب العين</w:t>
            </w:r>
            <w:r>
              <w:rPr>
                <w:rStyle w:val="IndexLink"/>
                <w:rtl w:val="true"/>
              </w:rPr>
              <w:tab/>
            </w:r>
            <w:r>
              <w:rPr>
                <w:rStyle w:val="IndexLink"/>
              </w:rPr>
              <w:t>289</w:t>
            </w:r>
          </w:hyperlink>
        </w:p>
        <w:p>
          <w:pPr>
            <w:pStyle w:val="Contents5"/>
            <w:tabs>
              <w:tab w:val="clear" w:pos="7892"/>
              <w:tab w:val="right" w:pos="9026" w:leader="dot"/>
            </w:tabs>
            <w:rPr/>
          </w:pPr>
          <w:hyperlink w:anchor="__RefHeading___Toc13197769_1280447820">
            <w:r>
              <w:rPr>
                <w:webHidden/>
                <w:rStyle w:val="IndexLink"/>
                <w:rtl w:val="true"/>
              </w:rPr>
              <w:t>سادسها</w:t>
            </w:r>
            <w:r>
              <w:rPr>
                <w:rStyle w:val="IndexLink"/>
                <w:rtl w:val="true"/>
              </w:rPr>
              <w:t xml:space="preserve">: </w:t>
            </w:r>
            <w:r>
              <w:rPr>
                <w:rStyle w:val="IndexLink"/>
                <w:rtl w:val="true"/>
              </w:rPr>
              <w:t>يكفي في استنجاء البول غسل المخرج مرّةً واحدة بحيث يجري عليه</w:t>
            </w:r>
            <w:r>
              <w:rPr>
                <w:rStyle w:val="IndexLink"/>
                <w:rtl w:val="true"/>
              </w:rPr>
              <w:tab/>
            </w:r>
            <w:r>
              <w:rPr>
                <w:rStyle w:val="IndexLink"/>
              </w:rPr>
              <w:t>289</w:t>
            </w:r>
          </w:hyperlink>
        </w:p>
        <w:p>
          <w:pPr>
            <w:pStyle w:val="Contents5"/>
            <w:tabs>
              <w:tab w:val="clear" w:pos="7892"/>
              <w:tab w:val="right" w:pos="9026" w:leader="dot"/>
            </w:tabs>
            <w:rPr/>
          </w:pPr>
          <w:hyperlink w:anchor="__RefHeading___Toc13197771_1280447820">
            <w:r>
              <w:rPr>
                <w:webHidden/>
                <w:rStyle w:val="IndexLink"/>
                <w:rtl w:val="true"/>
              </w:rPr>
              <w:t>سابعها</w:t>
            </w:r>
            <w:r>
              <w:rPr>
                <w:rStyle w:val="IndexLink"/>
                <w:rtl w:val="true"/>
              </w:rPr>
              <w:t xml:space="preserve">: </w:t>
            </w:r>
            <w:r>
              <w:rPr>
                <w:rStyle w:val="IndexLink"/>
                <w:rtl w:val="true"/>
              </w:rPr>
              <w:t>الواجب في غسل المخرجين هو الظاهر</w:t>
            </w:r>
            <w:r>
              <w:rPr>
                <w:rStyle w:val="IndexLink"/>
                <w:rtl w:val="true"/>
              </w:rPr>
              <w:tab/>
            </w:r>
            <w:r>
              <w:rPr>
                <w:rStyle w:val="IndexLink"/>
              </w:rPr>
              <w:t>292</w:t>
            </w:r>
          </w:hyperlink>
        </w:p>
        <w:p>
          <w:pPr>
            <w:pStyle w:val="Contents5"/>
            <w:tabs>
              <w:tab w:val="clear" w:pos="7892"/>
              <w:tab w:val="right" w:pos="9026" w:leader="dot"/>
            </w:tabs>
            <w:rPr/>
          </w:pPr>
          <w:hyperlink w:anchor="__RefHeading___Toc13197773_1280447820">
            <w:r>
              <w:rPr>
                <w:webHidden/>
                <w:rStyle w:val="IndexLink"/>
                <w:rtl w:val="true"/>
              </w:rPr>
              <w:t>ثامنها</w:t>
            </w:r>
            <w:r>
              <w:rPr>
                <w:rStyle w:val="IndexLink"/>
                <w:rtl w:val="true"/>
              </w:rPr>
              <w:t xml:space="preserve">: </w:t>
            </w:r>
            <w:r>
              <w:rPr>
                <w:rStyle w:val="IndexLink"/>
                <w:rtl w:val="true"/>
              </w:rPr>
              <w:t>يجزئ في مخرج الغائط عند عدم التعدّي التمسّح</w:t>
            </w:r>
            <w:r>
              <w:rPr>
                <w:rStyle w:val="IndexLink"/>
                <w:rtl w:val="true"/>
              </w:rPr>
              <w:tab/>
            </w:r>
            <w:r>
              <w:rPr>
                <w:rStyle w:val="IndexLink"/>
              </w:rPr>
              <w:t>292</w:t>
            </w:r>
          </w:hyperlink>
        </w:p>
        <w:p>
          <w:pPr>
            <w:pStyle w:val="Contents5"/>
            <w:tabs>
              <w:tab w:val="clear" w:pos="7892"/>
              <w:tab w:val="right" w:pos="9026" w:leader="dot"/>
            </w:tabs>
            <w:rPr/>
          </w:pPr>
          <w:hyperlink w:anchor="__RefHeading___Toc13197775_1280447820">
            <w:r>
              <w:rPr>
                <w:webHidden/>
                <w:rStyle w:val="IndexLink"/>
                <w:rtl w:val="true"/>
              </w:rPr>
              <w:t>تاسعها</w:t>
            </w:r>
            <w:r>
              <w:rPr>
                <w:rStyle w:val="IndexLink"/>
                <w:rtl w:val="true"/>
              </w:rPr>
              <w:t xml:space="preserve">: </w:t>
            </w:r>
            <w:r>
              <w:rPr>
                <w:rStyle w:val="IndexLink"/>
                <w:rtl w:val="true"/>
              </w:rPr>
              <w:t>يجوز التمسّح بالحجر والمدر والخزف والكرسف والخرق</w:t>
            </w:r>
            <w:r>
              <w:rPr>
                <w:rStyle w:val="IndexLink"/>
                <w:rtl w:val="true"/>
              </w:rPr>
              <w:tab/>
            </w:r>
            <w:r>
              <w:rPr>
                <w:rStyle w:val="IndexLink"/>
              </w:rPr>
              <w:t>293</w:t>
            </w:r>
          </w:hyperlink>
        </w:p>
        <w:p>
          <w:pPr>
            <w:pStyle w:val="Contents5"/>
            <w:tabs>
              <w:tab w:val="clear" w:pos="7892"/>
              <w:tab w:val="right" w:pos="9026" w:leader="dot"/>
            </w:tabs>
            <w:rPr/>
          </w:pPr>
          <w:hyperlink w:anchor="__RefHeading___Toc13197777_1280447820">
            <w:r>
              <w:rPr>
                <w:webHidden/>
                <w:rStyle w:val="IndexLink"/>
                <w:rtl w:val="true"/>
              </w:rPr>
              <w:t>عاشرها</w:t>
            </w:r>
            <w:r>
              <w:rPr>
                <w:rStyle w:val="IndexLink"/>
                <w:rtl w:val="true"/>
              </w:rPr>
              <w:t xml:space="preserve">: </w:t>
            </w:r>
            <w:r>
              <w:rPr>
                <w:rStyle w:val="IndexLink"/>
                <w:rtl w:val="true"/>
              </w:rPr>
              <w:t>يجب المسح بما يُسمّى مسحاً</w:t>
            </w:r>
            <w:r>
              <w:rPr>
                <w:rStyle w:val="IndexLink"/>
                <w:rtl w:val="true"/>
              </w:rPr>
              <w:tab/>
            </w:r>
            <w:r>
              <w:rPr>
                <w:rStyle w:val="IndexLink"/>
              </w:rPr>
              <w:t>294</w:t>
            </w:r>
          </w:hyperlink>
        </w:p>
        <w:p>
          <w:pPr>
            <w:pStyle w:val="Contents5"/>
            <w:tabs>
              <w:tab w:val="clear" w:pos="7892"/>
              <w:tab w:val="right" w:pos="9026" w:leader="dot"/>
            </w:tabs>
            <w:rPr/>
          </w:pPr>
          <w:hyperlink w:anchor="__RefHeading___Toc13197779_1280447820">
            <w:r>
              <w:rPr>
                <w:webHidden/>
                <w:rStyle w:val="IndexLink"/>
                <w:rtl w:val="true"/>
              </w:rPr>
              <w:t>حادي عشرها</w:t>
            </w:r>
            <w:r>
              <w:rPr>
                <w:rStyle w:val="IndexLink"/>
                <w:rtl w:val="true"/>
              </w:rPr>
              <w:t xml:space="preserve">: </w:t>
            </w:r>
            <w:r>
              <w:rPr>
                <w:rStyle w:val="IndexLink"/>
                <w:rtl w:val="true"/>
              </w:rPr>
              <w:t>لا يجزئ المسح بالنجس ولا بالمتنجّس</w:t>
            </w:r>
            <w:r>
              <w:rPr>
                <w:rStyle w:val="IndexLink"/>
                <w:rtl w:val="true"/>
              </w:rPr>
              <w:tab/>
            </w:r>
            <w:r>
              <w:rPr>
                <w:rStyle w:val="IndexLink"/>
              </w:rPr>
              <w:t>294</w:t>
            </w:r>
          </w:hyperlink>
        </w:p>
        <w:p>
          <w:pPr>
            <w:pStyle w:val="Contents5"/>
            <w:tabs>
              <w:tab w:val="clear" w:pos="7892"/>
              <w:tab w:val="right" w:pos="9026" w:leader="dot"/>
            </w:tabs>
            <w:rPr/>
          </w:pPr>
          <w:hyperlink w:anchor="__RefHeading___Toc13197781_1280447820">
            <w:r>
              <w:rPr>
                <w:webHidden/>
                <w:rStyle w:val="IndexLink"/>
                <w:rtl w:val="true"/>
              </w:rPr>
              <w:t>ثاني عشرها</w:t>
            </w:r>
            <w:r>
              <w:rPr>
                <w:rStyle w:val="IndexLink"/>
                <w:rtl w:val="true"/>
              </w:rPr>
              <w:t xml:space="preserve">: </w:t>
            </w:r>
            <w:r>
              <w:rPr>
                <w:rStyle w:val="IndexLink"/>
                <w:rtl w:val="true"/>
              </w:rPr>
              <w:t>بیان أقلّ المجزئ فی المسح</w:t>
            </w:r>
            <w:r>
              <w:rPr>
                <w:rStyle w:val="IndexLink"/>
                <w:rtl w:val="true"/>
              </w:rPr>
              <w:tab/>
            </w:r>
            <w:r>
              <w:rPr>
                <w:rStyle w:val="IndexLink"/>
              </w:rPr>
              <w:t>295</w:t>
            </w:r>
          </w:hyperlink>
        </w:p>
        <w:p>
          <w:pPr>
            <w:pStyle w:val="Contents5"/>
            <w:tabs>
              <w:tab w:val="clear" w:pos="7892"/>
              <w:tab w:val="right" w:pos="9026" w:leader="dot"/>
            </w:tabs>
            <w:rPr/>
          </w:pPr>
          <w:hyperlink w:anchor="__RefHeading___Toc13197783_1280447820">
            <w:r>
              <w:rPr>
                <w:webHidden/>
                <w:rStyle w:val="IndexLink"/>
                <w:rtl w:val="true"/>
              </w:rPr>
              <w:t>ثالث عشرها</w:t>
            </w:r>
            <w:r>
              <w:rPr>
                <w:rStyle w:val="IndexLink"/>
                <w:rtl w:val="true"/>
              </w:rPr>
              <w:t xml:space="preserve">: </w:t>
            </w:r>
            <w:r>
              <w:rPr>
                <w:rStyle w:val="IndexLink"/>
                <w:rtl w:val="true"/>
              </w:rPr>
              <w:t>يجب تثليث الماسح</w:t>
            </w:r>
            <w:r>
              <w:rPr>
                <w:rStyle w:val="IndexLink"/>
                <w:rtl w:val="true"/>
              </w:rPr>
              <w:tab/>
            </w:r>
            <w:r>
              <w:rPr>
                <w:rStyle w:val="IndexLink"/>
              </w:rPr>
              <w:t>296</w:t>
            </w:r>
          </w:hyperlink>
        </w:p>
        <w:p>
          <w:pPr>
            <w:pStyle w:val="Contents5"/>
            <w:tabs>
              <w:tab w:val="clear" w:pos="7892"/>
              <w:tab w:val="right" w:pos="9026" w:leader="dot"/>
            </w:tabs>
            <w:rPr/>
          </w:pPr>
          <w:hyperlink w:anchor="__RefHeading___Toc13197785_1280447820">
            <w:r>
              <w:rPr>
                <w:webHidden/>
                <w:rStyle w:val="IndexLink"/>
                <w:rtl w:val="true"/>
              </w:rPr>
              <w:t>رابع عشرها</w:t>
            </w:r>
            <w:r>
              <w:rPr>
                <w:rStyle w:val="IndexLink"/>
                <w:rtl w:val="true"/>
              </w:rPr>
              <w:t xml:space="preserve">: </w:t>
            </w:r>
            <w:r>
              <w:rPr>
                <w:rStyle w:val="IndexLink"/>
                <w:rtl w:val="true"/>
              </w:rPr>
              <w:t>عدم إجزاء الواحد ذي الجهات الثلاث من حجر أو مدر أو خزف أو غیره</w:t>
            </w:r>
            <w:r>
              <w:rPr>
                <w:rStyle w:val="IndexLink"/>
                <w:rtl w:val="true"/>
              </w:rPr>
              <w:tab/>
            </w:r>
            <w:r>
              <w:rPr>
                <w:rStyle w:val="IndexLink"/>
              </w:rPr>
              <w:t>296</w:t>
            </w:r>
          </w:hyperlink>
        </w:p>
        <w:p>
          <w:pPr>
            <w:pStyle w:val="Contents5"/>
            <w:tabs>
              <w:tab w:val="clear" w:pos="7892"/>
              <w:tab w:val="right" w:pos="9026" w:leader="dot"/>
            </w:tabs>
            <w:rPr/>
          </w:pPr>
          <w:hyperlink w:anchor="__RefHeading___Toc13197787_1280447820">
            <w:r>
              <w:rPr>
                <w:webHidden/>
                <w:rStyle w:val="IndexLink"/>
                <w:rtl w:val="true"/>
              </w:rPr>
              <w:t>خامس عشرها</w:t>
            </w:r>
            <w:r>
              <w:rPr>
                <w:rStyle w:val="IndexLink"/>
                <w:rtl w:val="true"/>
              </w:rPr>
              <w:t xml:space="preserve">: </w:t>
            </w:r>
            <w:r>
              <w:rPr>
                <w:rStyle w:val="IndexLink"/>
                <w:rtl w:val="true"/>
              </w:rPr>
              <w:t>الأظهر والأحوط اشتراط البكارة في الأحجار بمعنى عدم استعمالها سابقاً في الاستنجاء</w:t>
            </w:r>
            <w:r>
              <w:rPr>
                <w:rStyle w:val="IndexLink"/>
                <w:rtl w:val="true"/>
              </w:rPr>
              <w:tab/>
            </w:r>
            <w:r>
              <w:rPr>
                <w:rStyle w:val="IndexLink"/>
              </w:rPr>
              <w:t>297</w:t>
            </w:r>
          </w:hyperlink>
        </w:p>
        <w:p>
          <w:pPr>
            <w:pStyle w:val="Contents5"/>
            <w:tabs>
              <w:tab w:val="clear" w:pos="7892"/>
              <w:tab w:val="right" w:pos="9026" w:leader="dot"/>
            </w:tabs>
            <w:rPr/>
          </w:pPr>
          <w:hyperlink w:anchor="__RefHeading___Toc13197789_1280447820">
            <w:r>
              <w:rPr>
                <w:webHidden/>
                <w:rStyle w:val="IndexLink"/>
                <w:rtl w:val="true"/>
              </w:rPr>
              <w:t>سادس عشرها</w:t>
            </w:r>
            <w:r>
              <w:rPr>
                <w:rStyle w:val="IndexLink"/>
                <w:rtl w:val="true"/>
              </w:rPr>
              <w:t xml:space="preserve">: </w:t>
            </w:r>
            <w:r>
              <w:rPr>
                <w:rStyle w:val="IndexLink"/>
                <w:rtl w:val="true"/>
              </w:rPr>
              <w:t>عدم إجزاء الثلاث على سبيل التوزيع على المحلّ</w:t>
            </w:r>
            <w:r>
              <w:rPr>
                <w:rStyle w:val="IndexLink"/>
                <w:rtl w:val="true"/>
              </w:rPr>
              <w:tab/>
            </w:r>
            <w:r>
              <w:rPr>
                <w:rStyle w:val="IndexLink"/>
              </w:rPr>
              <w:t>298</w:t>
            </w:r>
          </w:hyperlink>
        </w:p>
        <w:p>
          <w:pPr>
            <w:pStyle w:val="Contents5"/>
            <w:tabs>
              <w:tab w:val="clear" w:pos="7892"/>
              <w:tab w:val="right" w:pos="9026" w:leader="dot"/>
            </w:tabs>
            <w:rPr/>
          </w:pPr>
          <w:hyperlink w:anchor="__RefHeading___Toc13197791_1280447820">
            <w:r>
              <w:rPr>
                <w:webHidden/>
                <w:rStyle w:val="IndexLink"/>
                <w:rtl w:val="true"/>
              </w:rPr>
              <w:t>سابع عشرها</w:t>
            </w:r>
            <w:r>
              <w:rPr>
                <w:rStyle w:val="IndexLink"/>
                <w:rtl w:val="true"/>
              </w:rPr>
              <w:t xml:space="preserve">: </w:t>
            </w:r>
            <w:r>
              <w:rPr>
                <w:rStyle w:val="IndexLink"/>
                <w:rtl w:val="true"/>
              </w:rPr>
              <w:t>لا يجوز الاستنجاء بالعظم والروث ممّا يؤكل لحمه</w:t>
            </w:r>
            <w:r>
              <w:rPr>
                <w:rStyle w:val="IndexLink"/>
                <w:rtl w:val="true"/>
              </w:rPr>
              <w:tab/>
            </w:r>
            <w:r>
              <w:rPr>
                <w:rStyle w:val="IndexLink"/>
              </w:rPr>
              <w:t>298</w:t>
            </w:r>
          </w:hyperlink>
        </w:p>
        <w:p>
          <w:pPr>
            <w:pStyle w:val="Contents5"/>
            <w:tabs>
              <w:tab w:val="clear" w:pos="7892"/>
              <w:tab w:val="right" w:pos="9026" w:leader="dot"/>
            </w:tabs>
            <w:rPr/>
          </w:pPr>
          <w:hyperlink w:anchor="__RefHeading___Toc13197793_1280447820">
            <w:r>
              <w:rPr>
                <w:webHidden/>
                <w:rStyle w:val="IndexLink"/>
                <w:rtl w:val="true"/>
              </w:rPr>
              <w:t>ثامن عشرها</w:t>
            </w:r>
            <w:r>
              <w:rPr>
                <w:rStyle w:val="IndexLink"/>
                <w:rtl w:val="true"/>
              </w:rPr>
              <w:t xml:space="preserve">: </w:t>
            </w:r>
            <w:r>
              <w:rPr>
                <w:rStyle w:val="IndexLink"/>
                <w:rtl w:val="true"/>
              </w:rPr>
              <w:t>يحرم الاستنجاء بالمطعوم المعتاد فعلاً</w:t>
            </w:r>
            <w:r>
              <w:rPr>
                <w:rStyle w:val="IndexLink"/>
                <w:rtl w:val="true"/>
              </w:rPr>
              <w:tab/>
            </w:r>
            <w:r>
              <w:rPr>
                <w:rStyle w:val="IndexLink"/>
              </w:rPr>
              <w:t>299</w:t>
            </w:r>
          </w:hyperlink>
        </w:p>
        <w:p>
          <w:pPr>
            <w:pStyle w:val="Contents5"/>
            <w:tabs>
              <w:tab w:val="clear" w:pos="7892"/>
              <w:tab w:val="right" w:pos="9026" w:leader="dot"/>
            </w:tabs>
            <w:rPr/>
          </w:pPr>
          <w:hyperlink w:anchor="__RefHeading___Toc13197795_1280447820">
            <w:r>
              <w:rPr>
                <w:webHidden/>
                <w:rStyle w:val="IndexLink"/>
                <w:rtl w:val="true"/>
              </w:rPr>
              <w:t>تاسع عشرها</w:t>
            </w:r>
            <w:r>
              <w:rPr>
                <w:rStyle w:val="IndexLink"/>
                <w:rtl w:val="true"/>
              </w:rPr>
              <w:t xml:space="preserve">: </w:t>
            </w:r>
            <w:r>
              <w:rPr>
                <w:rStyle w:val="IndexLink"/>
                <w:rtl w:val="true"/>
              </w:rPr>
              <w:t>يحرم الاستنجاء بكلّ محترم مادّةً</w:t>
            </w:r>
            <w:r>
              <w:rPr>
                <w:rStyle w:val="IndexLink"/>
                <w:rtl w:val="true"/>
              </w:rPr>
              <w:tab/>
            </w:r>
            <w:r>
              <w:rPr>
                <w:rStyle w:val="IndexLink"/>
              </w:rPr>
              <w:t>299</w:t>
            </w:r>
          </w:hyperlink>
        </w:p>
        <w:p>
          <w:pPr>
            <w:pStyle w:val="Contents5"/>
            <w:tabs>
              <w:tab w:val="clear" w:pos="7892"/>
              <w:tab w:val="right" w:pos="9026" w:leader="dot"/>
            </w:tabs>
            <w:rPr/>
          </w:pPr>
          <w:hyperlink w:anchor="__RefHeading___Toc13197797_1280447820">
            <w:r>
              <w:rPr>
                <w:webHidden/>
                <w:rStyle w:val="IndexLink"/>
                <w:rtl w:val="true"/>
              </w:rPr>
              <w:t>العشرون</w:t>
            </w:r>
            <w:r>
              <w:rPr>
                <w:rStyle w:val="IndexLink"/>
                <w:rtl w:val="true"/>
              </w:rPr>
              <w:t xml:space="preserve">: </w:t>
            </w:r>
            <w:r>
              <w:rPr>
                <w:rStyle w:val="IndexLink"/>
                <w:rtl w:val="true"/>
              </w:rPr>
              <w:t>لا يجزئ التمسّح بالثلج ولا بالرطب الغير المتماسك</w:t>
            </w:r>
            <w:r>
              <w:rPr>
                <w:rStyle w:val="IndexLink"/>
                <w:rtl w:val="true"/>
              </w:rPr>
              <w:tab/>
            </w:r>
            <w:r>
              <w:rPr>
                <w:rStyle w:val="IndexLink"/>
              </w:rPr>
              <w:t>300</w:t>
            </w:r>
          </w:hyperlink>
        </w:p>
        <w:p>
          <w:pPr>
            <w:pStyle w:val="Contents5"/>
            <w:tabs>
              <w:tab w:val="clear" w:pos="7892"/>
              <w:tab w:val="right" w:pos="9026" w:leader="dot"/>
            </w:tabs>
            <w:rPr/>
          </w:pPr>
          <w:hyperlink w:anchor="__RefHeading___Toc13197799_1280447820">
            <w:r>
              <w:rPr>
                <w:webHidden/>
                <w:rStyle w:val="IndexLink"/>
                <w:rtl w:val="true"/>
              </w:rPr>
              <w:t>الحادي والعشرون</w:t>
            </w:r>
            <w:r>
              <w:rPr>
                <w:rStyle w:val="IndexLink"/>
                <w:rtl w:val="true"/>
              </w:rPr>
              <w:t xml:space="preserve">: </w:t>
            </w:r>
            <w:r>
              <w:rPr>
                <w:rStyle w:val="IndexLink"/>
                <w:rtl w:val="true"/>
              </w:rPr>
              <w:t>يستحبّ للرجل الاستبراء</w:t>
            </w:r>
            <w:r>
              <w:rPr>
                <w:rStyle w:val="IndexLink"/>
                <w:rtl w:val="true"/>
              </w:rPr>
              <w:tab/>
            </w:r>
            <w:r>
              <w:rPr>
                <w:rStyle w:val="IndexLink"/>
              </w:rPr>
              <w:t>300</w:t>
            </w:r>
          </w:hyperlink>
        </w:p>
        <w:p>
          <w:pPr>
            <w:pStyle w:val="Contents4"/>
            <w:tabs>
              <w:tab w:val="clear" w:pos="8176"/>
              <w:tab w:val="right" w:pos="9026" w:leader="dot"/>
            </w:tabs>
            <w:rPr/>
          </w:pPr>
          <w:hyperlink w:anchor="__RefHeading___Toc13197801_1280447820">
            <w:r>
              <w:rPr>
                <w:webHidden/>
                <w:rStyle w:val="IndexLink"/>
                <w:rtl w:val="true"/>
              </w:rPr>
              <w:t>القول في الوضوء</w:t>
            </w:r>
            <w:r>
              <w:rPr>
                <w:rStyle w:val="IndexLink"/>
                <w:rtl w:val="true"/>
              </w:rPr>
              <w:tab/>
            </w:r>
            <w:r>
              <w:rPr>
                <w:rStyle w:val="IndexLink"/>
              </w:rPr>
              <w:t>303</w:t>
            </w:r>
          </w:hyperlink>
        </w:p>
        <w:p>
          <w:pPr>
            <w:pStyle w:val="Contents5"/>
            <w:tabs>
              <w:tab w:val="clear" w:pos="7892"/>
              <w:tab w:val="right" w:pos="9026" w:leader="dot"/>
            </w:tabs>
            <w:rPr/>
          </w:pPr>
          <w:hyperlink w:anchor="__RefHeading___Toc13197803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3197805_1280447820">
            <w:r>
              <w:rPr>
                <w:webHidden/>
                <w:rStyle w:val="IndexLink"/>
                <w:rtl w:val="true"/>
              </w:rPr>
              <w:t>فروض الوضوء</w:t>
            </w:r>
            <w:r>
              <w:rPr>
                <w:rStyle w:val="IndexLink"/>
                <w:rtl w:val="true"/>
              </w:rPr>
              <w:tab/>
            </w:r>
            <w:r>
              <w:rPr>
                <w:rStyle w:val="IndexLink"/>
              </w:rPr>
              <w:t>303</w:t>
            </w:r>
          </w:hyperlink>
        </w:p>
        <w:p>
          <w:pPr>
            <w:pStyle w:val="Contents5"/>
            <w:tabs>
              <w:tab w:val="clear" w:pos="7892"/>
              <w:tab w:val="right" w:pos="9026" w:leader="dot"/>
            </w:tabs>
            <w:rPr/>
          </w:pPr>
          <w:hyperlink w:anchor="__RefHeading___Toc13197807_1280447820">
            <w:r>
              <w:rPr>
                <w:webHidden/>
                <w:rStyle w:val="IndexLink"/>
                <w:rtl w:val="true"/>
              </w:rPr>
              <w:t>الأوّل</w:t>
            </w:r>
            <w:r>
              <w:rPr>
                <w:rStyle w:val="IndexLink"/>
                <w:rtl w:val="true"/>
              </w:rPr>
              <w:t xml:space="preserve">: </w:t>
            </w:r>
            <w:r>
              <w:rPr>
                <w:rStyle w:val="IndexLink"/>
                <w:rtl w:val="true"/>
              </w:rPr>
              <w:t>في النيّة والكلام في مقامات</w:t>
            </w:r>
            <w:r>
              <w:rPr>
                <w:rStyle w:val="IndexLink"/>
                <w:rtl w:val="true"/>
              </w:rPr>
              <w:tab/>
            </w:r>
            <w:r>
              <w:rPr>
                <w:rStyle w:val="IndexLink"/>
              </w:rPr>
              <w:t>304</w:t>
            </w:r>
          </w:hyperlink>
        </w:p>
        <w:p>
          <w:pPr>
            <w:pStyle w:val="Contents6"/>
            <w:tabs>
              <w:tab w:val="clear" w:pos="7609"/>
              <w:tab w:val="right" w:pos="9026" w:leader="dot"/>
            </w:tabs>
            <w:rPr/>
          </w:pPr>
          <w:hyperlink w:anchor="__RefHeading___Toc13197809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3197811_1280447820">
            <w:r>
              <w:rPr>
                <w:webHidden/>
                <w:rStyle w:val="IndexLink"/>
                <w:rtl w:val="true"/>
              </w:rPr>
              <w:t>أحدها</w:t>
            </w:r>
            <w:r>
              <w:rPr>
                <w:rStyle w:val="IndexLink"/>
                <w:rtl w:val="true"/>
              </w:rPr>
              <w:t xml:space="preserve">: </w:t>
            </w:r>
            <w:r>
              <w:rPr>
                <w:rStyle w:val="IndexLink"/>
                <w:rtl w:val="true"/>
              </w:rPr>
              <w:t>وجوب النيّة في الطهارات الثلاث</w:t>
            </w:r>
            <w:r>
              <w:rPr>
                <w:rStyle w:val="IndexLink"/>
                <w:rtl w:val="true"/>
              </w:rPr>
              <w:tab/>
            </w:r>
            <w:r>
              <w:rPr>
                <w:rStyle w:val="IndexLink"/>
              </w:rPr>
              <w:t>304</w:t>
            </w:r>
          </w:hyperlink>
        </w:p>
        <w:p>
          <w:pPr>
            <w:pStyle w:val="Contents6"/>
            <w:tabs>
              <w:tab w:val="clear" w:pos="7609"/>
              <w:tab w:val="right" w:pos="9026" w:leader="dot"/>
            </w:tabs>
            <w:rPr/>
          </w:pPr>
          <w:hyperlink w:anchor="__RefHeading___Toc13197813_1280447820">
            <w:r>
              <w:rPr>
                <w:webHidden/>
                <w:rStyle w:val="IndexLink"/>
                <w:rtl w:val="true"/>
              </w:rPr>
              <w:t>الثاني</w:t>
            </w:r>
            <w:r>
              <w:rPr>
                <w:rStyle w:val="IndexLink"/>
                <w:rtl w:val="true"/>
              </w:rPr>
              <w:t xml:space="preserve">: </w:t>
            </w:r>
            <w:r>
              <w:rPr>
                <w:rStyle w:val="IndexLink"/>
                <w:rtl w:val="true"/>
              </w:rPr>
              <w:t>افتقار كلّ مأمور به إلى نيّته بالمعنى الخاصّ</w:t>
            </w:r>
            <w:r>
              <w:rPr>
                <w:rStyle w:val="IndexLink"/>
                <w:rtl w:val="true"/>
              </w:rPr>
              <w:tab/>
            </w:r>
            <w:r>
              <w:rPr>
                <w:rStyle w:val="IndexLink"/>
              </w:rPr>
              <w:t>305</w:t>
            </w:r>
          </w:hyperlink>
        </w:p>
        <w:p>
          <w:pPr>
            <w:pStyle w:val="Contents6"/>
            <w:tabs>
              <w:tab w:val="clear" w:pos="7609"/>
              <w:tab w:val="right" w:pos="9026" w:leader="dot"/>
            </w:tabs>
            <w:rPr/>
          </w:pPr>
          <w:hyperlink w:anchor="__RefHeading___Toc13197815_1280447820">
            <w:r>
              <w:rPr>
                <w:webHidden/>
                <w:rStyle w:val="IndexLink"/>
                <w:rtl w:val="true"/>
              </w:rPr>
              <w:t xml:space="preserve">الثالث </w:t>
            </w:r>
            <w:r>
              <w:rPr>
                <w:rStyle w:val="IndexLink"/>
                <w:rtl w:val="true"/>
              </w:rPr>
              <w:t xml:space="preserve">: </w:t>
            </w:r>
            <w:r>
              <w:rPr>
                <w:rStyle w:val="IndexLink"/>
                <w:rtl w:val="true"/>
              </w:rPr>
              <w:t>فی أنّ النيّة حقيقة شرعيّة في القصد المقارن للقربة</w:t>
            </w:r>
            <w:r>
              <w:rPr>
                <w:rStyle w:val="IndexLink"/>
                <w:rtl w:val="true"/>
              </w:rPr>
              <w:tab/>
            </w:r>
            <w:r>
              <w:rPr>
                <w:rStyle w:val="IndexLink"/>
              </w:rPr>
              <w:t>305</w:t>
            </w:r>
          </w:hyperlink>
        </w:p>
        <w:p>
          <w:pPr>
            <w:pStyle w:val="Contents6"/>
            <w:tabs>
              <w:tab w:val="clear" w:pos="7609"/>
              <w:tab w:val="right" w:pos="9026" w:leader="dot"/>
            </w:tabs>
            <w:rPr/>
          </w:pPr>
          <w:hyperlink w:anchor="__RefHeading___Toc13197817_1280447820">
            <w:r>
              <w:rPr>
                <w:webHidden/>
                <w:rStyle w:val="IndexLink"/>
                <w:rtl w:val="true"/>
              </w:rPr>
              <w:t>الرابع</w:t>
            </w:r>
            <w:r>
              <w:rPr>
                <w:rStyle w:val="IndexLink"/>
                <w:rtl w:val="true"/>
              </w:rPr>
              <w:t xml:space="preserve">: </w:t>
            </w:r>
            <w:r>
              <w:rPr>
                <w:rStyle w:val="IndexLink"/>
                <w:rtl w:val="true"/>
              </w:rPr>
              <w:t>اشتراط قصدُ نفس الفعل جزماً في نيّة العبادة</w:t>
            </w:r>
            <w:r>
              <w:rPr>
                <w:rStyle w:val="IndexLink"/>
                <w:rtl w:val="true"/>
              </w:rPr>
              <w:tab/>
            </w:r>
            <w:r>
              <w:rPr>
                <w:rStyle w:val="IndexLink"/>
              </w:rPr>
              <w:t>305</w:t>
            </w:r>
          </w:hyperlink>
        </w:p>
        <w:p>
          <w:pPr>
            <w:pStyle w:val="Contents6"/>
            <w:tabs>
              <w:tab w:val="clear" w:pos="7609"/>
              <w:tab w:val="right" w:pos="9026" w:leader="dot"/>
            </w:tabs>
            <w:rPr/>
          </w:pPr>
          <w:hyperlink w:anchor="__RefHeading___Toc13197819_1280447820">
            <w:r>
              <w:rPr>
                <w:webHidden/>
                <w:rStyle w:val="IndexLink"/>
                <w:rtl w:val="true"/>
              </w:rPr>
              <w:t>الخامس</w:t>
            </w:r>
            <w:r>
              <w:rPr>
                <w:rStyle w:val="IndexLink"/>
                <w:rtl w:val="true"/>
              </w:rPr>
              <w:t xml:space="preserve">: </w:t>
            </w:r>
            <w:r>
              <w:rPr>
                <w:rStyle w:val="IndexLink"/>
                <w:rtl w:val="true"/>
              </w:rPr>
              <w:t>تجب استدامة حكم النيّة في جميع الأجزاء العبادۀ</w:t>
            </w:r>
            <w:r>
              <w:rPr>
                <w:rStyle w:val="IndexLink"/>
                <w:rtl w:val="true"/>
              </w:rPr>
              <w:tab/>
            </w:r>
            <w:r>
              <w:rPr>
                <w:rStyle w:val="IndexLink"/>
              </w:rPr>
              <w:t>307</w:t>
            </w:r>
          </w:hyperlink>
        </w:p>
        <w:p>
          <w:pPr>
            <w:pStyle w:val="Contents6"/>
            <w:tabs>
              <w:tab w:val="clear" w:pos="7609"/>
              <w:tab w:val="right" w:pos="9026" w:leader="dot"/>
            </w:tabs>
            <w:rPr/>
          </w:pPr>
          <w:hyperlink w:anchor="__RefHeading___Toc13197821_1280447820">
            <w:r>
              <w:rPr>
                <w:webHidden/>
                <w:rStyle w:val="IndexLink"/>
                <w:rtl w:val="true"/>
              </w:rPr>
              <w:t>السادس</w:t>
            </w:r>
            <w:r>
              <w:rPr>
                <w:rStyle w:val="IndexLink"/>
                <w:rtl w:val="true"/>
              </w:rPr>
              <w:t xml:space="preserve">: </w:t>
            </w:r>
            <w:r>
              <w:rPr>
                <w:rStyle w:val="IndexLink"/>
                <w:rtl w:val="true"/>
              </w:rPr>
              <w:t>فی انّه يكفي في قصد الفعل شعور النفس به بأدنى تفطّنٍ والتفات</w:t>
            </w:r>
            <w:r>
              <w:rPr>
                <w:rStyle w:val="IndexLink"/>
                <w:rtl w:val="true"/>
              </w:rPr>
              <w:tab/>
            </w:r>
            <w:r>
              <w:rPr>
                <w:rStyle w:val="IndexLink"/>
              </w:rPr>
              <w:t>307</w:t>
            </w:r>
          </w:hyperlink>
        </w:p>
        <w:p>
          <w:pPr>
            <w:pStyle w:val="Contents6"/>
            <w:tabs>
              <w:tab w:val="clear" w:pos="7609"/>
              <w:tab w:val="right" w:pos="9026" w:leader="dot"/>
            </w:tabs>
            <w:rPr/>
          </w:pPr>
          <w:hyperlink w:anchor="__RefHeading___Toc13197823_1280447820">
            <w:r>
              <w:rPr>
                <w:webHidden/>
                <w:rStyle w:val="IndexLink"/>
                <w:rtl w:val="true"/>
              </w:rPr>
              <w:t>السابع</w:t>
            </w:r>
            <w:r>
              <w:rPr>
                <w:rStyle w:val="IndexLink"/>
                <w:rtl w:val="true"/>
              </w:rPr>
              <w:t xml:space="preserve">: </w:t>
            </w:r>
            <w:r>
              <w:rPr>
                <w:rStyle w:val="IndexLink"/>
                <w:rtl w:val="true"/>
              </w:rPr>
              <w:t>وجوب مقارنة النيّة لأوّل أجزاء العمل، ثمّ استمرار حكمها بعد ذلك</w:t>
            </w:r>
            <w:r>
              <w:rPr>
                <w:rStyle w:val="IndexLink"/>
                <w:rtl w:val="true"/>
              </w:rPr>
              <w:tab/>
            </w:r>
            <w:r>
              <w:rPr>
                <w:rStyle w:val="IndexLink"/>
              </w:rPr>
              <w:t>308</w:t>
            </w:r>
          </w:hyperlink>
        </w:p>
        <w:p>
          <w:pPr>
            <w:pStyle w:val="Contents6"/>
            <w:tabs>
              <w:tab w:val="clear" w:pos="7609"/>
              <w:tab w:val="right" w:pos="9026" w:leader="dot"/>
            </w:tabs>
            <w:rPr/>
          </w:pPr>
          <w:hyperlink w:anchor="__RefHeading___Toc13197825_1280447820">
            <w:r>
              <w:rPr>
                <w:webHidden/>
                <w:rStyle w:val="IndexLink"/>
                <w:rtl w:val="true"/>
              </w:rPr>
              <w:t>الثامن</w:t>
            </w:r>
            <w:r>
              <w:rPr>
                <w:rStyle w:val="IndexLink"/>
                <w:rtl w:val="true"/>
              </w:rPr>
              <w:t xml:space="preserve">: </w:t>
            </w:r>
            <w:r>
              <w:rPr>
                <w:rStyle w:val="IndexLink"/>
                <w:rtl w:val="true"/>
              </w:rPr>
              <w:t>عدم وجوب نیّۀ وجه الفعل من الوجوب والندب</w:t>
            </w:r>
            <w:r>
              <w:rPr>
                <w:rStyle w:val="IndexLink"/>
                <w:rtl w:val="true"/>
              </w:rPr>
              <w:tab/>
            </w:r>
            <w:r>
              <w:rPr>
                <w:rStyle w:val="IndexLink"/>
              </w:rPr>
              <w:t>308</w:t>
            </w:r>
          </w:hyperlink>
        </w:p>
        <w:p>
          <w:pPr>
            <w:pStyle w:val="Contents6"/>
            <w:tabs>
              <w:tab w:val="clear" w:pos="7609"/>
              <w:tab w:val="right" w:pos="9026" w:leader="dot"/>
            </w:tabs>
            <w:rPr/>
          </w:pPr>
          <w:hyperlink w:anchor="__RefHeading___Toc13197827_1280447820">
            <w:r>
              <w:rPr>
                <w:webHidden/>
                <w:rStyle w:val="IndexLink"/>
                <w:rtl w:val="true"/>
              </w:rPr>
              <w:t>التاسع</w:t>
            </w:r>
            <w:r>
              <w:rPr>
                <w:rStyle w:val="IndexLink"/>
                <w:rtl w:val="true"/>
              </w:rPr>
              <w:t xml:space="preserve">: </w:t>
            </w:r>
            <w:r>
              <w:rPr>
                <w:rStyle w:val="IndexLink"/>
                <w:rtl w:val="true"/>
              </w:rPr>
              <w:t>عدم تجب في الوضوء نيّة الرفع ولا نية الاستباحة</w:t>
            </w:r>
            <w:r>
              <w:rPr>
                <w:rStyle w:val="IndexLink"/>
                <w:rtl w:val="true"/>
              </w:rPr>
              <w:tab/>
            </w:r>
            <w:r>
              <w:rPr>
                <w:rStyle w:val="IndexLink"/>
              </w:rPr>
              <w:t>310</w:t>
            </w:r>
          </w:hyperlink>
        </w:p>
        <w:p>
          <w:pPr>
            <w:pStyle w:val="Contents6"/>
            <w:tabs>
              <w:tab w:val="clear" w:pos="7609"/>
              <w:tab w:val="right" w:pos="9026" w:leader="dot"/>
            </w:tabs>
            <w:rPr/>
          </w:pPr>
          <w:hyperlink w:anchor="__RefHeading___Toc13197829_1280447820">
            <w:r>
              <w:rPr>
                <w:webHidden/>
                <w:rStyle w:val="IndexLink"/>
                <w:rtl w:val="true"/>
              </w:rPr>
              <w:t>العاشر</w:t>
            </w:r>
            <w:r>
              <w:rPr>
                <w:rStyle w:val="IndexLink"/>
                <w:rtl w:val="true"/>
              </w:rPr>
              <w:t xml:space="preserve">: </w:t>
            </w:r>
            <w:r>
              <w:rPr>
                <w:rStyle w:val="IndexLink"/>
                <w:rtl w:val="true"/>
              </w:rPr>
              <w:t>حکم نیّۀ الوجوب في مقام الندب وبالعكس وکذا نیّۀ عدم الرفع وعدم الاستباحة بعد نيّة الفعل على وجه القربة</w:t>
            </w:r>
            <w:r>
              <w:rPr>
                <w:rStyle w:val="IndexLink"/>
                <w:rtl w:val="true"/>
              </w:rPr>
              <w:tab/>
            </w:r>
            <w:r>
              <w:rPr>
                <w:rStyle w:val="IndexLink"/>
              </w:rPr>
              <w:t>311</w:t>
            </w:r>
          </w:hyperlink>
        </w:p>
        <w:p>
          <w:pPr>
            <w:pStyle w:val="Contents6"/>
            <w:tabs>
              <w:tab w:val="clear" w:pos="7609"/>
              <w:tab w:val="right" w:pos="9026" w:leader="dot"/>
            </w:tabs>
            <w:rPr/>
          </w:pPr>
          <w:hyperlink w:anchor="__RefHeading___Toc13197831_1280447820">
            <w:r>
              <w:rPr>
                <w:webHidden/>
                <w:rStyle w:val="IndexLink"/>
                <w:rtl w:val="true"/>
              </w:rPr>
              <w:t>الحادي عشر</w:t>
            </w:r>
            <w:r>
              <w:rPr>
                <w:rStyle w:val="IndexLink"/>
                <w:rtl w:val="true"/>
              </w:rPr>
              <w:t xml:space="preserve">: </w:t>
            </w:r>
            <w:r>
              <w:rPr>
                <w:rStyle w:val="IndexLink"/>
                <w:rtl w:val="true"/>
              </w:rPr>
              <w:t>فی إنّه علی القول بوجوب نیّۀ استباحة یکفی نیّۀ استباحۀ أیّ مشروط بالوضوء</w:t>
            </w:r>
            <w:r>
              <w:rPr>
                <w:rStyle w:val="IndexLink"/>
                <w:rtl w:val="true"/>
              </w:rPr>
              <w:tab/>
            </w:r>
            <w:r>
              <w:rPr>
                <w:rStyle w:val="IndexLink"/>
              </w:rPr>
              <w:t>312</w:t>
            </w:r>
          </w:hyperlink>
        </w:p>
        <w:p>
          <w:pPr>
            <w:pStyle w:val="Contents6"/>
            <w:tabs>
              <w:tab w:val="clear" w:pos="7609"/>
              <w:tab w:val="right" w:pos="9026" w:leader="dot"/>
            </w:tabs>
            <w:rPr/>
          </w:pPr>
          <w:hyperlink w:anchor="__RefHeading___Toc13197833_1280447820">
            <w:r>
              <w:rPr>
                <w:webHidden/>
                <w:rStyle w:val="IndexLink"/>
                <w:rtl w:val="true"/>
              </w:rPr>
              <w:t xml:space="preserve">الثاني عشر </w:t>
            </w:r>
            <w:r>
              <w:rPr>
                <w:rStyle w:val="IndexLink"/>
                <w:rtl w:val="true"/>
              </w:rPr>
              <w:t>:</w:t>
            </w:r>
            <w:r>
              <w:rPr>
                <w:rStyle w:val="IndexLink"/>
                <w:rtl w:val="true"/>
              </w:rPr>
              <w:t>فی أنّ مَنْ وجب عليه الوضوء لغايةٍ وجب عليه نيّة الوجوب إذا نواه لتلك الغاية</w:t>
            </w:r>
            <w:r>
              <w:rPr>
                <w:rStyle w:val="IndexLink"/>
                <w:rtl w:val="true"/>
              </w:rPr>
              <w:tab/>
            </w:r>
            <w:r>
              <w:rPr>
                <w:rStyle w:val="IndexLink"/>
              </w:rPr>
              <w:t>313</w:t>
            </w:r>
          </w:hyperlink>
        </w:p>
        <w:p>
          <w:pPr>
            <w:pStyle w:val="Contents6"/>
            <w:tabs>
              <w:tab w:val="clear" w:pos="7609"/>
              <w:tab w:val="right" w:pos="9026" w:leader="dot"/>
            </w:tabs>
            <w:rPr/>
          </w:pPr>
          <w:hyperlink w:anchor="__RefHeading___Toc13197835_1280447820">
            <w:r>
              <w:rPr>
                <w:webHidden/>
                <w:rStyle w:val="IndexLink"/>
                <w:rtl w:val="true"/>
              </w:rPr>
              <w:t xml:space="preserve">الثالث عشر </w:t>
            </w:r>
            <w:r>
              <w:rPr>
                <w:rStyle w:val="IndexLink"/>
                <w:rtl w:val="true"/>
              </w:rPr>
              <w:t xml:space="preserve">: </w:t>
            </w:r>
            <w:r>
              <w:rPr>
                <w:rStyle w:val="IndexLink"/>
                <w:rtl w:val="true"/>
              </w:rPr>
              <w:t>فی أنّ العمل المشتمل على واجب ومندوب كالوضوء يجوز نيّة وعه قربةً من غير ذكر الوجه</w:t>
            </w:r>
            <w:r>
              <w:rPr>
                <w:rStyle w:val="IndexLink"/>
                <w:rtl w:val="true"/>
              </w:rPr>
              <w:t>.</w:t>
              <w:tab/>
            </w:r>
            <w:r>
              <w:rPr>
                <w:rStyle w:val="IndexLink"/>
              </w:rPr>
              <w:t>313</w:t>
            </w:r>
          </w:hyperlink>
        </w:p>
        <w:p>
          <w:pPr>
            <w:pStyle w:val="Contents6"/>
            <w:tabs>
              <w:tab w:val="clear" w:pos="7609"/>
              <w:tab w:val="right" w:pos="9026" w:leader="dot"/>
            </w:tabs>
            <w:rPr/>
          </w:pPr>
          <w:hyperlink w:anchor="__RefHeading___Toc13197837_1280447820">
            <w:r>
              <w:rPr>
                <w:webHidden/>
                <w:rStyle w:val="IndexLink"/>
                <w:rtl w:val="true"/>
              </w:rPr>
              <w:t>الرابع عشر</w:t>
            </w:r>
            <w:r>
              <w:rPr>
                <w:rStyle w:val="IndexLink"/>
                <w:rtl w:val="true"/>
              </w:rPr>
              <w:t xml:space="preserve">: </w:t>
            </w:r>
            <w:r>
              <w:rPr>
                <w:rStyle w:val="IndexLink"/>
                <w:rtl w:val="true"/>
              </w:rPr>
              <w:t>عدم البأس بتفريق النيّة على أجزاء العمل بعد نيّة المجموع</w:t>
            </w:r>
            <w:r>
              <w:rPr>
                <w:rStyle w:val="IndexLink"/>
                <w:rtl w:val="true"/>
              </w:rPr>
              <w:tab/>
            </w:r>
            <w:r>
              <w:rPr>
                <w:rStyle w:val="IndexLink"/>
              </w:rPr>
              <w:t>313</w:t>
            </w:r>
          </w:hyperlink>
        </w:p>
        <w:p>
          <w:pPr>
            <w:pStyle w:val="Contents6"/>
            <w:tabs>
              <w:tab w:val="clear" w:pos="7609"/>
              <w:tab w:val="right" w:pos="9026" w:leader="dot"/>
            </w:tabs>
            <w:rPr/>
          </w:pPr>
          <w:hyperlink w:anchor="__RefHeading___Toc13197839_1280447820">
            <w:r>
              <w:rPr>
                <w:webHidden/>
                <w:rStyle w:val="IndexLink"/>
                <w:rtl w:val="true"/>
              </w:rPr>
              <w:t xml:space="preserve">الخامس عشر </w:t>
            </w:r>
            <w:r>
              <w:rPr>
                <w:rStyle w:val="IndexLink"/>
                <w:rtl w:val="true"/>
              </w:rPr>
              <w:t xml:space="preserve">: </w:t>
            </w:r>
            <w:r>
              <w:rPr>
                <w:rStyle w:val="IndexLink"/>
                <w:rtl w:val="true"/>
              </w:rPr>
              <w:t>لو نوى استباحة ما يكمل بالوضوء من الغايات</w:t>
            </w:r>
            <w:r>
              <w:rPr>
                <w:rStyle w:val="IndexLink"/>
                <w:rtl w:val="true"/>
              </w:rPr>
              <w:tab/>
            </w:r>
            <w:r>
              <w:rPr>
                <w:rStyle w:val="IndexLink"/>
              </w:rPr>
              <w:t>314</w:t>
            </w:r>
          </w:hyperlink>
        </w:p>
        <w:p>
          <w:pPr>
            <w:pStyle w:val="Contents6"/>
            <w:tabs>
              <w:tab w:val="clear" w:pos="7609"/>
              <w:tab w:val="right" w:pos="9026" w:leader="dot"/>
            </w:tabs>
            <w:rPr/>
          </w:pPr>
          <w:hyperlink w:anchor="__RefHeading___Toc13197841_1280447820">
            <w:r>
              <w:rPr>
                <w:webHidden/>
                <w:rStyle w:val="IndexLink"/>
                <w:rtl w:val="true"/>
              </w:rPr>
              <w:t>السادس عشر</w:t>
            </w:r>
            <w:r>
              <w:rPr>
                <w:rStyle w:val="IndexLink"/>
                <w:rtl w:val="true"/>
              </w:rPr>
              <w:t xml:space="preserve">: </w:t>
            </w:r>
            <w:r>
              <w:rPr>
                <w:rStyle w:val="IndexLink"/>
                <w:rtl w:val="true"/>
              </w:rPr>
              <w:t>يجزئ الوضوء التجديدي عن الوضوء الرافع لو تبيّن بطلان الأوّل</w:t>
            </w:r>
            <w:r>
              <w:rPr>
                <w:rStyle w:val="IndexLink"/>
                <w:rtl w:val="true"/>
              </w:rPr>
              <w:tab/>
            </w:r>
            <w:r>
              <w:rPr>
                <w:rStyle w:val="IndexLink"/>
              </w:rPr>
              <w:t>314</w:t>
            </w:r>
          </w:hyperlink>
        </w:p>
        <w:p>
          <w:pPr>
            <w:pStyle w:val="Contents6"/>
            <w:tabs>
              <w:tab w:val="clear" w:pos="7609"/>
              <w:tab w:val="right" w:pos="9026" w:leader="dot"/>
            </w:tabs>
            <w:rPr/>
          </w:pPr>
          <w:hyperlink w:anchor="__RefHeading___Toc13197843_1280447820">
            <w:r>
              <w:rPr>
                <w:webHidden/>
                <w:rStyle w:val="IndexLink"/>
                <w:rtl w:val="true"/>
              </w:rPr>
              <w:t>السابع عشر</w:t>
            </w:r>
            <w:r>
              <w:rPr>
                <w:rStyle w:val="IndexLink"/>
                <w:rtl w:val="true"/>
              </w:rPr>
              <w:t xml:space="preserve">: </w:t>
            </w:r>
            <w:r>
              <w:rPr>
                <w:rStyle w:val="IndexLink"/>
                <w:rtl w:val="true"/>
              </w:rPr>
              <w:t>مَنْ وجب عليه العمل في الأثناء بعد أن كان مندوباً بنذرٍ وشبهه، أو كأيّام الاعتكاف لا يجب عليه تجديد النيّة على مذهبنا</w:t>
            </w:r>
            <w:r>
              <w:rPr>
                <w:rStyle w:val="IndexLink"/>
                <w:rtl w:val="true"/>
              </w:rPr>
              <w:t>.</w:t>
              <w:tab/>
            </w:r>
            <w:r>
              <w:rPr>
                <w:rStyle w:val="IndexLink"/>
              </w:rPr>
              <w:t>315</w:t>
            </w:r>
          </w:hyperlink>
        </w:p>
        <w:p>
          <w:pPr>
            <w:pStyle w:val="Contents6"/>
            <w:tabs>
              <w:tab w:val="clear" w:pos="7609"/>
              <w:tab w:val="right" w:pos="9026" w:leader="dot"/>
            </w:tabs>
            <w:rPr/>
          </w:pPr>
          <w:hyperlink w:anchor="__RefHeading___Toc13197845_1280447820">
            <w:r>
              <w:rPr>
                <w:webHidden/>
                <w:rStyle w:val="IndexLink"/>
                <w:rtl w:val="true"/>
              </w:rPr>
              <w:t xml:space="preserve">الثامن عشر </w:t>
            </w:r>
            <w:r>
              <w:rPr>
                <w:rStyle w:val="IndexLink"/>
                <w:rtl w:val="true"/>
              </w:rPr>
              <w:t xml:space="preserve">: </w:t>
            </w:r>
            <w:r>
              <w:rPr>
                <w:rStyle w:val="IndexLink"/>
                <w:rtl w:val="true"/>
              </w:rPr>
              <w:t>نيّة الوجه من الصبيّ هي الندب</w:t>
            </w:r>
            <w:r>
              <w:rPr>
                <w:rStyle w:val="IndexLink"/>
                <w:rtl w:val="true"/>
              </w:rPr>
              <w:tab/>
            </w:r>
            <w:r>
              <w:rPr>
                <w:rStyle w:val="IndexLink"/>
              </w:rPr>
              <w:t>315</w:t>
            </w:r>
          </w:hyperlink>
        </w:p>
        <w:p>
          <w:pPr>
            <w:pStyle w:val="Contents6"/>
            <w:tabs>
              <w:tab w:val="clear" w:pos="7609"/>
              <w:tab w:val="right" w:pos="9026" w:leader="dot"/>
            </w:tabs>
            <w:rPr/>
          </w:pPr>
          <w:hyperlink w:anchor="__RefHeading___Toc13197847_1280447820">
            <w:r>
              <w:rPr>
                <w:webHidden/>
                <w:rStyle w:val="IndexLink"/>
                <w:rtl w:val="true"/>
              </w:rPr>
              <w:t xml:space="preserve">التاسع عشر </w:t>
            </w:r>
            <w:r>
              <w:rPr>
                <w:rStyle w:val="IndexLink"/>
                <w:rtl w:val="true"/>
              </w:rPr>
              <w:t>:</w:t>
            </w:r>
            <w:r>
              <w:rPr>
                <w:rStyle w:val="IndexLink"/>
                <w:rtl w:val="true"/>
              </w:rPr>
              <w:t>فی انّه ینوی الأجیر الوجوبَ والمتبرع الندب</w:t>
            </w:r>
            <w:r>
              <w:rPr>
                <w:rStyle w:val="IndexLink"/>
                <w:rtl w:val="true"/>
              </w:rPr>
              <w:tab/>
            </w:r>
            <w:r>
              <w:rPr>
                <w:rStyle w:val="IndexLink"/>
              </w:rPr>
              <w:t>315</w:t>
            </w:r>
          </w:hyperlink>
        </w:p>
        <w:p>
          <w:pPr>
            <w:pStyle w:val="Contents6"/>
            <w:tabs>
              <w:tab w:val="clear" w:pos="7609"/>
              <w:tab w:val="right" w:pos="9026" w:leader="dot"/>
            </w:tabs>
            <w:rPr/>
          </w:pPr>
          <w:hyperlink w:anchor="__RefHeading___Toc13197849_1280447820">
            <w:r>
              <w:rPr>
                <w:webHidden/>
                <w:rStyle w:val="IndexLink"/>
                <w:rtl w:val="true"/>
              </w:rPr>
              <w:t>العشرون</w:t>
            </w:r>
            <w:r>
              <w:rPr>
                <w:rStyle w:val="IndexLink"/>
                <w:rtl w:val="true"/>
              </w:rPr>
              <w:t xml:space="preserve">: </w:t>
            </w:r>
            <w:r>
              <w:rPr>
                <w:rStyle w:val="IndexLink"/>
                <w:rtl w:val="true"/>
              </w:rPr>
              <w:t>نيّة الرياء والسمعة مفسِدةٌ للعمل</w:t>
            </w:r>
            <w:r>
              <w:rPr>
                <w:rStyle w:val="IndexLink"/>
                <w:rtl w:val="true"/>
              </w:rPr>
              <w:tab/>
            </w:r>
            <w:r>
              <w:rPr>
                <w:rStyle w:val="IndexLink"/>
              </w:rPr>
              <w:t>316</w:t>
            </w:r>
          </w:hyperlink>
        </w:p>
        <w:p>
          <w:pPr>
            <w:pStyle w:val="Contents6"/>
            <w:tabs>
              <w:tab w:val="clear" w:pos="7609"/>
              <w:tab w:val="right" w:pos="9026" w:leader="dot"/>
            </w:tabs>
            <w:rPr/>
          </w:pPr>
          <w:hyperlink w:anchor="__RefHeading___Toc13197851_1280447820">
            <w:r>
              <w:rPr>
                <w:webHidden/>
                <w:rStyle w:val="IndexLink"/>
                <w:rtl w:val="true"/>
              </w:rPr>
              <w:t>الحادي والعشرون</w:t>
            </w:r>
            <w:r>
              <w:rPr>
                <w:rStyle w:val="IndexLink"/>
                <w:rtl w:val="true"/>
              </w:rPr>
              <w:t xml:space="preserve">: </w:t>
            </w:r>
            <w:r>
              <w:rPr>
                <w:rStyle w:val="IndexLink"/>
                <w:rtl w:val="true"/>
              </w:rPr>
              <w:t>حکم نيّة الضمائم الراجحة للعبادة وغیر الراجحة لها</w:t>
            </w:r>
            <w:r>
              <w:rPr>
                <w:rStyle w:val="IndexLink"/>
                <w:rtl w:val="true"/>
              </w:rPr>
              <w:tab/>
            </w:r>
            <w:r>
              <w:rPr>
                <w:rStyle w:val="IndexLink"/>
              </w:rPr>
              <w:t>316</w:t>
            </w:r>
          </w:hyperlink>
        </w:p>
        <w:p>
          <w:pPr>
            <w:pStyle w:val="Contents6"/>
            <w:tabs>
              <w:tab w:val="clear" w:pos="7609"/>
              <w:tab w:val="right" w:pos="9026" w:leader="dot"/>
            </w:tabs>
            <w:rPr/>
          </w:pPr>
          <w:hyperlink w:anchor="__RefHeading___Toc13197853_1280447820">
            <w:r>
              <w:rPr>
                <w:webHidden/>
                <w:rStyle w:val="IndexLink"/>
                <w:rtl w:val="true"/>
              </w:rPr>
              <w:t>الثاني والعشرون</w:t>
            </w:r>
            <w:r>
              <w:rPr>
                <w:rStyle w:val="IndexLink"/>
                <w:rtl w:val="true"/>
              </w:rPr>
              <w:t xml:space="preserve">: </w:t>
            </w:r>
            <w:r>
              <w:rPr>
                <w:rStyle w:val="IndexLink"/>
                <w:rtl w:val="true"/>
              </w:rPr>
              <w:t>حکم الرياء المتأخّر عن العمل والعجب المقارن له</w:t>
            </w:r>
            <w:r>
              <w:rPr>
                <w:rStyle w:val="IndexLink"/>
                <w:rtl w:val="true"/>
              </w:rPr>
              <w:tab/>
            </w:r>
            <w:r>
              <w:rPr>
                <w:rStyle w:val="IndexLink"/>
              </w:rPr>
              <w:t>317</w:t>
            </w:r>
          </w:hyperlink>
        </w:p>
        <w:p>
          <w:pPr>
            <w:pStyle w:val="Contents6"/>
            <w:tabs>
              <w:tab w:val="clear" w:pos="7609"/>
              <w:tab w:val="right" w:pos="9026" w:leader="dot"/>
            </w:tabs>
            <w:rPr/>
          </w:pPr>
          <w:hyperlink w:anchor="__RefHeading___Toc13197855_1280447820">
            <w:r>
              <w:rPr>
                <w:webHidden/>
                <w:rStyle w:val="IndexLink"/>
                <w:rtl w:val="true"/>
              </w:rPr>
              <w:t>الثالث والعشرون</w:t>
            </w:r>
            <w:r>
              <w:rPr>
                <w:rStyle w:val="IndexLink"/>
                <w:rtl w:val="true"/>
              </w:rPr>
              <w:t xml:space="preserve">: </w:t>
            </w:r>
            <w:r>
              <w:rPr>
                <w:rStyle w:val="IndexLink"/>
                <w:rtl w:val="true"/>
              </w:rPr>
              <w:t>قد تقدّم اشتراط الاستدامة الحكميّة فى النية، والظاهر أنّه لا خلاف بينهم فيها، ولكنّ الشأن في معناها</w:t>
            </w:r>
            <w:r>
              <w:rPr>
                <w:rStyle w:val="IndexLink"/>
                <w:rtl w:val="true"/>
              </w:rPr>
              <w:t>.</w:t>
              <w:tab/>
            </w:r>
            <w:r>
              <w:rPr>
                <w:rStyle w:val="IndexLink"/>
              </w:rPr>
              <w:t>317</w:t>
            </w:r>
          </w:hyperlink>
        </w:p>
        <w:p>
          <w:pPr>
            <w:pStyle w:val="Contents6"/>
            <w:tabs>
              <w:tab w:val="clear" w:pos="7609"/>
              <w:tab w:val="right" w:pos="9026" w:leader="dot"/>
            </w:tabs>
            <w:rPr/>
          </w:pPr>
          <w:hyperlink w:anchor="__RefHeading___Toc13197857_1280447820">
            <w:r>
              <w:rPr>
                <w:webHidden/>
                <w:rStyle w:val="IndexLink"/>
                <w:rtl w:val="true"/>
              </w:rPr>
              <w:t>الرابع والعشرون</w:t>
            </w:r>
            <w:r>
              <w:rPr>
                <w:rStyle w:val="IndexLink"/>
                <w:rtl w:val="true"/>
              </w:rPr>
              <w:t xml:space="preserve">: </w:t>
            </w:r>
            <w:r>
              <w:rPr>
                <w:rStyle w:val="IndexLink"/>
                <w:rtl w:val="true"/>
              </w:rPr>
              <w:t>إذا اجتمعت في المنويّ جهات مندوبة وواجبة</w:t>
            </w:r>
            <w:r>
              <w:rPr>
                <w:rStyle w:val="IndexLink"/>
                <w:rtl w:val="true"/>
              </w:rPr>
              <w:tab/>
            </w:r>
            <w:r>
              <w:rPr>
                <w:rStyle w:val="IndexLink"/>
              </w:rPr>
              <w:t>318</w:t>
            </w:r>
          </w:hyperlink>
        </w:p>
        <w:p>
          <w:pPr>
            <w:pStyle w:val="Contents6"/>
            <w:tabs>
              <w:tab w:val="clear" w:pos="7609"/>
              <w:tab w:val="right" w:pos="9026" w:leader="dot"/>
            </w:tabs>
            <w:rPr/>
          </w:pPr>
          <w:hyperlink w:anchor="__RefHeading___Toc13197859_1280447820">
            <w:r>
              <w:rPr>
                <w:webHidden/>
                <w:rStyle w:val="IndexLink"/>
                <w:rtl w:val="true"/>
              </w:rPr>
              <w:t>الخامس والعشرون</w:t>
            </w:r>
            <w:r>
              <w:rPr>
                <w:rStyle w:val="IndexLink"/>
                <w:rtl w:val="true"/>
              </w:rPr>
              <w:t xml:space="preserve">: </w:t>
            </w:r>
            <w:r>
              <w:rPr>
                <w:rStyle w:val="IndexLink"/>
                <w:rtl w:val="true"/>
              </w:rPr>
              <w:t>صدور أفراد الحدث من نوعٍ واحد أو صدورها من أنواع متعدّدة في أكبر أو أصغر</w:t>
            </w:r>
            <w:r>
              <w:rPr>
                <w:rStyle w:val="IndexLink"/>
                <w:rtl w:val="true"/>
              </w:rPr>
              <w:tab/>
            </w:r>
            <w:r>
              <w:rPr>
                <w:rStyle w:val="IndexLink"/>
              </w:rPr>
              <w:t>318</w:t>
            </w:r>
          </w:hyperlink>
        </w:p>
        <w:p>
          <w:pPr>
            <w:pStyle w:val="Contents5"/>
            <w:tabs>
              <w:tab w:val="clear" w:pos="7892"/>
              <w:tab w:val="right" w:pos="9026" w:leader="dot"/>
            </w:tabs>
            <w:rPr/>
          </w:pPr>
          <w:hyperlink w:anchor="__RefHeading___Toc13197861_1280447820">
            <w:r>
              <w:rPr>
                <w:webHidden/>
                <w:rStyle w:val="IndexLink"/>
                <w:rtl w:val="true"/>
              </w:rPr>
              <w:t xml:space="preserve">الثاني </w:t>
            </w:r>
            <w:r>
              <w:rPr>
                <w:rStyle w:val="IndexLink"/>
                <w:rtl w:val="true"/>
              </w:rPr>
              <w:t xml:space="preserve">- </w:t>
            </w:r>
            <w:r>
              <w:rPr>
                <w:rStyle w:val="IndexLink"/>
                <w:rtl w:val="true"/>
              </w:rPr>
              <w:t xml:space="preserve">من فروض الوضوء </w:t>
            </w:r>
            <w:r>
              <w:rPr>
                <w:rStyle w:val="IndexLink"/>
                <w:rtl w:val="true"/>
              </w:rPr>
              <w:t xml:space="preserve">- : </w:t>
            </w:r>
            <w:r>
              <w:rPr>
                <w:rStyle w:val="IndexLink"/>
                <w:rtl w:val="true"/>
              </w:rPr>
              <w:t>غسْل الوجه</w:t>
            </w:r>
            <w:r>
              <w:rPr>
                <w:rStyle w:val="IndexLink"/>
                <w:rtl w:val="true"/>
              </w:rPr>
              <w:tab/>
            </w:r>
            <w:r>
              <w:rPr>
                <w:rStyle w:val="IndexLink"/>
              </w:rPr>
              <w:t>329</w:t>
            </w:r>
          </w:hyperlink>
        </w:p>
        <w:p>
          <w:pPr>
            <w:pStyle w:val="Contents6"/>
            <w:tabs>
              <w:tab w:val="clear" w:pos="7609"/>
              <w:tab w:val="right" w:pos="9026" w:leader="dot"/>
            </w:tabs>
            <w:rPr/>
          </w:pPr>
          <w:hyperlink w:anchor="__RefHeading___Toc13197863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3197865_1280447820">
            <w:r>
              <w:rPr>
                <w:webHidden/>
                <w:rStyle w:val="IndexLink"/>
                <w:rtl w:val="true"/>
              </w:rPr>
              <w:t>أحدها</w:t>
            </w:r>
            <w:r>
              <w:rPr>
                <w:rStyle w:val="IndexLink"/>
                <w:rtl w:val="true"/>
              </w:rPr>
              <w:t>:</w:t>
            </w:r>
            <w:r>
              <w:rPr>
                <w:rStyle w:val="IndexLink"/>
                <w:rtl w:val="true"/>
              </w:rPr>
              <w:t>حقیقۀ الغَسْل</w:t>
            </w:r>
            <w:r>
              <w:rPr>
                <w:rStyle w:val="IndexLink"/>
                <w:rtl w:val="true"/>
              </w:rPr>
              <w:tab/>
            </w:r>
            <w:r>
              <w:rPr>
                <w:rStyle w:val="IndexLink"/>
              </w:rPr>
              <w:t>329</w:t>
            </w:r>
          </w:hyperlink>
        </w:p>
        <w:p>
          <w:pPr>
            <w:pStyle w:val="Contents6"/>
            <w:tabs>
              <w:tab w:val="clear" w:pos="7609"/>
              <w:tab w:val="right" w:pos="9026" w:leader="dot"/>
            </w:tabs>
            <w:rPr/>
          </w:pPr>
          <w:hyperlink w:anchor="__RefHeading___Toc13197867_1280447820">
            <w:r>
              <w:rPr>
                <w:webHidden/>
                <w:rStyle w:val="IndexLink"/>
                <w:rtl w:val="true"/>
              </w:rPr>
              <w:t>ثانيها</w:t>
            </w:r>
            <w:r>
              <w:rPr>
                <w:rStyle w:val="IndexLink"/>
                <w:rtl w:val="true"/>
              </w:rPr>
              <w:t xml:space="preserve">: </w:t>
            </w:r>
            <w:r>
              <w:rPr>
                <w:rStyle w:val="IndexLink"/>
                <w:rtl w:val="true"/>
              </w:rPr>
              <w:t>فی انّه لا يكفي من الماء ما يحصل به الانتشار لا الجريان</w:t>
            </w:r>
            <w:r>
              <w:rPr>
                <w:rStyle w:val="IndexLink"/>
                <w:rtl w:val="true"/>
              </w:rPr>
              <w:tab/>
            </w:r>
            <w:r>
              <w:rPr>
                <w:rStyle w:val="IndexLink"/>
              </w:rPr>
              <w:t>330</w:t>
            </w:r>
          </w:hyperlink>
        </w:p>
        <w:p>
          <w:pPr>
            <w:pStyle w:val="Contents6"/>
            <w:tabs>
              <w:tab w:val="clear" w:pos="7609"/>
              <w:tab w:val="right" w:pos="9026" w:leader="dot"/>
            </w:tabs>
            <w:rPr/>
          </w:pPr>
          <w:hyperlink w:anchor="__RefHeading___Toc13197869_1280447820">
            <w:r>
              <w:rPr>
                <w:webHidden/>
                <w:rStyle w:val="IndexLink"/>
                <w:rtl w:val="true"/>
              </w:rPr>
              <w:t xml:space="preserve">ثالثها </w:t>
            </w:r>
            <w:r>
              <w:rPr>
                <w:rStyle w:val="IndexLink"/>
                <w:rtl w:val="true"/>
              </w:rPr>
              <w:t xml:space="preserve">: </w:t>
            </w:r>
            <w:r>
              <w:rPr>
                <w:rStyle w:val="IndexLink"/>
                <w:rtl w:val="true"/>
              </w:rPr>
              <w:t>بیان حدّ الوجه المأمور بغسله فی الوضوء</w:t>
            </w:r>
            <w:r>
              <w:rPr>
                <w:rStyle w:val="IndexLink"/>
                <w:rtl w:val="true"/>
              </w:rPr>
              <w:tab/>
            </w:r>
            <w:r>
              <w:rPr>
                <w:rStyle w:val="IndexLink"/>
              </w:rPr>
              <w:t>331</w:t>
            </w:r>
          </w:hyperlink>
        </w:p>
        <w:p>
          <w:pPr>
            <w:pStyle w:val="Contents6"/>
            <w:tabs>
              <w:tab w:val="clear" w:pos="7609"/>
              <w:tab w:val="right" w:pos="9026" w:leader="dot"/>
            </w:tabs>
            <w:rPr/>
          </w:pPr>
          <w:hyperlink w:anchor="__RefHeading___Toc13197871_1280447820">
            <w:r>
              <w:rPr>
                <w:webHidden/>
                <w:rStyle w:val="IndexLink"/>
                <w:rtl w:val="true"/>
              </w:rPr>
              <w:t>رابعها</w:t>
            </w:r>
            <w:r>
              <w:rPr>
                <w:rStyle w:val="IndexLink"/>
                <w:rtl w:val="true"/>
              </w:rPr>
              <w:t xml:space="preserve">: </w:t>
            </w:r>
            <w:r>
              <w:rPr>
                <w:rStyle w:val="IndexLink"/>
                <w:rtl w:val="true"/>
              </w:rPr>
              <w:t>يخرج عن حدّ الوجه النزعتان</w:t>
            </w:r>
            <w:r>
              <w:rPr>
                <w:rStyle w:val="IndexLink"/>
                <w:rtl w:val="true"/>
              </w:rPr>
              <w:tab/>
            </w:r>
            <w:r>
              <w:rPr>
                <w:rStyle w:val="IndexLink"/>
              </w:rPr>
              <w:t>332</w:t>
            </w:r>
          </w:hyperlink>
        </w:p>
        <w:p>
          <w:pPr>
            <w:pStyle w:val="Contents6"/>
            <w:tabs>
              <w:tab w:val="clear" w:pos="7609"/>
              <w:tab w:val="right" w:pos="9026" w:leader="dot"/>
            </w:tabs>
            <w:rPr/>
          </w:pPr>
          <w:hyperlink w:anchor="__RefHeading___Toc13197873_1280447820">
            <w:r>
              <w:rPr>
                <w:webHidden/>
                <w:rStyle w:val="IndexLink"/>
                <w:rtl w:val="true"/>
              </w:rPr>
              <w:t>خامسها</w:t>
            </w:r>
            <w:r>
              <w:rPr>
                <w:rStyle w:val="IndexLink"/>
                <w:rtl w:val="true"/>
              </w:rPr>
              <w:t xml:space="preserve">: </w:t>
            </w:r>
            <w:r>
              <w:rPr>
                <w:rStyle w:val="IndexLink"/>
                <w:rtl w:val="true"/>
              </w:rPr>
              <w:t>يرجع صغير الوجه وكبيره إلى التحديد بيد تناسب وجهه</w:t>
            </w:r>
            <w:r>
              <w:rPr>
                <w:rStyle w:val="IndexLink"/>
                <w:rtl w:val="true"/>
              </w:rPr>
              <w:tab/>
            </w:r>
            <w:r>
              <w:rPr>
                <w:rStyle w:val="IndexLink"/>
              </w:rPr>
              <w:t>334</w:t>
            </w:r>
          </w:hyperlink>
        </w:p>
        <w:p>
          <w:pPr>
            <w:pStyle w:val="Contents6"/>
            <w:tabs>
              <w:tab w:val="clear" w:pos="7609"/>
              <w:tab w:val="right" w:pos="9026" w:leader="dot"/>
            </w:tabs>
            <w:rPr/>
          </w:pPr>
          <w:hyperlink w:anchor="__RefHeading___Toc13197875_1280447820">
            <w:r>
              <w:rPr>
                <w:webHidden/>
                <w:rStyle w:val="IndexLink"/>
                <w:rtl w:val="true"/>
              </w:rPr>
              <w:t>سادسها</w:t>
            </w:r>
            <w:r>
              <w:rPr>
                <w:rStyle w:val="IndexLink"/>
                <w:rtl w:val="true"/>
              </w:rPr>
              <w:t xml:space="preserve">: </w:t>
            </w:r>
            <w:r>
              <w:rPr>
                <w:rStyle w:val="IndexLink"/>
                <w:rtl w:val="true"/>
              </w:rPr>
              <w:t>لا يجب غَسْل الباطن عرفاً</w:t>
            </w:r>
            <w:r>
              <w:rPr>
                <w:rStyle w:val="IndexLink"/>
                <w:rtl w:val="true"/>
              </w:rPr>
              <w:tab/>
            </w:r>
            <w:r>
              <w:rPr>
                <w:rStyle w:val="IndexLink"/>
              </w:rPr>
              <w:t>334</w:t>
            </w:r>
          </w:hyperlink>
        </w:p>
        <w:p>
          <w:pPr>
            <w:pStyle w:val="Contents6"/>
            <w:tabs>
              <w:tab w:val="clear" w:pos="7609"/>
              <w:tab w:val="right" w:pos="9026" w:leader="dot"/>
            </w:tabs>
            <w:rPr/>
          </w:pPr>
          <w:hyperlink w:anchor="__RefHeading___Toc13197877_1280447820">
            <w:r>
              <w:rPr>
                <w:webHidden/>
                <w:rStyle w:val="IndexLink"/>
                <w:rtl w:val="true"/>
              </w:rPr>
              <w:t>سابعها</w:t>
            </w:r>
            <w:r>
              <w:rPr>
                <w:rStyle w:val="IndexLink"/>
                <w:rtl w:val="true"/>
              </w:rPr>
              <w:t xml:space="preserve">: </w:t>
            </w:r>
            <w:r>
              <w:rPr>
                <w:rStyle w:val="IndexLink"/>
                <w:rtl w:val="true"/>
              </w:rPr>
              <w:t>الشعر النابت على الوجه من المعتاد أو غيره إن خرج عن الحدّ</w:t>
            </w:r>
            <w:r>
              <w:rPr>
                <w:rStyle w:val="IndexLink"/>
                <w:rtl w:val="true"/>
              </w:rPr>
              <w:tab/>
            </w:r>
            <w:r>
              <w:rPr>
                <w:rStyle w:val="IndexLink"/>
              </w:rPr>
              <w:t>335</w:t>
            </w:r>
          </w:hyperlink>
        </w:p>
        <w:p>
          <w:pPr>
            <w:pStyle w:val="Contents5"/>
            <w:tabs>
              <w:tab w:val="clear" w:pos="7892"/>
              <w:tab w:val="right" w:pos="9026" w:leader="dot"/>
            </w:tabs>
            <w:rPr/>
          </w:pPr>
          <w:hyperlink w:anchor="__RefHeading___Toc13197879_1280447820">
            <w:r>
              <w:rPr>
                <w:webHidden/>
                <w:rStyle w:val="IndexLink"/>
                <w:rtl w:val="true"/>
              </w:rPr>
              <w:t xml:space="preserve">الثالث </w:t>
            </w:r>
            <w:r>
              <w:rPr>
                <w:rStyle w:val="IndexLink"/>
                <w:rtl w:val="true"/>
              </w:rPr>
              <w:t xml:space="preserve">- </w:t>
            </w:r>
            <w:r>
              <w:rPr>
                <w:rStyle w:val="IndexLink"/>
                <w:rtl w:val="true"/>
              </w:rPr>
              <w:t xml:space="preserve">من فروض الوضوء </w:t>
            </w:r>
            <w:r>
              <w:rPr>
                <w:rStyle w:val="IndexLink"/>
                <w:rtl w:val="true"/>
              </w:rPr>
              <w:t xml:space="preserve">- : </w:t>
            </w:r>
            <w:r>
              <w:rPr>
                <w:rStyle w:val="IndexLink"/>
                <w:rtl w:val="true"/>
              </w:rPr>
              <w:t>غَسل اليدين</w:t>
            </w:r>
            <w:r>
              <w:rPr>
                <w:rStyle w:val="IndexLink"/>
                <w:rtl w:val="true"/>
              </w:rPr>
              <w:tab/>
            </w:r>
            <w:r>
              <w:rPr>
                <w:rStyle w:val="IndexLink"/>
              </w:rPr>
              <w:t>336</w:t>
            </w:r>
          </w:hyperlink>
        </w:p>
        <w:p>
          <w:pPr>
            <w:pStyle w:val="Contents6"/>
            <w:tabs>
              <w:tab w:val="clear" w:pos="7609"/>
              <w:tab w:val="right" w:pos="9026" w:leader="dot"/>
            </w:tabs>
            <w:rPr/>
          </w:pPr>
          <w:hyperlink w:anchor="__RefHeading___Toc13197881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3197883_1280447820">
            <w:r>
              <w:rPr>
                <w:webHidden/>
                <w:rStyle w:val="IndexLink"/>
                <w:rtl w:val="true"/>
              </w:rPr>
              <w:t>أحدها</w:t>
            </w:r>
            <w:r>
              <w:rPr>
                <w:rStyle w:val="IndexLink"/>
                <w:rtl w:val="true"/>
              </w:rPr>
              <w:t xml:space="preserve">: </w:t>
            </w:r>
            <w:r>
              <w:rPr>
                <w:rStyle w:val="IndexLink"/>
                <w:rtl w:val="true"/>
              </w:rPr>
              <w:t>تعریف اليد بحسب اللغة والعرف العامّ</w:t>
            </w:r>
            <w:r>
              <w:rPr>
                <w:rStyle w:val="IndexLink"/>
                <w:rtl w:val="true"/>
              </w:rPr>
              <w:tab/>
            </w:r>
            <w:r>
              <w:rPr>
                <w:rStyle w:val="IndexLink"/>
              </w:rPr>
              <w:t>336</w:t>
            </w:r>
          </w:hyperlink>
        </w:p>
        <w:p>
          <w:pPr>
            <w:pStyle w:val="Contents6"/>
            <w:tabs>
              <w:tab w:val="clear" w:pos="7609"/>
              <w:tab w:val="right" w:pos="9026" w:leader="dot"/>
            </w:tabs>
            <w:rPr/>
          </w:pPr>
          <w:hyperlink w:anchor="__RefHeading___Toc13197885_1280447820">
            <w:r>
              <w:rPr>
                <w:webHidden/>
                <w:rStyle w:val="IndexLink"/>
                <w:rtl w:val="true"/>
              </w:rPr>
              <w:t>ثانيها</w:t>
            </w:r>
            <w:r>
              <w:rPr>
                <w:rStyle w:val="IndexLink"/>
                <w:rtl w:val="true"/>
              </w:rPr>
              <w:t xml:space="preserve">: </w:t>
            </w:r>
            <w:r>
              <w:rPr>
                <w:rStyle w:val="IndexLink"/>
                <w:rtl w:val="true"/>
              </w:rPr>
              <w:t>هل یجب غسل المرفق أصالة أو تبعاً من باب المقدّمة</w:t>
            </w:r>
            <w:r>
              <w:rPr>
                <w:rStyle w:val="IndexLink"/>
                <w:rtl w:val="true"/>
              </w:rPr>
              <w:tab/>
            </w:r>
            <w:r>
              <w:rPr>
                <w:rStyle w:val="IndexLink"/>
              </w:rPr>
              <w:t>337</w:t>
            </w:r>
          </w:hyperlink>
        </w:p>
        <w:p>
          <w:pPr>
            <w:pStyle w:val="Contents6"/>
            <w:tabs>
              <w:tab w:val="clear" w:pos="7609"/>
              <w:tab w:val="right" w:pos="9026" w:leader="dot"/>
            </w:tabs>
            <w:rPr/>
          </w:pPr>
          <w:hyperlink w:anchor="__RefHeading___Toc13197887_1280447820">
            <w:r>
              <w:rPr>
                <w:webHidden/>
                <w:rStyle w:val="IndexLink"/>
                <w:rtl w:val="true"/>
              </w:rPr>
              <w:t>ثالثها</w:t>
            </w:r>
            <w:r>
              <w:rPr>
                <w:rStyle w:val="IndexLink"/>
                <w:rtl w:val="true"/>
              </w:rPr>
              <w:t xml:space="preserve">: </w:t>
            </w:r>
            <w:r>
              <w:rPr>
                <w:rStyle w:val="IndexLink"/>
                <w:rtl w:val="true"/>
              </w:rPr>
              <w:t>يجب الابتداء بالأعلى في غَسْل الوجه واليدين</w:t>
            </w:r>
            <w:r>
              <w:rPr>
                <w:rStyle w:val="IndexLink"/>
                <w:rtl w:val="true"/>
              </w:rPr>
              <w:tab/>
            </w:r>
            <w:r>
              <w:rPr>
                <w:rStyle w:val="IndexLink"/>
              </w:rPr>
              <w:t>338</w:t>
            </w:r>
          </w:hyperlink>
        </w:p>
        <w:p>
          <w:pPr>
            <w:pStyle w:val="Contents6"/>
            <w:tabs>
              <w:tab w:val="clear" w:pos="7609"/>
              <w:tab w:val="right" w:pos="9026" w:leader="dot"/>
            </w:tabs>
            <w:rPr/>
          </w:pPr>
          <w:hyperlink w:anchor="__RefHeading___Toc13197889_1280447820">
            <w:r>
              <w:rPr>
                <w:webHidden/>
                <w:rStyle w:val="IndexLink"/>
                <w:rtl w:val="true"/>
              </w:rPr>
              <w:t>رابعها</w:t>
            </w:r>
            <w:r>
              <w:rPr>
                <w:rStyle w:val="IndexLink"/>
                <w:rtl w:val="true"/>
              </w:rPr>
              <w:t xml:space="preserve">: </w:t>
            </w:r>
            <w:r>
              <w:rPr>
                <w:rStyle w:val="IndexLink"/>
                <w:rtl w:val="true"/>
              </w:rPr>
              <w:t>حکم مقطوع اليد من دون المرفق أو من فوقها</w:t>
            </w:r>
            <w:r>
              <w:rPr>
                <w:rStyle w:val="IndexLink"/>
                <w:rtl w:val="true"/>
              </w:rPr>
              <w:tab/>
            </w:r>
            <w:r>
              <w:rPr>
                <w:rStyle w:val="IndexLink"/>
              </w:rPr>
              <w:t>341</w:t>
            </w:r>
          </w:hyperlink>
        </w:p>
        <w:p>
          <w:pPr>
            <w:pStyle w:val="Contents6"/>
            <w:tabs>
              <w:tab w:val="clear" w:pos="7609"/>
              <w:tab w:val="right" w:pos="9026" w:leader="dot"/>
            </w:tabs>
            <w:rPr/>
          </w:pPr>
          <w:hyperlink w:anchor="__RefHeading___Toc13197891_1280447820">
            <w:r>
              <w:rPr>
                <w:webHidden/>
                <w:rStyle w:val="IndexLink"/>
                <w:rtl w:val="true"/>
              </w:rPr>
              <w:t>خامسها</w:t>
            </w:r>
            <w:r>
              <w:rPr>
                <w:rStyle w:val="IndexLink"/>
                <w:rtl w:val="true"/>
              </w:rPr>
              <w:t xml:space="preserve">: </w:t>
            </w:r>
            <w:r>
              <w:rPr>
                <w:rStyle w:val="IndexLink"/>
                <w:rtl w:val="true"/>
              </w:rPr>
              <w:t>وجوب غسل كلّ ما نبت على اليد من تحت المرفق</w:t>
            </w:r>
            <w:r>
              <w:rPr>
                <w:rStyle w:val="IndexLink"/>
                <w:rtl w:val="true"/>
              </w:rPr>
              <w:tab/>
            </w:r>
            <w:r>
              <w:rPr>
                <w:rStyle w:val="IndexLink"/>
              </w:rPr>
              <w:t>343</w:t>
            </w:r>
          </w:hyperlink>
        </w:p>
        <w:p>
          <w:pPr>
            <w:pStyle w:val="Contents6"/>
            <w:tabs>
              <w:tab w:val="clear" w:pos="7609"/>
              <w:tab w:val="right" w:pos="9026" w:leader="dot"/>
            </w:tabs>
            <w:rPr/>
          </w:pPr>
          <w:hyperlink w:anchor="__RefHeading___Toc13197893_1280447820">
            <w:r>
              <w:rPr>
                <w:webHidden/>
                <w:rStyle w:val="IndexLink"/>
                <w:rtl w:val="true"/>
              </w:rPr>
              <w:t>سادسها</w:t>
            </w:r>
            <w:r>
              <w:rPr>
                <w:rStyle w:val="IndexLink"/>
                <w:rtl w:val="true"/>
              </w:rPr>
              <w:t xml:space="preserve">: </w:t>
            </w:r>
            <w:r>
              <w:rPr>
                <w:rStyle w:val="IndexLink"/>
                <w:rtl w:val="true"/>
              </w:rPr>
              <w:t>حکم غسل الشعر مع البشرۀ وتخلیل الشعر وإن کثف</w:t>
            </w:r>
            <w:r>
              <w:rPr>
                <w:rStyle w:val="IndexLink"/>
                <w:rtl w:val="true"/>
              </w:rPr>
              <w:tab/>
            </w:r>
            <w:r>
              <w:rPr>
                <w:rStyle w:val="IndexLink"/>
              </w:rPr>
              <w:t>343</w:t>
            </w:r>
          </w:hyperlink>
        </w:p>
        <w:p>
          <w:pPr>
            <w:pStyle w:val="Contents6"/>
            <w:tabs>
              <w:tab w:val="clear" w:pos="7609"/>
              <w:tab w:val="right" w:pos="9026" w:leader="dot"/>
            </w:tabs>
            <w:rPr/>
          </w:pPr>
          <w:hyperlink w:anchor="__RefHeading___Toc13197895_1280447820">
            <w:r>
              <w:rPr>
                <w:webHidden/>
                <w:rStyle w:val="IndexLink"/>
                <w:rtl w:val="true"/>
              </w:rPr>
              <w:t>سابعها</w:t>
            </w:r>
            <w:r>
              <w:rPr>
                <w:rStyle w:val="IndexLink"/>
                <w:rtl w:val="true"/>
              </w:rPr>
              <w:t xml:space="preserve">: </w:t>
            </w:r>
            <w:r>
              <w:rPr>
                <w:rStyle w:val="IndexLink"/>
                <w:rtl w:val="true"/>
              </w:rPr>
              <w:t>لا يجب غَسْل ما تحت الأظفار</w:t>
            </w:r>
            <w:r>
              <w:rPr>
                <w:rStyle w:val="IndexLink"/>
                <w:rtl w:val="true"/>
              </w:rPr>
              <w:tab/>
            </w:r>
            <w:r>
              <w:rPr>
                <w:rStyle w:val="IndexLink"/>
              </w:rPr>
              <w:t>344</w:t>
            </w:r>
          </w:hyperlink>
        </w:p>
        <w:p>
          <w:pPr>
            <w:pStyle w:val="Contents6"/>
            <w:tabs>
              <w:tab w:val="clear" w:pos="7609"/>
              <w:tab w:val="right" w:pos="9026" w:leader="dot"/>
            </w:tabs>
            <w:rPr/>
          </w:pPr>
          <w:hyperlink w:anchor="__RefHeading___Toc13197897_1280447820">
            <w:r>
              <w:rPr>
                <w:webHidden/>
                <w:rStyle w:val="IndexLink"/>
                <w:rtl w:val="true"/>
              </w:rPr>
              <w:t>ثامنها</w:t>
            </w:r>
            <w:r>
              <w:rPr>
                <w:rStyle w:val="IndexLink"/>
                <w:rtl w:val="true"/>
              </w:rPr>
              <w:t xml:space="preserve">: </w:t>
            </w:r>
            <w:r>
              <w:rPr>
                <w:rStyle w:val="IndexLink"/>
                <w:rtl w:val="true"/>
              </w:rPr>
              <w:t>لا يجب غَسفل الباطن إلّا إذا ظهر، وكذا الظاهر إذا بطن</w:t>
            </w:r>
            <w:r>
              <w:rPr>
                <w:rStyle w:val="IndexLink"/>
                <w:rtl w:val="true"/>
              </w:rPr>
              <w:tab/>
            </w:r>
            <w:r>
              <w:rPr>
                <w:rStyle w:val="IndexLink"/>
              </w:rPr>
              <w:t>345</w:t>
            </w:r>
          </w:hyperlink>
        </w:p>
        <w:p>
          <w:pPr>
            <w:pStyle w:val="Contents6"/>
            <w:tabs>
              <w:tab w:val="clear" w:pos="7609"/>
              <w:tab w:val="right" w:pos="9026" w:leader="dot"/>
            </w:tabs>
            <w:rPr/>
          </w:pPr>
          <w:hyperlink w:anchor="__RefHeading___Toc13197899_1280447820">
            <w:r>
              <w:rPr>
                <w:webHidden/>
                <w:rStyle w:val="IndexLink"/>
                <w:rtl w:val="true"/>
              </w:rPr>
              <w:t>تاسعها</w:t>
            </w:r>
            <w:r>
              <w:rPr>
                <w:rStyle w:val="IndexLink"/>
                <w:rtl w:val="true"/>
              </w:rPr>
              <w:t xml:space="preserve">: </w:t>
            </w:r>
            <w:r>
              <w:rPr>
                <w:rStyle w:val="IndexLink"/>
                <w:rtl w:val="true"/>
              </w:rPr>
              <w:t>يجزئ الغسل للمغسول على أيّ نحوٍ</w:t>
            </w:r>
            <w:r>
              <w:rPr>
                <w:rStyle w:val="IndexLink"/>
                <w:rtl w:val="true"/>
              </w:rPr>
              <w:tab/>
            </w:r>
            <w:r>
              <w:rPr>
                <w:rStyle w:val="IndexLink"/>
              </w:rPr>
              <w:t>345</w:t>
            </w:r>
          </w:hyperlink>
        </w:p>
        <w:p>
          <w:pPr>
            <w:pStyle w:val="Contents5"/>
            <w:tabs>
              <w:tab w:val="clear" w:pos="7892"/>
              <w:tab w:val="right" w:pos="9026" w:leader="dot"/>
            </w:tabs>
            <w:rPr/>
          </w:pPr>
          <w:hyperlink w:anchor="__RefHeading___Toc13197901_1280447820">
            <w:r>
              <w:rPr>
                <w:webHidden/>
                <w:rStyle w:val="IndexLink"/>
                <w:rtl w:val="true"/>
              </w:rPr>
              <w:t xml:space="preserve">الرابع </w:t>
            </w:r>
            <w:r>
              <w:rPr>
                <w:rStyle w:val="IndexLink"/>
                <w:rtl w:val="true"/>
              </w:rPr>
              <w:t xml:space="preserve">- </w:t>
            </w:r>
            <w:r>
              <w:rPr>
                <w:rStyle w:val="IndexLink"/>
                <w:rtl w:val="true"/>
              </w:rPr>
              <w:t xml:space="preserve">من فروض الوضوء </w:t>
            </w:r>
            <w:r>
              <w:rPr>
                <w:rStyle w:val="IndexLink"/>
                <w:rtl w:val="true"/>
              </w:rPr>
              <w:t xml:space="preserve">: </w:t>
            </w:r>
            <w:r>
              <w:rPr>
                <w:rStyle w:val="IndexLink"/>
                <w:rtl w:val="true"/>
              </w:rPr>
              <w:t>مسح الرأس ببلة الوضوء</w:t>
            </w:r>
            <w:r>
              <w:rPr>
                <w:rStyle w:val="IndexLink"/>
                <w:rtl w:val="true"/>
              </w:rPr>
              <w:tab/>
            </w:r>
            <w:r>
              <w:rPr>
                <w:rStyle w:val="IndexLink"/>
              </w:rPr>
              <w:t>345</w:t>
            </w:r>
          </w:hyperlink>
        </w:p>
        <w:p>
          <w:pPr>
            <w:pStyle w:val="Contents6"/>
            <w:tabs>
              <w:tab w:val="clear" w:pos="7609"/>
              <w:tab w:val="right" w:pos="9026" w:leader="dot"/>
            </w:tabs>
            <w:rPr/>
          </w:pPr>
          <w:hyperlink w:anchor="__RefHeading___Toc13197903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3197905_1280447820">
            <w:r>
              <w:rPr>
                <w:webHidden/>
                <w:rStyle w:val="IndexLink"/>
                <w:rtl w:val="true"/>
              </w:rPr>
              <w:t>وفيه أُمور</w:t>
            </w:r>
            <w:r>
              <w:rPr>
                <w:rStyle w:val="IndexLink"/>
                <w:rtl w:val="true"/>
              </w:rPr>
              <w:t>:</w:t>
              <w:tab/>
            </w:r>
            <w:r>
              <w:rPr>
                <w:rStyle w:val="IndexLink"/>
              </w:rPr>
              <w:t>346</w:t>
            </w:r>
          </w:hyperlink>
        </w:p>
        <w:p>
          <w:pPr>
            <w:pStyle w:val="Contents6"/>
            <w:tabs>
              <w:tab w:val="clear" w:pos="7609"/>
              <w:tab w:val="right" w:pos="9026" w:leader="dot"/>
            </w:tabs>
            <w:rPr/>
          </w:pPr>
          <w:hyperlink w:anchor="__RefHeading___Toc13197907_1280447820">
            <w:r>
              <w:rPr>
                <w:webHidden/>
                <w:rStyle w:val="IndexLink"/>
                <w:rtl w:val="true"/>
              </w:rPr>
              <w:t>أحدها</w:t>
            </w:r>
            <w:r>
              <w:rPr>
                <w:rStyle w:val="IndexLink"/>
                <w:rtl w:val="true"/>
              </w:rPr>
              <w:t xml:space="preserve">: </w:t>
            </w:r>
            <w:r>
              <w:rPr>
                <w:rStyle w:val="IndexLink"/>
                <w:rtl w:val="true"/>
              </w:rPr>
              <w:t>يختصّ المسح بمقدّم الرأس</w:t>
            </w:r>
            <w:r>
              <w:rPr>
                <w:rStyle w:val="IndexLink"/>
                <w:rtl w:val="true"/>
              </w:rPr>
              <w:tab/>
            </w:r>
            <w:r>
              <w:rPr>
                <w:rStyle w:val="IndexLink"/>
              </w:rPr>
              <w:t>346</w:t>
            </w:r>
          </w:hyperlink>
        </w:p>
        <w:p>
          <w:pPr>
            <w:pStyle w:val="Contents6"/>
            <w:tabs>
              <w:tab w:val="clear" w:pos="7609"/>
              <w:tab w:val="right" w:pos="9026" w:leader="dot"/>
            </w:tabs>
            <w:rPr/>
          </w:pPr>
          <w:hyperlink w:anchor="__RefHeading___Toc13197909_1280447820">
            <w:r>
              <w:rPr>
                <w:webHidden/>
                <w:rStyle w:val="IndexLink"/>
                <w:rtl w:val="true"/>
              </w:rPr>
              <w:t>ثانيها</w:t>
            </w:r>
            <w:r>
              <w:rPr>
                <w:rStyle w:val="IndexLink"/>
                <w:rtl w:val="true"/>
              </w:rPr>
              <w:t xml:space="preserve">: </w:t>
            </w:r>
            <w:r>
              <w:rPr>
                <w:rStyle w:val="IndexLink"/>
                <w:rtl w:val="true"/>
              </w:rPr>
              <w:t>المسح إمرار الماسح على الممسوح وجرّه عليه</w:t>
            </w:r>
            <w:r>
              <w:rPr>
                <w:rStyle w:val="IndexLink"/>
                <w:rtl w:val="true"/>
              </w:rPr>
              <w:tab/>
            </w:r>
            <w:r>
              <w:rPr>
                <w:rStyle w:val="IndexLink"/>
              </w:rPr>
              <w:t>347</w:t>
            </w:r>
          </w:hyperlink>
        </w:p>
        <w:p>
          <w:pPr>
            <w:pStyle w:val="Contents6"/>
            <w:tabs>
              <w:tab w:val="clear" w:pos="7609"/>
              <w:tab w:val="right" w:pos="9026" w:leader="dot"/>
            </w:tabs>
            <w:rPr/>
          </w:pPr>
          <w:hyperlink w:anchor="__RefHeading___Toc13197911_1280447820">
            <w:r>
              <w:rPr>
                <w:webHidden/>
                <w:rStyle w:val="IndexLink"/>
                <w:rtl w:val="true"/>
              </w:rPr>
              <w:t>ثالثها</w:t>
            </w:r>
            <w:r>
              <w:rPr>
                <w:rStyle w:val="IndexLink"/>
                <w:rtl w:val="true"/>
              </w:rPr>
              <w:t xml:space="preserve">: </w:t>
            </w:r>
            <w:r>
              <w:rPr>
                <w:rStyle w:val="IndexLink"/>
                <w:rtl w:val="true"/>
              </w:rPr>
              <w:t>حکم مسح الرأس مدبراً</w:t>
            </w:r>
            <w:r>
              <w:rPr>
                <w:rStyle w:val="IndexLink"/>
                <w:rtl w:val="true"/>
              </w:rPr>
              <w:tab/>
            </w:r>
            <w:r>
              <w:rPr>
                <w:rStyle w:val="IndexLink"/>
              </w:rPr>
              <w:t>348</w:t>
            </w:r>
          </w:hyperlink>
        </w:p>
        <w:p>
          <w:pPr>
            <w:pStyle w:val="Contents6"/>
            <w:tabs>
              <w:tab w:val="clear" w:pos="7609"/>
              <w:tab w:val="right" w:pos="9026" w:leader="dot"/>
            </w:tabs>
            <w:rPr/>
          </w:pPr>
          <w:hyperlink w:anchor="__RefHeading___Toc13197913_1280447820">
            <w:r>
              <w:rPr>
                <w:webHidden/>
                <w:rStyle w:val="IndexLink"/>
                <w:rtl w:val="true"/>
              </w:rPr>
              <w:t>رابعها</w:t>
            </w:r>
            <w:r>
              <w:rPr>
                <w:rStyle w:val="IndexLink"/>
                <w:rtl w:val="true"/>
              </w:rPr>
              <w:t xml:space="preserve">: </w:t>
            </w:r>
            <w:r>
              <w:rPr>
                <w:rStyle w:val="IndexLink"/>
                <w:rtl w:val="true"/>
              </w:rPr>
              <w:t>يجزئ المسح على البشرة وعلى الشعر النابت على مقدّم الرأس ما لم يخرج بمدّه عن حدّه</w:t>
            </w:r>
            <w:r>
              <w:rPr>
                <w:rStyle w:val="IndexLink"/>
                <w:rtl w:val="true"/>
              </w:rPr>
              <w:t>.</w:t>
              <w:tab/>
            </w:r>
            <w:r>
              <w:rPr>
                <w:rStyle w:val="IndexLink"/>
              </w:rPr>
              <w:t>349</w:t>
            </w:r>
          </w:hyperlink>
        </w:p>
        <w:p>
          <w:pPr>
            <w:pStyle w:val="Contents6"/>
            <w:tabs>
              <w:tab w:val="clear" w:pos="7609"/>
              <w:tab w:val="right" w:pos="9026" w:leader="dot"/>
            </w:tabs>
            <w:rPr/>
          </w:pPr>
          <w:hyperlink w:anchor="__RefHeading___Toc13197915_1280447820">
            <w:r>
              <w:rPr>
                <w:webHidden/>
                <w:rStyle w:val="IndexLink"/>
                <w:rtl w:val="true"/>
              </w:rPr>
              <w:t>خامسها</w:t>
            </w:r>
            <w:r>
              <w:rPr>
                <w:rStyle w:val="IndexLink"/>
                <w:rtl w:val="true"/>
              </w:rPr>
              <w:t xml:space="preserve">: </w:t>
            </w:r>
            <w:r>
              <w:rPr>
                <w:rStyle w:val="IndexLink"/>
                <w:rtl w:val="true"/>
              </w:rPr>
              <w:t>يجب مسح الرأس بالكفّ</w:t>
            </w:r>
            <w:r>
              <w:rPr>
                <w:rStyle w:val="IndexLink"/>
                <w:rtl w:val="true"/>
              </w:rPr>
              <w:tab/>
            </w:r>
            <w:r>
              <w:rPr>
                <w:rStyle w:val="IndexLink"/>
              </w:rPr>
              <w:t>350</w:t>
            </w:r>
          </w:hyperlink>
        </w:p>
        <w:p>
          <w:pPr>
            <w:pStyle w:val="Contents6"/>
            <w:tabs>
              <w:tab w:val="clear" w:pos="7609"/>
              <w:tab w:val="right" w:pos="9026" w:leader="dot"/>
            </w:tabs>
            <w:rPr/>
          </w:pPr>
          <w:hyperlink w:anchor="__RefHeading___Toc13197917_1280447820">
            <w:r>
              <w:rPr>
                <w:webHidden/>
                <w:rStyle w:val="IndexLink"/>
                <w:rtl w:val="true"/>
              </w:rPr>
              <w:t xml:space="preserve">سادسها </w:t>
            </w:r>
            <w:r>
              <w:rPr>
                <w:rStyle w:val="IndexLink"/>
                <w:rtl w:val="true"/>
              </w:rPr>
              <w:t xml:space="preserve">: </w:t>
            </w:r>
            <w:r>
              <w:rPr>
                <w:rStyle w:val="IndexLink"/>
                <w:rtl w:val="true"/>
              </w:rPr>
              <w:t>يجزئ في المسح المسمّى من إمرار الماسح على الممسوح ولو بجزءٍ من الماسح</w:t>
            </w:r>
            <w:r>
              <w:rPr>
                <w:rStyle w:val="IndexLink"/>
                <w:rtl w:val="true"/>
              </w:rPr>
              <w:tab/>
            </w:r>
            <w:r>
              <w:rPr>
                <w:rStyle w:val="IndexLink"/>
              </w:rPr>
              <w:t>350</w:t>
            </w:r>
          </w:hyperlink>
        </w:p>
        <w:p>
          <w:pPr>
            <w:pStyle w:val="Contents6"/>
            <w:tabs>
              <w:tab w:val="clear" w:pos="7609"/>
              <w:tab w:val="right" w:pos="9026" w:leader="dot"/>
            </w:tabs>
            <w:rPr/>
          </w:pPr>
          <w:hyperlink w:anchor="__RefHeading___Toc13197919_1280447820">
            <w:r>
              <w:rPr>
                <w:webHidden/>
                <w:rStyle w:val="IndexLink"/>
                <w:rtl w:val="true"/>
              </w:rPr>
              <w:t>سابعها</w:t>
            </w:r>
            <w:r>
              <w:rPr>
                <w:rStyle w:val="IndexLink"/>
                <w:rtl w:val="true"/>
              </w:rPr>
              <w:t xml:space="preserve">: </w:t>
            </w:r>
            <w:r>
              <w:rPr>
                <w:rStyle w:val="IndexLink"/>
                <w:rtl w:val="true"/>
              </w:rPr>
              <w:t>يشترط في المسح وجود البلّة</w:t>
            </w:r>
            <w:r>
              <w:rPr>
                <w:rStyle w:val="IndexLink"/>
                <w:rtl w:val="true"/>
              </w:rPr>
              <w:tab/>
            </w:r>
            <w:r>
              <w:rPr>
                <w:rStyle w:val="IndexLink"/>
              </w:rPr>
              <w:t>353</w:t>
            </w:r>
          </w:hyperlink>
        </w:p>
        <w:p>
          <w:pPr>
            <w:pStyle w:val="Contents6"/>
            <w:tabs>
              <w:tab w:val="clear" w:pos="7609"/>
              <w:tab w:val="right" w:pos="9026" w:leader="dot"/>
            </w:tabs>
            <w:rPr/>
          </w:pPr>
          <w:hyperlink w:anchor="__RefHeading___Toc13197921_1280447820">
            <w:r>
              <w:rPr>
                <w:webHidden/>
                <w:rStyle w:val="IndexLink"/>
                <w:rtl w:val="true"/>
              </w:rPr>
              <w:t>ثامنها</w:t>
            </w:r>
            <w:r>
              <w:rPr>
                <w:rStyle w:val="IndexLink"/>
                <w:rtl w:val="true"/>
              </w:rPr>
              <w:t xml:space="preserve">: </w:t>
            </w:r>
            <w:r>
              <w:rPr>
                <w:rStyle w:val="IndexLink"/>
                <w:rtl w:val="true"/>
              </w:rPr>
              <w:t>نُسب لابن الجنيد جواز المسح بماء جديد مطلقاً أو مع جفاف اليد أو جميع الأعضاء</w:t>
            </w:r>
            <w:r>
              <w:rPr>
                <w:rStyle w:val="IndexLink"/>
                <w:rtl w:val="true"/>
              </w:rPr>
              <w:tab/>
            </w:r>
            <w:r>
              <w:rPr>
                <w:rStyle w:val="IndexLink"/>
              </w:rPr>
              <w:t>354</w:t>
            </w:r>
          </w:hyperlink>
        </w:p>
        <w:p>
          <w:pPr>
            <w:pStyle w:val="Contents6"/>
            <w:tabs>
              <w:tab w:val="clear" w:pos="7609"/>
              <w:tab w:val="right" w:pos="9026" w:leader="dot"/>
            </w:tabs>
            <w:rPr/>
          </w:pPr>
          <w:hyperlink w:anchor="__RefHeading___Toc13197923_1280447820">
            <w:r>
              <w:rPr>
                <w:webHidden/>
                <w:rStyle w:val="IndexLink"/>
                <w:rtl w:val="true"/>
              </w:rPr>
              <w:t>تاسعها</w:t>
            </w:r>
            <w:r>
              <w:rPr>
                <w:rStyle w:val="IndexLink"/>
                <w:rtl w:val="true"/>
              </w:rPr>
              <w:t xml:space="preserve">: </w:t>
            </w:r>
            <w:r>
              <w:rPr>
                <w:rStyle w:val="IndexLink"/>
                <w:rtl w:val="true"/>
              </w:rPr>
              <w:t>فیما ذهب جمعٌ من أصحاب إلى عدم وجوب المسح ببقيّة نداوة اليد، وجواز المسح بماء الوضوء مطلقاً</w:t>
            </w:r>
            <w:r>
              <w:rPr>
                <w:rStyle w:val="IndexLink"/>
                <w:rtl w:val="true"/>
              </w:rPr>
              <w:tab/>
            </w:r>
            <w:r>
              <w:rPr>
                <w:rStyle w:val="IndexLink"/>
              </w:rPr>
              <w:t>355</w:t>
            </w:r>
          </w:hyperlink>
        </w:p>
        <w:p>
          <w:pPr>
            <w:pStyle w:val="Contents5"/>
            <w:tabs>
              <w:tab w:val="clear" w:pos="7892"/>
              <w:tab w:val="right" w:pos="9026" w:leader="dot"/>
            </w:tabs>
            <w:rPr/>
          </w:pPr>
          <w:hyperlink w:anchor="__RefHeading___Toc13197925_1280447820">
            <w:r>
              <w:rPr>
                <w:webHidden/>
                <w:rStyle w:val="IndexLink"/>
                <w:rtl w:val="true"/>
              </w:rPr>
              <w:t xml:space="preserve">الخامس </w:t>
            </w:r>
            <w:r>
              <w:rPr>
                <w:rStyle w:val="IndexLink"/>
                <w:rtl w:val="true"/>
              </w:rPr>
              <w:t xml:space="preserve">- </w:t>
            </w:r>
            <w:r>
              <w:rPr>
                <w:rStyle w:val="IndexLink"/>
                <w:rtl w:val="true"/>
              </w:rPr>
              <w:t xml:space="preserve">من فروض الوضوء </w:t>
            </w:r>
            <w:r>
              <w:rPr>
                <w:rStyle w:val="IndexLink"/>
                <w:rtl w:val="true"/>
              </w:rPr>
              <w:t xml:space="preserve">- : </w:t>
            </w:r>
            <w:r>
              <w:rPr>
                <w:rStyle w:val="IndexLink"/>
                <w:rtl w:val="true"/>
              </w:rPr>
              <w:t>مسح الرِّجْلين</w:t>
            </w:r>
            <w:r>
              <w:rPr>
                <w:rStyle w:val="IndexLink"/>
                <w:rtl w:val="true"/>
              </w:rPr>
              <w:tab/>
            </w:r>
            <w:r>
              <w:rPr>
                <w:rStyle w:val="IndexLink"/>
              </w:rPr>
              <w:t>357</w:t>
            </w:r>
          </w:hyperlink>
        </w:p>
        <w:p>
          <w:pPr>
            <w:pStyle w:val="Contents6"/>
            <w:tabs>
              <w:tab w:val="clear" w:pos="7609"/>
              <w:tab w:val="right" w:pos="9026" w:leader="dot"/>
            </w:tabs>
            <w:rPr/>
          </w:pPr>
          <w:hyperlink w:anchor="__RefHeading___Toc13197927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3197929_1280447820">
            <w:r>
              <w:rPr>
                <w:webHidden/>
                <w:rStyle w:val="IndexLink"/>
                <w:rtl w:val="true"/>
              </w:rPr>
              <w:t>وجوب مسح ظاهر القدم من أطراف الأصابع إلى الكعبين و تفسیر الکعب</w:t>
            </w:r>
            <w:r>
              <w:rPr>
                <w:rStyle w:val="IndexLink"/>
                <w:rtl w:val="true"/>
              </w:rPr>
              <w:tab/>
            </w:r>
            <w:r>
              <w:rPr>
                <w:rStyle w:val="IndexLink"/>
              </w:rPr>
              <w:t>357</w:t>
            </w:r>
          </w:hyperlink>
        </w:p>
        <w:p>
          <w:pPr>
            <w:pStyle w:val="Contents6"/>
            <w:tabs>
              <w:tab w:val="clear" w:pos="7609"/>
              <w:tab w:val="right" w:pos="9026" w:leader="dot"/>
            </w:tabs>
            <w:rPr/>
          </w:pPr>
          <w:hyperlink w:anchor="__RefHeading___Toc13197931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3197933_1280447820">
            <w:r>
              <w:rPr>
                <w:webHidden/>
                <w:rStyle w:val="IndexLink"/>
                <w:rtl w:val="true"/>
              </w:rPr>
              <w:t>وهاهنا أمور</w:t>
            </w:r>
            <w:r>
              <w:rPr>
                <w:rStyle w:val="IndexLink"/>
                <w:rtl w:val="true"/>
              </w:rPr>
              <w:t>:</w:t>
              <w:tab/>
            </w:r>
            <w:r>
              <w:rPr>
                <w:rStyle w:val="IndexLink"/>
              </w:rPr>
              <w:t>362</w:t>
            </w:r>
          </w:hyperlink>
        </w:p>
        <w:p>
          <w:pPr>
            <w:pStyle w:val="Contents6"/>
            <w:tabs>
              <w:tab w:val="clear" w:pos="7609"/>
              <w:tab w:val="right" w:pos="9026" w:leader="dot"/>
            </w:tabs>
            <w:rPr/>
          </w:pPr>
          <w:hyperlink w:anchor="__RefHeading___Toc13197935_1280447820">
            <w:r>
              <w:rPr>
                <w:webHidden/>
                <w:rStyle w:val="IndexLink"/>
                <w:rtl w:val="true"/>
              </w:rPr>
              <w:t>أحدها</w:t>
            </w:r>
            <w:r>
              <w:rPr>
                <w:rStyle w:val="IndexLink"/>
                <w:rtl w:val="true"/>
              </w:rPr>
              <w:t xml:space="preserve">: </w:t>
            </w:r>
            <w:r>
              <w:rPr>
                <w:rStyle w:val="IndexLink"/>
                <w:rtl w:val="true"/>
              </w:rPr>
              <w:t>فی حکم مسح الکعبین</w:t>
            </w:r>
            <w:r>
              <w:rPr>
                <w:rStyle w:val="IndexLink"/>
                <w:rtl w:val="true"/>
              </w:rPr>
              <w:tab/>
            </w:r>
            <w:r>
              <w:rPr>
                <w:rStyle w:val="IndexLink"/>
              </w:rPr>
              <w:t>362</w:t>
            </w:r>
          </w:hyperlink>
        </w:p>
        <w:p>
          <w:pPr>
            <w:pStyle w:val="Contents6"/>
            <w:tabs>
              <w:tab w:val="clear" w:pos="7609"/>
              <w:tab w:val="right" w:pos="9026" w:leader="dot"/>
            </w:tabs>
            <w:rPr/>
          </w:pPr>
          <w:hyperlink w:anchor="__RefHeading___Toc13197937_1280447820">
            <w:r>
              <w:rPr>
                <w:webHidden/>
                <w:rStyle w:val="IndexLink"/>
                <w:rtl w:val="true"/>
              </w:rPr>
              <w:t>ثانيها</w:t>
            </w:r>
            <w:r>
              <w:rPr>
                <w:rStyle w:val="IndexLink"/>
                <w:rtl w:val="true"/>
              </w:rPr>
              <w:t xml:space="preserve">: </w:t>
            </w:r>
            <w:r>
              <w:rPr>
                <w:rStyle w:val="IndexLink"/>
                <w:rtl w:val="true"/>
              </w:rPr>
              <w:t>يجب الاستيعاب الطولي في الرّجلين</w:t>
            </w:r>
            <w:r>
              <w:rPr>
                <w:rStyle w:val="IndexLink"/>
                <w:rtl w:val="true"/>
              </w:rPr>
              <w:tab/>
            </w:r>
            <w:r>
              <w:rPr>
                <w:rStyle w:val="IndexLink"/>
              </w:rPr>
              <w:t>363</w:t>
            </w:r>
          </w:hyperlink>
        </w:p>
        <w:p>
          <w:pPr>
            <w:pStyle w:val="Contents6"/>
            <w:tabs>
              <w:tab w:val="clear" w:pos="7609"/>
              <w:tab w:val="right" w:pos="9026" w:leader="dot"/>
            </w:tabs>
            <w:rPr/>
          </w:pPr>
          <w:hyperlink w:anchor="__RefHeading___Toc13197939_1280447820">
            <w:r>
              <w:rPr>
                <w:webHidden/>
                <w:rStyle w:val="IndexLink"/>
                <w:rtl w:val="true"/>
              </w:rPr>
              <w:t>ثالثها</w:t>
            </w:r>
            <w:r>
              <w:rPr>
                <w:rStyle w:val="IndexLink"/>
                <w:rtl w:val="true"/>
              </w:rPr>
              <w:t xml:space="preserve">: </w:t>
            </w:r>
            <w:r>
              <w:rPr>
                <w:rStyle w:val="IndexLink"/>
                <w:rtl w:val="true"/>
              </w:rPr>
              <w:t>لا يجب الاستيعاب العرضي</w:t>
            </w:r>
            <w:r>
              <w:rPr>
                <w:rStyle w:val="IndexLink"/>
                <w:rtl w:val="true"/>
              </w:rPr>
              <w:tab/>
            </w:r>
            <w:r>
              <w:rPr>
                <w:rStyle w:val="IndexLink"/>
              </w:rPr>
              <w:t>364</w:t>
            </w:r>
          </w:hyperlink>
        </w:p>
        <w:p>
          <w:pPr>
            <w:pStyle w:val="Contents6"/>
            <w:tabs>
              <w:tab w:val="clear" w:pos="7609"/>
              <w:tab w:val="right" w:pos="9026" w:leader="dot"/>
            </w:tabs>
            <w:rPr/>
          </w:pPr>
          <w:hyperlink w:anchor="__RefHeading___Toc13197941_1280447820">
            <w:r>
              <w:rPr>
                <w:webHidden/>
                <w:rStyle w:val="IndexLink"/>
                <w:rtl w:val="true"/>
              </w:rPr>
              <w:t>رابعها</w:t>
            </w:r>
            <w:r>
              <w:rPr>
                <w:rStyle w:val="IndexLink"/>
                <w:rtl w:val="true"/>
              </w:rPr>
              <w:t xml:space="preserve">: </w:t>
            </w:r>
            <w:r>
              <w:rPr>
                <w:rStyle w:val="IndexLink"/>
                <w:rtl w:val="true"/>
              </w:rPr>
              <w:t>يجوز مسح القدمين مقبلاً ومدبراً</w:t>
            </w:r>
            <w:r>
              <w:rPr>
                <w:rStyle w:val="IndexLink"/>
                <w:rtl w:val="true"/>
              </w:rPr>
              <w:tab/>
            </w:r>
            <w:r>
              <w:rPr>
                <w:rStyle w:val="IndexLink"/>
              </w:rPr>
              <w:t>365</w:t>
            </w:r>
          </w:hyperlink>
        </w:p>
        <w:p>
          <w:pPr>
            <w:pStyle w:val="Contents6"/>
            <w:tabs>
              <w:tab w:val="clear" w:pos="7609"/>
              <w:tab w:val="right" w:pos="9026" w:leader="dot"/>
            </w:tabs>
            <w:rPr/>
          </w:pPr>
          <w:hyperlink w:anchor="__RefHeading___Toc13197943_1280447820">
            <w:r>
              <w:rPr>
                <w:webHidden/>
                <w:rStyle w:val="IndexLink"/>
                <w:rtl w:val="true"/>
              </w:rPr>
              <w:t>خامسها</w:t>
            </w:r>
            <w:r>
              <w:rPr>
                <w:rStyle w:val="IndexLink"/>
                <w:rtl w:val="true"/>
              </w:rPr>
              <w:t xml:space="preserve">: </w:t>
            </w:r>
            <w:r>
              <w:rPr>
                <w:rStyle w:val="IndexLink"/>
                <w:rtl w:val="true"/>
              </w:rPr>
              <w:t>لا يجزئ المسح على حائلٍ</w:t>
            </w:r>
            <w:r>
              <w:rPr>
                <w:rStyle w:val="IndexLink"/>
                <w:rtl w:val="true"/>
              </w:rPr>
              <w:tab/>
            </w:r>
            <w:r>
              <w:rPr>
                <w:rStyle w:val="IndexLink"/>
              </w:rPr>
              <w:t>365</w:t>
            </w:r>
          </w:hyperlink>
        </w:p>
        <w:p>
          <w:pPr>
            <w:pStyle w:val="Contents6"/>
            <w:tabs>
              <w:tab w:val="clear" w:pos="7609"/>
              <w:tab w:val="right" w:pos="9026" w:leader="dot"/>
            </w:tabs>
            <w:rPr/>
          </w:pPr>
          <w:hyperlink w:anchor="__RefHeading___Toc13197945_1280447820">
            <w:r>
              <w:rPr>
                <w:webHidden/>
                <w:rStyle w:val="IndexLink"/>
                <w:rtl w:val="true"/>
              </w:rPr>
              <w:t>سادسها</w:t>
            </w:r>
            <w:r>
              <w:rPr>
                <w:rStyle w:val="IndexLink"/>
                <w:rtl w:val="true"/>
              </w:rPr>
              <w:t xml:space="preserve">: </w:t>
            </w:r>
            <w:r>
              <w:rPr>
                <w:rStyle w:val="IndexLink"/>
                <w:rtl w:val="true"/>
              </w:rPr>
              <w:t>يجب تخليل الشعر في المسح وإيصال الرطوبة إلى البشرة</w:t>
            </w:r>
            <w:r>
              <w:rPr>
                <w:rStyle w:val="IndexLink"/>
                <w:rtl w:val="true"/>
              </w:rPr>
              <w:tab/>
            </w:r>
            <w:r>
              <w:rPr>
                <w:rStyle w:val="IndexLink"/>
              </w:rPr>
              <w:t>366</w:t>
            </w:r>
          </w:hyperlink>
        </w:p>
        <w:p>
          <w:pPr>
            <w:pStyle w:val="Contents6"/>
            <w:tabs>
              <w:tab w:val="clear" w:pos="7609"/>
              <w:tab w:val="right" w:pos="9026" w:leader="dot"/>
            </w:tabs>
            <w:rPr/>
          </w:pPr>
          <w:hyperlink w:anchor="__RefHeading___Toc13197947_1280447820">
            <w:r>
              <w:rPr>
                <w:webHidden/>
                <w:rStyle w:val="IndexLink"/>
                <w:rtl w:val="true"/>
              </w:rPr>
              <w:t>سابعها</w:t>
            </w:r>
            <w:r>
              <w:rPr>
                <w:rStyle w:val="IndexLink"/>
                <w:rtl w:val="true"/>
              </w:rPr>
              <w:t xml:space="preserve">: </w:t>
            </w:r>
            <w:r>
              <w:rPr>
                <w:rStyle w:val="IndexLink"/>
                <w:rtl w:val="true"/>
              </w:rPr>
              <w:t>لا يجوز الغَسْل مكان المسح</w:t>
            </w:r>
            <w:r>
              <w:rPr>
                <w:rStyle w:val="IndexLink"/>
                <w:rtl w:val="true"/>
              </w:rPr>
              <w:tab/>
            </w:r>
            <w:r>
              <w:rPr>
                <w:rStyle w:val="IndexLink"/>
              </w:rPr>
              <w:t>366</w:t>
            </w:r>
          </w:hyperlink>
        </w:p>
        <w:p>
          <w:pPr>
            <w:pStyle w:val="Contents6"/>
            <w:tabs>
              <w:tab w:val="clear" w:pos="7609"/>
              <w:tab w:val="right" w:pos="9026" w:leader="dot"/>
            </w:tabs>
            <w:rPr/>
          </w:pPr>
          <w:hyperlink w:anchor="__RefHeading___Toc13197949_1280447820">
            <w:r>
              <w:rPr>
                <w:webHidden/>
                <w:rStyle w:val="IndexLink"/>
                <w:rtl w:val="true"/>
              </w:rPr>
              <w:t>ثامنها</w:t>
            </w:r>
            <w:r>
              <w:rPr>
                <w:rStyle w:val="IndexLink"/>
                <w:rtl w:val="true"/>
              </w:rPr>
              <w:t xml:space="preserve">: </w:t>
            </w:r>
            <w:r>
              <w:rPr>
                <w:rStyle w:val="IndexLink"/>
                <w:rtl w:val="true"/>
              </w:rPr>
              <w:t>يقوى وجوب مسح الرأس والرِّجْل اليمنى باليمنى، واليسرى باليسرى</w:t>
            </w:r>
            <w:r>
              <w:rPr>
                <w:rStyle w:val="IndexLink"/>
                <w:rtl w:val="true"/>
              </w:rPr>
              <w:tab/>
            </w:r>
            <w:r>
              <w:rPr>
                <w:rStyle w:val="IndexLink"/>
              </w:rPr>
              <w:t>367</w:t>
            </w:r>
          </w:hyperlink>
        </w:p>
        <w:p>
          <w:pPr>
            <w:pStyle w:val="Contents6"/>
            <w:tabs>
              <w:tab w:val="clear" w:pos="7609"/>
              <w:tab w:val="right" w:pos="9026" w:leader="dot"/>
            </w:tabs>
            <w:rPr/>
          </w:pPr>
          <w:hyperlink w:anchor="__RefHeading___Toc13197951_1280447820">
            <w:r>
              <w:rPr>
                <w:webHidden/>
                <w:rStyle w:val="IndexLink"/>
                <w:rtl w:val="true"/>
              </w:rPr>
              <w:t>تاسعها</w:t>
            </w:r>
            <w:r>
              <w:rPr>
                <w:rStyle w:val="IndexLink"/>
                <w:rtl w:val="true"/>
              </w:rPr>
              <w:t xml:space="preserve">: </w:t>
            </w:r>
            <w:r>
              <w:rPr>
                <w:rStyle w:val="IndexLink"/>
                <w:rtl w:val="true"/>
              </w:rPr>
              <w:t>هل یجب ترتيب بين مسح الرّجْلين</w:t>
            </w:r>
            <w:r>
              <w:rPr>
                <w:rStyle w:val="IndexLink"/>
                <w:rtl w:val="true"/>
              </w:rPr>
              <w:tab/>
            </w:r>
            <w:r>
              <w:rPr>
                <w:rStyle w:val="IndexLink"/>
              </w:rPr>
              <w:t>367</w:t>
            </w:r>
          </w:hyperlink>
        </w:p>
        <w:p>
          <w:pPr>
            <w:pStyle w:val="Contents6"/>
            <w:tabs>
              <w:tab w:val="clear" w:pos="7609"/>
              <w:tab w:val="right" w:pos="9026" w:leader="dot"/>
            </w:tabs>
            <w:rPr/>
          </w:pPr>
          <w:hyperlink w:anchor="__RefHeading___Toc13197953_1280447820">
            <w:r>
              <w:rPr>
                <w:webHidden/>
                <w:rStyle w:val="IndexLink"/>
                <w:rtl w:val="true"/>
              </w:rPr>
              <w:t>عاشرها</w:t>
            </w:r>
            <w:r>
              <w:rPr>
                <w:rStyle w:val="IndexLink"/>
                <w:rtl w:val="true"/>
              </w:rPr>
              <w:t xml:space="preserve">: </w:t>
            </w:r>
            <w:r>
              <w:rPr>
                <w:rStyle w:val="IndexLink"/>
                <w:rtl w:val="true"/>
              </w:rPr>
              <w:t>يجب مسح الظاهر من القدمين بما يُسمّى ظاهراً عرفاً</w:t>
            </w:r>
            <w:r>
              <w:rPr>
                <w:rStyle w:val="IndexLink"/>
                <w:rtl w:val="true"/>
              </w:rPr>
              <w:tab/>
            </w:r>
            <w:r>
              <w:rPr>
                <w:rStyle w:val="IndexLink"/>
              </w:rPr>
              <w:t>368</w:t>
            </w:r>
          </w:hyperlink>
        </w:p>
        <w:p>
          <w:pPr>
            <w:pStyle w:val="Contents5"/>
            <w:tabs>
              <w:tab w:val="clear" w:pos="7892"/>
              <w:tab w:val="right" w:pos="9026" w:leader="dot"/>
            </w:tabs>
            <w:rPr/>
          </w:pPr>
          <w:hyperlink w:anchor="__RefHeading___Toc13197955_1280447820">
            <w:r>
              <w:rPr>
                <w:webHidden/>
                <w:rStyle w:val="IndexLink"/>
                <w:rtl w:val="true"/>
              </w:rPr>
              <w:t xml:space="preserve">السادس </w:t>
            </w:r>
            <w:r>
              <w:rPr>
                <w:rStyle w:val="IndexLink"/>
                <w:rtl w:val="true"/>
              </w:rPr>
              <w:t xml:space="preserve">- </w:t>
            </w:r>
            <w:r>
              <w:rPr>
                <w:rStyle w:val="IndexLink"/>
                <w:rtl w:val="true"/>
              </w:rPr>
              <w:t xml:space="preserve">من فروض الوضوء </w:t>
            </w:r>
            <w:r>
              <w:rPr>
                <w:rStyle w:val="IndexLink"/>
                <w:rtl w:val="true"/>
              </w:rPr>
              <w:t xml:space="preserve">- : [ </w:t>
            </w:r>
            <w:r>
              <w:rPr>
                <w:rStyle w:val="IndexLink"/>
                <w:rtl w:val="true"/>
              </w:rPr>
              <w:t xml:space="preserve">الترتيب </w:t>
            </w:r>
            <w:r>
              <w:rPr>
                <w:rStyle w:val="IndexLink"/>
                <w:rtl w:val="true"/>
              </w:rPr>
              <w:t>]</w:t>
              <w:tab/>
            </w:r>
            <w:r>
              <w:rPr>
                <w:rStyle w:val="IndexLink"/>
              </w:rPr>
              <w:t>368</w:t>
            </w:r>
          </w:hyperlink>
        </w:p>
        <w:p>
          <w:pPr>
            <w:pStyle w:val="Contents6"/>
            <w:tabs>
              <w:tab w:val="clear" w:pos="7609"/>
              <w:tab w:val="right" w:pos="9026" w:leader="dot"/>
            </w:tabs>
            <w:rPr/>
          </w:pPr>
          <w:hyperlink w:anchor="__RefHeading___Toc13197957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3197959_1280447820">
            <w:r>
              <w:rPr>
                <w:webHidden/>
                <w:rStyle w:val="IndexLink"/>
                <w:rtl w:val="true"/>
              </w:rPr>
              <w:t>وجوب الترتيب بين أجزاء الوضوء واجب إجماعاً، إلّا في مسح الرِّجْلين</w:t>
            </w:r>
            <w:r>
              <w:rPr>
                <w:rStyle w:val="IndexLink"/>
                <w:rtl w:val="true"/>
              </w:rPr>
              <w:tab/>
            </w:r>
            <w:r>
              <w:rPr>
                <w:rStyle w:val="IndexLink"/>
              </w:rPr>
              <w:t>368</w:t>
            </w:r>
          </w:hyperlink>
        </w:p>
        <w:p>
          <w:pPr>
            <w:pStyle w:val="Contents5"/>
            <w:tabs>
              <w:tab w:val="clear" w:pos="7892"/>
              <w:tab w:val="right" w:pos="9026" w:leader="dot"/>
            </w:tabs>
            <w:rPr/>
          </w:pPr>
          <w:hyperlink w:anchor="__RefHeading___Toc13197961_1280447820">
            <w:r>
              <w:rPr>
                <w:webHidden/>
                <w:rStyle w:val="IndexLink"/>
                <w:rtl w:val="true"/>
              </w:rPr>
              <w:t xml:space="preserve">السابع </w:t>
            </w:r>
            <w:r>
              <w:rPr>
                <w:rStyle w:val="IndexLink"/>
                <w:rtl w:val="true"/>
              </w:rPr>
              <w:t xml:space="preserve">- </w:t>
            </w:r>
            <w:r>
              <w:rPr>
                <w:rStyle w:val="IndexLink"/>
                <w:rtl w:val="true"/>
              </w:rPr>
              <w:t xml:space="preserve">من فروض الوضوء </w:t>
            </w:r>
            <w:r>
              <w:rPr>
                <w:rStyle w:val="IndexLink"/>
                <w:rtl w:val="true"/>
              </w:rPr>
              <w:t xml:space="preserve">- : </w:t>
            </w:r>
            <w:r>
              <w:rPr>
                <w:rStyle w:val="IndexLink"/>
                <w:rtl w:val="true"/>
              </w:rPr>
              <w:t>المباشرة للغَسْل والمسح بنفسه</w:t>
            </w:r>
            <w:r>
              <w:rPr>
                <w:rStyle w:val="IndexLink"/>
                <w:rtl w:val="true"/>
              </w:rPr>
              <w:tab/>
            </w:r>
            <w:r>
              <w:rPr>
                <w:rStyle w:val="IndexLink"/>
              </w:rPr>
              <w:t>369</w:t>
            </w:r>
          </w:hyperlink>
        </w:p>
        <w:p>
          <w:pPr>
            <w:pStyle w:val="Contents5"/>
            <w:tabs>
              <w:tab w:val="clear" w:pos="7892"/>
              <w:tab w:val="right" w:pos="9026" w:leader="dot"/>
            </w:tabs>
            <w:rPr/>
          </w:pPr>
          <w:hyperlink w:anchor="__RefHeading___Toc13197963_1280447820">
            <w:r>
              <w:rPr>
                <w:webHidden/>
                <w:rStyle w:val="IndexLink"/>
                <w:rtl w:val="true"/>
              </w:rPr>
              <w:t xml:space="preserve">الثامن </w:t>
            </w:r>
            <w:r>
              <w:rPr>
                <w:rStyle w:val="IndexLink"/>
                <w:rtl w:val="true"/>
              </w:rPr>
              <w:t xml:space="preserve">- </w:t>
            </w:r>
            <w:r>
              <w:rPr>
                <w:rStyle w:val="IndexLink"/>
                <w:rtl w:val="true"/>
              </w:rPr>
              <w:t xml:space="preserve">من فروض الوضوء </w:t>
            </w:r>
            <w:r>
              <w:rPr>
                <w:rStyle w:val="IndexLink"/>
                <w:rtl w:val="true"/>
              </w:rPr>
              <w:t xml:space="preserve">- : [ </w:t>
            </w:r>
            <w:r>
              <w:rPr>
                <w:rStyle w:val="IndexLink"/>
                <w:rtl w:val="true"/>
              </w:rPr>
              <w:t xml:space="preserve">الموالاة </w:t>
            </w:r>
            <w:r>
              <w:rPr>
                <w:rStyle w:val="IndexLink"/>
                <w:rtl w:val="true"/>
              </w:rPr>
              <w:t>]</w:t>
              <w:tab/>
            </w:r>
            <w:r>
              <w:rPr>
                <w:rStyle w:val="IndexLink"/>
              </w:rPr>
              <w:t>372</w:t>
            </w:r>
          </w:hyperlink>
        </w:p>
        <w:p>
          <w:pPr>
            <w:pStyle w:val="Contents6"/>
            <w:tabs>
              <w:tab w:val="clear" w:pos="7609"/>
              <w:tab w:val="right" w:pos="9026" w:leader="dot"/>
            </w:tabs>
            <w:rPr/>
          </w:pPr>
          <w:hyperlink w:anchor="__RefHeading___Toc13197965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3197967_1280447820">
            <w:r>
              <w:rPr>
                <w:webHidden/>
                <w:rStyle w:val="IndexLink"/>
                <w:rtl w:val="true"/>
              </w:rPr>
              <w:t>تفسیر الموالاۀ</w:t>
            </w:r>
            <w:r>
              <w:rPr>
                <w:rStyle w:val="IndexLink"/>
                <w:rtl w:val="true"/>
              </w:rPr>
              <w:tab/>
            </w:r>
            <w:r>
              <w:rPr>
                <w:rStyle w:val="IndexLink"/>
              </w:rPr>
              <w:t>372</w:t>
            </w:r>
          </w:hyperlink>
        </w:p>
        <w:p>
          <w:pPr>
            <w:pStyle w:val="Contents4"/>
            <w:tabs>
              <w:tab w:val="clear" w:pos="8176"/>
              <w:tab w:val="right" w:pos="9026" w:leader="dot"/>
            </w:tabs>
            <w:rPr/>
          </w:pPr>
          <w:hyperlink w:anchor="__RefHeading___Toc13197969_1280447820">
            <w:r>
              <w:rPr>
                <w:webHidden/>
                <w:rStyle w:val="IndexLink"/>
                <w:rtl w:val="true"/>
              </w:rPr>
              <w:t>سادسها</w:t>
            </w:r>
            <w:r>
              <w:rPr>
                <w:rStyle w:val="IndexLink"/>
                <w:rtl w:val="true"/>
              </w:rPr>
              <w:t xml:space="preserve">: </w:t>
            </w:r>
            <w:r>
              <w:rPr>
                <w:rStyle w:val="IndexLink"/>
                <w:rtl w:val="true"/>
              </w:rPr>
              <w:t>لا يصحّ الوضوء بماء نجس</w:t>
            </w:r>
            <w:r>
              <w:rPr>
                <w:rStyle w:val="IndexLink"/>
                <w:rtl w:val="true"/>
              </w:rPr>
              <w:tab/>
            </w:r>
            <w:r>
              <w:rPr>
                <w:rStyle w:val="IndexLink"/>
              </w:rPr>
              <w:t>384</w:t>
            </w:r>
          </w:hyperlink>
        </w:p>
        <w:p>
          <w:pPr>
            <w:pStyle w:val="Contents4"/>
            <w:tabs>
              <w:tab w:val="clear" w:pos="8176"/>
              <w:tab w:val="right" w:pos="9026" w:leader="dot"/>
            </w:tabs>
            <w:rPr/>
          </w:pPr>
          <w:hyperlink w:anchor="__RefHeading___Toc13197971_1280447820">
            <w:r>
              <w:rPr>
                <w:webHidden/>
                <w:rStyle w:val="IndexLink"/>
                <w:rtl w:val="true"/>
              </w:rPr>
              <w:t>سابعها</w:t>
            </w:r>
            <w:r>
              <w:rPr>
                <w:rStyle w:val="IndexLink"/>
                <w:rtl w:val="true"/>
              </w:rPr>
              <w:t xml:space="preserve">: </w:t>
            </w:r>
            <w:r>
              <w:rPr>
                <w:rStyle w:val="IndexLink"/>
                <w:rtl w:val="true"/>
              </w:rPr>
              <w:t>تجب إزالة المانع عن موضع الغَسْل والمسح ماسحاً أو ممسوحاً</w:t>
            </w:r>
            <w:r>
              <w:rPr>
                <w:rStyle w:val="IndexLink"/>
                <w:rtl w:val="true"/>
              </w:rPr>
              <w:tab/>
            </w:r>
            <w:r>
              <w:rPr>
                <w:rStyle w:val="IndexLink"/>
              </w:rPr>
              <w:t>385</w:t>
            </w:r>
          </w:hyperlink>
        </w:p>
        <w:p>
          <w:pPr>
            <w:pStyle w:val="Contents4"/>
            <w:tabs>
              <w:tab w:val="clear" w:pos="8176"/>
              <w:tab w:val="right" w:pos="9026" w:leader="dot"/>
            </w:tabs>
            <w:rPr/>
          </w:pPr>
          <w:hyperlink w:anchor="__RefHeading___Toc13197973_1280447820">
            <w:r>
              <w:rPr>
                <w:webHidden/>
                <w:rStyle w:val="IndexLink"/>
                <w:rtl w:val="true"/>
              </w:rPr>
              <w:t>ثامنها</w:t>
            </w:r>
            <w:r>
              <w:rPr>
                <w:rStyle w:val="IndexLink"/>
                <w:rtl w:val="true"/>
              </w:rPr>
              <w:t xml:space="preserve">: </w:t>
            </w:r>
            <w:r>
              <w:rPr>
                <w:rStyle w:val="IndexLink"/>
                <w:rtl w:val="true"/>
              </w:rPr>
              <w:t>هل یشترط طهارۀ محالّ الوضوء قبل غَسْلها؟</w:t>
            </w:r>
            <w:r>
              <w:rPr>
                <w:rStyle w:val="IndexLink"/>
                <w:rtl w:val="true"/>
              </w:rPr>
              <w:tab/>
            </w:r>
            <w:r>
              <w:rPr>
                <w:rStyle w:val="IndexLink"/>
              </w:rPr>
              <w:t>390</w:t>
            </w:r>
          </w:hyperlink>
        </w:p>
        <w:p>
          <w:pPr>
            <w:pStyle w:val="Contents4"/>
            <w:tabs>
              <w:tab w:val="clear" w:pos="8176"/>
              <w:tab w:val="right" w:pos="9026" w:leader="dot"/>
            </w:tabs>
            <w:rPr/>
          </w:pPr>
          <w:hyperlink w:anchor="__RefHeading___Toc13197975_1280447820">
            <w:r>
              <w:rPr>
                <w:webHidden/>
                <w:rStyle w:val="IndexLink"/>
                <w:rtl w:val="true"/>
              </w:rPr>
              <w:t>تاسعها</w:t>
            </w:r>
            <w:r>
              <w:rPr>
                <w:rStyle w:val="IndexLink"/>
                <w:rtl w:val="true"/>
              </w:rPr>
              <w:t xml:space="preserve">: </w:t>
            </w:r>
            <w:r>
              <w:rPr>
                <w:rStyle w:val="IndexLink"/>
                <w:rtl w:val="true"/>
              </w:rPr>
              <w:t>مَنْ كان مستديم الحدث</w:t>
            </w:r>
            <w:r>
              <w:rPr>
                <w:rStyle w:val="IndexLink"/>
                <w:rtl w:val="true"/>
              </w:rPr>
              <w:tab/>
            </w:r>
            <w:r>
              <w:rPr>
                <w:rStyle w:val="IndexLink"/>
              </w:rPr>
              <w:t>390</w:t>
            </w:r>
          </w:hyperlink>
        </w:p>
        <w:p>
          <w:pPr>
            <w:pStyle w:val="Contents4"/>
            <w:tabs>
              <w:tab w:val="clear" w:pos="8176"/>
              <w:tab w:val="right" w:pos="9026" w:leader="dot"/>
            </w:tabs>
            <w:rPr/>
          </w:pPr>
          <w:hyperlink w:anchor="__RefHeading___Toc13197977_1280447820">
            <w:r>
              <w:rPr>
                <w:webHidden/>
                <w:rStyle w:val="IndexLink"/>
                <w:rtl w:val="true"/>
              </w:rPr>
              <w:t>عاشرها</w:t>
            </w:r>
            <w:r>
              <w:rPr>
                <w:rStyle w:val="IndexLink"/>
                <w:rtl w:val="true"/>
              </w:rPr>
              <w:t xml:space="preserve">: </w:t>
            </w:r>
            <w:r>
              <w:rPr>
                <w:rStyle w:val="IndexLink"/>
                <w:rtl w:val="true"/>
              </w:rPr>
              <w:t>لو تيقّن الطهارة وشكّ في الحدث، أو العكس</w:t>
            </w:r>
            <w:r>
              <w:rPr>
                <w:rStyle w:val="IndexLink"/>
                <w:rtl w:val="true"/>
              </w:rPr>
              <w:tab/>
            </w:r>
            <w:r>
              <w:rPr>
                <w:rStyle w:val="IndexLink"/>
              </w:rPr>
              <w:t>394</w:t>
            </w:r>
          </w:hyperlink>
        </w:p>
        <w:p>
          <w:pPr>
            <w:pStyle w:val="Contents4"/>
            <w:tabs>
              <w:tab w:val="clear" w:pos="8176"/>
              <w:tab w:val="right" w:pos="9026" w:leader="dot"/>
            </w:tabs>
            <w:rPr/>
          </w:pPr>
          <w:hyperlink w:anchor="__RefHeading___Toc13197979_1280447820">
            <w:r>
              <w:rPr>
                <w:webHidden/>
                <w:rStyle w:val="IndexLink"/>
                <w:rtl w:val="true"/>
              </w:rPr>
              <w:t>حادي عشرها</w:t>
            </w:r>
            <w:r>
              <w:rPr>
                <w:rStyle w:val="IndexLink"/>
                <w:rtl w:val="true"/>
              </w:rPr>
              <w:t>:</w:t>
            </w:r>
            <w:r>
              <w:rPr>
                <w:rStyle w:val="IndexLink"/>
                <w:rtl w:val="true"/>
              </w:rPr>
              <w:t>حکم ما لو تيقّن الطهارة والحدث وشكّ في السابق ولم يعلم التاريخ في أحدهما أو علم</w:t>
            </w:r>
            <w:r>
              <w:rPr>
                <w:rStyle w:val="IndexLink"/>
                <w:rtl w:val="true"/>
              </w:rPr>
              <w:tab/>
            </w:r>
            <w:r>
              <w:rPr>
                <w:rStyle w:val="IndexLink"/>
              </w:rPr>
              <w:t>395</w:t>
            </w:r>
          </w:hyperlink>
        </w:p>
        <w:p>
          <w:pPr>
            <w:pStyle w:val="Contents4"/>
            <w:tabs>
              <w:tab w:val="clear" w:pos="8176"/>
              <w:tab w:val="right" w:pos="9026" w:leader="dot"/>
            </w:tabs>
            <w:rPr/>
          </w:pPr>
          <w:hyperlink w:anchor="__RefHeading___Toc13197981_1280447820">
            <w:r>
              <w:rPr>
                <w:webHidden/>
                <w:rStyle w:val="IndexLink"/>
                <w:rtl w:val="true"/>
              </w:rPr>
              <w:t>ثاني عشرها</w:t>
            </w:r>
            <w:r>
              <w:rPr>
                <w:rStyle w:val="IndexLink"/>
                <w:rtl w:val="true"/>
              </w:rPr>
              <w:t>:</w:t>
            </w:r>
            <w:r>
              <w:rPr>
                <w:rStyle w:val="IndexLink"/>
                <w:rtl w:val="true"/>
              </w:rPr>
              <w:t>حکم ما لو شكّ في شيء من أفعال الوضوء غَسْلاً أو مسحاً أو نيّةٌ</w:t>
            </w:r>
            <w:r>
              <w:rPr>
                <w:rStyle w:val="IndexLink"/>
                <w:rtl w:val="true"/>
              </w:rPr>
              <w:tab/>
            </w:r>
            <w:r>
              <w:rPr>
                <w:rStyle w:val="IndexLink"/>
              </w:rPr>
              <w:t>396</w:t>
            </w:r>
          </w:hyperlink>
        </w:p>
        <w:p>
          <w:pPr>
            <w:pStyle w:val="Contents4"/>
            <w:tabs>
              <w:tab w:val="clear" w:pos="8176"/>
              <w:tab w:val="right" w:pos="9026" w:leader="dot"/>
            </w:tabs>
            <w:rPr/>
          </w:pPr>
          <w:hyperlink w:anchor="__RefHeading___Toc13197983_1280447820">
            <w:r>
              <w:rPr>
                <w:webHidden/>
                <w:rStyle w:val="IndexLink"/>
                <w:rtl w:val="true"/>
              </w:rPr>
              <w:t>ثالث عشرها</w:t>
            </w:r>
            <w:r>
              <w:rPr>
                <w:rStyle w:val="IndexLink"/>
                <w:rtl w:val="true"/>
              </w:rPr>
              <w:t>:</w:t>
            </w:r>
            <w:r>
              <w:rPr>
                <w:rStyle w:val="IndexLink"/>
                <w:rtl w:val="true"/>
              </w:rPr>
              <w:t>حکم ما لو شكّ في أصل الوضوء وقد دخل في عملٍ مشروط به</w:t>
            </w:r>
            <w:r>
              <w:rPr>
                <w:rStyle w:val="IndexLink"/>
                <w:rtl w:val="true"/>
              </w:rPr>
              <w:tab/>
            </w:r>
            <w:r>
              <w:rPr>
                <w:rStyle w:val="IndexLink"/>
              </w:rPr>
              <w:t>398</w:t>
            </w:r>
          </w:hyperlink>
        </w:p>
        <w:p>
          <w:pPr>
            <w:pStyle w:val="Contents4"/>
            <w:tabs>
              <w:tab w:val="clear" w:pos="8176"/>
              <w:tab w:val="right" w:pos="9026" w:leader="dot"/>
            </w:tabs>
            <w:rPr/>
          </w:pPr>
          <w:hyperlink w:anchor="__RefHeading___Toc13197985_1280447820">
            <w:r>
              <w:rPr>
                <w:webHidden/>
                <w:rStyle w:val="IndexLink"/>
                <w:rtl w:val="true"/>
              </w:rPr>
              <w:t>رابع عشرها</w:t>
            </w:r>
            <w:r>
              <w:rPr>
                <w:rStyle w:val="IndexLink"/>
                <w:rtl w:val="true"/>
              </w:rPr>
              <w:t xml:space="preserve">: </w:t>
            </w:r>
            <w:r>
              <w:rPr>
                <w:rStyle w:val="IndexLink"/>
                <w:rtl w:val="true"/>
              </w:rPr>
              <w:t>حكم الظنّ كحكم الشكّ</w:t>
            </w:r>
            <w:r>
              <w:rPr>
                <w:rStyle w:val="IndexLink"/>
                <w:rtl w:val="true"/>
              </w:rPr>
              <w:tab/>
            </w:r>
            <w:r>
              <w:rPr>
                <w:rStyle w:val="IndexLink"/>
              </w:rPr>
              <w:t>398</w:t>
            </w:r>
          </w:hyperlink>
        </w:p>
        <w:p>
          <w:pPr>
            <w:pStyle w:val="Contents4"/>
            <w:tabs>
              <w:tab w:val="clear" w:pos="8176"/>
              <w:tab w:val="right" w:pos="9026" w:leader="dot"/>
            </w:tabs>
            <w:rPr/>
          </w:pPr>
          <w:hyperlink w:anchor="__RefHeading___Toc13197987_1280447820">
            <w:r>
              <w:rPr>
                <w:webHidden/>
                <w:rStyle w:val="IndexLink"/>
                <w:rtl w:val="true"/>
              </w:rPr>
              <w:t>خامس عشرها</w:t>
            </w:r>
            <w:r>
              <w:rPr>
                <w:rStyle w:val="IndexLink"/>
                <w:rtl w:val="true"/>
              </w:rPr>
              <w:t>:</w:t>
            </w:r>
            <w:r>
              <w:rPr>
                <w:rStyle w:val="IndexLink"/>
                <w:rtl w:val="true"/>
              </w:rPr>
              <w:t>فی انّ الأصل في الطهارة تقديم الماء على التراب</w:t>
            </w:r>
            <w:r>
              <w:rPr>
                <w:rStyle w:val="IndexLink"/>
                <w:rtl w:val="true"/>
              </w:rPr>
              <w:tab/>
            </w:r>
            <w:r>
              <w:rPr>
                <w:rStyle w:val="IndexLink"/>
              </w:rPr>
              <w:t>399</w:t>
            </w:r>
          </w:hyperlink>
        </w:p>
        <w:p>
          <w:pPr>
            <w:pStyle w:val="Contents4"/>
            <w:tabs>
              <w:tab w:val="clear" w:pos="8176"/>
              <w:tab w:val="right" w:pos="9026" w:leader="dot"/>
            </w:tabs>
            <w:rPr/>
          </w:pPr>
          <w:hyperlink w:anchor="__RefHeading___Toc13197989_1280447820">
            <w:r>
              <w:rPr>
                <w:webHidden/>
                <w:rStyle w:val="IndexLink"/>
                <w:rtl w:val="true"/>
              </w:rPr>
              <w:t>سادس عشرها</w:t>
            </w:r>
            <w:r>
              <w:rPr>
                <w:rStyle w:val="IndexLink"/>
                <w:rtl w:val="true"/>
              </w:rPr>
              <w:t>:</w:t>
            </w:r>
            <w:r>
              <w:rPr>
                <w:rStyle w:val="IndexLink"/>
                <w:rtl w:val="true"/>
              </w:rPr>
              <w:t>حکم ما لو توضّأ وضوءين و صلّى فريضةً واحدة وذكر الإخلال بأحدهما</w:t>
            </w:r>
            <w:r>
              <w:rPr>
                <w:rStyle w:val="IndexLink"/>
                <w:rtl w:val="true"/>
              </w:rPr>
              <w:tab/>
            </w:r>
            <w:r>
              <w:rPr>
                <w:rStyle w:val="IndexLink"/>
              </w:rPr>
              <w:t>400</w:t>
            </w:r>
          </w:hyperlink>
        </w:p>
        <w:p>
          <w:pPr>
            <w:pStyle w:val="Contents4"/>
            <w:tabs>
              <w:tab w:val="clear" w:pos="8176"/>
              <w:tab w:val="right" w:pos="9026" w:leader="dot"/>
            </w:tabs>
            <w:rPr/>
          </w:pPr>
          <w:hyperlink w:anchor="__RefHeading___Toc13197991_1280447820">
            <w:r>
              <w:rPr>
                <w:webHidden/>
                <w:rStyle w:val="IndexLink"/>
                <w:rtl w:val="true"/>
              </w:rPr>
              <w:t>سابع عشرها</w:t>
            </w:r>
            <w:r>
              <w:rPr>
                <w:rStyle w:val="IndexLink"/>
                <w:rtl w:val="true"/>
              </w:rPr>
              <w:t xml:space="preserve">: </w:t>
            </w:r>
            <w:r>
              <w:rPr>
                <w:rStyle w:val="IndexLink"/>
                <w:rtl w:val="true"/>
              </w:rPr>
              <w:t>فیما يستحبّ فی الوضوء</w:t>
            </w:r>
            <w:r>
              <w:rPr>
                <w:rStyle w:val="IndexLink"/>
                <w:rtl w:val="true"/>
              </w:rPr>
              <w:tab/>
            </w:r>
            <w:r>
              <w:rPr>
                <w:rStyle w:val="IndexLink"/>
              </w:rPr>
              <w:t>402</w:t>
            </w:r>
          </w:hyperlink>
        </w:p>
        <w:p>
          <w:pPr>
            <w:pStyle w:val="Contents3"/>
            <w:tabs>
              <w:tab w:val="clear" w:pos="8459"/>
              <w:tab w:val="right" w:pos="9026" w:leader="dot"/>
            </w:tabs>
            <w:rPr/>
          </w:pPr>
          <w:hyperlink w:anchor="__RefHeading___Toc13197993_1280447820">
            <w:r>
              <w:rPr>
                <w:webHidden/>
                <w:rStyle w:val="IndexLink"/>
                <w:rtl w:val="true"/>
              </w:rPr>
              <w:t>القول في غسل الجنابة</w:t>
            </w:r>
            <w:r>
              <w:rPr>
                <w:rStyle w:val="IndexLink"/>
                <w:rtl w:val="true"/>
              </w:rPr>
              <w:tab/>
            </w:r>
            <w:r>
              <w:rPr>
                <w:rStyle w:val="IndexLink"/>
              </w:rPr>
              <w:t>407</w:t>
            </w:r>
          </w:hyperlink>
        </w:p>
        <w:p>
          <w:pPr>
            <w:pStyle w:val="Contents4"/>
            <w:tabs>
              <w:tab w:val="clear" w:pos="8176"/>
              <w:tab w:val="right" w:pos="9026" w:leader="dot"/>
            </w:tabs>
            <w:rPr/>
          </w:pPr>
          <w:hyperlink w:anchor="__RefHeading___Toc13197995_1280447820">
            <w:r>
              <w:rPr>
                <w:webHidden/>
                <w:rStyle w:val="IndexLink"/>
                <w:rtl w:val="true"/>
              </w:rPr>
              <w:t>ثبوت وجوب الغسل الجنابۀ بالکتاب والسنّۀ والإجماع</w:t>
            </w:r>
            <w:r>
              <w:rPr>
                <w:rStyle w:val="IndexLink"/>
                <w:rtl w:val="true"/>
              </w:rPr>
              <w:tab/>
            </w:r>
            <w:r>
              <w:rPr>
                <w:rStyle w:val="IndexLink"/>
              </w:rPr>
              <w:t>407</w:t>
            </w:r>
          </w:hyperlink>
        </w:p>
        <w:p>
          <w:pPr>
            <w:pStyle w:val="Contents5"/>
            <w:tabs>
              <w:tab w:val="clear" w:pos="7892"/>
              <w:tab w:val="right" w:pos="9026" w:leader="dot"/>
            </w:tabs>
            <w:rPr/>
          </w:pPr>
          <w:hyperlink w:anchor="__RefHeading___Toc13197997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3197999_1280447820">
            <w:r>
              <w:rPr>
                <w:webHidden/>
                <w:rStyle w:val="IndexLink"/>
                <w:rtl w:val="true"/>
              </w:rPr>
              <w:t>وفيه أُمور</w:t>
            </w:r>
            <w:r>
              <w:rPr>
                <w:rStyle w:val="IndexLink"/>
                <w:rtl w:val="true"/>
              </w:rPr>
              <w:t>:</w:t>
              <w:tab/>
            </w:r>
            <w:r>
              <w:rPr>
                <w:rStyle w:val="IndexLink"/>
              </w:rPr>
              <w:t>407</w:t>
            </w:r>
          </w:hyperlink>
        </w:p>
        <w:p>
          <w:pPr>
            <w:pStyle w:val="Contents5"/>
            <w:tabs>
              <w:tab w:val="clear" w:pos="7892"/>
              <w:tab w:val="right" w:pos="9026" w:leader="dot"/>
            </w:tabs>
            <w:rPr/>
          </w:pPr>
          <w:hyperlink w:anchor="__RefHeading___Toc13198001_1280447820">
            <w:r>
              <w:rPr>
                <w:webHidden/>
                <w:rStyle w:val="IndexLink"/>
                <w:rtl w:val="true"/>
              </w:rPr>
              <w:t>أحدها</w:t>
            </w:r>
            <w:r>
              <w:rPr>
                <w:rStyle w:val="IndexLink"/>
                <w:rtl w:val="true"/>
              </w:rPr>
              <w:t xml:space="preserve">: </w:t>
            </w:r>
            <w:r>
              <w:rPr>
                <w:rStyle w:val="IndexLink"/>
                <w:rtl w:val="true"/>
              </w:rPr>
              <w:t>يجب الغسل بالإدخال ولو بدون الإنزال</w:t>
            </w:r>
            <w:r>
              <w:rPr>
                <w:rStyle w:val="IndexLink"/>
                <w:rtl w:val="true"/>
              </w:rPr>
              <w:tab/>
            </w:r>
            <w:r>
              <w:rPr>
                <w:rStyle w:val="IndexLink"/>
              </w:rPr>
              <w:t>407</w:t>
            </w:r>
          </w:hyperlink>
        </w:p>
        <w:p>
          <w:pPr>
            <w:pStyle w:val="Contents5"/>
            <w:tabs>
              <w:tab w:val="clear" w:pos="7892"/>
              <w:tab w:val="right" w:pos="9026" w:leader="dot"/>
            </w:tabs>
            <w:rPr/>
          </w:pPr>
          <w:hyperlink w:anchor="__RefHeading___Toc13198003_1280447820">
            <w:r>
              <w:rPr>
                <w:webHidden/>
                <w:rStyle w:val="IndexLink"/>
                <w:rtl w:val="true"/>
              </w:rPr>
              <w:t>ثانيها</w:t>
            </w:r>
            <w:r>
              <w:rPr>
                <w:rStyle w:val="IndexLink"/>
                <w:rtl w:val="true"/>
              </w:rPr>
              <w:t xml:space="preserve">: </w:t>
            </w:r>
            <w:r>
              <w:rPr>
                <w:rStyle w:val="IndexLink"/>
                <w:rtl w:val="true"/>
              </w:rPr>
              <w:t>يجب الغسل بالإنزال</w:t>
            </w:r>
            <w:r>
              <w:rPr>
                <w:rStyle w:val="IndexLink"/>
                <w:rtl w:val="true"/>
              </w:rPr>
              <w:tab/>
            </w:r>
            <w:r>
              <w:rPr>
                <w:rStyle w:val="IndexLink"/>
              </w:rPr>
              <w:t>411</w:t>
            </w:r>
          </w:hyperlink>
        </w:p>
        <w:p>
          <w:pPr>
            <w:pStyle w:val="Contents5"/>
            <w:tabs>
              <w:tab w:val="clear" w:pos="7892"/>
              <w:tab w:val="right" w:pos="9026" w:leader="dot"/>
            </w:tabs>
            <w:rPr/>
          </w:pPr>
          <w:hyperlink w:anchor="__RefHeading___Toc13198005_1280447820">
            <w:r>
              <w:rPr>
                <w:webHidden/>
                <w:rStyle w:val="IndexLink"/>
                <w:rtl w:val="true"/>
              </w:rPr>
              <w:t>ثالثها</w:t>
            </w:r>
            <w:r>
              <w:rPr>
                <w:rStyle w:val="IndexLink"/>
                <w:rtl w:val="true"/>
              </w:rPr>
              <w:t xml:space="preserve">: </w:t>
            </w:r>
            <w:r>
              <w:rPr>
                <w:rStyle w:val="IndexLink"/>
                <w:rtl w:val="true"/>
              </w:rPr>
              <w:t>حکم مَن رأی فی ثوبه منیّاً</w:t>
            </w:r>
            <w:r>
              <w:rPr>
                <w:rStyle w:val="IndexLink"/>
                <w:rtl w:val="true"/>
              </w:rPr>
              <w:tab/>
            </w:r>
            <w:r>
              <w:rPr>
                <w:rStyle w:val="IndexLink"/>
              </w:rPr>
              <w:t>413</w:t>
            </w:r>
          </w:hyperlink>
        </w:p>
        <w:p>
          <w:pPr>
            <w:pStyle w:val="Contents5"/>
            <w:tabs>
              <w:tab w:val="clear" w:pos="7892"/>
              <w:tab w:val="right" w:pos="9026" w:leader="dot"/>
            </w:tabs>
            <w:rPr/>
          </w:pPr>
          <w:hyperlink w:anchor="__RefHeading___Toc13198007_1280447820">
            <w:r>
              <w:rPr>
                <w:webHidden/>
                <w:rStyle w:val="IndexLink"/>
                <w:rtl w:val="true"/>
              </w:rPr>
              <w:t>رابعها</w:t>
            </w:r>
            <w:r>
              <w:rPr>
                <w:rStyle w:val="IndexLink"/>
                <w:rtl w:val="true"/>
              </w:rPr>
              <w:t xml:space="preserve">: </w:t>
            </w:r>
            <w:r>
              <w:rPr>
                <w:rStyle w:val="IndexLink"/>
                <w:rtl w:val="true"/>
              </w:rPr>
              <w:t>أحکام صُور ما إذاخرج منه بلل بعد الغسل</w:t>
            </w:r>
            <w:r>
              <w:rPr>
                <w:rStyle w:val="IndexLink"/>
                <w:rtl w:val="true"/>
              </w:rPr>
              <w:tab/>
            </w:r>
            <w:r>
              <w:rPr>
                <w:rStyle w:val="IndexLink"/>
              </w:rPr>
              <w:t>415</w:t>
            </w:r>
          </w:hyperlink>
        </w:p>
        <w:p>
          <w:pPr>
            <w:pStyle w:val="Contents5"/>
            <w:tabs>
              <w:tab w:val="clear" w:pos="7892"/>
              <w:tab w:val="right" w:pos="9026" w:leader="dot"/>
            </w:tabs>
            <w:rPr/>
          </w:pPr>
          <w:hyperlink w:anchor="__RefHeading___Toc13198009_1280447820">
            <w:r>
              <w:rPr>
                <w:webHidden/>
                <w:rStyle w:val="IndexLink"/>
                <w:rtl w:val="true"/>
              </w:rPr>
              <w:t>خامسها</w:t>
            </w:r>
            <w:r>
              <w:rPr>
                <w:rStyle w:val="IndexLink"/>
                <w:rtl w:val="true"/>
              </w:rPr>
              <w:t xml:space="preserve">: </w:t>
            </w:r>
            <w:r>
              <w:rPr>
                <w:rStyle w:val="IndexLink"/>
                <w:rtl w:val="true"/>
              </w:rPr>
              <w:t>يجب غَسْل جميع البدن للمجنب إجماعاً وكتاباً وسنّۀ</w:t>
            </w:r>
            <w:r>
              <w:rPr>
                <w:rStyle w:val="IndexLink"/>
                <w:rtl w:val="true"/>
              </w:rPr>
              <w:tab/>
            </w:r>
            <w:r>
              <w:rPr>
                <w:rStyle w:val="IndexLink"/>
              </w:rPr>
              <w:t>420</w:t>
            </w:r>
          </w:hyperlink>
        </w:p>
        <w:p>
          <w:pPr>
            <w:pStyle w:val="Contents6"/>
            <w:tabs>
              <w:tab w:val="clear" w:pos="7609"/>
              <w:tab w:val="right" w:pos="9026" w:leader="dot"/>
            </w:tabs>
            <w:rPr/>
          </w:pPr>
          <w:hyperlink w:anchor="__RefHeading___Toc13198011_1280447820">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3198013_1280447820">
            <w:r>
              <w:rPr>
                <w:webHidden/>
                <w:rStyle w:val="IndexLink"/>
                <w:rtl w:val="true"/>
              </w:rPr>
              <w:t>والغسل للبدن قسمان</w:t>
            </w:r>
            <w:r>
              <w:rPr>
                <w:rStyle w:val="IndexLink"/>
                <w:rtl w:val="true"/>
              </w:rPr>
              <w:t>:</w:t>
              <w:tab/>
            </w:r>
            <w:r>
              <w:rPr>
                <w:rStyle w:val="IndexLink"/>
              </w:rPr>
              <w:t>420</w:t>
            </w:r>
          </w:hyperlink>
        </w:p>
        <w:p>
          <w:pPr>
            <w:pStyle w:val="Contents6"/>
            <w:tabs>
              <w:tab w:val="clear" w:pos="7609"/>
              <w:tab w:val="right" w:pos="9026" w:leader="dot"/>
            </w:tabs>
            <w:rPr/>
          </w:pPr>
          <w:hyperlink w:anchor="__RefHeading___Toc13198015_1280447820">
            <w:r>
              <w:rPr>
                <w:webHidden/>
                <w:rStyle w:val="IndexLink"/>
                <w:rtl w:val="true"/>
              </w:rPr>
              <w:t>أحدهما</w:t>
            </w:r>
            <w:r>
              <w:rPr>
                <w:rStyle w:val="IndexLink"/>
                <w:rtl w:val="true"/>
              </w:rPr>
              <w:t xml:space="preserve">: </w:t>
            </w:r>
            <w:r>
              <w:rPr>
                <w:rStyle w:val="IndexLink"/>
                <w:rtl w:val="true"/>
              </w:rPr>
              <w:t>الترتیبی</w:t>
            </w:r>
            <w:r>
              <w:rPr>
                <w:rStyle w:val="IndexLink"/>
                <w:rtl w:val="true"/>
              </w:rPr>
              <w:tab/>
            </w:r>
            <w:r>
              <w:rPr>
                <w:rStyle w:val="IndexLink"/>
              </w:rPr>
              <w:t>420</w:t>
            </w:r>
          </w:hyperlink>
        </w:p>
        <w:p>
          <w:pPr>
            <w:pStyle w:val="Contents6"/>
            <w:tabs>
              <w:tab w:val="clear" w:pos="7609"/>
              <w:tab w:val="right" w:pos="9026" w:leader="dot"/>
            </w:tabs>
            <w:rPr/>
          </w:pPr>
          <w:hyperlink w:anchor="__RefHeading___Toc13198017_1280447820">
            <w:r>
              <w:rPr>
                <w:webHidden/>
                <w:rStyle w:val="IndexLink"/>
                <w:rtl w:val="true"/>
              </w:rPr>
              <w:t>ثانيهما</w:t>
            </w:r>
            <w:r>
              <w:rPr>
                <w:rStyle w:val="IndexLink"/>
                <w:rtl w:val="true"/>
              </w:rPr>
              <w:t xml:space="preserve">: </w:t>
            </w:r>
            <w:r>
              <w:rPr>
                <w:rStyle w:val="IndexLink"/>
                <w:rtl w:val="true"/>
              </w:rPr>
              <w:t>غسل الارتماس</w:t>
            </w:r>
            <w:r>
              <w:rPr>
                <w:rStyle w:val="IndexLink"/>
                <w:rtl w:val="true"/>
              </w:rPr>
              <w:tab/>
            </w:r>
            <w:r>
              <w:rPr>
                <w:rStyle w:val="IndexLink"/>
              </w:rPr>
              <w:t>423</w:t>
            </w:r>
          </w:hyperlink>
        </w:p>
        <w:p>
          <w:pPr>
            <w:pStyle w:val="Contents6"/>
            <w:tabs>
              <w:tab w:val="clear" w:pos="7609"/>
              <w:tab w:val="right" w:pos="9026" w:leader="dot"/>
            </w:tabs>
            <w:rPr/>
          </w:pPr>
          <w:hyperlink w:anchor="__RefHeading___Toc13198019_1280447820">
            <w:r>
              <w:rPr>
                <w:webHidden/>
                <w:rStyle w:val="IndexLink"/>
                <w:rtl w:val="true"/>
              </w:rPr>
              <w:t>ما يتعلّق بنفس الغسل</w:t>
            </w:r>
            <w:r>
              <w:rPr>
                <w:rStyle w:val="IndexLink"/>
                <w:rtl w:val="true"/>
              </w:rPr>
              <w:tab/>
            </w:r>
            <w:r>
              <w:rPr>
                <w:rStyle w:val="IndexLink"/>
              </w:rPr>
              <w:t>425</w:t>
            </w:r>
          </w:hyperlink>
        </w:p>
        <w:p>
          <w:pPr>
            <w:pStyle w:val="Contents6"/>
            <w:tabs>
              <w:tab w:val="clear" w:pos="7609"/>
              <w:tab w:val="right" w:pos="9026" w:leader="dot"/>
            </w:tabs>
            <w:rPr/>
          </w:pPr>
          <w:hyperlink w:anchor="__RefHeading___Toc13198021_1280447820">
            <w:r>
              <w:rPr>
                <w:webHidden/>
                <w:rStyle w:val="IndexLink"/>
                <w:rtl w:val="true"/>
              </w:rPr>
              <w:t>بیان أمور تتعلق بنفس الغسل ترتیباً أو ارتماساً</w:t>
            </w:r>
            <w:r>
              <w:rPr>
                <w:rStyle w:val="IndexLink"/>
                <w:rtl w:val="true"/>
              </w:rPr>
              <w:tab/>
            </w:r>
            <w:r>
              <w:rPr>
                <w:rStyle w:val="IndexLink"/>
              </w:rPr>
              <w:t>425</w:t>
            </w:r>
          </w:hyperlink>
        </w:p>
        <w:p>
          <w:pPr>
            <w:pStyle w:val="Contents5"/>
            <w:tabs>
              <w:tab w:val="clear" w:pos="7892"/>
              <w:tab w:val="right" w:pos="9026" w:leader="dot"/>
            </w:tabs>
            <w:rPr/>
          </w:pPr>
          <w:hyperlink w:anchor="__RefHeading___Toc13198023_1280447820">
            <w:r>
              <w:rPr>
                <w:webHidden/>
                <w:rStyle w:val="IndexLink"/>
                <w:rtl w:val="true"/>
              </w:rPr>
              <w:t>سادسها</w:t>
            </w:r>
            <w:r>
              <w:rPr>
                <w:rStyle w:val="IndexLink"/>
                <w:rtl w:val="true"/>
              </w:rPr>
              <w:t xml:space="preserve">: </w:t>
            </w:r>
            <w:r>
              <w:rPr>
                <w:rStyle w:val="IndexLink"/>
                <w:rtl w:val="true"/>
              </w:rPr>
              <w:t>يسقط الوضوء مع غسل الجنابة وجوباً</w:t>
            </w:r>
            <w:r>
              <w:rPr>
                <w:rStyle w:val="IndexLink"/>
                <w:rtl w:val="true"/>
              </w:rPr>
              <w:tab/>
            </w:r>
            <w:r>
              <w:rPr>
                <w:rStyle w:val="IndexLink"/>
              </w:rPr>
              <w:t>432</w:t>
            </w:r>
          </w:hyperlink>
        </w:p>
        <w:p>
          <w:pPr>
            <w:pStyle w:val="Contents5"/>
            <w:tabs>
              <w:tab w:val="clear" w:pos="7892"/>
              <w:tab w:val="right" w:pos="9026" w:leader="dot"/>
            </w:tabs>
            <w:rPr/>
          </w:pPr>
          <w:hyperlink w:anchor="__RefHeading___Toc13198025_1280447820">
            <w:r>
              <w:rPr>
                <w:webHidden/>
                <w:rStyle w:val="IndexLink"/>
                <w:rtl w:val="true"/>
              </w:rPr>
              <w:t>سابعها</w:t>
            </w:r>
            <w:r>
              <w:rPr>
                <w:rStyle w:val="IndexLink"/>
                <w:rtl w:val="true"/>
              </w:rPr>
              <w:t>:</w:t>
            </w:r>
            <w:r>
              <w:rPr>
                <w:rStyle w:val="IndexLink"/>
                <w:rtl w:val="true"/>
              </w:rPr>
              <w:t>حکم لو أحدث المغتسل عن الجنابة ترتيباً في أثناء الغسل</w:t>
            </w:r>
            <w:r>
              <w:rPr>
                <w:rStyle w:val="IndexLink"/>
                <w:rtl w:val="true"/>
              </w:rPr>
              <w:tab/>
            </w:r>
            <w:r>
              <w:rPr>
                <w:rStyle w:val="IndexLink"/>
              </w:rPr>
              <w:t>435</w:t>
            </w:r>
          </w:hyperlink>
        </w:p>
        <w:p>
          <w:pPr>
            <w:pStyle w:val="Contents5"/>
            <w:tabs>
              <w:tab w:val="clear" w:pos="7892"/>
              <w:tab w:val="right" w:pos="9026" w:leader="dot"/>
            </w:tabs>
            <w:rPr/>
          </w:pPr>
          <w:hyperlink w:anchor="__RefHeading___Toc13198027_1280447820">
            <w:r>
              <w:rPr>
                <w:webHidden/>
                <w:rStyle w:val="IndexLink"/>
                <w:rtl w:val="true"/>
              </w:rPr>
              <w:t>ثامنها</w:t>
            </w:r>
            <w:r>
              <w:rPr>
                <w:rStyle w:val="IndexLink"/>
                <w:rtl w:val="true"/>
              </w:rPr>
              <w:t xml:space="preserve">: </w:t>
            </w:r>
            <w:r>
              <w:rPr>
                <w:rStyle w:val="IndexLink"/>
                <w:rtl w:val="true"/>
              </w:rPr>
              <w:t>لا يشترط تعيين نوع الغسل من كونه ارتماسيّاً أو ترتيبيّاً</w:t>
            </w:r>
            <w:r>
              <w:rPr>
                <w:rStyle w:val="IndexLink"/>
                <w:rtl w:val="true"/>
              </w:rPr>
              <w:tab/>
            </w:r>
            <w:r>
              <w:rPr>
                <w:rStyle w:val="IndexLink"/>
              </w:rPr>
              <w:t>438</w:t>
            </w:r>
          </w:hyperlink>
        </w:p>
        <w:p>
          <w:pPr>
            <w:pStyle w:val="Contents5"/>
            <w:tabs>
              <w:tab w:val="clear" w:pos="7892"/>
              <w:tab w:val="right" w:pos="9026" w:leader="dot"/>
            </w:tabs>
            <w:rPr/>
          </w:pPr>
          <w:hyperlink w:anchor="__RefHeading___Toc13198029_1280447820">
            <w:r>
              <w:rPr>
                <w:webHidden/>
                <w:rStyle w:val="IndexLink"/>
                <w:rtl w:val="true"/>
              </w:rPr>
              <w:t>تاسعها</w:t>
            </w:r>
            <w:r>
              <w:rPr>
                <w:rStyle w:val="IndexLink"/>
                <w:rtl w:val="true"/>
              </w:rPr>
              <w:t>:</w:t>
            </w:r>
            <w:r>
              <w:rPr>
                <w:rStyle w:val="IndexLink"/>
                <w:rtl w:val="true"/>
              </w:rPr>
              <w:t>حکم ما لو كانت عليه أغسال معها جنابة</w:t>
            </w:r>
            <w:r>
              <w:rPr>
                <w:rStyle w:val="IndexLink"/>
                <w:rtl w:val="true"/>
              </w:rPr>
              <w:tab/>
            </w:r>
            <w:r>
              <w:rPr>
                <w:rStyle w:val="IndexLink"/>
              </w:rPr>
              <w:t>438</w:t>
            </w:r>
          </w:hyperlink>
        </w:p>
        <w:p>
          <w:pPr>
            <w:pStyle w:val="Contents5"/>
            <w:tabs>
              <w:tab w:val="clear" w:pos="7892"/>
              <w:tab w:val="right" w:pos="9026" w:leader="dot"/>
            </w:tabs>
            <w:rPr/>
          </w:pPr>
          <w:hyperlink w:anchor="__RefHeading___Toc13198031_1280447820">
            <w:r>
              <w:rPr>
                <w:webHidden/>
                <w:rStyle w:val="IndexLink"/>
                <w:rtl w:val="true"/>
              </w:rPr>
              <w:t xml:space="preserve">عاشرها </w:t>
            </w:r>
            <w:r>
              <w:rPr>
                <w:rStyle w:val="IndexLink"/>
                <w:rtl w:val="true"/>
              </w:rPr>
              <w:t>:</w:t>
            </w:r>
            <w:r>
              <w:rPr>
                <w:rStyle w:val="IndexLink"/>
                <w:rtl w:val="true"/>
              </w:rPr>
              <w:t>فیما يحرم على المجنب</w:t>
            </w:r>
            <w:r>
              <w:rPr>
                <w:rStyle w:val="IndexLink"/>
                <w:rtl w:val="true"/>
              </w:rPr>
              <w:tab/>
            </w:r>
            <w:r>
              <w:rPr>
                <w:rStyle w:val="IndexLink"/>
              </w:rPr>
              <w:t>438</w:t>
            </w:r>
          </w:hyperlink>
        </w:p>
        <w:p>
          <w:pPr>
            <w:pStyle w:val="Contents5"/>
            <w:tabs>
              <w:tab w:val="clear" w:pos="7892"/>
              <w:tab w:val="right" w:pos="9026" w:leader="dot"/>
            </w:tabs>
            <w:rPr/>
          </w:pPr>
          <w:hyperlink w:anchor="__RefHeading___Toc13198033_1280447820">
            <w:r>
              <w:rPr>
                <w:webHidden/>
                <w:rStyle w:val="IndexLink"/>
                <w:rtl w:val="true"/>
              </w:rPr>
              <w:t>حادي عشرها</w:t>
            </w:r>
            <w:r>
              <w:rPr>
                <w:rStyle w:val="IndexLink"/>
                <w:rtl w:val="true"/>
              </w:rPr>
              <w:t xml:space="preserve">: </w:t>
            </w:r>
            <w:r>
              <w:rPr>
                <w:rStyle w:val="IndexLink"/>
                <w:rtl w:val="true"/>
              </w:rPr>
              <w:t>فیما يكره للجنب</w:t>
            </w:r>
            <w:r>
              <w:rPr>
                <w:rStyle w:val="IndexLink"/>
                <w:rtl w:val="true"/>
              </w:rPr>
              <w:tab/>
            </w:r>
            <w:r>
              <w:rPr>
                <w:rStyle w:val="IndexLink"/>
              </w:rPr>
              <w:t>440</w:t>
            </w:r>
          </w:hyperlink>
        </w:p>
        <w:p>
          <w:pPr>
            <w:pStyle w:val="Contents5"/>
            <w:tabs>
              <w:tab w:val="clear" w:pos="7892"/>
              <w:tab w:val="right" w:pos="9026" w:leader="dot"/>
            </w:tabs>
            <w:rPr/>
          </w:pPr>
          <w:hyperlink w:anchor="__RefHeading___Toc13198035_1280447820">
            <w:r>
              <w:rPr>
                <w:webHidden/>
                <w:rStyle w:val="IndexLink"/>
                <w:rtl w:val="true"/>
              </w:rPr>
              <w:t>ثاني عشرها</w:t>
            </w:r>
            <w:r>
              <w:rPr>
                <w:rStyle w:val="IndexLink"/>
                <w:rtl w:val="true"/>
              </w:rPr>
              <w:t xml:space="preserve">: </w:t>
            </w:r>
            <w:r>
              <w:rPr>
                <w:rStyle w:val="IndexLink"/>
                <w:rtl w:val="true"/>
              </w:rPr>
              <w:t>فیما يستحبّ عند غسل الجنابة</w:t>
            </w:r>
            <w:r>
              <w:rPr>
                <w:rStyle w:val="IndexLink"/>
                <w:rtl w:val="true"/>
              </w:rPr>
              <w:tab/>
            </w:r>
            <w:r>
              <w:rPr>
                <w:rStyle w:val="IndexLink"/>
              </w:rPr>
              <w:t>440</w:t>
            </w:r>
          </w:hyperlink>
        </w:p>
        <w:p>
          <w:pPr>
            <w:pStyle w:val="Contents3"/>
            <w:tabs>
              <w:tab w:val="clear" w:pos="8459"/>
              <w:tab w:val="right" w:pos="9026" w:leader="dot"/>
            </w:tabs>
            <w:rPr/>
          </w:pPr>
          <w:hyperlink w:anchor="__RefHeading___Toc13198037_1280447820">
            <w:r>
              <w:rPr>
                <w:webHidden/>
                <w:rStyle w:val="IndexLink"/>
                <w:rtl w:val="true"/>
              </w:rPr>
              <w:t>القول في غسل الحيض</w:t>
            </w:r>
            <w:r>
              <w:rPr>
                <w:rStyle w:val="IndexLink"/>
                <w:rtl w:val="true"/>
              </w:rPr>
              <w:tab/>
            </w:r>
            <w:r>
              <w:rPr>
                <w:rStyle w:val="IndexLink"/>
              </w:rPr>
              <w:t>442</w:t>
            </w:r>
          </w:hyperlink>
        </w:p>
        <w:p>
          <w:pPr>
            <w:pStyle w:val="Contents4"/>
            <w:tabs>
              <w:tab w:val="clear" w:pos="8176"/>
              <w:tab w:val="right" w:pos="9026" w:leader="dot"/>
            </w:tabs>
            <w:rPr/>
          </w:pPr>
          <w:hyperlink w:anchor="__RefHeading___Toc13198039_1280447820">
            <w:r>
              <w:rPr>
                <w:webHidden/>
                <w:rStyle w:val="IndexLink"/>
                <w:rtl w:val="true"/>
              </w:rPr>
              <w:t>تعریف الحیض</w:t>
            </w:r>
            <w:r>
              <w:rPr>
                <w:rStyle w:val="IndexLink"/>
                <w:rtl w:val="true"/>
              </w:rPr>
              <w:tab/>
            </w:r>
            <w:r>
              <w:rPr>
                <w:rStyle w:val="IndexLink"/>
              </w:rPr>
              <w:t>442</w:t>
            </w:r>
          </w:hyperlink>
        </w:p>
        <w:p>
          <w:pPr>
            <w:pStyle w:val="Contents4"/>
            <w:tabs>
              <w:tab w:val="clear" w:pos="8176"/>
              <w:tab w:val="right" w:pos="9026" w:leader="dot"/>
            </w:tabs>
            <w:rPr/>
          </w:pPr>
          <w:hyperlink w:anchor="__RefHeading___Toc13198041_1280447820">
            <w:r>
              <w:rPr>
                <w:webHidden/>
                <w:rStyle w:val="IndexLink"/>
                <w:rtl w:val="true"/>
              </w:rPr>
              <w:t>وهنا مباحث</w:t>
            </w:r>
            <w:r>
              <w:rPr>
                <w:rStyle w:val="IndexLink"/>
                <w:rtl w:val="true"/>
              </w:rPr>
              <w:tab/>
            </w:r>
            <w:r>
              <w:rPr>
                <w:rStyle w:val="IndexLink"/>
              </w:rPr>
              <w:t>444</w:t>
            </w:r>
          </w:hyperlink>
        </w:p>
        <w:p>
          <w:pPr>
            <w:pStyle w:val="Contents4"/>
            <w:tabs>
              <w:tab w:val="clear" w:pos="8176"/>
              <w:tab w:val="right" w:pos="9026" w:leader="dot"/>
            </w:tabs>
            <w:rPr/>
          </w:pPr>
          <w:hyperlink w:anchor="__RefHeading___Toc13198043_1280447820">
            <w:r>
              <w:rPr>
                <w:webHidden/>
                <w:rStyle w:val="IndexLink"/>
                <w:rtl w:val="true"/>
              </w:rPr>
              <w:t>أحدها</w:t>
            </w:r>
            <w:r>
              <w:rPr>
                <w:rStyle w:val="IndexLink"/>
                <w:rtl w:val="true"/>
              </w:rPr>
              <w:t xml:space="preserve">: </w:t>
            </w:r>
            <w:r>
              <w:rPr>
                <w:rStyle w:val="IndexLink"/>
                <w:rtl w:val="true"/>
              </w:rPr>
              <w:t>حکم ما إذا اشتبه دم الحيض بدم العُذرة</w:t>
            </w:r>
            <w:r>
              <w:rPr>
                <w:rStyle w:val="IndexLink"/>
                <w:rtl w:val="true"/>
              </w:rPr>
              <w:tab/>
            </w:r>
            <w:r>
              <w:rPr>
                <w:rStyle w:val="IndexLink"/>
              </w:rPr>
              <w:t>444</w:t>
            </w:r>
          </w:hyperlink>
        </w:p>
        <w:p>
          <w:pPr>
            <w:pStyle w:val="Contents4"/>
            <w:tabs>
              <w:tab w:val="clear" w:pos="8176"/>
              <w:tab w:val="right" w:pos="9026" w:leader="dot"/>
            </w:tabs>
            <w:rPr/>
          </w:pPr>
          <w:hyperlink w:anchor="__RefHeading___Toc13198045_1280447820">
            <w:r>
              <w:rPr>
                <w:webHidden/>
                <w:rStyle w:val="IndexLink"/>
                <w:rtl w:val="true"/>
              </w:rPr>
              <w:t>ثانيها</w:t>
            </w:r>
            <w:r>
              <w:rPr>
                <w:rStyle w:val="IndexLink"/>
                <w:rtl w:val="true"/>
              </w:rPr>
              <w:t xml:space="preserve">: </w:t>
            </w:r>
            <w:r>
              <w:rPr>
                <w:rStyle w:val="IndexLink"/>
                <w:rtl w:val="true"/>
              </w:rPr>
              <w:t>حکم ما إذا اشتبه دم الحيض بدم الجرح والقرح</w:t>
            </w:r>
            <w:r>
              <w:rPr>
                <w:rStyle w:val="IndexLink"/>
                <w:rtl w:val="true"/>
              </w:rPr>
              <w:tab/>
            </w:r>
            <w:r>
              <w:rPr>
                <w:rStyle w:val="IndexLink"/>
              </w:rPr>
              <w:t>445</w:t>
            </w:r>
          </w:hyperlink>
        </w:p>
        <w:p>
          <w:pPr>
            <w:pStyle w:val="Contents4"/>
            <w:tabs>
              <w:tab w:val="clear" w:pos="8176"/>
              <w:tab w:val="right" w:pos="9026" w:leader="dot"/>
            </w:tabs>
            <w:rPr/>
          </w:pPr>
          <w:hyperlink w:anchor="__RefHeading___Toc13198047_1280447820">
            <w:r>
              <w:rPr>
                <w:webHidden/>
                <w:rStyle w:val="IndexLink"/>
                <w:rtl w:val="true"/>
              </w:rPr>
              <w:t>ثالثها</w:t>
            </w:r>
            <w:r>
              <w:rPr>
                <w:rStyle w:val="IndexLink"/>
                <w:rtl w:val="true"/>
              </w:rPr>
              <w:t xml:space="preserve">: </w:t>
            </w:r>
            <w:r>
              <w:rPr>
                <w:rStyle w:val="IndexLink"/>
                <w:rtl w:val="true"/>
              </w:rPr>
              <w:t>حکم صُور ما إذا اشتبه دم الحیض بغیره</w:t>
            </w:r>
            <w:r>
              <w:rPr>
                <w:rStyle w:val="IndexLink"/>
                <w:rtl w:val="true"/>
              </w:rPr>
              <w:tab/>
            </w:r>
            <w:r>
              <w:rPr>
                <w:rStyle w:val="IndexLink"/>
              </w:rPr>
              <w:t>446</w:t>
            </w:r>
          </w:hyperlink>
        </w:p>
        <w:p>
          <w:pPr>
            <w:pStyle w:val="Contents4"/>
            <w:tabs>
              <w:tab w:val="clear" w:pos="8176"/>
              <w:tab w:val="right" w:pos="9026" w:leader="dot"/>
            </w:tabs>
            <w:rPr/>
          </w:pPr>
          <w:hyperlink w:anchor="__RefHeading___Toc13198049_1280447820">
            <w:r>
              <w:rPr>
                <w:webHidden/>
                <w:rStyle w:val="IndexLink"/>
                <w:rtl w:val="true"/>
              </w:rPr>
              <w:t>رابعها</w:t>
            </w:r>
            <w:r>
              <w:rPr>
                <w:rStyle w:val="IndexLink"/>
                <w:rtl w:val="true"/>
              </w:rPr>
              <w:t xml:space="preserve">: </w:t>
            </w:r>
            <w:r>
              <w:rPr>
                <w:rStyle w:val="IndexLink"/>
                <w:rtl w:val="true"/>
              </w:rPr>
              <w:t>فی دنّ الحيض لا يجامع الصغر</w:t>
            </w:r>
            <w:r>
              <w:rPr>
                <w:rStyle w:val="IndexLink"/>
                <w:rtl w:val="true"/>
              </w:rPr>
              <w:tab/>
            </w:r>
            <w:r>
              <w:rPr>
                <w:rStyle w:val="IndexLink"/>
              </w:rPr>
              <w:t>448</w:t>
            </w:r>
          </w:hyperlink>
        </w:p>
        <w:p>
          <w:pPr>
            <w:pStyle w:val="Contents4"/>
            <w:tabs>
              <w:tab w:val="clear" w:pos="8176"/>
              <w:tab w:val="right" w:pos="9026" w:leader="dot"/>
            </w:tabs>
            <w:rPr/>
          </w:pPr>
          <w:hyperlink w:anchor="__RefHeading___Toc13198051_1280447820">
            <w:r>
              <w:rPr>
                <w:webHidden/>
                <w:rStyle w:val="IndexLink"/>
                <w:rtl w:val="true"/>
              </w:rPr>
              <w:t>خامسها</w:t>
            </w:r>
            <w:r>
              <w:rPr>
                <w:rStyle w:val="IndexLink"/>
                <w:rtl w:val="true"/>
              </w:rPr>
              <w:t xml:space="preserve">: </w:t>
            </w:r>
            <w:r>
              <w:rPr>
                <w:rStyle w:val="IndexLink"/>
                <w:rtl w:val="true"/>
              </w:rPr>
              <w:t>فی أنّ الحیض لا يجامع سنّ اليأس وبیان حدّه</w:t>
            </w:r>
            <w:r>
              <w:rPr>
                <w:rStyle w:val="IndexLink"/>
                <w:rtl w:val="true"/>
              </w:rPr>
              <w:tab/>
            </w:r>
            <w:r>
              <w:rPr>
                <w:rStyle w:val="IndexLink"/>
              </w:rPr>
              <w:t>448</w:t>
            </w:r>
          </w:hyperlink>
        </w:p>
        <w:p>
          <w:pPr>
            <w:pStyle w:val="Contents4"/>
            <w:tabs>
              <w:tab w:val="clear" w:pos="8176"/>
              <w:tab w:val="right" w:pos="9026" w:leader="dot"/>
            </w:tabs>
            <w:rPr/>
          </w:pPr>
          <w:hyperlink w:anchor="__RefHeading___Toc13198053_1280447820">
            <w:r>
              <w:rPr>
                <w:webHidden/>
                <w:rStyle w:val="IndexLink"/>
                <w:rtl w:val="true"/>
              </w:rPr>
              <w:t>سادسها</w:t>
            </w:r>
            <w:r>
              <w:rPr>
                <w:rStyle w:val="IndexLink"/>
                <w:rtl w:val="true"/>
              </w:rPr>
              <w:t xml:space="preserve">: </w:t>
            </w:r>
            <w:r>
              <w:rPr>
                <w:rStyle w:val="IndexLink"/>
                <w:rtl w:val="true"/>
              </w:rPr>
              <w:t>فی انّه هل يجامع الحيض الحمل؟</w:t>
            </w:r>
            <w:r>
              <w:rPr>
                <w:rStyle w:val="IndexLink"/>
                <w:rtl w:val="true"/>
              </w:rPr>
              <w:tab/>
            </w:r>
            <w:r>
              <w:rPr>
                <w:rStyle w:val="IndexLink"/>
              </w:rPr>
              <w:t>450</w:t>
            </w:r>
          </w:hyperlink>
        </w:p>
        <w:p>
          <w:pPr>
            <w:pStyle w:val="Contents4"/>
            <w:tabs>
              <w:tab w:val="clear" w:pos="8176"/>
              <w:tab w:val="right" w:pos="9026" w:leader="dot"/>
            </w:tabs>
            <w:rPr/>
          </w:pPr>
          <w:hyperlink w:anchor="__RefHeading___Toc13198055_1280447820">
            <w:r>
              <w:rPr>
                <w:webHidden/>
                <w:rStyle w:val="IndexLink"/>
                <w:rtl w:val="true"/>
              </w:rPr>
              <w:t>سابعها</w:t>
            </w:r>
            <w:r>
              <w:rPr>
                <w:rStyle w:val="IndexLink"/>
                <w:rtl w:val="true"/>
              </w:rPr>
              <w:t xml:space="preserve">: </w:t>
            </w:r>
            <w:r>
              <w:rPr>
                <w:rStyle w:val="IndexLink"/>
                <w:rtl w:val="true"/>
              </w:rPr>
              <w:t>بیان أقلّ الحیض</w:t>
            </w:r>
            <w:r>
              <w:rPr>
                <w:rStyle w:val="IndexLink"/>
                <w:rtl w:val="true"/>
              </w:rPr>
              <w:tab/>
            </w:r>
            <w:r>
              <w:rPr>
                <w:rStyle w:val="IndexLink"/>
              </w:rPr>
              <w:t>453</w:t>
            </w:r>
          </w:hyperlink>
        </w:p>
        <w:p>
          <w:pPr>
            <w:pStyle w:val="Contents4"/>
            <w:tabs>
              <w:tab w:val="clear" w:pos="8176"/>
              <w:tab w:val="right" w:pos="9026" w:leader="dot"/>
            </w:tabs>
            <w:rPr/>
          </w:pPr>
          <w:hyperlink w:anchor="__RefHeading___Toc13198057_1280447820">
            <w:r>
              <w:rPr>
                <w:webHidden/>
                <w:rStyle w:val="IndexLink"/>
                <w:rtl w:val="true"/>
              </w:rPr>
              <w:t>ثامنها</w:t>
            </w:r>
            <w:r>
              <w:rPr>
                <w:rStyle w:val="IndexLink"/>
                <w:rtl w:val="true"/>
              </w:rPr>
              <w:t xml:space="preserve">: </w:t>
            </w:r>
            <w:r>
              <w:rPr>
                <w:rStyle w:val="IndexLink"/>
                <w:rtl w:val="true"/>
              </w:rPr>
              <w:t>بیان أکثر الحیض</w:t>
            </w:r>
            <w:r>
              <w:rPr>
                <w:rStyle w:val="IndexLink"/>
                <w:rtl w:val="true"/>
              </w:rPr>
              <w:tab/>
            </w:r>
            <w:r>
              <w:rPr>
                <w:rStyle w:val="IndexLink"/>
              </w:rPr>
              <w:t>456</w:t>
            </w:r>
          </w:hyperlink>
        </w:p>
        <w:p>
          <w:pPr>
            <w:pStyle w:val="Contents4"/>
            <w:tabs>
              <w:tab w:val="clear" w:pos="8176"/>
              <w:tab w:val="right" w:pos="9026" w:leader="dot"/>
            </w:tabs>
            <w:rPr/>
          </w:pPr>
          <w:hyperlink w:anchor="__RefHeading___Toc13198059_1280447820">
            <w:r>
              <w:rPr>
                <w:webHidden/>
                <w:rStyle w:val="IndexLink"/>
                <w:rtl w:val="true"/>
              </w:rPr>
              <w:t xml:space="preserve">تاسعها </w:t>
            </w:r>
            <w:r>
              <w:rPr>
                <w:rStyle w:val="IndexLink"/>
                <w:rtl w:val="true"/>
              </w:rPr>
              <w:t>:</w:t>
            </w:r>
            <w:r>
              <w:rPr>
                <w:rStyle w:val="IndexLink"/>
                <w:rtl w:val="true"/>
              </w:rPr>
              <w:t>قاعدۀ الإمکان</w:t>
            </w:r>
            <w:r>
              <w:rPr>
                <w:rStyle w:val="IndexLink"/>
                <w:rtl w:val="true"/>
              </w:rPr>
              <w:tab/>
            </w:r>
            <w:r>
              <w:rPr>
                <w:rStyle w:val="IndexLink"/>
              </w:rPr>
              <w:t>457</w:t>
            </w:r>
          </w:hyperlink>
        </w:p>
        <w:p>
          <w:pPr>
            <w:pStyle w:val="Contents4"/>
            <w:tabs>
              <w:tab w:val="clear" w:pos="8176"/>
              <w:tab w:val="right" w:pos="9026" w:leader="dot"/>
            </w:tabs>
            <w:rPr/>
          </w:pPr>
          <w:hyperlink w:anchor="__RefHeading___Toc13198061_1280447820">
            <w:r>
              <w:rPr>
                <w:webHidden/>
                <w:rStyle w:val="IndexLink"/>
                <w:rtl w:val="true"/>
              </w:rPr>
              <w:t>عاشرها</w:t>
            </w:r>
            <w:r>
              <w:rPr>
                <w:rStyle w:val="IndexLink"/>
                <w:rtl w:val="true"/>
              </w:rPr>
              <w:t xml:space="preserve">: </w:t>
            </w:r>
            <w:r>
              <w:rPr>
                <w:rStyle w:val="IndexLink"/>
                <w:rtl w:val="true"/>
              </w:rPr>
              <w:t>تتحيّض ذات العادة الوقتيّة</w:t>
            </w:r>
            <w:r>
              <w:rPr>
                <w:rStyle w:val="IndexLink"/>
                <w:rtl w:val="true"/>
              </w:rPr>
              <w:tab/>
            </w:r>
            <w:r>
              <w:rPr>
                <w:rStyle w:val="IndexLink"/>
              </w:rPr>
              <w:t>459</w:t>
            </w:r>
          </w:hyperlink>
        </w:p>
        <w:p>
          <w:pPr>
            <w:pStyle w:val="Contents4"/>
            <w:tabs>
              <w:tab w:val="clear" w:pos="8176"/>
              <w:tab w:val="right" w:pos="9026" w:leader="dot"/>
            </w:tabs>
            <w:rPr/>
          </w:pPr>
          <w:hyperlink w:anchor="__RefHeading___Toc13198063_1280447820">
            <w:r>
              <w:rPr>
                <w:webHidden/>
                <w:rStyle w:val="IndexLink"/>
                <w:rtl w:val="true"/>
              </w:rPr>
              <w:t>حادي عشرها</w:t>
            </w:r>
            <w:r>
              <w:rPr>
                <w:rStyle w:val="IndexLink"/>
                <w:rtl w:val="true"/>
              </w:rPr>
              <w:t xml:space="preserve">: </w:t>
            </w:r>
            <w:r>
              <w:rPr>
                <w:rStyle w:val="IndexLink"/>
                <w:rtl w:val="true"/>
              </w:rPr>
              <w:t>فی أنّ المبتدأة والمضطربة ومثلهما ذات العادة العدديّة تتحيّضان بمجرّد رؤية الدم</w:t>
            </w:r>
            <w:r>
              <w:rPr>
                <w:rStyle w:val="IndexLink"/>
                <w:rtl w:val="true"/>
              </w:rPr>
              <w:tab/>
            </w:r>
            <w:r>
              <w:rPr>
                <w:rStyle w:val="IndexLink"/>
              </w:rPr>
              <w:t>460</w:t>
            </w:r>
          </w:hyperlink>
        </w:p>
        <w:p>
          <w:pPr>
            <w:pStyle w:val="Contents4"/>
            <w:tabs>
              <w:tab w:val="clear" w:pos="8176"/>
              <w:tab w:val="right" w:pos="9026" w:leader="dot"/>
            </w:tabs>
            <w:rPr/>
          </w:pPr>
          <w:hyperlink w:anchor="__RefHeading___Toc13198065_1280447820">
            <w:r>
              <w:rPr>
                <w:webHidden/>
                <w:rStyle w:val="IndexLink"/>
                <w:rtl w:val="true"/>
              </w:rPr>
              <w:t>ثاني عشرها</w:t>
            </w:r>
            <w:r>
              <w:rPr>
                <w:rStyle w:val="IndexLink"/>
                <w:rtl w:val="true"/>
              </w:rPr>
              <w:t xml:space="preserve">: </w:t>
            </w:r>
            <w:r>
              <w:rPr>
                <w:rStyle w:val="IndexLink"/>
                <w:rtl w:val="true"/>
              </w:rPr>
              <w:t>حکم ما إذا تجاوز الدم العشره</w:t>
            </w:r>
            <w:r>
              <w:rPr>
                <w:rStyle w:val="IndexLink"/>
                <w:rtl w:val="true"/>
              </w:rPr>
              <w:tab/>
            </w:r>
            <w:r>
              <w:rPr>
                <w:rStyle w:val="IndexLink"/>
              </w:rPr>
              <w:t>461</w:t>
            </w:r>
          </w:hyperlink>
        </w:p>
        <w:p>
          <w:pPr>
            <w:pStyle w:val="Contents4"/>
            <w:tabs>
              <w:tab w:val="clear" w:pos="8176"/>
              <w:tab w:val="right" w:pos="9026" w:leader="dot"/>
            </w:tabs>
            <w:rPr/>
          </w:pPr>
          <w:hyperlink w:anchor="__RefHeading___Toc13198067_1280447820">
            <w:r>
              <w:rPr>
                <w:webHidden/>
                <w:rStyle w:val="IndexLink"/>
                <w:rtl w:val="true"/>
              </w:rPr>
              <w:t>ثالث عشرها</w:t>
            </w:r>
            <w:r>
              <w:rPr>
                <w:rStyle w:val="IndexLink"/>
                <w:rtl w:val="true"/>
              </w:rPr>
              <w:t xml:space="preserve">: </w:t>
            </w:r>
            <w:r>
              <w:rPr>
                <w:rStyle w:val="IndexLink"/>
                <w:rtl w:val="true"/>
              </w:rPr>
              <w:t>فی بیان ما تستقرّ به العادۀ</w:t>
            </w:r>
            <w:r>
              <w:rPr>
                <w:rStyle w:val="IndexLink"/>
                <w:rtl w:val="true"/>
              </w:rPr>
              <w:tab/>
            </w:r>
            <w:r>
              <w:rPr>
                <w:rStyle w:val="IndexLink"/>
              </w:rPr>
              <w:t>461</w:t>
            </w:r>
          </w:hyperlink>
        </w:p>
        <w:p>
          <w:pPr>
            <w:pStyle w:val="Contents4"/>
            <w:tabs>
              <w:tab w:val="clear" w:pos="8176"/>
              <w:tab w:val="right" w:pos="9026" w:leader="dot"/>
            </w:tabs>
            <w:rPr/>
          </w:pPr>
          <w:hyperlink w:anchor="__RefHeading___Toc13198069_1280447820">
            <w:r>
              <w:rPr>
                <w:webHidden/>
                <w:rStyle w:val="IndexLink"/>
                <w:rtl w:val="true"/>
              </w:rPr>
              <w:t>رابع عشرها</w:t>
            </w:r>
            <w:r>
              <w:rPr>
                <w:rStyle w:val="IndexLink"/>
                <w:rtl w:val="true"/>
              </w:rPr>
              <w:t xml:space="preserve">: </w:t>
            </w:r>
            <w:r>
              <w:rPr>
                <w:rStyle w:val="IndexLink"/>
                <w:rtl w:val="true"/>
              </w:rPr>
              <w:t>فی بیان ما تستقرّ به العادۀ الوقتیّه العددیّه أو الوقتیّه أو العددیّه</w:t>
            </w:r>
            <w:r>
              <w:rPr>
                <w:rStyle w:val="IndexLink"/>
                <w:rtl w:val="true"/>
              </w:rPr>
              <w:tab/>
            </w:r>
            <w:r>
              <w:rPr>
                <w:rStyle w:val="IndexLink"/>
              </w:rPr>
              <w:t>463</w:t>
            </w:r>
          </w:hyperlink>
        </w:p>
        <w:p>
          <w:pPr>
            <w:pStyle w:val="Contents4"/>
            <w:tabs>
              <w:tab w:val="clear" w:pos="8176"/>
              <w:tab w:val="right" w:pos="9026" w:leader="dot"/>
            </w:tabs>
            <w:rPr/>
          </w:pPr>
          <w:hyperlink w:anchor="__RefHeading___Toc13198071_1280447820">
            <w:r>
              <w:rPr>
                <w:webHidden/>
                <w:rStyle w:val="IndexLink"/>
                <w:rtl w:val="true"/>
              </w:rPr>
              <w:t>خامس عشرها</w:t>
            </w:r>
            <w:r>
              <w:rPr>
                <w:rStyle w:val="IndexLink"/>
                <w:rtl w:val="true"/>
              </w:rPr>
              <w:t xml:space="preserve">: </w:t>
            </w:r>
            <w:r>
              <w:rPr>
                <w:rStyle w:val="IndexLink"/>
                <w:rtl w:val="true"/>
              </w:rPr>
              <w:t>حکم ما إذا تکثّر الدم واجتمع مع العادۀ تمییز</w:t>
            </w:r>
            <w:r>
              <w:rPr>
                <w:rStyle w:val="IndexLink"/>
                <w:rtl w:val="true"/>
              </w:rPr>
              <w:tab/>
            </w:r>
            <w:r>
              <w:rPr>
                <w:rStyle w:val="IndexLink"/>
              </w:rPr>
              <w:t>464</w:t>
            </w:r>
          </w:hyperlink>
        </w:p>
        <w:p>
          <w:pPr>
            <w:pStyle w:val="Contents4"/>
            <w:tabs>
              <w:tab w:val="clear" w:pos="8176"/>
              <w:tab w:val="right" w:pos="9026" w:leader="dot"/>
            </w:tabs>
            <w:rPr/>
          </w:pPr>
          <w:hyperlink w:anchor="__RefHeading___Toc13198073_1280447820">
            <w:r>
              <w:rPr>
                <w:webHidden/>
                <w:rStyle w:val="IndexLink"/>
                <w:rtl w:val="true"/>
              </w:rPr>
              <w:t>سادس عشرها</w:t>
            </w:r>
            <w:r>
              <w:rPr>
                <w:rStyle w:val="IndexLink"/>
                <w:rtl w:val="true"/>
              </w:rPr>
              <w:t xml:space="preserve">: </w:t>
            </w:r>
            <w:r>
              <w:rPr>
                <w:rStyle w:val="IndexLink"/>
                <w:rtl w:val="true"/>
              </w:rPr>
              <w:t>حکم ما إذا تجاوز الدم العشرة مستمرّاً</w:t>
            </w:r>
            <w:r>
              <w:rPr>
                <w:rStyle w:val="IndexLink"/>
                <w:rtl w:val="true"/>
              </w:rPr>
              <w:tab/>
            </w:r>
            <w:r>
              <w:rPr>
                <w:rStyle w:val="IndexLink"/>
              </w:rPr>
              <w:t>465</w:t>
            </w:r>
          </w:hyperlink>
        </w:p>
        <w:p>
          <w:pPr>
            <w:pStyle w:val="Contents4"/>
            <w:tabs>
              <w:tab w:val="clear" w:pos="8176"/>
              <w:tab w:val="right" w:pos="9026" w:leader="dot"/>
            </w:tabs>
            <w:rPr/>
          </w:pPr>
          <w:hyperlink w:anchor="__RefHeading___Toc13198075_1280447820">
            <w:r>
              <w:rPr>
                <w:webHidden/>
                <w:rStyle w:val="IndexLink"/>
                <w:rtl w:val="true"/>
              </w:rPr>
              <w:t xml:space="preserve">سابع عشرها </w:t>
            </w:r>
            <w:r>
              <w:rPr>
                <w:rStyle w:val="IndexLink"/>
                <w:rtl w:val="true"/>
              </w:rPr>
              <w:t xml:space="preserve">: </w:t>
            </w:r>
            <w:r>
              <w:rPr>
                <w:rStyle w:val="IndexLink"/>
                <w:rtl w:val="true"/>
              </w:rPr>
              <w:t>فی أنّه تستظهر ذات العادة بعد تمام العادة بترك العبادة والبناء على الحيض إذا لم ينقطع الدم عليها واستمرّ بعدها بيوم أو يومين أو ثلاثة</w:t>
            </w:r>
            <w:r>
              <w:rPr>
                <w:rStyle w:val="IndexLink"/>
                <w:rtl w:val="true"/>
              </w:rPr>
              <w:tab/>
            </w:r>
            <w:r>
              <w:rPr>
                <w:rStyle w:val="IndexLink"/>
              </w:rPr>
              <w:t>466</w:t>
            </w:r>
          </w:hyperlink>
        </w:p>
        <w:p>
          <w:pPr>
            <w:pStyle w:val="Contents4"/>
            <w:tabs>
              <w:tab w:val="clear" w:pos="8176"/>
              <w:tab w:val="right" w:pos="9026" w:leader="dot"/>
            </w:tabs>
            <w:rPr/>
          </w:pPr>
          <w:hyperlink w:anchor="__RefHeading___Toc13198077_1280447820">
            <w:r>
              <w:rPr>
                <w:webHidden/>
                <w:rStyle w:val="IndexLink"/>
                <w:rtl w:val="true"/>
              </w:rPr>
              <w:t>ثامن عشرها</w:t>
            </w:r>
            <w:r>
              <w:rPr>
                <w:rStyle w:val="IndexLink"/>
                <w:rtl w:val="true"/>
              </w:rPr>
              <w:t>:</w:t>
            </w:r>
            <w:r>
              <w:rPr>
                <w:rStyle w:val="IndexLink"/>
                <w:rtl w:val="true"/>
              </w:rPr>
              <w:t>حکم ما إذا استظهرت المرأة فاستمرّ الدم إلى ما فوق العشرة أو انقطع علی العاشر فما دون</w:t>
            </w:r>
            <w:r>
              <w:rPr>
                <w:rStyle w:val="IndexLink"/>
                <w:rtl w:val="true"/>
              </w:rPr>
              <w:tab/>
            </w:r>
            <w:r>
              <w:rPr>
                <w:rStyle w:val="IndexLink"/>
              </w:rPr>
              <w:t>468</w:t>
            </w:r>
          </w:hyperlink>
        </w:p>
        <w:p>
          <w:pPr>
            <w:pStyle w:val="Contents4"/>
            <w:tabs>
              <w:tab w:val="clear" w:pos="8176"/>
              <w:tab w:val="right" w:pos="9026" w:leader="dot"/>
            </w:tabs>
            <w:rPr/>
          </w:pPr>
          <w:hyperlink w:anchor="__RefHeading___Toc13198079_1280447820">
            <w:r>
              <w:rPr>
                <w:webHidden/>
                <w:rStyle w:val="IndexLink"/>
                <w:rtl w:val="true"/>
              </w:rPr>
              <w:t>تاسع عشرها</w:t>
            </w:r>
            <w:r>
              <w:rPr>
                <w:rStyle w:val="IndexLink"/>
                <w:rtl w:val="true"/>
              </w:rPr>
              <w:t xml:space="preserve">: </w:t>
            </w:r>
            <w:r>
              <w:rPr>
                <w:rStyle w:val="IndexLink"/>
                <w:rtl w:val="true"/>
              </w:rPr>
              <w:t>حکم النقاء المتخلّل</w:t>
            </w:r>
            <w:r>
              <w:rPr>
                <w:rStyle w:val="IndexLink"/>
                <w:rtl w:val="true"/>
              </w:rPr>
              <w:tab/>
            </w:r>
            <w:r>
              <w:rPr>
                <w:rStyle w:val="IndexLink"/>
              </w:rPr>
              <w:t>469</w:t>
            </w:r>
          </w:hyperlink>
        </w:p>
        <w:p>
          <w:pPr>
            <w:pStyle w:val="Contents4"/>
            <w:tabs>
              <w:tab w:val="clear" w:pos="8176"/>
              <w:tab w:val="right" w:pos="9026" w:leader="dot"/>
            </w:tabs>
            <w:rPr/>
          </w:pPr>
          <w:hyperlink w:anchor="__RefHeading___Toc13198081_1280447820">
            <w:r>
              <w:rPr>
                <w:webHidden/>
                <w:rStyle w:val="IndexLink"/>
                <w:rtl w:val="true"/>
              </w:rPr>
              <w:t>العشرون</w:t>
            </w:r>
            <w:r>
              <w:rPr>
                <w:rStyle w:val="IndexLink"/>
                <w:rtl w:val="true"/>
              </w:rPr>
              <w:t xml:space="preserve">: </w:t>
            </w:r>
            <w:r>
              <w:rPr>
                <w:rStyle w:val="IndexLink"/>
                <w:rtl w:val="true"/>
              </w:rPr>
              <w:t>حکم المبتدأۀ إذا انقطع دمها لدون العشرۀ</w:t>
            </w:r>
            <w:r>
              <w:rPr>
                <w:rStyle w:val="IndexLink"/>
                <w:rtl w:val="true"/>
              </w:rPr>
              <w:tab/>
            </w:r>
            <w:r>
              <w:rPr>
                <w:rStyle w:val="IndexLink"/>
              </w:rPr>
              <w:t>470</w:t>
            </w:r>
          </w:hyperlink>
        </w:p>
        <w:p>
          <w:pPr>
            <w:pStyle w:val="Contents4"/>
            <w:tabs>
              <w:tab w:val="clear" w:pos="8176"/>
              <w:tab w:val="right" w:pos="9026" w:leader="dot"/>
            </w:tabs>
            <w:rPr/>
          </w:pPr>
          <w:hyperlink w:anchor="__RefHeading___Toc13198083_1280447820">
            <w:r>
              <w:rPr>
                <w:webHidden/>
                <w:rStyle w:val="IndexLink"/>
                <w:rtl w:val="true"/>
              </w:rPr>
              <w:t>الواحد والعشرون</w:t>
            </w:r>
            <w:r>
              <w:rPr>
                <w:rStyle w:val="IndexLink"/>
                <w:rtl w:val="true"/>
              </w:rPr>
              <w:t xml:space="preserve">: </w:t>
            </w:r>
            <w:r>
              <w:rPr>
                <w:rStyle w:val="IndexLink"/>
                <w:rtl w:val="true"/>
              </w:rPr>
              <w:t>حکم المبتدأۀ إذا تجاوز دمها العشرۀ</w:t>
            </w:r>
            <w:r>
              <w:rPr>
                <w:rStyle w:val="IndexLink"/>
                <w:rtl w:val="true"/>
              </w:rPr>
              <w:tab/>
            </w:r>
            <w:r>
              <w:rPr>
                <w:rStyle w:val="IndexLink"/>
              </w:rPr>
              <w:t>471</w:t>
            </w:r>
          </w:hyperlink>
        </w:p>
        <w:p>
          <w:pPr>
            <w:pStyle w:val="Contents5"/>
            <w:tabs>
              <w:tab w:val="clear" w:pos="7892"/>
              <w:tab w:val="right" w:pos="9026" w:leader="dot"/>
            </w:tabs>
            <w:rPr/>
          </w:pPr>
          <w:hyperlink w:anchor="__RefHeading___Toc13198085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3198087_1280447820">
            <w:r>
              <w:rPr>
                <w:webHidden/>
                <w:rStyle w:val="IndexLink"/>
                <w:rtl w:val="true"/>
              </w:rPr>
              <w:t>ويشترط في الرجوع إلى التمييز أُمور</w:t>
            </w:r>
            <w:r>
              <w:rPr>
                <w:rStyle w:val="IndexLink"/>
                <w:rtl w:val="true"/>
              </w:rPr>
              <w:t>:</w:t>
              <w:tab/>
            </w:r>
            <w:r>
              <w:rPr>
                <w:rStyle w:val="IndexLink"/>
              </w:rPr>
              <w:t>471</w:t>
            </w:r>
          </w:hyperlink>
        </w:p>
        <w:p>
          <w:pPr>
            <w:pStyle w:val="Contents4"/>
            <w:tabs>
              <w:tab w:val="clear" w:pos="8176"/>
              <w:tab w:val="right" w:pos="9026" w:leader="dot"/>
            </w:tabs>
            <w:rPr/>
          </w:pPr>
          <w:hyperlink w:anchor="__RefHeading___Toc13198089_1280447820">
            <w:r>
              <w:rPr>
                <w:webHidden/>
                <w:rStyle w:val="IndexLink"/>
                <w:rtl w:val="true"/>
              </w:rPr>
              <w:t>الثاني والعشرون</w:t>
            </w:r>
            <w:r>
              <w:rPr>
                <w:rStyle w:val="IndexLink"/>
                <w:rtl w:val="true"/>
              </w:rPr>
              <w:t xml:space="preserve">: </w:t>
            </w:r>
            <w:r>
              <w:rPr>
                <w:rStyle w:val="IndexLink"/>
                <w:rtl w:val="true"/>
              </w:rPr>
              <w:t>فی بیان أحکام المضطربة التي لم تستقرّ لها عادة والمضطربة وقتاً المبتدأة عدداً وبالعكس</w:t>
            </w:r>
            <w:r>
              <w:rPr>
                <w:rStyle w:val="IndexLink"/>
                <w:rtl w:val="true"/>
              </w:rPr>
              <w:tab/>
            </w:r>
            <w:r>
              <w:rPr>
                <w:rStyle w:val="IndexLink"/>
              </w:rPr>
              <w:t>477</w:t>
            </w:r>
          </w:hyperlink>
        </w:p>
        <w:p>
          <w:pPr>
            <w:pStyle w:val="Contents5"/>
            <w:tabs>
              <w:tab w:val="clear" w:pos="7892"/>
              <w:tab w:val="right" w:pos="9026" w:leader="dot"/>
            </w:tabs>
            <w:rPr/>
          </w:pPr>
          <w:hyperlink w:anchor="__RefHeading___Toc13198091_1280447820">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3198093_1280447820">
            <w:r>
              <w:rPr>
                <w:webHidden/>
                <w:rStyle w:val="IndexLink"/>
                <w:rtl w:val="true"/>
              </w:rPr>
              <w:t>فی بیان حکم المضطربة الناسية للوقت والعدد</w:t>
            </w:r>
            <w:r>
              <w:rPr>
                <w:rStyle w:val="IndexLink"/>
                <w:rtl w:val="true"/>
              </w:rPr>
              <w:tab/>
            </w:r>
            <w:r>
              <w:rPr>
                <w:rStyle w:val="IndexLink"/>
              </w:rPr>
              <w:t>477</w:t>
            </w:r>
          </w:hyperlink>
        </w:p>
        <w:p>
          <w:pPr>
            <w:pStyle w:val="Contents4"/>
            <w:tabs>
              <w:tab w:val="clear" w:pos="8176"/>
              <w:tab w:val="right" w:pos="9026" w:leader="dot"/>
            </w:tabs>
            <w:rPr/>
          </w:pPr>
          <w:hyperlink w:anchor="__RefHeading___Toc13198095_1280447820">
            <w:r>
              <w:rPr>
                <w:webHidden/>
                <w:rStyle w:val="IndexLink"/>
                <w:rtl w:val="true"/>
              </w:rPr>
              <w:t>الثالث والعشرون في بيان عمل النساء ذوات الدم ممّا تقدّم بيانه</w:t>
            </w:r>
            <w:r>
              <w:rPr>
                <w:rStyle w:val="IndexLink"/>
                <w:rtl w:val="true"/>
              </w:rPr>
              <w:t>.</w:t>
              <w:tab/>
            </w:r>
            <w:r>
              <w:rPr>
                <w:rStyle w:val="IndexLink"/>
              </w:rPr>
              <w:t>478</w:t>
            </w:r>
          </w:hyperlink>
        </w:p>
        <w:p>
          <w:pPr>
            <w:pStyle w:val="Contents4"/>
            <w:tabs>
              <w:tab w:val="clear" w:pos="8176"/>
              <w:tab w:val="right" w:pos="9026" w:leader="dot"/>
            </w:tabs>
            <w:rPr/>
          </w:pPr>
          <w:hyperlink w:anchor="__RefHeading___Toc13198097_1280447820">
            <w:r>
              <w:rPr>
                <w:webHidden/>
                <w:rStyle w:val="IndexLink"/>
                <w:rtl w:val="true"/>
              </w:rPr>
              <w:t>الرابع والعشرون</w:t>
            </w:r>
            <w:r>
              <w:rPr>
                <w:rStyle w:val="IndexLink"/>
                <w:rtl w:val="true"/>
              </w:rPr>
              <w:t xml:space="preserve">: </w:t>
            </w:r>
            <w:r>
              <w:rPr>
                <w:rStyle w:val="IndexLink"/>
                <w:rtl w:val="true"/>
              </w:rPr>
              <w:t>للحائض أحكام</w:t>
            </w:r>
            <w:r>
              <w:rPr>
                <w:rStyle w:val="IndexLink"/>
                <w:rtl w:val="true"/>
              </w:rPr>
              <w:tab/>
            </w:r>
            <w:r>
              <w:rPr>
                <w:rStyle w:val="IndexLink"/>
              </w:rPr>
              <w:t>481</w:t>
            </w:r>
          </w:hyperlink>
        </w:p>
        <w:p>
          <w:pPr>
            <w:pStyle w:val="Contents3"/>
            <w:tabs>
              <w:tab w:val="clear" w:pos="8459"/>
              <w:tab w:val="right" w:pos="9026" w:leader="dot"/>
            </w:tabs>
            <w:rPr/>
          </w:pPr>
          <w:hyperlink w:anchor="__RefHeading___Toc13198099_1280447820">
            <w:r>
              <w:rPr>
                <w:webHidden/>
                <w:rStyle w:val="IndexLink"/>
                <w:rtl w:val="true"/>
              </w:rPr>
              <w:t>القول في الاستحاضة</w:t>
            </w:r>
            <w:r>
              <w:rPr>
                <w:rStyle w:val="IndexLink"/>
                <w:rtl w:val="true"/>
              </w:rPr>
              <w:tab/>
            </w:r>
            <w:r>
              <w:rPr>
                <w:rStyle w:val="IndexLink"/>
              </w:rPr>
              <w:t>495</w:t>
            </w:r>
          </w:hyperlink>
        </w:p>
        <w:p>
          <w:pPr>
            <w:pStyle w:val="Contents4"/>
            <w:tabs>
              <w:tab w:val="clear" w:pos="8176"/>
              <w:tab w:val="right" w:pos="9026" w:leader="dot"/>
            </w:tabs>
            <w:rPr/>
          </w:pPr>
          <w:hyperlink w:anchor="__RefHeading___Toc13198101_1280447820">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13198103_1280447820">
            <w:r>
              <w:rPr>
                <w:webHidden/>
                <w:rStyle w:val="IndexLink"/>
                <w:rtl w:val="true"/>
              </w:rPr>
              <w:t>وها هنا أُمور</w:t>
            </w:r>
            <w:r>
              <w:rPr>
                <w:rStyle w:val="IndexLink"/>
                <w:rtl w:val="true"/>
              </w:rPr>
              <w:t>:</w:t>
              <w:tab/>
            </w:r>
            <w:r>
              <w:rPr>
                <w:rStyle w:val="IndexLink"/>
              </w:rPr>
              <w:t>496</w:t>
            </w:r>
          </w:hyperlink>
        </w:p>
        <w:p>
          <w:pPr>
            <w:pStyle w:val="Contents4"/>
            <w:tabs>
              <w:tab w:val="clear" w:pos="8176"/>
              <w:tab w:val="right" w:pos="9026" w:leader="dot"/>
            </w:tabs>
            <w:rPr/>
          </w:pPr>
          <w:hyperlink w:anchor="__RefHeading___Toc13198105_1280447820">
            <w:r>
              <w:rPr>
                <w:webHidden/>
                <w:rStyle w:val="IndexLink"/>
                <w:rtl w:val="true"/>
              </w:rPr>
              <w:t>أحدها</w:t>
            </w:r>
            <w:r>
              <w:rPr>
                <w:rStyle w:val="IndexLink"/>
                <w:rtl w:val="true"/>
              </w:rPr>
              <w:t xml:space="preserve">: </w:t>
            </w:r>
            <w:r>
              <w:rPr>
                <w:rStyle w:val="IndexLink"/>
                <w:rtl w:val="true"/>
              </w:rPr>
              <w:t>بیان أقسام الاستحاضة</w:t>
            </w:r>
            <w:r>
              <w:rPr>
                <w:rStyle w:val="IndexLink"/>
                <w:rtl w:val="true"/>
              </w:rPr>
              <w:tab/>
            </w:r>
            <w:r>
              <w:rPr>
                <w:rStyle w:val="IndexLink"/>
              </w:rPr>
              <w:t>496</w:t>
            </w:r>
          </w:hyperlink>
        </w:p>
        <w:p>
          <w:pPr>
            <w:pStyle w:val="Contents4"/>
            <w:tabs>
              <w:tab w:val="clear" w:pos="8176"/>
              <w:tab w:val="right" w:pos="9026" w:leader="dot"/>
            </w:tabs>
            <w:rPr/>
          </w:pPr>
          <w:hyperlink w:anchor="__RefHeading___Toc13198107_1280447820">
            <w:r>
              <w:rPr>
                <w:webHidden/>
                <w:rStyle w:val="IndexLink"/>
                <w:rtl w:val="true"/>
              </w:rPr>
              <w:t>ثانيها</w:t>
            </w:r>
            <w:r>
              <w:rPr>
                <w:rStyle w:val="IndexLink"/>
                <w:rtl w:val="true"/>
              </w:rPr>
              <w:t xml:space="preserve">: </w:t>
            </w:r>
            <w:r>
              <w:rPr>
                <w:rStyle w:val="IndexLink"/>
                <w:rtl w:val="true"/>
              </w:rPr>
              <w:t>بیان أحکام الاستحاضة الکثیرۀ</w:t>
            </w:r>
            <w:r>
              <w:rPr>
                <w:rStyle w:val="IndexLink"/>
                <w:rtl w:val="true"/>
              </w:rPr>
              <w:tab/>
            </w:r>
            <w:r>
              <w:rPr>
                <w:rStyle w:val="IndexLink"/>
              </w:rPr>
              <w:t>497</w:t>
            </w:r>
          </w:hyperlink>
        </w:p>
        <w:p>
          <w:pPr>
            <w:pStyle w:val="Contents4"/>
            <w:tabs>
              <w:tab w:val="clear" w:pos="8176"/>
              <w:tab w:val="right" w:pos="9026" w:leader="dot"/>
            </w:tabs>
            <w:rPr/>
          </w:pPr>
          <w:hyperlink w:anchor="__RefHeading___Toc13198109_1280447820">
            <w:r>
              <w:rPr>
                <w:webHidden/>
                <w:rStyle w:val="IndexLink"/>
                <w:rtl w:val="true"/>
              </w:rPr>
              <w:t xml:space="preserve">ثالثها </w:t>
            </w:r>
            <w:r>
              <w:rPr>
                <w:rStyle w:val="IndexLink"/>
                <w:rtl w:val="true"/>
              </w:rPr>
              <w:t xml:space="preserve">: </w:t>
            </w:r>
            <w:r>
              <w:rPr>
                <w:rStyle w:val="IndexLink"/>
                <w:rtl w:val="true"/>
              </w:rPr>
              <w:t>فیما یجب علی المستحاضة الکثیرۀ</w:t>
            </w:r>
            <w:r>
              <w:rPr>
                <w:rStyle w:val="IndexLink"/>
                <w:rtl w:val="true"/>
              </w:rPr>
              <w:tab/>
            </w:r>
            <w:r>
              <w:rPr>
                <w:rStyle w:val="IndexLink"/>
              </w:rPr>
              <w:t>498</w:t>
            </w:r>
          </w:hyperlink>
        </w:p>
        <w:p>
          <w:pPr>
            <w:pStyle w:val="Contents4"/>
            <w:tabs>
              <w:tab w:val="clear" w:pos="8176"/>
              <w:tab w:val="right" w:pos="9026" w:leader="dot"/>
            </w:tabs>
            <w:rPr/>
          </w:pPr>
          <w:hyperlink w:anchor="__RefHeading___Toc13198111_1280447820">
            <w:r>
              <w:rPr>
                <w:webHidden/>
                <w:rStyle w:val="IndexLink"/>
                <w:rtl w:val="true"/>
              </w:rPr>
              <w:t>رابعها</w:t>
            </w:r>
            <w:r>
              <w:rPr>
                <w:rStyle w:val="IndexLink"/>
                <w:rtl w:val="true"/>
              </w:rPr>
              <w:t xml:space="preserve">: </w:t>
            </w:r>
            <w:r>
              <w:rPr>
                <w:rStyle w:val="IndexLink"/>
                <w:rtl w:val="true"/>
              </w:rPr>
              <w:t>فیما یجب علی المستحاضۀ المتوسّطۀ</w:t>
            </w:r>
            <w:r>
              <w:rPr>
                <w:rStyle w:val="IndexLink"/>
                <w:rtl w:val="true"/>
              </w:rPr>
              <w:tab/>
            </w:r>
            <w:r>
              <w:rPr>
                <w:rStyle w:val="IndexLink"/>
              </w:rPr>
              <w:t>500</w:t>
            </w:r>
          </w:hyperlink>
        </w:p>
        <w:p>
          <w:pPr>
            <w:pStyle w:val="Contents4"/>
            <w:tabs>
              <w:tab w:val="clear" w:pos="8176"/>
              <w:tab w:val="right" w:pos="9026" w:leader="dot"/>
            </w:tabs>
            <w:rPr/>
          </w:pPr>
          <w:hyperlink w:anchor="__RefHeading___Toc13198113_1280447820">
            <w:r>
              <w:rPr>
                <w:webHidden/>
                <w:rStyle w:val="IndexLink"/>
                <w:rtl w:val="true"/>
              </w:rPr>
              <w:t>خامسها</w:t>
            </w:r>
            <w:r>
              <w:rPr>
                <w:rStyle w:val="IndexLink"/>
                <w:rtl w:val="true"/>
              </w:rPr>
              <w:t xml:space="preserve">: </w:t>
            </w:r>
            <w:r>
              <w:rPr>
                <w:rStyle w:val="IndexLink"/>
                <w:rtl w:val="true"/>
              </w:rPr>
              <w:t>فیما یجب علی المستحاضۀ القلیلۀ</w:t>
            </w:r>
            <w:r>
              <w:rPr>
                <w:rStyle w:val="IndexLink"/>
                <w:rtl w:val="true"/>
              </w:rPr>
              <w:tab/>
            </w:r>
            <w:r>
              <w:rPr>
                <w:rStyle w:val="IndexLink"/>
              </w:rPr>
              <w:t>502</w:t>
            </w:r>
          </w:hyperlink>
        </w:p>
        <w:p>
          <w:pPr>
            <w:pStyle w:val="Contents3"/>
            <w:tabs>
              <w:tab w:val="clear" w:pos="8459"/>
              <w:tab w:val="right" w:pos="9026" w:leader="dot"/>
            </w:tabs>
            <w:rPr/>
          </w:pPr>
          <w:hyperlink w:anchor="__RefHeading___Toc13198115_1280447820">
            <w:r>
              <w:rPr>
                <w:webHidden/>
                <w:rStyle w:val="IndexLink"/>
                <w:rtl w:val="true"/>
              </w:rPr>
              <w:t>القول في النفاس</w:t>
            </w:r>
            <w:r>
              <w:rPr>
                <w:rStyle w:val="IndexLink"/>
                <w:rtl w:val="true"/>
              </w:rPr>
              <w:tab/>
            </w:r>
            <w:r>
              <w:rPr>
                <w:rStyle w:val="IndexLink"/>
              </w:rPr>
              <w:t>505</w:t>
            </w:r>
          </w:hyperlink>
        </w:p>
        <w:p>
          <w:pPr>
            <w:pStyle w:val="Contents4"/>
            <w:tabs>
              <w:tab w:val="clear" w:pos="8176"/>
              <w:tab w:val="right" w:pos="9026" w:leader="dot"/>
            </w:tabs>
            <w:rPr/>
          </w:pPr>
          <w:hyperlink w:anchor="__RefHeading___Toc13198117_1280447820">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3198119_1280447820">
            <w:r>
              <w:rPr>
                <w:webHidden/>
                <w:rStyle w:val="IndexLink"/>
                <w:rtl w:val="true"/>
              </w:rPr>
              <w:t>وهنا فوائد</w:t>
            </w:r>
            <w:r>
              <w:rPr>
                <w:rStyle w:val="IndexLink"/>
                <w:rtl w:val="true"/>
              </w:rPr>
              <w:t>:</w:t>
              <w:tab/>
            </w:r>
            <w:r>
              <w:rPr>
                <w:rStyle w:val="IndexLink"/>
              </w:rPr>
              <w:t>506</w:t>
            </w:r>
          </w:hyperlink>
        </w:p>
        <w:p>
          <w:pPr>
            <w:pStyle w:val="Contents4"/>
            <w:tabs>
              <w:tab w:val="clear" w:pos="8176"/>
              <w:tab w:val="right" w:pos="9026" w:leader="dot"/>
            </w:tabs>
            <w:rPr/>
          </w:pPr>
          <w:hyperlink w:anchor="__RefHeading___Toc13198121_1280447820">
            <w:r>
              <w:rPr>
                <w:webHidden/>
                <w:rStyle w:val="IndexLink"/>
                <w:rtl w:val="true"/>
              </w:rPr>
              <w:t>إحداها</w:t>
            </w:r>
            <w:r>
              <w:rPr>
                <w:rStyle w:val="IndexLink"/>
                <w:rtl w:val="true"/>
              </w:rPr>
              <w:t xml:space="preserve">: </w:t>
            </w:r>
            <w:r>
              <w:rPr>
                <w:rStyle w:val="IndexLink"/>
                <w:rtl w:val="true"/>
              </w:rPr>
              <w:t>عدم يشترط تخلّل أقلّ الطهر بين النفاسين وهل یشترط تخلّل أقلّ الطهر بين النفاس والحیض؟</w:t>
            </w:r>
            <w:r>
              <w:rPr>
                <w:rStyle w:val="IndexLink"/>
                <w:rtl w:val="true"/>
              </w:rPr>
              <w:tab/>
            </w:r>
            <w:r>
              <w:rPr>
                <w:rStyle w:val="IndexLink"/>
              </w:rPr>
              <w:t>506</w:t>
            </w:r>
          </w:hyperlink>
        </w:p>
        <w:p>
          <w:pPr>
            <w:pStyle w:val="Contents4"/>
            <w:tabs>
              <w:tab w:val="clear" w:pos="8176"/>
              <w:tab w:val="right" w:pos="9026" w:leader="dot"/>
            </w:tabs>
            <w:rPr/>
          </w:pPr>
          <w:hyperlink w:anchor="__RefHeading___Toc13198123_1280447820">
            <w:r>
              <w:rPr>
                <w:webHidden/>
                <w:rStyle w:val="IndexLink"/>
                <w:rtl w:val="true"/>
              </w:rPr>
              <w:t>ثانيتها</w:t>
            </w:r>
            <w:r>
              <w:rPr>
                <w:rStyle w:val="IndexLink"/>
                <w:rtl w:val="true"/>
              </w:rPr>
              <w:t>:</w:t>
            </w:r>
            <w:r>
              <w:rPr>
                <w:rStyle w:val="IndexLink"/>
                <w:rtl w:val="true"/>
              </w:rPr>
              <w:t>فی أنّ دم النفاس ما حصل بين تمام الولادة وتمام العشرة</w:t>
            </w:r>
            <w:r>
              <w:rPr>
                <w:rStyle w:val="IndexLink"/>
                <w:rtl w:val="true"/>
              </w:rPr>
              <w:tab/>
            </w:r>
            <w:r>
              <w:rPr>
                <w:rStyle w:val="IndexLink"/>
              </w:rPr>
              <w:t>507</w:t>
            </w:r>
          </w:hyperlink>
        </w:p>
        <w:p>
          <w:pPr>
            <w:pStyle w:val="Contents4"/>
            <w:tabs>
              <w:tab w:val="clear" w:pos="8176"/>
              <w:tab w:val="right" w:pos="9026" w:leader="dot"/>
            </w:tabs>
            <w:rPr/>
          </w:pPr>
          <w:hyperlink w:anchor="__RefHeading___Toc13198125_1280447820">
            <w:r>
              <w:rPr>
                <w:webHidden/>
                <w:rStyle w:val="IndexLink"/>
                <w:rtl w:val="true"/>
              </w:rPr>
              <w:t xml:space="preserve">ثالثها </w:t>
            </w:r>
            <w:r>
              <w:rPr>
                <w:rStyle w:val="IndexLink"/>
                <w:rtl w:val="true"/>
              </w:rPr>
              <w:t xml:space="preserve">: </w:t>
            </w:r>
            <w:r>
              <w:rPr>
                <w:rStyle w:val="IndexLink"/>
                <w:rtl w:val="true"/>
              </w:rPr>
              <w:t>فی أنّه لا حدّ لقليل النفاس وبیان حدّ أکثره</w:t>
            </w:r>
            <w:r>
              <w:rPr>
                <w:rStyle w:val="IndexLink"/>
                <w:rtl w:val="true"/>
              </w:rPr>
              <w:tab/>
            </w:r>
            <w:r>
              <w:rPr>
                <w:rStyle w:val="IndexLink"/>
              </w:rPr>
              <w:t>508</w:t>
            </w:r>
          </w:hyperlink>
        </w:p>
        <w:p>
          <w:pPr>
            <w:pStyle w:val="Contents3"/>
            <w:tabs>
              <w:tab w:val="clear" w:pos="8459"/>
              <w:tab w:val="right" w:pos="9026" w:leader="dot"/>
            </w:tabs>
            <w:rPr/>
          </w:pPr>
          <w:hyperlink w:anchor="__RefHeading___Toc13198127_1280447820">
            <w:r>
              <w:rPr>
                <w:webHidden/>
                <w:rStyle w:val="IndexLink"/>
                <w:rtl w:val="true"/>
              </w:rPr>
              <w:t>القول في غسل الأموات</w:t>
            </w:r>
            <w:r>
              <w:rPr>
                <w:rStyle w:val="IndexLink"/>
                <w:rtl w:val="true"/>
              </w:rPr>
              <w:tab/>
            </w:r>
            <w:r>
              <w:rPr>
                <w:rStyle w:val="IndexLink"/>
              </w:rPr>
              <w:t>511</w:t>
            </w:r>
          </w:hyperlink>
        </w:p>
        <w:p>
          <w:pPr>
            <w:pStyle w:val="Contents4"/>
            <w:tabs>
              <w:tab w:val="clear" w:pos="8176"/>
              <w:tab w:val="right" w:pos="9026" w:leader="dot"/>
            </w:tabs>
            <w:rPr/>
          </w:pPr>
          <w:hyperlink w:anchor="__RefHeading___Toc13198129_1280447820">
            <w:r>
              <w:rPr>
                <w:webHidden/>
                <w:rStyle w:val="IndexLink"/>
                <w:rtl w:val="true"/>
              </w:rPr>
              <w:t>وفيه أُمور</w:t>
            </w:r>
            <w:r>
              <w:rPr>
                <w:rStyle w:val="IndexLink"/>
                <w:rtl w:val="true"/>
              </w:rPr>
              <w:t>:</w:t>
              <w:tab/>
            </w:r>
            <w:r>
              <w:rPr>
                <w:rStyle w:val="IndexLink"/>
              </w:rPr>
              <w:t>511</w:t>
            </w:r>
          </w:hyperlink>
        </w:p>
        <w:p>
          <w:pPr>
            <w:pStyle w:val="Contents4"/>
            <w:tabs>
              <w:tab w:val="clear" w:pos="8176"/>
              <w:tab w:val="right" w:pos="9026" w:leader="dot"/>
            </w:tabs>
            <w:rPr/>
          </w:pPr>
          <w:hyperlink w:anchor="__RefHeading___Toc13198131_1280447820">
            <w:r>
              <w:rPr>
                <w:webHidden/>
                <w:rStyle w:val="IndexLink"/>
                <w:rtl w:val="true"/>
              </w:rPr>
              <w:t>أحدها</w:t>
            </w:r>
            <w:r>
              <w:rPr>
                <w:rStyle w:val="IndexLink"/>
                <w:rtl w:val="true"/>
              </w:rPr>
              <w:t xml:space="preserve">: </w:t>
            </w:r>
            <w:r>
              <w:rPr>
                <w:rStyle w:val="IndexLink"/>
                <w:rtl w:val="true"/>
              </w:rPr>
              <w:t>وجوب استقبال الميّت عند الاحتضار</w:t>
            </w:r>
            <w:r>
              <w:rPr>
                <w:rStyle w:val="IndexLink"/>
                <w:rtl w:val="true"/>
              </w:rPr>
              <w:tab/>
            </w:r>
            <w:r>
              <w:rPr>
                <w:rStyle w:val="IndexLink"/>
              </w:rPr>
              <w:t>511</w:t>
            </w:r>
          </w:hyperlink>
        </w:p>
        <w:p>
          <w:pPr>
            <w:pStyle w:val="Contents4"/>
            <w:tabs>
              <w:tab w:val="clear" w:pos="8176"/>
              <w:tab w:val="right" w:pos="9026" w:leader="dot"/>
            </w:tabs>
            <w:rPr/>
          </w:pPr>
          <w:hyperlink w:anchor="__RefHeading___Toc13198133_1280447820">
            <w:r>
              <w:rPr>
                <w:webHidden/>
                <w:rStyle w:val="IndexLink"/>
                <w:rtl w:val="true"/>
              </w:rPr>
              <w:t xml:space="preserve">ثانيها </w:t>
            </w:r>
            <w:r>
              <w:rPr>
                <w:rStyle w:val="IndexLink"/>
                <w:rtl w:val="true"/>
              </w:rPr>
              <w:t xml:space="preserve">: </w:t>
            </w:r>
            <w:r>
              <w:rPr>
                <w:rStyle w:val="IndexLink"/>
                <w:rtl w:val="true"/>
              </w:rPr>
              <w:t>استحباب تلقين الميّت وغیره ممّا ورد من المستحبّات</w:t>
            </w:r>
            <w:r>
              <w:rPr>
                <w:rStyle w:val="IndexLink"/>
                <w:rtl w:val="true"/>
              </w:rPr>
              <w:tab/>
            </w:r>
            <w:r>
              <w:rPr>
                <w:rStyle w:val="IndexLink"/>
              </w:rPr>
              <w:t>512</w:t>
            </w:r>
          </w:hyperlink>
        </w:p>
        <w:p>
          <w:pPr>
            <w:pStyle w:val="Contents4"/>
            <w:tabs>
              <w:tab w:val="clear" w:pos="8176"/>
              <w:tab w:val="right" w:pos="9026" w:leader="dot"/>
            </w:tabs>
            <w:rPr/>
          </w:pPr>
          <w:hyperlink w:anchor="__RefHeading___Toc13198135_1280447820">
            <w:r>
              <w:rPr>
                <w:webHidden/>
                <w:rStyle w:val="IndexLink"/>
                <w:rtl w:val="true"/>
              </w:rPr>
              <w:t>ثالثها</w:t>
            </w:r>
            <w:r>
              <w:rPr>
                <w:rStyle w:val="IndexLink"/>
                <w:rtl w:val="true"/>
              </w:rPr>
              <w:t xml:space="preserve">: </w:t>
            </w:r>
            <w:r>
              <w:rPr>
                <w:rStyle w:val="IndexLink"/>
                <w:rtl w:val="true"/>
              </w:rPr>
              <w:t>وجوب تغسیل المیّت إذا استکمل أُموراً</w:t>
            </w:r>
            <w:r>
              <w:rPr>
                <w:rStyle w:val="IndexLink"/>
                <w:rtl w:val="true"/>
              </w:rPr>
              <w:tab/>
            </w:r>
            <w:r>
              <w:rPr>
                <w:rStyle w:val="IndexLink"/>
              </w:rPr>
              <w:t>513</w:t>
            </w:r>
          </w:hyperlink>
        </w:p>
        <w:p>
          <w:pPr>
            <w:pStyle w:val="Contents4"/>
            <w:tabs>
              <w:tab w:val="clear" w:pos="8176"/>
              <w:tab w:val="right" w:pos="9026" w:leader="dot"/>
            </w:tabs>
            <w:rPr/>
          </w:pPr>
          <w:hyperlink w:anchor="__RefHeading___Toc13198137_1280447820">
            <w:r>
              <w:rPr>
                <w:webHidden/>
                <w:rStyle w:val="IndexLink"/>
                <w:rtl w:val="true"/>
              </w:rPr>
              <w:t>رابعها</w:t>
            </w:r>
            <w:r>
              <w:rPr>
                <w:rStyle w:val="IndexLink"/>
                <w:rtl w:val="true"/>
              </w:rPr>
              <w:t>:</w:t>
            </w:r>
            <w:r>
              <w:rPr>
                <w:rStyle w:val="IndexLink"/>
                <w:rtl w:val="true"/>
              </w:rPr>
              <w:t>فی أنّ بعض الميّت ممّا فيه الصدر أو الصدر نفسه يُغسَّل ويُكفّن ويُصلّى عليه</w:t>
            </w:r>
            <w:r>
              <w:rPr>
                <w:rStyle w:val="IndexLink"/>
                <w:rtl w:val="true"/>
              </w:rPr>
              <w:tab/>
            </w:r>
            <w:r>
              <w:rPr>
                <w:rStyle w:val="IndexLink"/>
              </w:rPr>
              <w:t>518</w:t>
            </w:r>
          </w:hyperlink>
        </w:p>
        <w:p>
          <w:pPr>
            <w:pStyle w:val="Contents4"/>
            <w:tabs>
              <w:tab w:val="clear" w:pos="8176"/>
              <w:tab w:val="right" w:pos="9026" w:leader="dot"/>
            </w:tabs>
            <w:rPr/>
          </w:pPr>
          <w:hyperlink w:anchor="__RefHeading___Toc13198139_1280447820">
            <w:r>
              <w:rPr>
                <w:webHidden/>
                <w:rStyle w:val="IndexLink"/>
                <w:rtl w:val="true"/>
              </w:rPr>
              <w:t>خامسها</w:t>
            </w:r>
            <w:r>
              <w:rPr>
                <w:rStyle w:val="IndexLink"/>
                <w:rtl w:val="true"/>
              </w:rPr>
              <w:t xml:space="preserve">: </w:t>
            </w:r>
            <w:r>
              <w:rPr>
                <w:rStyle w:val="IndexLink"/>
                <w:rtl w:val="true"/>
              </w:rPr>
              <w:t>في كيفيّة الغسل المیّت</w:t>
            </w:r>
            <w:r>
              <w:rPr>
                <w:rStyle w:val="IndexLink"/>
                <w:rtl w:val="true"/>
              </w:rPr>
              <w:tab/>
            </w:r>
            <w:r>
              <w:rPr>
                <w:rStyle w:val="IndexLink"/>
              </w:rPr>
              <w:t>520</w:t>
            </w:r>
          </w:hyperlink>
        </w:p>
        <w:p>
          <w:pPr>
            <w:pStyle w:val="Contents3"/>
            <w:tabs>
              <w:tab w:val="clear" w:pos="8459"/>
              <w:tab w:val="right" w:pos="9026" w:leader="dot"/>
            </w:tabs>
            <w:rPr/>
          </w:pPr>
          <w:hyperlink w:anchor="__RefHeading___Toc13198141_1280447820">
            <w:r>
              <w:rPr>
                <w:webHidden/>
                <w:rStyle w:val="IndexLink"/>
                <w:rtl w:val="true"/>
              </w:rPr>
              <w:t>القول في الغاسل</w:t>
            </w:r>
            <w:r>
              <w:rPr>
                <w:rStyle w:val="IndexLink"/>
                <w:rtl w:val="true"/>
              </w:rPr>
              <w:tab/>
            </w:r>
            <w:r>
              <w:rPr>
                <w:rStyle w:val="IndexLink"/>
              </w:rPr>
              <w:t>526</w:t>
            </w:r>
          </w:hyperlink>
        </w:p>
        <w:p>
          <w:pPr>
            <w:pStyle w:val="Contents4"/>
            <w:tabs>
              <w:tab w:val="clear" w:pos="8176"/>
              <w:tab w:val="right" w:pos="9026" w:leader="dot"/>
            </w:tabs>
            <w:rPr/>
          </w:pPr>
          <w:hyperlink w:anchor="__RefHeading___Toc13198143_1280447820">
            <w:r>
              <w:rPr>
                <w:webHidden/>
                <w:rStyle w:val="IndexLink"/>
                <w:rtl w:val="true"/>
              </w:rPr>
              <w:t>وفيه أمور</w:t>
            </w:r>
            <w:r>
              <w:rPr>
                <w:rStyle w:val="IndexLink"/>
                <w:rtl w:val="true"/>
              </w:rPr>
              <w:t>:</w:t>
              <w:tab/>
            </w:r>
            <w:r>
              <w:rPr>
                <w:rStyle w:val="IndexLink"/>
              </w:rPr>
              <w:t>526</w:t>
            </w:r>
          </w:hyperlink>
        </w:p>
        <w:p>
          <w:pPr>
            <w:pStyle w:val="Contents4"/>
            <w:tabs>
              <w:tab w:val="clear" w:pos="8176"/>
              <w:tab w:val="right" w:pos="9026" w:leader="dot"/>
            </w:tabs>
            <w:rPr/>
          </w:pPr>
          <w:hyperlink w:anchor="__RefHeading___Toc13198145_1280447820">
            <w:r>
              <w:rPr>
                <w:webHidden/>
                <w:rStyle w:val="IndexLink"/>
                <w:rtl w:val="true"/>
              </w:rPr>
              <w:t>أحدها</w:t>
            </w:r>
            <w:r>
              <w:rPr>
                <w:rStyle w:val="IndexLink"/>
                <w:rtl w:val="true"/>
              </w:rPr>
              <w:t xml:space="preserve">: </w:t>
            </w:r>
            <w:r>
              <w:rPr>
                <w:rStyle w:val="IndexLink"/>
                <w:rtl w:val="true"/>
              </w:rPr>
              <w:t>فی أنّ أولى الناس بتغسيل الميت هو الوليّ العرفي</w:t>
            </w:r>
            <w:r>
              <w:rPr>
                <w:rStyle w:val="IndexLink"/>
                <w:rtl w:val="true"/>
              </w:rPr>
              <w:tab/>
            </w:r>
            <w:r>
              <w:rPr>
                <w:rStyle w:val="IndexLink"/>
              </w:rPr>
              <w:t>526</w:t>
            </w:r>
          </w:hyperlink>
        </w:p>
        <w:p>
          <w:pPr>
            <w:pStyle w:val="Contents4"/>
            <w:tabs>
              <w:tab w:val="clear" w:pos="8176"/>
              <w:tab w:val="right" w:pos="9026" w:leader="dot"/>
            </w:tabs>
            <w:rPr/>
          </w:pPr>
          <w:hyperlink w:anchor="__RefHeading___Toc13198147_1280447820">
            <w:r>
              <w:rPr>
                <w:webHidden/>
                <w:rStyle w:val="IndexLink"/>
                <w:rtl w:val="true"/>
              </w:rPr>
              <w:t>ثانيها</w:t>
            </w:r>
            <w:r>
              <w:rPr>
                <w:rStyle w:val="IndexLink"/>
                <w:rtl w:val="true"/>
              </w:rPr>
              <w:t xml:space="preserve">: </w:t>
            </w:r>
            <w:r>
              <w:rPr>
                <w:rStyle w:val="IndexLink"/>
                <w:rtl w:val="true"/>
              </w:rPr>
              <w:t>اشتراط المماثلۀ أو المحرمیّۀ فی تغسیل المیّت</w:t>
            </w:r>
            <w:r>
              <w:rPr>
                <w:rStyle w:val="IndexLink"/>
                <w:rtl w:val="true"/>
              </w:rPr>
              <w:tab/>
            </w:r>
            <w:r>
              <w:rPr>
                <w:rStyle w:val="IndexLink"/>
              </w:rPr>
              <w:t>528</w:t>
            </w:r>
          </w:hyperlink>
        </w:p>
        <w:p>
          <w:pPr>
            <w:pStyle w:val="Contents4"/>
            <w:tabs>
              <w:tab w:val="clear" w:pos="8176"/>
              <w:tab w:val="right" w:pos="9026" w:leader="dot"/>
            </w:tabs>
            <w:rPr/>
          </w:pPr>
          <w:hyperlink w:anchor="__RefHeading___Toc13198149_1280447820">
            <w:r>
              <w:rPr>
                <w:webHidden/>
                <w:rStyle w:val="IndexLink"/>
                <w:rtl w:val="true"/>
              </w:rPr>
              <w:t>ثالثها</w:t>
            </w:r>
            <w:r>
              <w:rPr>
                <w:rStyle w:val="IndexLink"/>
                <w:rtl w:val="true"/>
              </w:rPr>
              <w:t xml:space="preserve">: </w:t>
            </w:r>
            <w:r>
              <w:rPr>
                <w:rStyle w:val="IndexLink"/>
                <w:rtl w:val="true"/>
              </w:rPr>
              <w:t>جواز تغسیل الرجل أو المراۀ للصلبی أو الصبیّۀ إذا کانا ابنی ثلاث سنین فنازلاً</w:t>
            </w:r>
            <w:r>
              <w:rPr>
                <w:rStyle w:val="IndexLink"/>
                <w:rtl w:val="true"/>
              </w:rPr>
              <w:tab/>
            </w:r>
            <w:r>
              <w:rPr>
                <w:rStyle w:val="IndexLink"/>
              </w:rPr>
              <w:t>529</w:t>
            </w:r>
          </w:hyperlink>
        </w:p>
        <w:p>
          <w:pPr>
            <w:pStyle w:val="Contents4"/>
            <w:tabs>
              <w:tab w:val="clear" w:pos="8176"/>
              <w:tab w:val="right" w:pos="9026" w:leader="dot"/>
            </w:tabs>
            <w:rPr/>
          </w:pPr>
          <w:hyperlink w:anchor="__RefHeading___Toc13198151_1280447820">
            <w:r>
              <w:rPr>
                <w:webHidden/>
                <w:rStyle w:val="IndexLink"/>
                <w:rtl w:val="true"/>
              </w:rPr>
              <w:t>رابعها</w:t>
            </w:r>
            <w:r>
              <w:rPr>
                <w:rStyle w:val="IndexLink"/>
                <w:rtl w:val="true"/>
              </w:rPr>
              <w:t xml:space="preserve">: </w:t>
            </w:r>
            <w:r>
              <w:rPr>
                <w:rStyle w:val="IndexLink"/>
                <w:rtl w:val="true"/>
              </w:rPr>
              <w:t>جواز تغسيل الرجل للمرأة إذا كان محرّماً عليها وكذا العكس</w:t>
            </w:r>
            <w:r>
              <w:rPr>
                <w:rStyle w:val="IndexLink"/>
                <w:rtl w:val="true"/>
              </w:rPr>
              <w:tab/>
            </w:r>
            <w:r>
              <w:rPr>
                <w:rStyle w:val="IndexLink"/>
              </w:rPr>
              <w:t>529</w:t>
            </w:r>
          </w:hyperlink>
        </w:p>
        <w:p>
          <w:pPr>
            <w:pStyle w:val="Contents4"/>
            <w:tabs>
              <w:tab w:val="clear" w:pos="8176"/>
              <w:tab w:val="right" w:pos="9026" w:leader="dot"/>
            </w:tabs>
            <w:rPr/>
          </w:pPr>
          <w:hyperlink w:anchor="__RefHeading___Toc13198153_1280447820">
            <w:r>
              <w:rPr>
                <w:webHidden/>
                <w:rStyle w:val="IndexLink"/>
                <w:rtl w:val="true"/>
              </w:rPr>
              <w:t>خامسها</w:t>
            </w:r>
            <w:r>
              <w:rPr>
                <w:rStyle w:val="IndexLink"/>
                <w:rtl w:val="true"/>
              </w:rPr>
              <w:t xml:space="preserve">: </w:t>
            </w:r>
            <w:r>
              <w:rPr>
                <w:rStyle w:val="IndexLink"/>
                <w:rtl w:val="true"/>
              </w:rPr>
              <w:t>يجوز للمالك تغسيل مملوكته الغير مزوّجة و المعتدّة</w:t>
            </w:r>
            <w:r>
              <w:rPr>
                <w:rStyle w:val="IndexLink"/>
                <w:rtl w:val="true"/>
              </w:rPr>
              <w:tab/>
            </w:r>
            <w:r>
              <w:rPr>
                <w:rStyle w:val="IndexLink"/>
              </w:rPr>
              <w:t>531</w:t>
            </w:r>
          </w:hyperlink>
        </w:p>
        <w:p>
          <w:pPr>
            <w:pStyle w:val="Contents4"/>
            <w:tabs>
              <w:tab w:val="clear" w:pos="8176"/>
              <w:tab w:val="right" w:pos="9026" w:leader="dot"/>
            </w:tabs>
            <w:rPr/>
          </w:pPr>
          <w:hyperlink w:anchor="__RefHeading___Toc13198155_1280447820">
            <w:r>
              <w:rPr>
                <w:webHidden/>
                <w:rStyle w:val="IndexLink"/>
                <w:rtl w:val="true"/>
              </w:rPr>
              <w:t>سادسها</w:t>
            </w:r>
            <w:r>
              <w:rPr>
                <w:rStyle w:val="IndexLink"/>
                <w:rtl w:val="true"/>
              </w:rPr>
              <w:t xml:space="preserve">: </w:t>
            </w:r>
            <w:r>
              <w:rPr>
                <w:rStyle w:val="IndexLink"/>
                <w:rtl w:val="true"/>
              </w:rPr>
              <w:t>جواز تغسیل دحد الزوجین للآخَر</w:t>
            </w:r>
            <w:r>
              <w:rPr>
                <w:rStyle w:val="IndexLink"/>
                <w:rtl w:val="true"/>
              </w:rPr>
              <w:tab/>
            </w:r>
            <w:r>
              <w:rPr>
                <w:rStyle w:val="IndexLink"/>
              </w:rPr>
              <w:t>532</w:t>
            </w:r>
          </w:hyperlink>
        </w:p>
        <w:p>
          <w:pPr>
            <w:pStyle w:val="Contents4"/>
            <w:tabs>
              <w:tab w:val="clear" w:pos="8176"/>
              <w:tab w:val="right" w:pos="9026" w:leader="dot"/>
            </w:tabs>
            <w:rPr/>
          </w:pPr>
          <w:hyperlink w:anchor="__RefHeading___Toc13198157_1280447820">
            <w:r>
              <w:rPr>
                <w:webHidden/>
                <w:rStyle w:val="IndexLink"/>
                <w:rtl w:val="true"/>
              </w:rPr>
              <w:t>سابعها</w:t>
            </w:r>
            <w:r>
              <w:rPr>
                <w:rStyle w:val="IndexLink"/>
                <w:rtl w:val="true"/>
              </w:rPr>
              <w:t xml:space="preserve">: </w:t>
            </w:r>
            <w:r>
              <w:rPr>
                <w:rStyle w:val="IndexLink"/>
                <w:rtl w:val="true"/>
              </w:rPr>
              <w:t>اشتراط البلوغ والعقل والإسلام فی الغاسل</w:t>
            </w:r>
            <w:r>
              <w:rPr>
                <w:rStyle w:val="IndexLink"/>
                <w:rtl w:val="true"/>
              </w:rPr>
              <w:tab/>
            </w:r>
            <w:r>
              <w:rPr>
                <w:rStyle w:val="IndexLink"/>
              </w:rPr>
              <w:t>534</w:t>
            </w:r>
          </w:hyperlink>
        </w:p>
        <w:p>
          <w:pPr>
            <w:pStyle w:val="Contents4"/>
            <w:tabs>
              <w:tab w:val="clear" w:pos="8176"/>
              <w:tab w:val="right" w:pos="9026" w:leader="dot"/>
            </w:tabs>
            <w:rPr/>
          </w:pPr>
          <w:hyperlink w:anchor="__RefHeading___Toc13198159_1280447820">
            <w:r>
              <w:rPr>
                <w:webHidden/>
                <w:rStyle w:val="IndexLink"/>
                <w:rtl w:val="true"/>
              </w:rPr>
              <w:t>ثامنها</w:t>
            </w:r>
            <w:r>
              <w:rPr>
                <w:rStyle w:val="IndexLink"/>
                <w:rtl w:val="true"/>
              </w:rPr>
              <w:t xml:space="preserve">: </w:t>
            </w:r>
            <w:r>
              <w:rPr>
                <w:rStyle w:val="IndexLink"/>
                <w:rtl w:val="true"/>
              </w:rPr>
              <w:t>حکم مَنْ وجب عليه القتل</w:t>
            </w:r>
            <w:r>
              <w:rPr>
                <w:rStyle w:val="IndexLink"/>
                <w:rtl w:val="true"/>
              </w:rPr>
              <w:tab/>
            </w:r>
            <w:r>
              <w:rPr>
                <w:rStyle w:val="IndexLink"/>
              </w:rPr>
              <w:t>535</w:t>
            </w:r>
          </w:hyperlink>
        </w:p>
        <w:p>
          <w:pPr>
            <w:pStyle w:val="Contents4"/>
            <w:tabs>
              <w:tab w:val="clear" w:pos="8176"/>
              <w:tab w:val="right" w:pos="9026" w:leader="dot"/>
            </w:tabs>
            <w:rPr/>
          </w:pPr>
          <w:hyperlink w:anchor="__RefHeading___Toc13198161_1280447820">
            <w:r>
              <w:rPr>
                <w:webHidden/>
                <w:rStyle w:val="IndexLink"/>
                <w:rtl w:val="true"/>
              </w:rPr>
              <w:t>تاسعها</w:t>
            </w:r>
            <w:r>
              <w:rPr>
                <w:rStyle w:val="IndexLink"/>
                <w:rtl w:val="true"/>
              </w:rPr>
              <w:t xml:space="preserve">: </w:t>
            </w:r>
            <w:r>
              <w:rPr>
                <w:rStyle w:val="IndexLink"/>
                <w:rtl w:val="true"/>
              </w:rPr>
              <w:t>في وجوب غسل مسّ الميّت</w:t>
            </w:r>
            <w:r>
              <w:rPr>
                <w:rStyle w:val="IndexLink"/>
                <w:rtl w:val="true"/>
              </w:rPr>
              <w:tab/>
            </w:r>
            <w:r>
              <w:rPr>
                <w:rStyle w:val="IndexLink"/>
              </w:rPr>
              <w:t>536</w:t>
            </w:r>
          </w:hyperlink>
        </w:p>
        <w:p>
          <w:pPr>
            <w:pStyle w:val="Contents3"/>
            <w:tabs>
              <w:tab w:val="clear" w:pos="8459"/>
              <w:tab w:val="right" w:pos="9026" w:leader="dot"/>
            </w:tabs>
            <w:rPr/>
          </w:pPr>
          <w:hyperlink w:anchor="__RefHeading___Toc13198163_1280447820">
            <w:r>
              <w:rPr>
                <w:webHidden/>
                <w:rStyle w:val="IndexLink"/>
                <w:rtl w:val="true"/>
              </w:rPr>
              <w:t>القول في التحنيط</w:t>
            </w:r>
            <w:r>
              <w:rPr>
                <w:rStyle w:val="IndexLink"/>
                <w:rtl w:val="true"/>
              </w:rPr>
              <w:tab/>
            </w:r>
            <w:r>
              <w:rPr>
                <w:rStyle w:val="IndexLink"/>
              </w:rPr>
              <w:t>538</w:t>
            </w:r>
          </w:hyperlink>
        </w:p>
        <w:p>
          <w:pPr>
            <w:pStyle w:val="Contents3"/>
            <w:tabs>
              <w:tab w:val="clear" w:pos="8459"/>
              <w:tab w:val="right" w:pos="9026" w:leader="dot"/>
            </w:tabs>
            <w:rPr/>
          </w:pPr>
          <w:hyperlink w:anchor="__RefHeading___Toc13198165_1280447820">
            <w:r>
              <w:rPr>
                <w:webHidden/>
                <w:rStyle w:val="IndexLink"/>
                <w:rtl w:val="true"/>
              </w:rPr>
              <w:t>القول في التكفين</w:t>
            </w:r>
            <w:r>
              <w:rPr>
                <w:rStyle w:val="IndexLink"/>
                <w:rtl w:val="true"/>
              </w:rPr>
              <w:tab/>
            </w:r>
            <w:r>
              <w:rPr>
                <w:rStyle w:val="IndexLink"/>
              </w:rPr>
              <w:t>539</w:t>
            </w:r>
          </w:hyperlink>
        </w:p>
        <w:p>
          <w:pPr>
            <w:pStyle w:val="Contents4"/>
            <w:tabs>
              <w:tab w:val="clear" w:pos="8176"/>
              <w:tab w:val="right" w:pos="9026" w:leader="dot"/>
            </w:tabs>
            <w:rPr/>
          </w:pPr>
          <w:hyperlink w:anchor="__RefHeading___Toc13198167_1280447820">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13198169_1280447820">
            <w:r>
              <w:rPr>
                <w:webHidden/>
                <w:rStyle w:val="IndexLink"/>
                <w:rtl w:val="true"/>
              </w:rPr>
              <w:t>فهنا أُمور</w:t>
            </w:r>
            <w:r>
              <w:rPr>
                <w:rStyle w:val="IndexLink"/>
                <w:rtl w:val="true"/>
              </w:rPr>
              <w:t>:</w:t>
              <w:tab/>
            </w:r>
            <w:r>
              <w:rPr>
                <w:rStyle w:val="IndexLink"/>
              </w:rPr>
              <w:t>540</w:t>
            </w:r>
          </w:hyperlink>
        </w:p>
        <w:p>
          <w:pPr>
            <w:pStyle w:val="Contents4"/>
            <w:tabs>
              <w:tab w:val="clear" w:pos="8176"/>
              <w:tab w:val="right" w:pos="9026" w:leader="dot"/>
            </w:tabs>
            <w:rPr/>
          </w:pPr>
          <w:hyperlink w:anchor="__RefHeading___Toc13198171_1280447820">
            <w:r>
              <w:rPr>
                <w:webHidden/>
                <w:rStyle w:val="IndexLink"/>
                <w:rtl w:val="true"/>
              </w:rPr>
              <w:t>أحدها في جنسه</w:t>
            </w:r>
            <w:r>
              <w:rPr>
                <w:rStyle w:val="IndexLink"/>
                <w:rtl w:val="true"/>
              </w:rPr>
              <w:tab/>
            </w:r>
            <w:r>
              <w:rPr>
                <w:rStyle w:val="IndexLink"/>
              </w:rPr>
              <w:t>540</w:t>
            </w:r>
          </w:hyperlink>
        </w:p>
        <w:p>
          <w:pPr>
            <w:pStyle w:val="Contents4"/>
            <w:tabs>
              <w:tab w:val="clear" w:pos="8176"/>
              <w:tab w:val="right" w:pos="9026" w:leader="dot"/>
            </w:tabs>
            <w:rPr/>
          </w:pPr>
          <w:hyperlink w:anchor="__RefHeading___Toc13198173_1280447820">
            <w:r>
              <w:rPr>
                <w:webHidden/>
                <w:rStyle w:val="IndexLink"/>
                <w:rtl w:val="true"/>
              </w:rPr>
              <w:t>ثانيها في كميته</w:t>
            </w:r>
            <w:r>
              <w:rPr>
                <w:rStyle w:val="IndexLink"/>
                <w:rtl w:val="true"/>
              </w:rPr>
              <w:tab/>
            </w:r>
            <w:r>
              <w:rPr>
                <w:rStyle w:val="IndexLink"/>
              </w:rPr>
              <w:t>541</w:t>
            </w:r>
          </w:hyperlink>
        </w:p>
        <w:p>
          <w:pPr>
            <w:pStyle w:val="Contents4"/>
            <w:tabs>
              <w:tab w:val="clear" w:pos="8176"/>
              <w:tab w:val="right" w:pos="9026" w:leader="dot"/>
            </w:tabs>
            <w:rPr/>
          </w:pPr>
          <w:hyperlink w:anchor="__RefHeading___Toc13198175_1280447820">
            <w:r>
              <w:rPr>
                <w:webHidden/>
                <w:rStyle w:val="IndexLink"/>
                <w:rtl w:val="true"/>
              </w:rPr>
              <w:t>ثالثها في وصفه</w:t>
            </w:r>
            <w:r>
              <w:rPr>
                <w:rStyle w:val="IndexLink"/>
                <w:rtl w:val="true"/>
              </w:rPr>
              <w:tab/>
            </w:r>
            <w:r>
              <w:rPr>
                <w:rStyle w:val="IndexLink"/>
              </w:rPr>
              <w:t>544</w:t>
            </w:r>
          </w:hyperlink>
        </w:p>
        <w:p>
          <w:pPr>
            <w:pStyle w:val="Contents3"/>
            <w:tabs>
              <w:tab w:val="clear" w:pos="8459"/>
              <w:tab w:val="right" w:pos="9026" w:leader="dot"/>
            </w:tabs>
            <w:rPr/>
          </w:pPr>
          <w:hyperlink w:anchor="__RefHeading___Toc13198177_1280447820">
            <w:r>
              <w:rPr>
                <w:webHidden/>
                <w:rStyle w:val="IndexLink"/>
                <w:rtl w:val="true"/>
              </w:rPr>
              <w:t>القول في الدفن</w:t>
            </w:r>
            <w:r>
              <w:rPr>
                <w:rStyle w:val="IndexLink"/>
                <w:rtl w:val="true"/>
              </w:rPr>
              <w:tab/>
            </w:r>
            <w:r>
              <w:rPr>
                <w:rStyle w:val="IndexLink"/>
              </w:rPr>
              <w:t>547</w:t>
            </w:r>
          </w:hyperlink>
        </w:p>
        <w:p>
          <w:pPr>
            <w:pStyle w:val="Contents4"/>
            <w:tabs>
              <w:tab w:val="clear" w:pos="8176"/>
              <w:tab w:val="right" w:pos="9026" w:leader="dot"/>
            </w:tabs>
            <w:rPr/>
          </w:pPr>
          <w:hyperlink w:anchor="__RefHeading___Toc13198179_1280447820">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3198181_1280447820">
            <w:r>
              <w:rPr>
                <w:webHidden/>
                <w:rStyle w:val="IndexLink"/>
                <w:rtl w:val="true"/>
              </w:rPr>
              <w:t>وفيه أُمور</w:t>
            </w:r>
            <w:r>
              <w:rPr>
                <w:rStyle w:val="IndexLink"/>
                <w:rtl w:val="true"/>
              </w:rPr>
              <w:t>:</w:t>
              <w:tab/>
            </w:r>
            <w:r>
              <w:rPr>
                <w:rStyle w:val="IndexLink"/>
              </w:rPr>
              <w:t>547</w:t>
            </w:r>
          </w:hyperlink>
        </w:p>
        <w:p>
          <w:pPr>
            <w:pStyle w:val="Contents4"/>
            <w:tabs>
              <w:tab w:val="clear" w:pos="8176"/>
              <w:tab w:val="right" w:pos="9026" w:leader="dot"/>
            </w:tabs>
            <w:rPr/>
          </w:pPr>
          <w:hyperlink w:anchor="__RefHeading___Toc13198183_1280447820">
            <w:r>
              <w:rPr>
                <w:webHidden/>
                <w:rStyle w:val="IndexLink"/>
                <w:rtl w:val="true"/>
              </w:rPr>
              <w:t>أحدها</w:t>
            </w:r>
            <w:r>
              <w:rPr>
                <w:rStyle w:val="IndexLink"/>
                <w:rtl w:val="true"/>
              </w:rPr>
              <w:t xml:space="preserve">: </w:t>
            </w:r>
            <w:r>
              <w:rPr>
                <w:rStyle w:val="IndexLink"/>
                <w:rtl w:val="true"/>
              </w:rPr>
              <w:t>وجوب مواراة الميّت المسلم ومَنْ بحكمه في الأرض</w:t>
            </w:r>
            <w:r>
              <w:rPr>
                <w:rStyle w:val="IndexLink"/>
                <w:rtl w:val="true"/>
              </w:rPr>
              <w:tab/>
            </w:r>
            <w:r>
              <w:rPr>
                <w:rStyle w:val="IndexLink"/>
              </w:rPr>
              <w:t>547</w:t>
            </w:r>
          </w:hyperlink>
        </w:p>
        <w:p>
          <w:pPr>
            <w:pStyle w:val="Contents4"/>
            <w:tabs>
              <w:tab w:val="clear" w:pos="8176"/>
              <w:tab w:val="right" w:pos="9026" w:leader="dot"/>
            </w:tabs>
            <w:rPr/>
          </w:pPr>
          <w:hyperlink w:anchor="__RefHeading___Toc13198185_1280447820">
            <w:r>
              <w:rPr>
                <w:webHidden/>
                <w:rStyle w:val="IndexLink"/>
                <w:rtl w:val="true"/>
              </w:rPr>
              <w:t>ثانيها</w:t>
            </w:r>
            <w:r>
              <w:rPr>
                <w:rStyle w:val="IndexLink"/>
                <w:rtl w:val="true"/>
              </w:rPr>
              <w:t xml:space="preserve">: </w:t>
            </w:r>
            <w:r>
              <w:rPr>
                <w:rStyle w:val="IndexLink"/>
                <w:rtl w:val="true"/>
              </w:rPr>
              <w:t>وجوب الاستقبال به إلى القبلة</w:t>
            </w:r>
            <w:r>
              <w:rPr>
                <w:rStyle w:val="IndexLink"/>
                <w:rtl w:val="true"/>
              </w:rPr>
              <w:tab/>
            </w:r>
            <w:r>
              <w:rPr>
                <w:rStyle w:val="IndexLink"/>
              </w:rPr>
              <w:t>547</w:t>
            </w:r>
          </w:hyperlink>
        </w:p>
        <w:p>
          <w:pPr>
            <w:pStyle w:val="Contents4"/>
            <w:tabs>
              <w:tab w:val="clear" w:pos="8176"/>
              <w:tab w:val="right" w:pos="9026" w:leader="dot"/>
            </w:tabs>
            <w:rPr/>
          </w:pPr>
          <w:hyperlink w:anchor="__RefHeading___Toc13198187_1280447820">
            <w:r>
              <w:rPr>
                <w:webHidden/>
                <w:rStyle w:val="IndexLink"/>
                <w:rtl w:val="true"/>
              </w:rPr>
              <w:t>ثالثها</w:t>
            </w:r>
            <w:r>
              <w:rPr>
                <w:rStyle w:val="IndexLink"/>
                <w:rtl w:val="true"/>
              </w:rPr>
              <w:t xml:space="preserve">: </w:t>
            </w:r>
            <w:r>
              <w:rPr>
                <w:rStyle w:val="IndexLink"/>
                <w:rtl w:val="true"/>
              </w:rPr>
              <w:t>سقوط وجوب الإقبار عند التعذّر</w:t>
            </w:r>
            <w:r>
              <w:rPr>
                <w:rStyle w:val="IndexLink"/>
                <w:rtl w:val="true"/>
              </w:rPr>
              <w:tab/>
            </w:r>
            <w:r>
              <w:rPr>
                <w:rStyle w:val="IndexLink"/>
              </w:rPr>
              <w:t>547</w:t>
            </w:r>
          </w:hyperlink>
        </w:p>
        <w:p>
          <w:pPr>
            <w:pStyle w:val="Contents4"/>
            <w:tabs>
              <w:tab w:val="clear" w:pos="8176"/>
              <w:tab w:val="right" w:pos="9026" w:leader="dot"/>
            </w:tabs>
            <w:rPr/>
          </w:pPr>
          <w:hyperlink w:anchor="__RefHeading___Toc13198189_1280447820">
            <w:r>
              <w:rPr>
                <w:webHidden/>
                <w:rStyle w:val="IndexLink"/>
                <w:rtl w:val="true"/>
              </w:rPr>
              <w:t>رابعها</w:t>
            </w:r>
            <w:r>
              <w:rPr>
                <w:rStyle w:val="IndexLink"/>
                <w:rtl w:val="true"/>
              </w:rPr>
              <w:t xml:space="preserve">: </w:t>
            </w:r>
            <w:r>
              <w:rPr>
                <w:rStyle w:val="IndexLink"/>
                <w:rtl w:val="true"/>
              </w:rPr>
              <w:t>حکم مَنْ مات في البحر</w:t>
            </w:r>
            <w:r>
              <w:rPr>
                <w:rStyle w:val="IndexLink"/>
                <w:rtl w:val="true"/>
              </w:rPr>
              <w:tab/>
            </w:r>
            <w:r>
              <w:rPr>
                <w:rStyle w:val="IndexLink"/>
              </w:rPr>
              <w:t>548</w:t>
            </w:r>
          </w:hyperlink>
        </w:p>
        <w:p>
          <w:pPr>
            <w:pStyle w:val="Contents4"/>
            <w:tabs>
              <w:tab w:val="clear" w:pos="8176"/>
              <w:tab w:val="right" w:pos="9026" w:leader="dot"/>
            </w:tabs>
            <w:rPr/>
          </w:pPr>
          <w:hyperlink w:anchor="__RefHeading___Toc13198191_1280447820">
            <w:r>
              <w:rPr>
                <w:webHidden/>
                <w:rStyle w:val="IndexLink"/>
                <w:rtl w:val="true"/>
              </w:rPr>
              <w:t>خامسها</w:t>
            </w:r>
            <w:r>
              <w:rPr>
                <w:rStyle w:val="IndexLink"/>
                <w:rtl w:val="true"/>
              </w:rPr>
              <w:t xml:space="preserve">: </w:t>
            </w:r>
            <w:r>
              <w:rPr>
                <w:rStyle w:val="IndexLink"/>
                <w:rtl w:val="true"/>
              </w:rPr>
              <w:t>دفن الذمّيّة الحاملة من مسلمٍ بنكاحٍ صحيح إذا ماتت ومات الذي في بطنها في مقابر المسلمين</w:t>
            </w:r>
            <w:r>
              <w:rPr>
                <w:rStyle w:val="IndexLink"/>
                <w:rtl w:val="true"/>
              </w:rPr>
              <w:tab/>
            </w:r>
            <w:r>
              <w:rPr>
                <w:rStyle w:val="IndexLink"/>
              </w:rPr>
              <w:t>548</w:t>
            </w:r>
          </w:hyperlink>
        </w:p>
        <w:p>
          <w:pPr>
            <w:pStyle w:val="Contents3"/>
            <w:tabs>
              <w:tab w:val="clear" w:pos="8459"/>
              <w:tab w:val="right" w:pos="9026" w:leader="dot"/>
            </w:tabs>
            <w:rPr/>
          </w:pPr>
          <w:hyperlink w:anchor="__RefHeading___Toc13198193_1280447820">
            <w:r>
              <w:rPr>
                <w:webHidden/>
                <w:rStyle w:val="IndexLink"/>
                <w:rtl w:val="true"/>
              </w:rPr>
              <w:t>القول في مسائل متفرّقة</w:t>
            </w:r>
            <w:r>
              <w:rPr>
                <w:rStyle w:val="IndexLink"/>
                <w:rtl w:val="true"/>
              </w:rPr>
              <w:tab/>
            </w:r>
            <w:r>
              <w:rPr>
                <w:rStyle w:val="IndexLink"/>
              </w:rPr>
              <w:t>549</w:t>
            </w:r>
          </w:hyperlink>
        </w:p>
        <w:p>
          <w:pPr>
            <w:pStyle w:val="Contents4"/>
            <w:tabs>
              <w:tab w:val="clear" w:pos="8176"/>
              <w:tab w:val="right" w:pos="9026" w:leader="dot"/>
            </w:tabs>
            <w:rPr/>
          </w:pPr>
          <w:hyperlink w:anchor="__RefHeading___Toc13198195_1280447820">
            <w:r>
              <w:rPr>
                <w:webHidden/>
                <w:rStyle w:val="IndexLink"/>
                <w:rtl w:val="true"/>
              </w:rPr>
              <w:t>المسألة الأولى</w:t>
            </w:r>
            <w:r>
              <w:rPr>
                <w:rStyle w:val="IndexLink"/>
                <w:rtl w:val="true"/>
              </w:rPr>
              <w:t xml:space="preserve">: </w:t>
            </w:r>
            <w:r>
              <w:rPr>
                <w:rStyle w:val="IndexLink"/>
                <w:rtl w:val="true"/>
              </w:rPr>
              <w:t>فی أنّ الواجب على المسلمين وعلى الوليّ من الأمور المتعلقة بالميّت هو نفس الفعل لا بذل المال له</w:t>
            </w:r>
            <w:r>
              <w:rPr>
                <w:rStyle w:val="IndexLink"/>
                <w:rtl w:val="true"/>
              </w:rPr>
              <w:tab/>
            </w:r>
            <w:r>
              <w:rPr>
                <w:rStyle w:val="IndexLink"/>
              </w:rPr>
              <w:t>549</w:t>
            </w:r>
          </w:hyperlink>
        </w:p>
        <w:p>
          <w:pPr>
            <w:pStyle w:val="Contents4"/>
            <w:tabs>
              <w:tab w:val="clear" w:pos="8176"/>
              <w:tab w:val="right" w:pos="9026" w:leader="dot"/>
            </w:tabs>
            <w:rPr/>
          </w:pPr>
          <w:hyperlink w:anchor="__RefHeading___Toc13198197_1280447820">
            <w:r>
              <w:rPr>
                <w:webHidden/>
                <w:rStyle w:val="IndexLink"/>
                <w:rtl w:val="true"/>
              </w:rPr>
              <w:t>المسألة الثانية</w:t>
            </w:r>
            <w:r>
              <w:rPr>
                <w:rStyle w:val="IndexLink"/>
                <w:rtl w:val="true"/>
              </w:rPr>
              <w:t xml:space="preserve">: </w:t>
            </w:r>
            <w:r>
              <w:rPr>
                <w:rStyle w:val="IndexLink"/>
                <w:rtl w:val="true"/>
              </w:rPr>
              <w:t>خروج الكفن من صلب مال الميّت مقدّماً على الميراث والوصيّة والدَّيْن</w:t>
            </w:r>
            <w:r>
              <w:rPr>
                <w:rStyle w:val="IndexLink"/>
                <w:rtl w:val="true"/>
              </w:rPr>
              <w:tab/>
            </w:r>
            <w:r>
              <w:rPr>
                <w:rStyle w:val="IndexLink"/>
              </w:rPr>
              <w:t>549</w:t>
            </w:r>
          </w:hyperlink>
        </w:p>
        <w:p>
          <w:pPr>
            <w:pStyle w:val="Contents4"/>
            <w:tabs>
              <w:tab w:val="clear" w:pos="8176"/>
              <w:tab w:val="right" w:pos="9026" w:leader="dot"/>
            </w:tabs>
            <w:rPr/>
          </w:pPr>
          <w:hyperlink w:anchor="__RefHeading___Toc13198199_1280447820">
            <w:r>
              <w:rPr>
                <w:webHidden/>
                <w:rStyle w:val="IndexLink"/>
                <w:rtl w:val="true"/>
              </w:rPr>
              <w:t>المسألة الثالثة</w:t>
            </w:r>
            <w:r>
              <w:rPr>
                <w:rStyle w:val="IndexLink"/>
                <w:rtl w:val="true"/>
              </w:rPr>
              <w:t>:</w:t>
            </w:r>
            <w:r>
              <w:rPr>
                <w:rStyle w:val="IndexLink"/>
                <w:rtl w:val="true"/>
              </w:rPr>
              <w:t>كفن العبد على مولاه</w:t>
            </w:r>
            <w:r>
              <w:rPr>
                <w:rStyle w:val="IndexLink"/>
                <w:rtl w:val="true"/>
              </w:rPr>
              <w:tab/>
            </w:r>
            <w:r>
              <w:rPr>
                <w:rStyle w:val="IndexLink"/>
              </w:rPr>
              <w:t>550</w:t>
            </w:r>
          </w:hyperlink>
        </w:p>
        <w:p>
          <w:pPr>
            <w:pStyle w:val="Contents4"/>
            <w:tabs>
              <w:tab w:val="clear" w:pos="8176"/>
              <w:tab w:val="right" w:pos="9026" w:leader="dot"/>
            </w:tabs>
            <w:rPr/>
          </w:pPr>
          <w:hyperlink w:anchor="__RefHeading___Toc13198201_1280447820">
            <w:r>
              <w:rPr>
                <w:webHidden/>
                <w:rStyle w:val="IndexLink"/>
                <w:rtl w:val="true"/>
              </w:rPr>
              <w:t>المسألة الرابعة</w:t>
            </w:r>
            <w:r>
              <w:rPr>
                <w:rStyle w:val="IndexLink"/>
                <w:rtl w:val="true"/>
              </w:rPr>
              <w:t xml:space="preserve">: </w:t>
            </w:r>
            <w:r>
              <w:rPr>
                <w:rStyle w:val="IndexLink"/>
                <w:rtl w:val="true"/>
              </w:rPr>
              <w:t>كفن الزوجة على زوجها</w:t>
            </w:r>
            <w:r>
              <w:rPr>
                <w:rStyle w:val="IndexLink"/>
                <w:rtl w:val="true"/>
              </w:rPr>
              <w:tab/>
            </w:r>
            <w:r>
              <w:rPr>
                <w:rStyle w:val="IndexLink"/>
              </w:rPr>
              <w:t>550</w:t>
            </w:r>
          </w:hyperlink>
        </w:p>
        <w:p>
          <w:pPr>
            <w:pStyle w:val="Contents4"/>
            <w:tabs>
              <w:tab w:val="clear" w:pos="8176"/>
              <w:tab w:val="right" w:pos="9026" w:leader="dot"/>
            </w:tabs>
            <w:rPr/>
          </w:pPr>
          <w:hyperlink w:anchor="__RefHeading___Toc13198203_1280447820">
            <w:r>
              <w:rPr>
                <w:webHidden/>
                <w:rStyle w:val="IndexLink"/>
                <w:rtl w:val="true"/>
              </w:rPr>
              <w:t>المسألة الخامسة</w:t>
            </w:r>
            <w:r>
              <w:rPr>
                <w:rStyle w:val="IndexLink"/>
                <w:rtl w:val="true"/>
              </w:rPr>
              <w:t xml:space="preserve">: </w:t>
            </w:r>
            <w:r>
              <w:rPr>
                <w:rStyle w:val="IndexLink"/>
                <w:rtl w:val="true"/>
              </w:rPr>
              <w:t>حکم ما إذا مات ولد الحامل في بطنها وخشي عليها من الضر أو ماتت هی دونه وعُلم ببقائه حیّاً</w:t>
            </w:r>
            <w:r>
              <w:rPr>
                <w:rStyle w:val="IndexLink"/>
                <w:rtl w:val="true"/>
              </w:rPr>
              <w:tab/>
            </w:r>
            <w:r>
              <w:rPr>
                <w:rStyle w:val="IndexLink"/>
              </w:rPr>
              <w:t>551</w:t>
            </w:r>
          </w:hyperlink>
        </w:p>
        <w:p>
          <w:pPr>
            <w:pStyle w:val="Contents4"/>
            <w:tabs>
              <w:tab w:val="clear" w:pos="8176"/>
              <w:tab w:val="right" w:pos="9026" w:leader="dot"/>
            </w:tabs>
            <w:rPr/>
          </w:pPr>
          <w:hyperlink w:anchor="__RefHeading___Toc13198205_1280447820">
            <w:r>
              <w:rPr>
                <w:webHidden/>
                <w:rStyle w:val="IndexLink"/>
                <w:rtl w:val="true"/>
              </w:rPr>
              <w:t>المسألة السادسة</w:t>
            </w:r>
            <w:r>
              <w:rPr>
                <w:rStyle w:val="IndexLink"/>
                <w:rtl w:val="true"/>
              </w:rPr>
              <w:t xml:space="preserve">: </w:t>
            </w:r>
            <w:r>
              <w:rPr>
                <w:rStyle w:val="IndexLink"/>
                <w:rtl w:val="true"/>
              </w:rPr>
              <w:t>حکم ما إذا ابتلع الميّت مالاً خطيراً من ماله أو مغضوباً</w:t>
            </w:r>
            <w:r>
              <w:rPr>
                <w:rStyle w:val="IndexLink"/>
                <w:rtl w:val="true"/>
              </w:rPr>
              <w:tab/>
            </w:r>
            <w:r>
              <w:rPr>
                <w:rStyle w:val="IndexLink"/>
              </w:rPr>
              <w:t>552</w:t>
            </w:r>
          </w:hyperlink>
        </w:p>
        <w:p>
          <w:pPr>
            <w:pStyle w:val="Contents4"/>
            <w:tabs>
              <w:tab w:val="clear" w:pos="8176"/>
              <w:tab w:val="right" w:pos="9026" w:leader="dot"/>
            </w:tabs>
            <w:rPr/>
          </w:pPr>
          <w:hyperlink w:anchor="__RefHeading___Toc13198207_1280447820">
            <w:r>
              <w:rPr>
                <w:webHidden/>
                <w:rStyle w:val="IndexLink"/>
                <w:rtl w:val="true"/>
              </w:rPr>
              <w:t>المسألة السابعة</w:t>
            </w:r>
            <w:r>
              <w:rPr>
                <w:rStyle w:val="IndexLink"/>
                <w:rtl w:val="true"/>
              </w:rPr>
              <w:t xml:space="preserve">: </w:t>
            </w:r>
            <w:r>
              <w:rPr>
                <w:rStyle w:val="IndexLink"/>
                <w:rtl w:val="true"/>
              </w:rPr>
              <w:t>حکم ما لو أحدث الميّت حدثاً بعد غسله أو فی أثنائه</w:t>
            </w:r>
            <w:r>
              <w:rPr>
                <w:rStyle w:val="IndexLink"/>
                <w:rtl w:val="true"/>
              </w:rPr>
              <w:tab/>
            </w:r>
            <w:r>
              <w:rPr>
                <w:rStyle w:val="IndexLink"/>
              </w:rPr>
              <w:t>552</w:t>
            </w:r>
          </w:hyperlink>
        </w:p>
        <w:p>
          <w:pPr>
            <w:pStyle w:val="Contents4"/>
            <w:tabs>
              <w:tab w:val="clear" w:pos="8176"/>
              <w:tab w:val="right" w:pos="9026" w:leader="dot"/>
            </w:tabs>
            <w:rPr/>
          </w:pPr>
          <w:hyperlink w:anchor="__RefHeading___Toc13198209_1280447820">
            <w:r>
              <w:rPr>
                <w:webHidden/>
                <w:rStyle w:val="IndexLink"/>
                <w:rtl w:val="true"/>
              </w:rPr>
              <w:t>المسألة الثامنة</w:t>
            </w:r>
            <w:r>
              <w:rPr>
                <w:rStyle w:val="IndexLink"/>
                <w:rtl w:val="true"/>
              </w:rPr>
              <w:t xml:space="preserve">: </w:t>
            </w:r>
            <w:r>
              <w:rPr>
                <w:rStyle w:val="IndexLink"/>
                <w:rtl w:val="true"/>
              </w:rPr>
              <w:t>فی أنّ المُحْرِم كالمُحِلّ في الأحكام حتّى ستر الرأس</w:t>
            </w:r>
            <w:r>
              <w:rPr>
                <w:rStyle w:val="IndexLink"/>
                <w:rtl w:val="true"/>
              </w:rPr>
              <w:tab/>
            </w:r>
            <w:r>
              <w:rPr>
                <w:rStyle w:val="IndexLink"/>
              </w:rPr>
              <w:t>553</w:t>
            </w:r>
          </w:hyperlink>
        </w:p>
        <w:p>
          <w:pPr>
            <w:pStyle w:val="Contents4"/>
            <w:tabs>
              <w:tab w:val="clear" w:pos="8176"/>
              <w:tab w:val="right" w:pos="9026" w:leader="dot"/>
            </w:tabs>
            <w:rPr/>
          </w:pPr>
          <w:hyperlink w:anchor="__RefHeading___Toc13198211_1280447820">
            <w:r>
              <w:rPr>
                <w:webHidden/>
                <w:rStyle w:val="IndexLink"/>
                <w:rtl w:val="true"/>
              </w:rPr>
              <w:t>المسألة التاسعة</w:t>
            </w:r>
            <w:r>
              <w:rPr>
                <w:rStyle w:val="IndexLink"/>
                <w:rtl w:val="true"/>
              </w:rPr>
              <w:t xml:space="preserve">: </w:t>
            </w:r>
            <w:r>
              <w:rPr>
                <w:rStyle w:val="IndexLink"/>
                <w:rtl w:val="true"/>
              </w:rPr>
              <w:t>عدم جواز نبش القبر عدا ما یستثنی من ذلک</w:t>
            </w:r>
            <w:r>
              <w:rPr>
                <w:rStyle w:val="IndexLink"/>
                <w:rtl w:val="true"/>
              </w:rPr>
              <w:tab/>
            </w:r>
            <w:r>
              <w:rPr>
                <w:rStyle w:val="IndexLink"/>
              </w:rPr>
              <w:t>553</w:t>
            </w:r>
          </w:hyperlink>
        </w:p>
        <w:p>
          <w:pPr>
            <w:pStyle w:val="Contents4"/>
            <w:tabs>
              <w:tab w:val="clear" w:pos="8176"/>
              <w:tab w:val="right" w:pos="9026" w:leader="dot"/>
            </w:tabs>
            <w:rPr/>
          </w:pPr>
          <w:hyperlink w:anchor="__RefHeading___Toc13198213_1280447820">
            <w:r>
              <w:rPr>
                <w:webHidden/>
                <w:rStyle w:val="IndexLink"/>
                <w:rtl w:val="true"/>
              </w:rPr>
              <w:t>المسألة العاشرة</w:t>
            </w:r>
            <w:r>
              <w:rPr>
                <w:rStyle w:val="IndexLink"/>
                <w:rtl w:val="true"/>
              </w:rPr>
              <w:t xml:space="preserve">: </w:t>
            </w:r>
            <w:r>
              <w:rPr>
                <w:rStyle w:val="IndexLink"/>
                <w:rtl w:val="true"/>
              </w:rPr>
              <w:t>عدم جواز نقل الميّت بعد دفنه إلّا الی المشاهد المشرّفه</w:t>
            </w:r>
            <w:r>
              <w:rPr>
                <w:rStyle w:val="IndexLink"/>
                <w:rtl w:val="true"/>
              </w:rPr>
              <w:tab/>
            </w:r>
            <w:r>
              <w:rPr>
                <w:rStyle w:val="IndexLink"/>
              </w:rPr>
              <w:t>555</w:t>
            </w:r>
          </w:hyperlink>
        </w:p>
        <w:p>
          <w:pPr>
            <w:pStyle w:val="Contents4"/>
            <w:tabs>
              <w:tab w:val="clear" w:pos="8176"/>
              <w:tab w:val="right" w:pos="9026" w:leader="dot"/>
            </w:tabs>
            <w:rPr/>
          </w:pPr>
          <w:hyperlink w:anchor="__RefHeading___Toc13198215_1280447820">
            <w:r>
              <w:rPr>
                <w:webHidden/>
                <w:rStyle w:val="IndexLink"/>
                <w:rtl w:val="true"/>
              </w:rPr>
              <w:t>المسألة الحادية عشر</w:t>
            </w:r>
            <w:r>
              <w:rPr>
                <w:rStyle w:val="IndexLink"/>
                <w:rtl w:val="true"/>
              </w:rPr>
              <w:t xml:space="preserve">: </w:t>
            </w:r>
            <w:r>
              <w:rPr>
                <w:rStyle w:val="IndexLink"/>
                <w:rtl w:val="true"/>
              </w:rPr>
              <w:t>حکم نقل الموتى قبل دفنهم</w:t>
            </w:r>
            <w:r>
              <w:rPr>
                <w:rStyle w:val="IndexLink"/>
                <w:rtl w:val="true"/>
              </w:rPr>
              <w:tab/>
            </w:r>
            <w:r>
              <w:rPr>
                <w:rStyle w:val="IndexLink"/>
              </w:rPr>
              <w:t>556</w:t>
            </w:r>
          </w:hyperlink>
        </w:p>
        <w:p>
          <w:pPr>
            <w:pStyle w:val="Contents4"/>
            <w:tabs>
              <w:tab w:val="clear" w:pos="8176"/>
              <w:tab w:val="right" w:pos="9026" w:leader="dot"/>
            </w:tabs>
            <w:rPr/>
          </w:pPr>
          <w:hyperlink w:anchor="__RefHeading___Toc13198217_1280447820">
            <w:r>
              <w:rPr>
                <w:webHidden/>
                <w:rStyle w:val="IndexLink"/>
                <w:rtl w:val="true"/>
              </w:rPr>
              <w:t xml:space="preserve">المسألة الثانية عشر </w:t>
            </w:r>
            <w:r>
              <w:rPr>
                <w:rStyle w:val="IndexLink"/>
                <w:rtl w:val="true"/>
              </w:rPr>
              <w:t xml:space="preserve">: </w:t>
            </w:r>
            <w:r>
              <w:rPr>
                <w:rStyle w:val="IndexLink"/>
                <w:rtl w:val="true"/>
              </w:rPr>
              <w:t>عدم جواز دفن ميّتٍ في قبر آخَر</w:t>
            </w:r>
            <w:r>
              <w:rPr>
                <w:rStyle w:val="IndexLink"/>
                <w:rtl w:val="true"/>
              </w:rPr>
              <w:tab/>
            </w:r>
            <w:r>
              <w:rPr>
                <w:rStyle w:val="IndexLink"/>
              </w:rPr>
              <w:t>556</w:t>
            </w:r>
          </w:hyperlink>
        </w:p>
        <w:p>
          <w:pPr>
            <w:pStyle w:val="Contents4"/>
            <w:tabs>
              <w:tab w:val="clear" w:pos="8176"/>
              <w:tab w:val="right" w:pos="9026" w:leader="dot"/>
            </w:tabs>
            <w:rPr/>
          </w:pPr>
          <w:hyperlink w:anchor="__RefHeading___Toc13198219_1280447820">
            <w:r>
              <w:rPr>
                <w:webHidden/>
                <w:rStyle w:val="IndexLink"/>
                <w:rtl w:val="true"/>
              </w:rPr>
              <w:t>خاتمة في بعض المندوبات</w:t>
            </w:r>
            <w:r>
              <w:rPr>
                <w:rStyle w:val="IndexLink"/>
                <w:rtl w:val="true"/>
              </w:rPr>
              <w:tab/>
            </w:r>
            <w:r>
              <w:rPr>
                <w:rStyle w:val="IndexLink"/>
              </w:rPr>
              <w:t>557</w:t>
            </w:r>
          </w:hyperlink>
        </w:p>
        <w:p>
          <w:pPr>
            <w:pStyle w:val="Contents3"/>
            <w:tabs>
              <w:tab w:val="clear" w:pos="8459"/>
              <w:tab w:val="right" w:pos="9026" w:leader="dot"/>
            </w:tabs>
            <w:rPr/>
          </w:pPr>
          <w:hyperlink w:anchor="__RefHeading___Toc13198221_1280447820">
            <w:r>
              <w:rPr>
                <w:webHidden/>
                <w:rStyle w:val="IndexLink"/>
                <w:rtl w:val="true"/>
              </w:rPr>
              <w:t>القول في التيمم</w:t>
            </w:r>
            <w:r>
              <w:rPr>
                <w:rStyle w:val="IndexLink"/>
                <w:rtl w:val="true"/>
              </w:rPr>
              <w:tab/>
            </w:r>
            <w:r>
              <w:rPr>
                <w:rStyle w:val="IndexLink"/>
              </w:rPr>
              <w:t>561</w:t>
            </w:r>
          </w:hyperlink>
        </w:p>
        <w:p>
          <w:pPr>
            <w:pStyle w:val="Contents4"/>
            <w:tabs>
              <w:tab w:val="clear" w:pos="8176"/>
              <w:tab w:val="right" w:pos="9026" w:leader="dot"/>
            </w:tabs>
            <w:rPr/>
          </w:pPr>
          <w:hyperlink w:anchor="__RefHeading___Toc13198223_1280447820">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13198225_1280447820">
            <w:r>
              <w:rPr>
                <w:webHidden/>
                <w:rStyle w:val="IndexLink"/>
                <w:rtl w:val="true"/>
              </w:rPr>
              <w:t>مسوغات التيمّم</w:t>
            </w:r>
            <w:r>
              <w:rPr>
                <w:rStyle w:val="IndexLink"/>
                <w:rtl w:val="true"/>
              </w:rPr>
              <w:tab/>
            </w:r>
            <w:r>
              <w:rPr>
                <w:rStyle w:val="IndexLink"/>
              </w:rPr>
              <w:t>562</w:t>
            </w:r>
          </w:hyperlink>
        </w:p>
        <w:p>
          <w:pPr>
            <w:pStyle w:val="Contents4"/>
            <w:tabs>
              <w:tab w:val="clear" w:pos="8176"/>
              <w:tab w:val="right" w:pos="9026" w:leader="dot"/>
            </w:tabs>
            <w:rPr/>
          </w:pPr>
          <w:hyperlink w:anchor="__RefHeading___Toc13198227_1280447820">
            <w:r>
              <w:rPr>
                <w:webHidden/>
                <w:rStyle w:val="IndexLink"/>
                <w:rtl w:val="true"/>
              </w:rPr>
              <w:t>أحدها</w:t>
            </w:r>
            <w:r>
              <w:rPr>
                <w:rStyle w:val="IndexLink"/>
                <w:rtl w:val="true"/>
              </w:rPr>
              <w:t xml:space="preserve">: </w:t>
            </w:r>
            <w:r>
              <w:rPr>
                <w:rStyle w:val="IndexLink"/>
                <w:rtl w:val="true"/>
              </w:rPr>
              <w:t>فقدان الماء إلى آخر الوقت</w:t>
            </w:r>
            <w:r>
              <w:rPr>
                <w:rStyle w:val="IndexLink"/>
                <w:rtl w:val="true"/>
              </w:rPr>
              <w:tab/>
            </w:r>
            <w:r>
              <w:rPr>
                <w:rStyle w:val="IndexLink"/>
              </w:rPr>
              <w:t>562</w:t>
            </w:r>
          </w:hyperlink>
        </w:p>
        <w:p>
          <w:pPr>
            <w:pStyle w:val="Contents4"/>
            <w:tabs>
              <w:tab w:val="clear" w:pos="8176"/>
              <w:tab w:val="right" w:pos="9026" w:leader="dot"/>
            </w:tabs>
            <w:rPr/>
          </w:pPr>
          <w:hyperlink w:anchor="__RefHeading___Toc13198229_1280447820">
            <w:r>
              <w:rPr>
                <w:webHidden/>
                <w:rStyle w:val="IndexLink"/>
                <w:rtl w:val="true"/>
              </w:rPr>
              <w:t>ثانيها</w:t>
            </w:r>
            <w:r>
              <w:rPr>
                <w:rStyle w:val="IndexLink"/>
                <w:rtl w:val="true"/>
              </w:rPr>
              <w:t xml:space="preserve">: </w:t>
            </w:r>
            <w:r>
              <w:rPr>
                <w:rStyle w:val="IndexLink"/>
                <w:rtl w:val="true"/>
              </w:rPr>
              <w:t>وجوب طلب الماء عند فقدانه</w:t>
            </w:r>
            <w:r>
              <w:rPr>
                <w:rStyle w:val="IndexLink"/>
                <w:rtl w:val="true"/>
              </w:rPr>
              <w:tab/>
            </w:r>
            <w:r>
              <w:rPr>
                <w:rStyle w:val="IndexLink"/>
              </w:rPr>
              <w:t>564</w:t>
            </w:r>
          </w:hyperlink>
        </w:p>
        <w:p>
          <w:pPr>
            <w:pStyle w:val="Contents4"/>
            <w:tabs>
              <w:tab w:val="clear" w:pos="8176"/>
              <w:tab w:val="right" w:pos="9026" w:leader="dot"/>
            </w:tabs>
            <w:rPr/>
          </w:pPr>
          <w:hyperlink w:anchor="__RefHeading___Toc13198231_1280447820">
            <w:r>
              <w:rPr>
                <w:webHidden/>
                <w:rStyle w:val="IndexLink"/>
                <w:rtl w:val="true"/>
              </w:rPr>
              <w:t>ثالثها</w:t>
            </w:r>
            <w:r>
              <w:rPr>
                <w:rStyle w:val="IndexLink"/>
                <w:rtl w:val="true"/>
              </w:rPr>
              <w:t xml:space="preserve">: </w:t>
            </w:r>
            <w:r>
              <w:rPr>
                <w:rStyle w:val="IndexLink"/>
                <w:rtl w:val="true"/>
              </w:rPr>
              <w:t>تضیّق الوقت عن استعمال الماء</w:t>
            </w:r>
            <w:r>
              <w:rPr>
                <w:rStyle w:val="IndexLink"/>
                <w:rtl w:val="true"/>
              </w:rPr>
              <w:tab/>
            </w:r>
            <w:r>
              <w:rPr>
                <w:rStyle w:val="IndexLink"/>
              </w:rPr>
              <w:t>569</w:t>
            </w:r>
          </w:hyperlink>
        </w:p>
        <w:p>
          <w:pPr>
            <w:pStyle w:val="Contents4"/>
            <w:tabs>
              <w:tab w:val="clear" w:pos="8176"/>
              <w:tab w:val="right" w:pos="9026" w:leader="dot"/>
            </w:tabs>
            <w:rPr/>
          </w:pPr>
          <w:hyperlink w:anchor="__RefHeading___Toc13198233_1280447820">
            <w:r>
              <w:rPr>
                <w:webHidden/>
                <w:rStyle w:val="IndexLink"/>
                <w:rtl w:val="true"/>
              </w:rPr>
              <w:t>رابعها</w:t>
            </w:r>
            <w:r>
              <w:rPr>
                <w:rStyle w:val="IndexLink"/>
                <w:rtl w:val="true"/>
              </w:rPr>
              <w:t xml:space="preserve">: </w:t>
            </w:r>
            <w:r>
              <w:rPr>
                <w:rStyle w:val="IndexLink"/>
                <w:rtl w:val="true"/>
              </w:rPr>
              <w:t>عدم الوصول إلي الماء لخوف سبعٍ أو لصٍّ</w:t>
            </w:r>
            <w:r>
              <w:rPr>
                <w:rStyle w:val="IndexLink"/>
                <w:rtl w:val="true"/>
              </w:rPr>
              <w:tab/>
            </w:r>
            <w:r>
              <w:rPr>
                <w:rStyle w:val="IndexLink"/>
              </w:rPr>
              <w:t>570</w:t>
            </w:r>
          </w:hyperlink>
        </w:p>
        <w:p>
          <w:pPr>
            <w:pStyle w:val="Contents4"/>
            <w:tabs>
              <w:tab w:val="clear" w:pos="8176"/>
              <w:tab w:val="right" w:pos="9026" w:leader="dot"/>
            </w:tabs>
            <w:rPr/>
          </w:pPr>
          <w:hyperlink w:anchor="__RefHeading___Toc13198235_1280447820">
            <w:r>
              <w:rPr>
                <w:webHidden/>
                <w:rStyle w:val="IndexLink"/>
                <w:rtl w:val="true"/>
              </w:rPr>
              <w:t>خامسها</w:t>
            </w:r>
            <w:r>
              <w:rPr>
                <w:rStyle w:val="IndexLink"/>
                <w:rtl w:val="true"/>
              </w:rPr>
              <w:t xml:space="preserve">: </w:t>
            </w:r>
            <w:r>
              <w:rPr>
                <w:rStyle w:val="IndexLink"/>
                <w:rtl w:val="true"/>
              </w:rPr>
              <w:t>عدم وجود الماء المحلَّل</w:t>
            </w:r>
            <w:r>
              <w:rPr>
                <w:rStyle w:val="IndexLink"/>
                <w:rtl w:val="true"/>
              </w:rPr>
              <w:tab/>
            </w:r>
            <w:r>
              <w:rPr>
                <w:rStyle w:val="IndexLink"/>
              </w:rPr>
              <w:t>572</w:t>
            </w:r>
          </w:hyperlink>
        </w:p>
        <w:p>
          <w:pPr>
            <w:pStyle w:val="Contents4"/>
            <w:tabs>
              <w:tab w:val="clear" w:pos="8176"/>
              <w:tab w:val="right" w:pos="9026" w:leader="dot"/>
            </w:tabs>
            <w:rPr/>
          </w:pPr>
          <w:hyperlink w:anchor="__RefHeading___Toc13198237_1280447820">
            <w:r>
              <w:rPr>
                <w:webHidden/>
                <w:rStyle w:val="IndexLink"/>
                <w:rtl w:val="true"/>
              </w:rPr>
              <w:t>سادسها</w:t>
            </w:r>
            <w:r>
              <w:rPr>
                <w:rStyle w:val="IndexLink"/>
                <w:rtl w:val="true"/>
              </w:rPr>
              <w:t xml:space="preserve">: </w:t>
            </w:r>
            <w:r>
              <w:rPr>
                <w:rStyle w:val="IndexLink"/>
                <w:rtl w:val="true"/>
              </w:rPr>
              <w:t>التألّم الشديد على البدن</w:t>
            </w:r>
            <w:r>
              <w:rPr>
                <w:rStyle w:val="IndexLink"/>
                <w:rtl w:val="true"/>
              </w:rPr>
              <w:tab/>
            </w:r>
            <w:r>
              <w:rPr>
                <w:rStyle w:val="IndexLink"/>
              </w:rPr>
              <w:t>572</w:t>
            </w:r>
          </w:hyperlink>
        </w:p>
        <w:p>
          <w:pPr>
            <w:pStyle w:val="Contents4"/>
            <w:tabs>
              <w:tab w:val="clear" w:pos="8176"/>
              <w:tab w:val="right" w:pos="9026" w:leader="dot"/>
            </w:tabs>
            <w:rPr/>
          </w:pPr>
          <w:hyperlink w:anchor="__RefHeading___Toc13198239_1280447820">
            <w:r>
              <w:rPr>
                <w:webHidden/>
                <w:rStyle w:val="IndexLink"/>
                <w:rtl w:val="true"/>
              </w:rPr>
              <w:t>سابعها</w:t>
            </w:r>
            <w:r>
              <w:rPr>
                <w:rStyle w:val="IndexLink"/>
                <w:rtl w:val="true"/>
              </w:rPr>
              <w:t xml:space="preserve">: </w:t>
            </w:r>
            <w:r>
              <w:rPr>
                <w:rStyle w:val="IndexLink"/>
                <w:rtl w:val="true"/>
              </w:rPr>
              <w:t>الخوف العطش على النفس</w:t>
            </w:r>
            <w:r>
              <w:rPr>
                <w:rStyle w:val="IndexLink"/>
                <w:rtl w:val="true"/>
              </w:rPr>
              <w:tab/>
            </w:r>
            <w:r>
              <w:rPr>
                <w:rStyle w:val="IndexLink"/>
              </w:rPr>
              <w:t>573</w:t>
            </w:r>
          </w:hyperlink>
        </w:p>
        <w:p>
          <w:pPr>
            <w:pStyle w:val="Contents4"/>
            <w:tabs>
              <w:tab w:val="clear" w:pos="8176"/>
              <w:tab w:val="right" w:pos="9026" w:leader="dot"/>
            </w:tabs>
            <w:rPr/>
          </w:pPr>
          <w:hyperlink w:anchor="__RefHeading___Toc13198241_1280447820">
            <w:r>
              <w:rPr>
                <w:webHidden/>
                <w:rStyle w:val="IndexLink"/>
                <w:rtl w:val="true"/>
              </w:rPr>
              <w:t>ثامنها</w:t>
            </w:r>
            <w:r>
              <w:rPr>
                <w:rStyle w:val="IndexLink"/>
                <w:rtl w:val="true"/>
              </w:rPr>
              <w:t xml:space="preserve">: </w:t>
            </w:r>
            <w:r>
              <w:rPr>
                <w:rStyle w:val="IndexLink"/>
                <w:rtl w:val="true"/>
              </w:rPr>
              <w:t>خوف العطش على نفسه</w:t>
            </w:r>
            <w:r>
              <w:rPr>
                <w:rStyle w:val="IndexLink"/>
                <w:rtl w:val="true"/>
              </w:rPr>
              <w:tab/>
            </w:r>
            <w:r>
              <w:rPr>
                <w:rStyle w:val="IndexLink"/>
              </w:rPr>
              <w:t>573</w:t>
            </w:r>
          </w:hyperlink>
        </w:p>
        <w:p>
          <w:pPr>
            <w:pStyle w:val="Contents4"/>
            <w:tabs>
              <w:tab w:val="clear" w:pos="8176"/>
              <w:tab w:val="right" w:pos="9026" w:leader="dot"/>
            </w:tabs>
            <w:rPr/>
          </w:pPr>
          <w:hyperlink w:anchor="__RefHeading___Toc13198243_1280447820">
            <w:r>
              <w:rPr>
                <w:webHidden/>
                <w:rStyle w:val="IndexLink"/>
                <w:rtl w:val="true"/>
              </w:rPr>
              <w:t>تاسعها</w:t>
            </w:r>
            <w:r>
              <w:rPr>
                <w:rStyle w:val="IndexLink"/>
                <w:rtl w:val="true"/>
              </w:rPr>
              <w:t xml:space="preserve">: </w:t>
            </w:r>
            <w:r>
              <w:rPr>
                <w:rStyle w:val="IndexLink"/>
                <w:rtl w:val="true"/>
              </w:rPr>
              <w:t>زيادة المرض للمريض باستعمال الماء</w:t>
            </w:r>
            <w:r>
              <w:rPr>
                <w:rStyle w:val="IndexLink"/>
                <w:rtl w:val="true"/>
              </w:rPr>
              <w:tab/>
            </w:r>
            <w:r>
              <w:rPr>
                <w:rStyle w:val="IndexLink"/>
              </w:rPr>
              <w:t>574</w:t>
            </w:r>
          </w:hyperlink>
        </w:p>
        <w:p>
          <w:pPr>
            <w:pStyle w:val="Contents4"/>
            <w:tabs>
              <w:tab w:val="clear" w:pos="8176"/>
              <w:tab w:val="right" w:pos="9026" w:leader="dot"/>
            </w:tabs>
            <w:rPr/>
          </w:pPr>
          <w:hyperlink w:anchor="__RefHeading___Toc13198245_1280447820">
            <w:r>
              <w:rPr>
                <w:webHidden/>
                <w:rStyle w:val="IndexLink"/>
                <w:rtl w:val="true"/>
              </w:rPr>
              <w:t>عاشرها</w:t>
            </w:r>
            <w:r>
              <w:rPr>
                <w:rStyle w:val="IndexLink"/>
                <w:rtl w:val="true"/>
              </w:rPr>
              <w:t xml:space="preserve">: </w:t>
            </w:r>
            <w:r>
              <w:rPr>
                <w:rStyle w:val="IndexLink"/>
                <w:rtl w:val="true"/>
              </w:rPr>
              <w:t>عدم التمكّن من الطهارة الشرعيّة لتقيّةٍ</w:t>
            </w:r>
            <w:r>
              <w:rPr>
                <w:rStyle w:val="IndexLink"/>
                <w:rtl w:val="true"/>
              </w:rPr>
              <w:tab/>
            </w:r>
            <w:r>
              <w:rPr>
                <w:rStyle w:val="IndexLink"/>
              </w:rPr>
              <w:t>577</w:t>
            </w:r>
          </w:hyperlink>
        </w:p>
        <w:p>
          <w:pPr>
            <w:pStyle w:val="Contents5"/>
            <w:tabs>
              <w:tab w:val="clear" w:pos="7892"/>
              <w:tab w:val="right" w:pos="9026" w:leader="dot"/>
            </w:tabs>
            <w:rPr/>
          </w:pPr>
          <w:hyperlink w:anchor="__RefHeading___Toc13198247_1280447820">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13198249_1280447820">
            <w:r>
              <w:rPr>
                <w:webHidden/>
                <w:rStyle w:val="IndexLink"/>
                <w:rtl w:val="true"/>
              </w:rPr>
              <w:t>جواز التيمّم لمن منعه الزحام يوم الجمعة أو عرفة وقد ضاق عليه الوقت</w:t>
            </w:r>
            <w:r>
              <w:rPr>
                <w:rStyle w:val="IndexLink"/>
                <w:rtl w:val="true"/>
              </w:rPr>
              <w:tab/>
            </w:r>
            <w:r>
              <w:rPr>
                <w:rStyle w:val="IndexLink"/>
              </w:rPr>
              <w:t>577</w:t>
            </w:r>
          </w:hyperlink>
        </w:p>
        <w:p>
          <w:pPr>
            <w:pStyle w:val="Contents5"/>
            <w:tabs>
              <w:tab w:val="clear" w:pos="7892"/>
              <w:tab w:val="right" w:pos="9026" w:leader="dot"/>
            </w:tabs>
            <w:rPr/>
          </w:pPr>
          <w:hyperlink w:anchor="__RefHeading___Toc13198251_1280447820">
            <w:r>
              <w:rPr>
                <w:webHidden/>
                <w:rStyle w:val="IndexLink"/>
                <w:rtl w:val="true"/>
              </w:rPr>
              <w:t>جواز التيمّم تأدية استعمال الماء إلى الإفساد على المستطرقين والمارّين</w:t>
            </w:r>
            <w:r>
              <w:rPr>
                <w:rStyle w:val="IndexLink"/>
                <w:rtl w:val="true"/>
              </w:rPr>
              <w:tab/>
            </w:r>
            <w:r>
              <w:rPr>
                <w:rStyle w:val="IndexLink"/>
              </w:rPr>
              <w:t>577</w:t>
            </w:r>
          </w:hyperlink>
        </w:p>
        <w:p>
          <w:pPr>
            <w:pStyle w:val="Contents3"/>
            <w:tabs>
              <w:tab w:val="clear" w:pos="8459"/>
              <w:tab w:val="right" w:pos="9026" w:leader="dot"/>
            </w:tabs>
            <w:rPr/>
          </w:pPr>
          <w:hyperlink w:anchor="__RefHeading___Toc13198253_1280447820">
            <w:r>
              <w:rPr>
                <w:webHidden/>
                <w:rStyle w:val="IndexLink"/>
                <w:rtl w:val="true"/>
              </w:rPr>
              <w:t>القول فيما يتيمّم به</w:t>
            </w:r>
            <w:r>
              <w:rPr>
                <w:rStyle w:val="IndexLink"/>
                <w:rtl w:val="true"/>
              </w:rPr>
              <w:tab/>
            </w:r>
            <w:r>
              <w:rPr>
                <w:rStyle w:val="IndexLink"/>
              </w:rPr>
              <w:t>578</w:t>
            </w:r>
          </w:hyperlink>
        </w:p>
        <w:p>
          <w:pPr>
            <w:pStyle w:val="Contents4"/>
            <w:tabs>
              <w:tab w:val="clear" w:pos="8176"/>
              <w:tab w:val="right" w:pos="9026" w:leader="dot"/>
            </w:tabs>
            <w:rPr/>
          </w:pPr>
          <w:hyperlink w:anchor="__RefHeading___Toc13198255_1280447820">
            <w:r>
              <w:rPr>
                <w:webHidden/>
                <w:rStyle w:val="IndexLink"/>
                <w:rtl w:val="true"/>
              </w:rPr>
              <w:t>وفيه مباحث</w:t>
            </w:r>
            <w:r>
              <w:rPr>
                <w:rStyle w:val="IndexLink"/>
                <w:rtl w:val="true"/>
              </w:rPr>
              <w:t>:</w:t>
              <w:tab/>
            </w:r>
            <w:r>
              <w:rPr>
                <w:rStyle w:val="IndexLink"/>
              </w:rPr>
              <w:t>578</w:t>
            </w:r>
          </w:hyperlink>
        </w:p>
        <w:p>
          <w:pPr>
            <w:pStyle w:val="Contents4"/>
            <w:tabs>
              <w:tab w:val="clear" w:pos="8176"/>
              <w:tab w:val="right" w:pos="9026" w:leader="dot"/>
            </w:tabs>
            <w:rPr/>
          </w:pPr>
          <w:hyperlink w:anchor="__RefHeading___Toc13198257_1280447820">
            <w:r>
              <w:rPr>
                <w:webHidden/>
                <w:rStyle w:val="IndexLink"/>
                <w:rtl w:val="true"/>
              </w:rPr>
              <w:t>أحدها</w:t>
            </w:r>
            <w:r>
              <w:rPr>
                <w:rStyle w:val="IndexLink"/>
                <w:rtl w:val="true"/>
              </w:rPr>
              <w:t xml:space="preserve">: </w:t>
            </w:r>
            <w:r>
              <w:rPr>
                <w:rStyle w:val="IndexLink"/>
                <w:rtl w:val="true"/>
              </w:rPr>
              <w:t>وجوب التيمّم بالصعيد الطيّب</w:t>
            </w:r>
            <w:r>
              <w:rPr>
                <w:rStyle w:val="IndexLink"/>
                <w:rtl w:val="true"/>
              </w:rPr>
              <w:tab/>
            </w:r>
            <w:r>
              <w:rPr>
                <w:rStyle w:val="IndexLink"/>
              </w:rPr>
              <w:t>578</w:t>
            </w:r>
          </w:hyperlink>
        </w:p>
        <w:p>
          <w:pPr>
            <w:pStyle w:val="Contents4"/>
            <w:tabs>
              <w:tab w:val="clear" w:pos="8176"/>
              <w:tab w:val="right" w:pos="9026" w:leader="dot"/>
            </w:tabs>
            <w:rPr/>
          </w:pPr>
          <w:hyperlink w:anchor="__RefHeading___Toc13198259_1280447820">
            <w:r>
              <w:rPr>
                <w:webHidden/>
                <w:rStyle w:val="IndexLink"/>
                <w:rtl w:val="true"/>
              </w:rPr>
              <w:t>ثانيها</w:t>
            </w:r>
            <w:r>
              <w:rPr>
                <w:rStyle w:val="IndexLink"/>
                <w:rtl w:val="true"/>
              </w:rPr>
              <w:t xml:space="preserve">: </w:t>
            </w:r>
            <w:r>
              <w:rPr>
                <w:rStyle w:val="IndexLink"/>
                <w:rtl w:val="true"/>
              </w:rPr>
              <w:t>فی بیان شرایط ما یجوز التیمّم</w:t>
            </w:r>
            <w:r>
              <w:rPr>
                <w:rStyle w:val="IndexLink"/>
                <w:rtl w:val="true"/>
              </w:rPr>
              <w:tab/>
            </w:r>
            <w:r>
              <w:rPr>
                <w:rStyle w:val="IndexLink"/>
              </w:rPr>
              <w:t>580</w:t>
            </w:r>
          </w:hyperlink>
        </w:p>
        <w:p>
          <w:pPr>
            <w:pStyle w:val="Contents4"/>
            <w:tabs>
              <w:tab w:val="clear" w:pos="8176"/>
              <w:tab w:val="right" w:pos="9026" w:leader="dot"/>
            </w:tabs>
            <w:rPr/>
          </w:pPr>
          <w:hyperlink w:anchor="__RefHeading___Toc13198261_1280447820">
            <w:r>
              <w:rPr>
                <w:webHidden/>
                <w:rStyle w:val="IndexLink"/>
                <w:rtl w:val="true"/>
              </w:rPr>
              <w:t>ثالثها</w:t>
            </w:r>
            <w:r>
              <w:rPr>
                <w:rStyle w:val="IndexLink"/>
                <w:rtl w:val="true"/>
              </w:rPr>
              <w:t xml:space="preserve">: </w:t>
            </w:r>
            <w:r>
              <w:rPr>
                <w:rStyle w:val="IndexLink"/>
                <w:rtl w:val="true"/>
              </w:rPr>
              <w:t>حکم ما لو فقد التراب</w:t>
            </w:r>
            <w:r>
              <w:rPr>
                <w:rStyle w:val="IndexLink"/>
                <w:rtl w:val="true"/>
              </w:rPr>
              <w:tab/>
            </w:r>
            <w:r>
              <w:rPr>
                <w:rStyle w:val="IndexLink"/>
              </w:rPr>
              <w:t>581</w:t>
            </w:r>
          </w:hyperlink>
        </w:p>
        <w:p>
          <w:pPr>
            <w:pStyle w:val="Contents4"/>
            <w:tabs>
              <w:tab w:val="clear" w:pos="8176"/>
              <w:tab w:val="right" w:pos="9026" w:leader="dot"/>
            </w:tabs>
            <w:rPr/>
          </w:pPr>
          <w:hyperlink w:anchor="__RefHeading___Toc13198263_1280447820">
            <w:r>
              <w:rPr>
                <w:webHidden/>
                <w:rStyle w:val="IndexLink"/>
                <w:rtl w:val="true"/>
              </w:rPr>
              <w:t>رابعها</w:t>
            </w:r>
            <w:r>
              <w:rPr>
                <w:rStyle w:val="IndexLink"/>
                <w:rtl w:val="true"/>
              </w:rPr>
              <w:t xml:space="preserve">: </w:t>
            </w:r>
            <w:r>
              <w:rPr>
                <w:rStyle w:val="IndexLink"/>
                <w:rtl w:val="true"/>
              </w:rPr>
              <w:t>فی أنّ تراب الخزف والآجر والطين المشوي ليس من التراب المطلق</w:t>
            </w:r>
            <w:r>
              <w:rPr>
                <w:rStyle w:val="IndexLink"/>
                <w:rtl w:val="true"/>
              </w:rPr>
              <w:tab/>
            </w:r>
            <w:r>
              <w:rPr>
                <w:rStyle w:val="IndexLink"/>
              </w:rPr>
              <w:t>582</w:t>
            </w:r>
          </w:hyperlink>
        </w:p>
        <w:p>
          <w:pPr>
            <w:pStyle w:val="Contents4"/>
            <w:tabs>
              <w:tab w:val="clear" w:pos="8176"/>
              <w:tab w:val="right" w:pos="9026" w:leader="dot"/>
            </w:tabs>
            <w:rPr/>
          </w:pPr>
          <w:hyperlink w:anchor="__RefHeading___Toc13198265_1280447820">
            <w:r>
              <w:rPr>
                <w:webHidden/>
                <w:rStyle w:val="IndexLink"/>
                <w:rtl w:val="true"/>
              </w:rPr>
              <w:t xml:space="preserve">خامسها </w:t>
            </w:r>
            <w:r>
              <w:rPr>
                <w:rStyle w:val="IndexLink"/>
                <w:rtl w:val="true"/>
              </w:rPr>
              <w:t>:</w:t>
            </w:r>
            <w:r>
              <w:rPr>
                <w:rStyle w:val="IndexLink"/>
                <w:rtl w:val="true"/>
              </w:rPr>
              <w:t>فی أنّ تراب الجصّ والنورة ليسا من التراب المطلق</w:t>
            </w:r>
            <w:r>
              <w:rPr>
                <w:rStyle w:val="IndexLink"/>
                <w:rtl w:val="true"/>
              </w:rPr>
              <w:tab/>
            </w:r>
            <w:r>
              <w:rPr>
                <w:rStyle w:val="IndexLink"/>
              </w:rPr>
              <w:t>582</w:t>
            </w:r>
          </w:hyperlink>
        </w:p>
        <w:p>
          <w:pPr>
            <w:pStyle w:val="Contents4"/>
            <w:tabs>
              <w:tab w:val="clear" w:pos="8176"/>
              <w:tab w:val="right" w:pos="9026" w:leader="dot"/>
            </w:tabs>
            <w:rPr/>
          </w:pPr>
          <w:hyperlink w:anchor="__RefHeading___Toc13198267_1280447820">
            <w:r>
              <w:rPr>
                <w:webHidden/>
                <w:rStyle w:val="IndexLink"/>
                <w:rtl w:val="true"/>
              </w:rPr>
              <w:t>سادسها</w:t>
            </w:r>
            <w:r>
              <w:rPr>
                <w:rStyle w:val="IndexLink"/>
                <w:rtl w:val="true"/>
              </w:rPr>
              <w:t xml:space="preserve">: </w:t>
            </w:r>
            <w:r>
              <w:rPr>
                <w:rStyle w:val="IndexLink"/>
                <w:rtl w:val="true"/>
              </w:rPr>
              <w:t>عدم جواز التیمّم بما خرج عن مسمّی الأرض</w:t>
            </w:r>
            <w:r>
              <w:rPr>
                <w:rStyle w:val="IndexLink"/>
                <w:rtl w:val="true"/>
              </w:rPr>
              <w:tab/>
            </w:r>
            <w:r>
              <w:rPr>
                <w:rStyle w:val="IndexLink"/>
              </w:rPr>
              <w:t>583</w:t>
            </w:r>
          </w:hyperlink>
        </w:p>
        <w:p>
          <w:pPr>
            <w:pStyle w:val="Contents4"/>
            <w:tabs>
              <w:tab w:val="clear" w:pos="8176"/>
              <w:tab w:val="right" w:pos="9026" w:leader="dot"/>
            </w:tabs>
            <w:rPr/>
          </w:pPr>
          <w:hyperlink w:anchor="__RefHeading___Toc13198269_1280447820">
            <w:r>
              <w:rPr>
                <w:webHidden/>
                <w:rStyle w:val="IndexLink"/>
                <w:rtl w:val="true"/>
              </w:rPr>
              <w:t>سابعها</w:t>
            </w:r>
            <w:r>
              <w:rPr>
                <w:rStyle w:val="IndexLink"/>
                <w:rtl w:val="true"/>
              </w:rPr>
              <w:t xml:space="preserve">: </w:t>
            </w:r>
            <w:r>
              <w:rPr>
                <w:rStyle w:val="IndexLink"/>
                <w:rtl w:val="true"/>
              </w:rPr>
              <w:t>حکم ما لو فقد المتيمّم التراب المطلق</w:t>
            </w:r>
            <w:r>
              <w:rPr>
                <w:rStyle w:val="IndexLink"/>
                <w:rtl w:val="true"/>
              </w:rPr>
              <w:tab/>
            </w:r>
            <w:r>
              <w:rPr>
                <w:rStyle w:val="IndexLink"/>
              </w:rPr>
              <w:t>583</w:t>
            </w:r>
          </w:hyperlink>
        </w:p>
        <w:p>
          <w:pPr>
            <w:pStyle w:val="Contents4"/>
            <w:tabs>
              <w:tab w:val="clear" w:pos="8176"/>
              <w:tab w:val="right" w:pos="9026" w:leader="dot"/>
            </w:tabs>
            <w:rPr/>
          </w:pPr>
          <w:hyperlink w:anchor="__RefHeading___Toc13198271_1280447820">
            <w:r>
              <w:rPr>
                <w:webHidden/>
                <w:rStyle w:val="IndexLink"/>
                <w:rtl w:val="true"/>
              </w:rPr>
              <w:t>ثامنها</w:t>
            </w:r>
            <w:r>
              <w:rPr>
                <w:rStyle w:val="IndexLink"/>
                <w:rtl w:val="true"/>
              </w:rPr>
              <w:t xml:space="preserve">: </w:t>
            </w:r>
            <w:r>
              <w:rPr>
                <w:rStyle w:val="IndexLink"/>
                <w:rtl w:val="true"/>
              </w:rPr>
              <w:t>وجوب التیمّم بالوحل فیما لو فقد التراب</w:t>
            </w:r>
            <w:r>
              <w:rPr>
                <w:rStyle w:val="IndexLink"/>
                <w:rtl w:val="true"/>
              </w:rPr>
              <w:tab/>
            </w:r>
            <w:r>
              <w:rPr>
                <w:rStyle w:val="IndexLink"/>
              </w:rPr>
              <w:t>585</w:t>
            </w:r>
          </w:hyperlink>
        </w:p>
        <w:p>
          <w:pPr>
            <w:pStyle w:val="Contents4"/>
            <w:tabs>
              <w:tab w:val="clear" w:pos="8176"/>
              <w:tab w:val="right" w:pos="9026" w:leader="dot"/>
            </w:tabs>
            <w:rPr/>
          </w:pPr>
          <w:hyperlink w:anchor="__RefHeading___Toc13198273_1280447820">
            <w:r>
              <w:rPr>
                <w:webHidden/>
                <w:rStyle w:val="IndexLink"/>
                <w:rtl w:val="true"/>
              </w:rPr>
              <w:t xml:space="preserve">تاسعها </w:t>
            </w:r>
            <w:r>
              <w:rPr>
                <w:rStyle w:val="IndexLink"/>
                <w:rtl w:val="true"/>
              </w:rPr>
              <w:t>:</w:t>
            </w:r>
            <w:r>
              <w:rPr>
                <w:rStyle w:val="IndexLink"/>
                <w:rtl w:val="true"/>
              </w:rPr>
              <w:t>حکم ما لو لم يوجد شيء ممّا یجوز التیمّم به إلّا الثلج</w:t>
            </w:r>
            <w:r>
              <w:rPr>
                <w:rStyle w:val="IndexLink"/>
                <w:rtl w:val="true"/>
              </w:rPr>
              <w:tab/>
            </w:r>
            <w:r>
              <w:rPr>
                <w:rStyle w:val="IndexLink"/>
              </w:rPr>
              <w:t>586</w:t>
            </w:r>
          </w:hyperlink>
        </w:p>
        <w:p>
          <w:pPr>
            <w:pStyle w:val="Contents3"/>
            <w:tabs>
              <w:tab w:val="clear" w:pos="8459"/>
              <w:tab w:val="right" w:pos="9026" w:leader="dot"/>
            </w:tabs>
            <w:rPr/>
          </w:pPr>
          <w:hyperlink w:anchor="__RefHeading___Toc13198275_1280447820">
            <w:r>
              <w:rPr>
                <w:webHidden/>
                <w:rStyle w:val="IndexLink"/>
                <w:rtl w:val="true"/>
              </w:rPr>
              <w:t>القول في كيفيته</w:t>
            </w:r>
            <w:r>
              <w:rPr>
                <w:rStyle w:val="IndexLink"/>
                <w:rtl w:val="true"/>
              </w:rPr>
              <w:tab/>
            </w:r>
            <w:r>
              <w:rPr>
                <w:rStyle w:val="IndexLink"/>
              </w:rPr>
              <w:t>588</w:t>
            </w:r>
          </w:hyperlink>
        </w:p>
        <w:p>
          <w:pPr>
            <w:pStyle w:val="Contents4"/>
            <w:tabs>
              <w:tab w:val="clear" w:pos="8176"/>
              <w:tab w:val="right" w:pos="9026" w:leader="dot"/>
            </w:tabs>
            <w:rPr/>
          </w:pPr>
          <w:hyperlink w:anchor="__RefHeading___Toc13198277_1280447820">
            <w:r>
              <w:rPr>
                <w:webHidden/>
                <w:rStyle w:val="IndexLink"/>
                <w:rtl w:val="true"/>
              </w:rPr>
              <w:t>وفيه مباحث</w:t>
            </w:r>
            <w:r>
              <w:rPr>
                <w:rStyle w:val="IndexLink"/>
                <w:rtl w:val="true"/>
              </w:rPr>
              <w:t>:</w:t>
              <w:tab/>
            </w:r>
            <w:r>
              <w:rPr>
                <w:rStyle w:val="IndexLink"/>
              </w:rPr>
              <w:t>588</w:t>
            </w:r>
          </w:hyperlink>
        </w:p>
        <w:p>
          <w:pPr>
            <w:pStyle w:val="Contents4"/>
            <w:tabs>
              <w:tab w:val="clear" w:pos="8176"/>
              <w:tab w:val="right" w:pos="9026" w:leader="dot"/>
            </w:tabs>
            <w:rPr/>
          </w:pPr>
          <w:hyperlink w:anchor="__RefHeading___Toc13198279_1280447820">
            <w:r>
              <w:rPr>
                <w:webHidden/>
                <w:rStyle w:val="IndexLink"/>
                <w:rtl w:val="true"/>
              </w:rPr>
              <w:t>أحدها</w:t>
            </w:r>
            <w:r>
              <w:rPr>
                <w:rStyle w:val="IndexLink"/>
                <w:rtl w:val="true"/>
              </w:rPr>
              <w:t xml:space="preserve">: </w:t>
            </w:r>
            <w:r>
              <w:rPr>
                <w:rStyle w:val="IndexLink"/>
                <w:rtl w:val="true"/>
              </w:rPr>
              <w:t>وجوب النيّة في التيمّم</w:t>
            </w:r>
            <w:r>
              <w:rPr>
                <w:rStyle w:val="IndexLink"/>
                <w:rtl w:val="true"/>
              </w:rPr>
              <w:tab/>
            </w:r>
            <w:r>
              <w:rPr>
                <w:rStyle w:val="IndexLink"/>
              </w:rPr>
              <w:t>588</w:t>
            </w:r>
          </w:hyperlink>
        </w:p>
        <w:p>
          <w:pPr>
            <w:pStyle w:val="Contents4"/>
            <w:tabs>
              <w:tab w:val="clear" w:pos="8176"/>
              <w:tab w:val="right" w:pos="9026" w:leader="dot"/>
            </w:tabs>
            <w:rPr/>
          </w:pPr>
          <w:hyperlink w:anchor="__RefHeading___Toc13198281_1280447820">
            <w:r>
              <w:rPr>
                <w:webHidden/>
                <w:rStyle w:val="IndexLink"/>
                <w:rtl w:val="true"/>
              </w:rPr>
              <w:t>ثانيها</w:t>
            </w:r>
            <w:r>
              <w:rPr>
                <w:rStyle w:val="IndexLink"/>
                <w:rtl w:val="true"/>
              </w:rPr>
              <w:t xml:space="preserve">: </w:t>
            </w:r>
            <w:r>
              <w:rPr>
                <w:rStyle w:val="IndexLink"/>
                <w:rtl w:val="true"/>
              </w:rPr>
              <w:t>وجوب المباشرة في التيمّم</w:t>
            </w:r>
            <w:r>
              <w:rPr>
                <w:rStyle w:val="IndexLink"/>
                <w:rtl w:val="true"/>
              </w:rPr>
              <w:tab/>
            </w:r>
            <w:r>
              <w:rPr>
                <w:rStyle w:val="IndexLink"/>
              </w:rPr>
              <w:t>589</w:t>
            </w:r>
          </w:hyperlink>
        </w:p>
        <w:p>
          <w:pPr>
            <w:pStyle w:val="Contents4"/>
            <w:tabs>
              <w:tab w:val="clear" w:pos="8176"/>
              <w:tab w:val="right" w:pos="9026" w:leader="dot"/>
            </w:tabs>
            <w:rPr/>
          </w:pPr>
          <w:hyperlink w:anchor="__RefHeading___Toc13198283_1280447820">
            <w:r>
              <w:rPr>
                <w:webHidden/>
                <w:rStyle w:val="IndexLink"/>
                <w:rtl w:val="true"/>
              </w:rPr>
              <w:t>ثالثها</w:t>
            </w:r>
            <w:r>
              <w:rPr>
                <w:rStyle w:val="IndexLink"/>
                <w:rtl w:val="true"/>
              </w:rPr>
              <w:t xml:space="preserve">: </w:t>
            </w:r>
            <w:r>
              <w:rPr>
                <w:rStyle w:val="IndexLink"/>
                <w:rtl w:val="true"/>
              </w:rPr>
              <w:t>وجوب الموالاة في التيمّم</w:t>
            </w:r>
            <w:r>
              <w:rPr>
                <w:rStyle w:val="IndexLink"/>
                <w:rtl w:val="true"/>
              </w:rPr>
              <w:tab/>
            </w:r>
            <w:r>
              <w:rPr>
                <w:rStyle w:val="IndexLink"/>
              </w:rPr>
              <w:t>590</w:t>
            </w:r>
          </w:hyperlink>
        </w:p>
        <w:p>
          <w:pPr>
            <w:pStyle w:val="Contents4"/>
            <w:tabs>
              <w:tab w:val="clear" w:pos="8176"/>
              <w:tab w:val="right" w:pos="9026" w:leader="dot"/>
            </w:tabs>
            <w:rPr/>
          </w:pPr>
          <w:hyperlink w:anchor="__RefHeading___Toc13198285_1280447820">
            <w:r>
              <w:rPr>
                <w:webHidden/>
                <w:rStyle w:val="IndexLink"/>
                <w:rtl w:val="true"/>
              </w:rPr>
              <w:t>رابعها</w:t>
            </w:r>
            <w:r>
              <w:rPr>
                <w:rStyle w:val="IndexLink"/>
                <w:rtl w:val="true"/>
              </w:rPr>
              <w:t xml:space="preserve">: </w:t>
            </w:r>
            <w:r>
              <w:rPr>
                <w:rStyle w:val="IndexLink"/>
                <w:rtl w:val="true"/>
              </w:rPr>
              <w:t>وجوب الترتيب بين الأعضاء</w:t>
            </w:r>
            <w:r>
              <w:rPr>
                <w:rStyle w:val="IndexLink"/>
                <w:rtl w:val="true"/>
              </w:rPr>
              <w:tab/>
            </w:r>
            <w:r>
              <w:rPr>
                <w:rStyle w:val="IndexLink"/>
              </w:rPr>
              <w:t>590</w:t>
            </w:r>
          </w:hyperlink>
        </w:p>
        <w:p>
          <w:pPr>
            <w:pStyle w:val="Contents4"/>
            <w:tabs>
              <w:tab w:val="clear" w:pos="8176"/>
              <w:tab w:val="right" w:pos="9026" w:leader="dot"/>
            </w:tabs>
            <w:rPr/>
          </w:pPr>
          <w:hyperlink w:anchor="__RefHeading___Toc13198287_1280447820">
            <w:r>
              <w:rPr>
                <w:webHidden/>
                <w:rStyle w:val="IndexLink"/>
                <w:rtl w:val="true"/>
              </w:rPr>
              <w:t>خامسها</w:t>
            </w:r>
            <w:r>
              <w:rPr>
                <w:rStyle w:val="IndexLink"/>
                <w:rtl w:val="true"/>
              </w:rPr>
              <w:t xml:space="preserve">: </w:t>
            </w:r>
            <w:r>
              <w:rPr>
                <w:rStyle w:val="IndexLink"/>
                <w:rtl w:val="true"/>
              </w:rPr>
              <w:t>وجوب الابتداء بالأعلى بالنسبة إلى الأجزاء</w:t>
            </w:r>
            <w:r>
              <w:rPr>
                <w:rStyle w:val="IndexLink"/>
                <w:rtl w:val="true"/>
              </w:rPr>
              <w:tab/>
            </w:r>
            <w:r>
              <w:rPr>
                <w:rStyle w:val="IndexLink"/>
              </w:rPr>
              <w:t>590</w:t>
            </w:r>
          </w:hyperlink>
        </w:p>
        <w:p>
          <w:pPr>
            <w:pStyle w:val="Contents4"/>
            <w:tabs>
              <w:tab w:val="clear" w:pos="8176"/>
              <w:tab w:val="right" w:pos="9026" w:leader="dot"/>
            </w:tabs>
            <w:rPr/>
          </w:pPr>
          <w:hyperlink w:anchor="__RefHeading___Toc13198289_1280447820">
            <w:r>
              <w:rPr>
                <w:webHidden/>
                <w:rStyle w:val="IndexLink"/>
                <w:rtl w:val="true"/>
              </w:rPr>
              <w:t>سادسها</w:t>
            </w:r>
            <w:r>
              <w:rPr>
                <w:rStyle w:val="IndexLink"/>
                <w:rtl w:val="true"/>
              </w:rPr>
              <w:t xml:space="preserve">: </w:t>
            </w:r>
            <w:r>
              <w:rPr>
                <w:rStyle w:val="IndexLink"/>
                <w:rtl w:val="true"/>
              </w:rPr>
              <w:t>اشتراط طهارة الأعضاء الماسحة والممسوحة</w:t>
            </w:r>
            <w:r>
              <w:rPr>
                <w:rStyle w:val="IndexLink"/>
                <w:rtl w:val="true"/>
              </w:rPr>
              <w:tab/>
            </w:r>
            <w:r>
              <w:rPr>
                <w:rStyle w:val="IndexLink"/>
              </w:rPr>
              <w:t>591</w:t>
            </w:r>
          </w:hyperlink>
        </w:p>
        <w:p>
          <w:pPr>
            <w:pStyle w:val="Contents4"/>
            <w:tabs>
              <w:tab w:val="clear" w:pos="8176"/>
              <w:tab w:val="right" w:pos="9026" w:leader="dot"/>
            </w:tabs>
            <w:rPr/>
          </w:pPr>
          <w:hyperlink w:anchor="__RefHeading___Toc13198291_1280447820">
            <w:r>
              <w:rPr>
                <w:webHidden/>
                <w:rStyle w:val="IndexLink"/>
                <w:rtl w:val="true"/>
              </w:rPr>
              <w:t>سابعها</w:t>
            </w:r>
            <w:r>
              <w:rPr>
                <w:rStyle w:val="IndexLink"/>
                <w:rtl w:val="true"/>
              </w:rPr>
              <w:t xml:space="preserve">: </w:t>
            </w:r>
            <w:r>
              <w:rPr>
                <w:rStyle w:val="IndexLink"/>
                <w:rtl w:val="true"/>
              </w:rPr>
              <w:t>وجوب ضرب اليدين على الأرض باعتمادٍ</w:t>
            </w:r>
            <w:r>
              <w:rPr>
                <w:rStyle w:val="IndexLink"/>
                <w:rtl w:val="true"/>
              </w:rPr>
              <w:tab/>
            </w:r>
            <w:r>
              <w:rPr>
                <w:rStyle w:val="IndexLink"/>
              </w:rPr>
              <w:t>591</w:t>
            </w:r>
          </w:hyperlink>
        </w:p>
        <w:p>
          <w:pPr>
            <w:pStyle w:val="Contents4"/>
            <w:tabs>
              <w:tab w:val="clear" w:pos="8176"/>
              <w:tab w:val="right" w:pos="9026" w:leader="dot"/>
            </w:tabs>
            <w:rPr/>
          </w:pPr>
          <w:hyperlink w:anchor="__RefHeading___Toc13198293_1280447820">
            <w:r>
              <w:rPr>
                <w:webHidden/>
                <w:rStyle w:val="IndexLink"/>
                <w:rtl w:val="true"/>
              </w:rPr>
              <w:t>ثامنها</w:t>
            </w:r>
            <w:r>
              <w:rPr>
                <w:rStyle w:val="IndexLink"/>
                <w:rtl w:val="true"/>
              </w:rPr>
              <w:t xml:space="preserve">: </w:t>
            </w:r>
            <w:r>
              <w:rPr>
                <w:rStyle w:val="IndexLink"/>
                <w:rtl w:val="true"/>
              </w:rPr>
              <w:t>کیفییّۀ التیمّم بدل الوضوء أو الغسل</w:t>
            </w:r>
            <w:r>
              <w:rPr>
                <w:rStyle w:val="IndexLink"/>
                <w:rtl w:val="true"/>
              </w:rPr>
              <w:tab/>
            </w:r>
            <w:r>
              <w:rPr>
                <w:rStyle w:val="IndexLink"/>
              </w:rPr>
              <w:t>594</w:t>
            </w:r>
          </w:hyperlink>
        </w:p>
        <w:p>
          <w:pPr>
            <w:pStyle w:val="Contents4"/>
            <w:tabs>
              <w:tab w:val="clear" w:pos="8176"/>
              <w:tab w:val="right" w:pos="9026" w:leader="dot"/>
            </w:tabs>
            <w:rPr/>
          </w:pPr>
          <w:hyperlink w:anchor="__RefHeading___Toc13198295_1280447820">
            <w:r>
              <w:rPr>
                <w:webHidden/>
                <w:rStyle w:val="IndexLink"/>
                <w:rtl w:val="true"/>
              </w:rPr>
              <w:t xml:space="preserve">تاسعها </w:t>
            </w:r>
            <w:r>
              <w:rPr>
                <w:rStyle w:val="IndexLink"/>
                <w:rtl w:val="true"/>
              </w:rPr>
              <w:t xml:space="preserve">: </w:t>
            </w:r>
            <w:r>
              <w:rPr>
                <w:rStyle w:val="IndexLink"/>
                <w:rtl w:val="true"/>
              </w:rPr>
              <w:t>هل تجب مسح الجبهة بباطل الکفّین الزیادۀ علیها؟</w:t>
            </w:r>
            <w:r>
              <w:rPr>
                <w:rStyle w:val="IndexLink"/>
                <w:rtl w:val="true"/>
              </w:rPr>
              <w:tab/>
            </w:r>
            <w:r>
              <w:rPr>
                <w:rStyle w:val="IndexLink"/>
              </w:rPr>
              <w:t>597</w:t>
            </w:r>
          </w:hyperlink>
        </w:p>
        <w:p>
          <w:pPr>
            <w:pStyle w:val="Contents4"/>
            <w:tabs>
              <w:tab w:val="clear" w:pos="8176"/>
              <w:tab w:val="right" w:pos="9026" w:leader="dot"/>
            </w:tabs>
            <w:rPr/>
          </w:pPr>
          <w:hyperlink w:anchor="__RefHeading___Toc13198297_1280447820">
            <w:r>
              <w:rPr>
                <w:webHidden/>
                <w:rStyle w:val="IndexLink"/>
                <w:rtl w:val="true"/>
              </w:rPr>
              <w:t>عاشرها</w:t>
            </w:r>
            <w:r>
              <w:rPr>
                <w:rStyle w:val="IndexLink"/>
                <w:rtl w:val="true"/>
              </w:rPr>
              <w:t xml:space="preserve">: </w:t>
            </w:r>
            <w:r>
              <w:rPr>
                <w:rStyle w:val="IndexLink"/>
                <w:rtl w:val="true"/>
              </w:rPr>
              <w:t>وجوب مسح ظاهر الكفّين إلى رؤوس الأصابع</w:t>
            </w:r>
            <w:r>
              <w:rPr>
                <w:rStyle w:val="IndexLink"/>
                <w:rtl w:val="true"/>
              </w:rPr>
              <w:tab/>
            </w:r>
            <w:r>
              <w:rPr>
                <w:rStyle w:val="IndexLink"/>
              </w:rPr>
              <w:t>599</w:t>
            </w:r>
          </w:hyperlink>
        </w:p>
        <w:p>
          <w:pPr>
            <w:pStyle w:val="Contents3"/>
            <w:tabs>
              <w:tab w:val="clear" w:pos="8459"/>
              <w:tab w:val="right" w:pos="9026" w:leader="dot"/>
            </w:tabs>
            <w:rPr/>
          </w:pPr>
          <w:hyperlink w:anchor="__RefHeading___Toc13198299_1280447820">
            <w:r>
              <w:rPr>
                <w:webHidden/>
                <w:rStyle w:val="IndexLink"/>
                <w:rtl w:val="true"/>
              </w:rPr>
              <w:t>أحكام التيمم</w:t>
            </w:r>
            <w:r>
              <w:rPr>
                <w:rStyle w:val="IndexLink"/>
                <w:rtl w:val="true"/>
              </w:rPr>
              <w:tab/>
            </w:r>
            <w:r>
              <w:rPr>
                <w:rStyle w:val="IndexLink"/>
              </w:rPr>
              <w:t>601</w:t>
            </w:r>
          </w:hyperlink>
        </w:p>
        <w:p>
          <w:pPr>
            <w:pStyle w:val="Contents4"/>
            <w:tabs>
              <w:tab w:val="clear" w:pos="8176"/>
              <w:tab w:val="right" w:pos="9026" w:leader="dot"/>
            </w:tabs>
            <w:rPr/>
          </w:pPr>
          <w:hyperlink w:anchor="__RefHeading___Toc13198301_1280447820">
            <w:r>
              <w:rPr>
                <w:webHidden/>
                <w:rStyle w:val="IndexLink"/>
                <w:rtl w:val="true"/>
              </w:rPr>
              <w:t>وهاهنا مسائل</w:t>
            </w:r>
            <w:r>
              <w:rPr>
                <w:rStyle w:val="IndexLink"/>
                <w:rtl w:val="true"/>
              </w:rPr>
              <w:tab/>
            </w:r>
            <w:r>
              <w:rPr>
                <w:rStyle w:val="IndexLink"/>
              </w:rPr>
              <w:t>601</w:t>
            </w:r>
          </w:hyperlink>
        </w:p>
        <w:p>
          <w:pPr>
            <w:pStyle w:val="Contents4"/>
            <w:tabs>
              <w:tab w:val="clear" w:pos="8176"/>
              <w:tab w:val="right" w:pos="9026" w:leader="dot"/>
            </w:tabs>
            <w:rPr/>
          </w:pPr>
          <w:hyperlink w:anchor="__RefHeading___Toc13198303_1280447820">
            <w:r>
              <w:rPr>
                <w:webHidden/>
                <w:rStyle w:val="IndexLink"/>
                <w:rtl w:val="true"/>
              </w:rPr>
              <w:t>إحداها</w:t>
            </w:r>
            <w:r>
              <w:rPr>
                <w:rStyle w:val="IndexLink"/>
                <w:rtl w:val="true"/>
              </w:rPr>
              <w:t xml:space="preserve">: </w:t>
            </w:r>
            <w:r>
              <w:rPr>
                <w:rStyle w:val="IndexLink"/>
                <w:rtl w:val="true"/>
              </w:rPr>
              <w:t>يجري في التراب ما يجري في الماء من وجوب السعي إليه و وجوب شرائه ووجوب طلبه إلى وقت الضيق</w:t>
            </w:r>
            <w:r>
              <w:rPr>
                <w:rStyle w:val="IndexLink"/>
                <w:rtl w:val="true"/>
              </w:rPr>
              <w:tab/>
            </w:r>
            <w:r>
              <w:rPr>
                <w:rStyle w:val="IndexLink"/>
              </w:rPr>
              <w:t>601</w:t>
            </w:r>
          </w:hyperlink>
        </w:p>
        <w:p>
          <w:pPr>
            <w:pStyle w:val="Contents4"/>
            <w:tabs>
              <w:tab w:val="clear" w:pos="8176"/>
              <w:tab w:val="right" w:pos="9026" w:leader="dot"/>
            </w:tabs>
            <w:rPr/>
          </w:pPr>
          <w:hyperlink w:anchor="__RefHeading___Toc13198305_1280447820">
            <w:r>
              <w:rPr>
                <w:webHidden/>
                <w:rStyle w:val="IndexLink"/>
                <w:rtl w:val="true"/>
              </w:rPr>
              <w:t>ثانيتها</w:t>
            </w:r>
            <w:r>
              <w:rPr>
                <w:rStyle w:val="IndexLink"/>
                <w:rtl w:val="true"/>
              </w:rPr>
              <w:t xml:space="preserve">: </w:t>
            </w:r>
            <w:r>
              <w:rPr>
                <w:rStyle w:val="IndexLink"/>
                <w:rtl w:val="true"/>
              </w:rPr>
              <w:t>فی انّ التراب کالماء سبب لاستباحۀ الصلوات المفروضۀ وغیرها</w:t>
            </w:r>
            <w:r>
              <w:rPr>
                <w:rStyle w:val="IndexLink"/>
                <w:rtl w:val="true"/>
              </w:rPr>
              <w:tab/>
            </w:r>
            <w:r>
              <w:rPr>
                <w:rStyle w:val="IndexLink"/>
              </w:rPr>
              <w:t>601</w:t>
            </w:r>
          </w:hyperlink>
        </w:p>
        <w:p>
          <w:pPr>
            <w:pStyle w:val="Contents4"/>
            <w:tabs>
              <w:tab w:val="clear" w:pos="8176"/>
              <w:tab w:val="right" w:pos="9026" w:leader="dot"/>
            </w:tabs>
            <w:rPr/>
          </w:pPr>
          <w:hyperlink w:anchor="__RefHeading___Toc13198307_1280447820">
            <w:r>
              <w:rPr>
                <w:webHidden/>
                <w:rStyle w:val="IndexLink"/>
                <w:rtl w:val="true"/>
              </w:rPr>
              <w:t>ثالثتها</w:t>
            </w:r>
            <w:r>
              <w:rPr>
                <w:rStyle w:val="IndexLink"/>
                <w:rtl w:val="true"/>
              </w:rPr>
              <w:t xml:space="preserve">: </w:t>
            </w:r>
            <w:r>
              <w:rPr>
                <w:rStyle w:val="IndexLink"/>
                <w:rtl w:val="true"/>
              </w:rPr>
              <w:t>فی أنّ مَنْ تيمّم تيمّماً مشروعاً جاز له الدخول به في كلّ مشروطٍ بالطهارة ما لم ينتقض تيمّمه بأحد النواقض</w:t>
            </w:r>
            <w:r>
              <w:rPr>
                <w:rStyle w:val="IndexLink"/>
                <w:rtl w:val="true"/>
              </w:rPr>
              <w:tab/>
            </w:r>
            <w:r>
              <w:rPr>
                <w:rStyle w:val="IndexLink"/>
              </w:rPr>
              <w:t>602</w:t>
            </w:r>
          </w:hyperlink>
        </w:p>
        <w:p>
          <w:pPr>
            <w:pStyle w:val="Contents4"/>
            <w:tabs>
              <w:tab w:val="clear" w:pos="8176"/>
              <w:tab w:val="right" w:pos="9026" w:leader="dot"/>
            </w:tabs>
            <w:rPr/>
          </w:pPr>
          <w:hyperlink w:anchor="__RefHeading___Toc13198309_1280447820">
            <w:r>
              <w:rPr>
                <w:webHidden/>
                <w:rStyle w:val="IndexLink"/>
                <w:rtl w:val="true"/>
              </w:rPr>
              <w:t>رابعتها</w:t>
            </w:r>
            <w:r>
              <w:rPr>
                <w:rStyle w:val="IndexLink"/>
                <w:rtl w:val="true"/>
              </w:rPr>
              <w:t xml:space="preserve">: </w:t>
            </w:r>
            <w:r>
              <w:rPr>
                <w:rStyle w:val="IndexLink"/>
                <w:rtl w:val="true"/>
              </w:rPr>
              <w:t>جواز اللبث في المساجد للمجنب المتيمّم</w:t>
            </w:r>
            <w:r>
              <w:rPr>
                <w:rStyle w:val="IndexLink"/>
                <w:rtl w:val="true"/>
              </w:rPr>
              <w:tab/>
            </w:r>
            <w:r>
              <w:rPr>
                <w:rStyle w:val="IndexLink"/>
              </w:rPr>
              <w:t>603</w:t>
            </w:r>
          </w:hyperlink>
        </w:p>
        <w:p>
          <w:pPr>
            <w:pStyle w:val="Contents4"/>
            <w:tabs>
              <w:tab w:val="clear" w:pos="8176"/>
              <w:tab w:val="right" w:pos="9026" w:leader="dot"/>
            </w:tabs>
            <w:rPr/>
          </w:pPr>
          <w:hyperlink w:anchor="__RefHeading___Toc13198311_1280447820">
            <w:r>
              <w:rPr>
                <w:webHidden/>
                <w:rStyle w:val="IndexLink"/>
                <w:rtl w:val="true"/>
              </w:rPr>
              <w:t>خامستها</w:t>
            </w:r>
            <w:r>
              <w:rPr>
                <w:rStyle w:val="IndexLink"/>
                <w:rtl w:val="true"/>
              </w:rPr>
              <w:t xml:space="preserve">: </w:t>
            </w:r>
            <w:r>
              <w:rPr>
                <w:rStyle w:val="IndexLink"/>
                <w:rtl w:val="true"/>
              </w:rPr>
              <w:t>عدم جواز التيمّم لفريضةٍ قبل وقتها</w:t>
            </w:r>
            <w:r>
              <w:rPr>
                <w:rStyle w:val="IndexLink"/>
                <w:rtl w:val="true"/>
              </w:rPr>
              <w:tab/>
            </w:r>
            <w:r>
              <w:rPr>
                <w:rStyle w:val="IndexLink"/>
              </w:rPr>
              <w:t>603</w:t>
            </w:r>
          </w:hyperlink>
        </w:p>
        <w:p>
          <w:pPr>
            <w:pStyle w:val="Contents4"/>
            <w:tabs>
              <w:tab w:val="clear" w:pos="8176"/>
              <w:tab w:val="right" w:pos="9026" w:leader="dot"/>
            </w:tabs>
            <w:rPr/>
          </w:pPr>
          <w:hyperlink w:anchor="__RefHeading___Toc13198313_1280447820">
            <w:r>
              <w:rPr>
                <w:webHidden/>
                <w:rStyle w:val="IndexLink"/>
                <w:rtl w:val="true"/>
              </w:rPr>
              <w:t>سادستها</w:t>
            </w:r>
            <w:r>
              <w:rPr>
                <w:rStyle w:val="IndexLink"/>
                <w:rtl w:val="true"/>
              </w:rPr>
              <w:t xml:space="preserve">: </w:t>
            </w:r>
            <w:r>
              <w:rPr>
                <w:rStyle w:val="IndexLink"/>
                <w:rtl w:val="true"/>
              </w:rPr>
              <w:t>نتقاض التيمّم الحدث الأكبر والأصغر ووجود الماء</w:t>
            </w:r>
            <w:r>
              <w:rPr>
                <w:rStyle w:val="IndexLink"/>
                <w:rtl w:val="true"/>
              </w:rPr>
              <w:tab/>
            </w:r>
            <w:r>
              <w:rPr>
                <w:rStyle w:val="IndexLink"/>
              </w:rPr>
              <w:t>608</w:t>
            </w:r>
          </w:hyperlink>
        </w:p>
        <w:p>
          <w:pPr>
            <w:pStyle w:val="Contents4"/>
            <w:tabs>
              <w:tab w:val="clear" w:pos="8176"/>
              <w:tab w:val="right" w:pos="9026" w:leader="dot"/>
            </w:tabs>
            <w:rPr/>
          </w:pPr>
          <w:hyperlink w:anchor="__RefHeading___Toc13198315_1280447820">
            <w:r>
              <w:rPr>
                <w:webHidden/>
                <w:rStyle w:val="IndexLink"/>
                <w:rtl w:val="true"/>
              </w:rPr>
              <w:t>سابعتها</w:t>
            </w:r>
            <w:r>
              <w:rPr>
                <w:rStyle w:val="IndexLink"/>
                <w:rtl w:val="true"/>
              </w:rPr>
              <w:t xml:space="preserve">: </w:t>
            </w:r>
            <w:r>
              <w:rPr>
                <w:rStyle w:val="IndexLink"/>
                <w:rtl w:val="true"/>
              </w:rPr>
              <w:t>جواز تيمّم واحد عن أغسال متعدّدة وعدم جواز تداخل التیمّم عن وضوءات متعدّدۀ</w:t>
            </w:r>
            <w:r>
              <w:rPr>
                <w:rStyle w:val="IndexLink"/>
                <w:rtl w:val="true"/>
              </w:rPr>
              <w:tab/>
            </w:r>
            <w:r>
              <w:rPr>
                <w:rStyle w:val="IndexLink"/>
              </w:rPr>
              <w:t>610</w:t>
            </w:r>
          </w:hyperlink>
        </w:p>
        <w:p>
          <w:pPr>
            <w:pStyle w:val="Contents4"/>
            <w:tabs>
              <w:tab w:val="clear" w:pos="8176"/>
              <w:tab w:val="right" w:pos="9026" w:leader="dot"/>
            </w:tabs>
            <w:rPr/>
          </w:pPr>
          <w:hyperlink w:anchor="__RefHeading___Toc13198317_1280447820">
            <w:r>
              <w:rPr>
                <w:webHidden/>
                <w:rStyle w:val="IndexLink"/>
                <w:rtl w:val="true"/>
              </w:rPr>
              <w:t>ثامنتها</w:t>
            </w:r>
            <w:r>
              <w:rPr>
                <w:rStyle w:val="IndexLink"/>
                <w:rtl w:val="true"/>
              </w:rPr>
              <w:t xml:space="preserve">: </w:t>
            </w:r>
            <w:r>
              <w:rPr>
                <w:rStyle w:val="IndexLink"/>
                <w:rtl w:val="true"/>
              </w:rPr>
              <w:t>عدم انتقاض التيمّم الصوري بالحدث الأصغر</w:t>
            </w:r>
            <w:r>
              <w:rPr>
                <w:rStyle w:val="IndexLink"/>
                <w:rtl w:val="true"/>
              </w:rPr>
              <w:tab/>
            </w:r>
            <w:r>
              <w:rPr>
                <w:rStyle w:val="IndexLink"/>
              </w:rPr>
              <w:t>610</w:t>
            </w:r>
          </w:hyperlink>
        </w:p>
        <w:p>
          <w:pPr>
            <w:pStyle w:val="Contents4"/>
            <w:tabs>
              <w:tab w:val="clear" w:pos="8176"/>
              <w:tab w:val="right" w:pos="9026" w:leader="dot"/>
            </w:tabs>
            <w:rPr/>
          </w:pPr>
          <w:hyperlink w:anchor="__RefHeading___Toc13198319_1280447820">
            <w:r>
              <w:rPr>
                <w:webHidden/>
                <w:rStyle w:val="IndexLink"/>
                <w:rtl w:val="true"/>
              </w:rPr>
              <w:t>تاسعتها</w:t>
            </w:r>
            <w:r>
              <w:rPr>
                <w:rStyle w:val="IndexLink"/>
                <w:rtl w:val="true"/>
              </w:rPr>
              <w:t xml:space="preserve">: </w:t>
            </w:r>
            <w:r>
              <w:rPr>
                <w:rStyle w:val="IndexLink"/>
                <w:rtl w:val="true"/>
              </w:rPr>
              <w:t>استحباب التيمّم للنوم ولصلوۀ الجنازۀ</w:t>
            </w:r>
            <w:r>
              <w:rPr>
                <w:rStyle w:val="IndexLink"/>
                <w:rtl w:val="true"/>
              </w:rPr>
              <w:tab/>
            </w:r>
            <w:r>
              <w:rPr>
                <w:rStyle w:val="IndexLink"/>
              </w:rPr>
              <w:t>611</w:t>
            </w:r>
          </w:hyperlink>
        </w:p>
        <w:p>
          <w:pPr>
            <w:pStyle w:val="Contents4"/>
            <w:tabs>
              <w:tab w:val="clear" w:pos="8176"/>
              <w:tab w:val="right" w:pos="9026" w:leader="dot"/>
            </w:tabs>
            <w:rPr/>
          </w:pPr>
          <w:hyperlink w:anchor="__RefHeading___Toc13198321_1280447820">
            <w:r>
              <w:rPr>
                <w:webHidden/>
                <w:rStyle w:val="IndexLink"/>
                <w:rtl w:val="true"/>
              </w:rPr>
              <w:t>عاشرتها</w:t>
            </w:r>
            <w:r>
              <w:rPr>
                <w:rStyle w:val="IndexLink"/>
                <w:rtl w:val="true"/>
              </w:rPr>
              <w:t xml:space="preserve">: </w:t>
            </w:r>
            <w:r>
              <w:rPr>
                <w:rStyle w:val="IndexLink"/>
                <w:rtl w:val="true"/>
              </w:rPr>
              <w:t>حکم ما إذا اجتمع ميّت ومحدث وجنب وكان عندهم ماء لا يكفي إلّا أحدهم</w:t>
            </w:r>
            <w:r>
              <w:rPr>
                <w:rStyle w:val="IndexLink"/>
                <w:rtl w:val="true"/>
              </w:rPr>
              <w:tab/>
            </w:r>
            <w:r>
              <w:rPr>
                <w:rStyle w:val="IndexLink"/>
              </w:rPr>
              <w:t>611</w:t>
            </w:r>
          </w:hyperlink>
        </w:p>
        <w:p>
          <w:pPr>
            <w:pStyle w:val="Contents4"/>
            <w:tabs>
              <w:tab w:val="clear" w:pos="8176"/>
              <w:tab w:val="right" w:pos="9026" w:leader="dot"/>
            </w:tabs>
            <w:rPr/>
          </w:pPr>
          <w:hyperlink w:anchor="__RefHeading___Toc13198323_1280447820">
            <w:r>
              <w:rPr>
                <w:webHidden/>
                <w:rStyle w:val="IndexLink"/>
                <w:rtl w:val="true"/>
              </w:rPr>
              <w:t>حادي عشرها</w:t>
            </w:r>
            <w:r>
              <w:rPr>
                <w:rStyle w:val="IndexLink"/>
                <w:rtl w:val="true"/>
              </w:rPr>
              <w:t xml:space="preserve">: </w:t>
            </w:r>
            <w:r>
              <w:rPr>
                <w:rStyle w:val="IndexLink"/>
                <w:rtl w:val="true"/>
              </w:rPr>
              <w:t>فی أنّ مَنْ تيمّم تيمّماً صحيحاً موافقاً للأدلّة الشرعيّة وصلّى مضى تيمّمه و صحّت صلاته</w:t>
            </w:r>
            <w:r>
              <w:rPr>
                <w:rStyle w:val="IndexLink"/>
                <w:rtl w:val="true"/>
              </w:rPr>
              <w:tab/>
            </w:r>
            <w:r>
              <w:rPr>
                <w:rStyle w:val="IndexLink"/>
              </w:rPr>
              <w:t>613</w:t>
            </w:r>
          </w:hyperlink>
        </w:p>
        <w:p>
          <w:pPr>
            <w:pStyle w:val="Contents4"/>
            <w:tabs>
              <w:tab w:val="clear" w:pos="8176"/>
              <w:tab w:val="right" w:pos="9026" w:leader="dot"/>
            </w:tabs>
            <w:rPr/>
          </w:pPr>
          <w:hyperlink w:anchor="__RefHeading___Toc13198325_1280447820">
            <w:r>
              <w:rPr>
                <w:webHidden/>
                <w:rStyle w:val="IndexLink"/>
                <w:rtl w:val="true"/>
              </w:rPr>
              <w:t>ثاني عشرها</w:t>
            </w:r>
            <w:r>
              <w:rPr>
                <w:rStyle w:val="IndexLink"/>
                <w:rtl w:val="true"/>
              </w:rPr>
              <w:t xml:space="preserve">: </w:t>
            </w:r>
            <w:r>
              <w:rPr>
                <w:rStyle w:val="IndexLink"/>
                <w:rtl w:val="true"/>
              </w:rPr>
              <w:t>حکم ما لو وجد المتيمّم الماء بعد فقده وتمكّن من استعماله</w:t>
            </w:r>
            <w:r>
              <w:rPr>
                <w:rStyle w:val="IndexLink"/>
                <w:rtl w:val="true"/>
              </w:rPr>
              <w:tab/>
            </w:r>
            <w:r>
              <w:rPr>
                <w:rStyle w:val="IndexLink"/>
              </w:rPr>
              <w:t>614</w:t>
            </w:r>
          </w:hyperlink>
        </w:p>
        <w:p>
          <w:pPr>
            <w:pStyle w:val="Contents3"/>
            <w:tabs>
              <w:tab w:val="clear" w:pos="8459"/>
              <w:tab w:val="right" w:pos="9026" w:leader="dot"/>
            </w:tabs>
            <w:rPr/>
          </w:pPr>
          <w:hyperlink w:anchor="__RefHeading___Toc13198327_1280447820">
            <w:r>
              <w:rPr>
                <w:webHidden/>
                <w:rStyle w:val="IndexLink"/>
                <w:rtl w:val="true"/>
              </w:rPr>
              <w:t>القول في النجاسات</w:t>
            </w:r>
            <w:r>
              <w:rPr>
                <w:rStyle w:val="IndexLink"/>
                <w:rtl w:val="true"/>
              </w:rPr>
              <w:tab/>
            </w:r>
            <w:r>
              <w:rPr>
                <w:rStyle w:val="IndexLink"/>
              </w:rPr>
              <w:t>621</w:t>
            </w:r>
          </w:hyperlink>
        </w:p>
        <w:p>
          <w:pPr>
            <w:pStyle w:val="Contents4"/>
            <w:tabs>
              <w:tab w:val="clear" w:pos="8176"/>
              <w:tab w:val="right" w:pos="9026" w:leader="dot"/>
            </w:tabs>
            <w:rPr/>
          </w:pPr>
          <w:hyperlink w:anchor="__RefHeading___Toc13198329_1280447820">
            <w:r>
              <w:rPr>
                <w:webHidden/>
                <w:rStyle w:val="IndexLink"/>
                <w:rtl w:val="true"/>
              </w:rPr>
              <w:t>وفيها مباحث</w:t>
            </w:r>
            <w:r>
              <w:rPr>
                <w:rStyle w:val="IndexLink"/>
                <w:rtl w:val="true"/>
              </w:rPr>
              <w:tab/>
            </w:r>
            <w:r>
              <w:rPr>
                <w:rStyle w:val="IndexLink"/>
              </w:rPr>
              <w:t>621</w:t>
            </w:r>
          </w:hyperlink>
        </w:p>
        <w:p>
          <w:pPr>
            <w:pStyle w:val="Contents4"/>
            <w:tabs>
              <w:tab w:val="clear" w:pos="8176"/>
              <w:tab w:val="right" w:pos="9026" w:leader="dot"/>
            </w:tabs>
            <w:rPr/>
          </w:pPr>
          <w:hyperlink w:anchor="__RefHeading___Toc13198331_1280447820">
            <w:r>
              <w:rPr>
                <w:webHidden/>
                <w:rStyle w:val="IndexLink"/>
                <w:rtl w:val="true"/>
              </w:rPr>
              <w:t>أحدها</w:t>
            </w:r>
            <w:r>
              <w:rPr>
                <w:rStyle w:val="IndexLink"/>
                <w:rtl w:val="true"/>
              </w:rPr>
              <w:t xml:space="preserve">: </w:t>
            </w:r>
            <w:r>
              <w:rPr>
                <w:rStyle w:val="IndexLink"/>
                <w:rtl w:val="true"/>
              </w:rPr>
              <w:t>بول وخرء ذی النفس السائلۀ ممّا لایؤکل لحمه</w:t>
            </w:r>
            <w:r>
              <w:rPr>
                <w:rStyle w:val="IndexLink"/>
                <w:rtl w:val="true"/>
              </w:rPr>
              <w:tab/>
            </w:r>
            <w:r>
              <w:rPr>
                <w:rStyle w:val="IndexLink"/>
              </w:rPr>
              <w:t>621</w:t>
            </w:r>
          </w:hyperlink>
        </w:p>
        <w:p>
          <w:pPr>
            <w:pStyle w:val="Contents4"/>
            <w:tabs>
              <w:tab w:val="clear" w:pos="8176"/>
              <w:tab w:val="right" w:pos="9026" w:leader="dot"/>
            </w:tabs>
            <w:rPr/>
          </w:pPr>
          <w:hyperlink w:anchor="__RefHeading___Toc13198333_1280447820">
            <w:r>
              <w:rPr>
                <w:webHidden/>
                <w:rStyle w:val="IndexLink"/>
                <w:rtl w:val="true"/>
              </w:rPr>
              <w:t>ثانيها</w:t>
            </w:r>
            <w:r>
              <w:rPr>
                <w:rStyle w:val="IndexLink"/>
                <w:rtl w:val="true"/>
              </w:rPr>
              <w:t xml:space="preserve">: </w:t>
            </w:r>
            <w:r>
              <w:rPr>
                <w:rStyle w:val="IndexLink"/>
                <w:rtl w:val="true"/>
              </w:rPr>
              <w:t>المنيّ من كلّ ذي نفس سائلة</w:t>
            </w:r>
            <w:r>
              <w:rPr>
                <w:rStyle w:val="IndexLink"/>
                <w:rtl w:val="true"/>
              </w:rPr>
              <w:tab/>
            </w:r>
            <w:r>
              <w:rPr>
                <w:rStyle w:val="IndexLink"/>
              </w:rPr>
              <w:t>625</w:t>
            </w:r>
          </w:hyperlink>
        </w:p>
        <w:p>
          <w:pPr>
            <w:pStyle w:val="Contents4"/>
            <w:tabs>
              <w:tab w:val="clear" w:pos="8176"/>
              <w:tab w:val="right" w:pos="9026" w:leader="dot"/>
            </w:tabs>
            <w:rPr/>
          </w:pPr>
          <w:hyperlink w:anchor="__RefHeading___Toc13198335_1280447820">
            <w:r>
              <w:rPr>
                <w:webHidden/>
                <w:rStyle w:val="IndexLink"/>
                <w:rtl w:val="true"/>
              </w:rPr>
              <w:t>ثالثها</w:t>
            </w:r>
            <w:r>
              <w:rPr>
                <w:rStyle w:val="IndexLink"/>
                <w:rtl w:val="true"/>
              </w:rPr>
              <w:t xml:space="preserve">: </w:t>
            </w:r>
            <w:r>
              <w:rPr>
                <w:rStyle w:val="IndexLink"/>
                <w:rtl w:val="true"/>
              </w:rPr>
              <w:t>فی أقسام الدم والنجس منها</w:t>
            </w:r>
            <w:r>
              <w:rPr>
                <w:rStyle w:val="IndexLink"/>
                <w:rtl w:val="true"/>
              </w:rPr>
              <w:tab/>
            </w:r>
            <w:r>
              <w:rPr>
                <w:rStyle w:val="IndexLink"/>
              </w:rPr>
              <w:t>626</w:t>
            </w:r>
          </w:hyperlink>
        </w:p>
        <w:p>
          <w:pPr>
            <w:pStyle w:val="Contents4"/>
            <w:tabs>
              <w:tab w:val="clear" w:pos="8176"/>
              <w:tab w:val="right" w:pos="9026" w:leader="dot"/>
            </w:tabs>
            <w:rPr/>
          </w:pPr>
          <w:hyperlink w:anchor="__RefHeading___Toc13198337_1280447820">
            <w:r>
              <w:rPr>
                <w:webHidden/>
                <w:rStyle w:val="IndexLink"/>
                <w:rtl w:val="true"/>
              </w:rPr>
              <w:t>رابعها</w:t>
            </w:r>
            <w:r>
              <w:rPr>
                <w:rStyle w:val="IndexLink"/>
                <w:rtl w:val="true"/>
              </w:rPr>
              <w:t xml:space="preserve">: </w:t>
            </w:r>
            <w:r>
              <w:rPr>
                <w:rStyle w:val="IndexLink"/>
                <w:rtl w:val="true"/>
              </w:rPr>
              <w:t>ميتة ذي النفس السائلة</w:t>
            </w:r>
            <w:r>
              <w:rPr>
                <w:rStyle w:val="IndexLink"/>
                <w:rtl w:val="true"/>
              </w:rPr>
              <w:tab/>
            </w:r>
            <w:r>
              <w:rPr>
                <w:rStyle w:val="IndexLink"/>
              </w:rPr>
              <w:t>628</w:t>
            </w:r>
          </w:hyperlink>
        </w:p>
        <w:p>
          <w:pPr>
            <w:pStyle w:val="Contents4"/>
            <w:tabs>
              <w:tab w:val="clear" w:pos="8176"/>
              <w:tab w:val="right" w:pos="9026" w:leader="dot"/>
            </w:tabs>
            <w:rPr/>
          </w:pPr>
          <w:hyperlink w:anchor="__RefHeading___Toc13198339_1280447820">
            <w:r>
              <w:rPr>
                <w:webHidden/>
                <w:rStyle w:val="IndexLink"/>
                <w:rtl w:val="true"/>
              </w:rPr>
              <w:t>خامسها</w:t>
            </w:r>
            <w:r>
              <w:rPr>
                <w:rStyle w:val="IndexLink"/>
                <w:rtl w:val="true"/>
              </w:rPr>
              <w:t xml:space="preserve">: </w:t>
            </w:r>
            <w:r>
              <w:rPr>
                <w:rStyle w:val="IndexLink"/>
                <w:rtl w:val="true"/>
              </w:rPr>
              <w:t>الكلب والخنزير البرّيّان</w:t>
            </w:r>
            <w:r>
              <w:rPr>
                <w:rStyle w:val="IndexLink"/>
                <w:rtl w:val="true"/>
              </w:rPr>
              <w:tab/>
            </w:r>
            <w:r>
              <w:rPr>
                <w:rStyle w:val="IndexLink"/>
              </w:rPr>
              <w:t>639</w:t>
            </w:r>
          </w:hyperlink>
        </w:p>
        <w:p>
          <w:pPr>
            <w:pStyle w:val="Contents4"/>
            <w:tabs>
              <w:tab w:val="clear" w:pos="8176"/>
              <w:tab w:val="right" w:pos="9026" w:leader="dot"/>
            </w:tabs>
            <w:rPr/>
          </w:pPr>
          <w:hyperlink w:anchor="__RefHeading___Toc13198341_1280447820">
            <w:r>
              <w:rPr>
                <w:webHidden/>
                <w:rStyle w:val="IndexLink"/>
                <w:rtl w:val="true"/>
              </w:rPr>
              <w:t>سادسها</w:t>
            </w:r>
            <w:r>
              <w:rPr>
                <w:rStyle w:val="IndexLink"/>
                <w:rtl w:val="true"/>
              </w:rPr>
              <w:t xml:space="preserve">: </w:t>
            </w:r>
            <w:r>
              <w:rPr>
                <w:rStyle w:val="IndexLink"/>
                <w:rtl w:val="true"/>
              </w:rPr>
              <w:t>عرق الجنب من الحرام</w:t>
            </w:r>
            <w:r>
              <w:rPr>
                <w:rStyle w:val="IndexLink"/>
                <w:rtl w:val="true"/>
              </w:rPr>
              <w:tab/>
            </w:r>
            <w:r>
              <w:rPr>
                <w:rStyle w:val="IndexLink"/>
              </w:rPr>
              <w:t>640</w:t>
            </w:r>
          </w:hyperlink>
        </w:p>
        <w:p>
          <w:pPr>
            <w:pStyle w:val="Contents4"/>
            <w:tabs>
              <w:tab w:val="clear" w:pos="8176"/>
              <w:tab w:val="right" w:pos="9026" w:leader="dot"/>
            </w:tabs>
            <w:rPr/>
          </w:pPr>
          <w:hyperlink w:anchor="__RefHeading___Toc13198343_1280447820">
            <w:r>
              <w:rPr>
                <w:webHidden/>
                <w:rStyle w:val="IndexLink"/>
                <w:rtl w:val="true"/>
              </w:rPr>
              <w:t>سابعها</w:t>
            </w:r>
            <w:r>
              <w:rPr>
                <w:rStyle w:val="IndexLink"/>
                <w:rtl w:val="true"/>
              </w:rPr>
              <w:t xml:space="preserve">: </w:t>
            </w:r>
            <w:r>
              <w:rPr>
                <w:rStyle w:val="IndexLink"/>
                <w:rtl w:val="true"/>
              </w:rPr>
              <w:t>عرق الإبل الجلّالة</w:t>
            </w:r>
            <w:r>
              <w:rPr>
                <w:rStyle w:val="IndexLink"/>
                <w:rtl w:val="true"/>
              </w:rPr>
              <w:tab/>
            </w:r>
            <w:r>
              <w:rPr>
                <w:rStyle w:val="IndexLink"/>
              </w:rPr>
              <w:t>641</w:t>
            </w:r>
          </w:hyperlink>
        </w:p>
        <w:p>
          <w:pPr>
            <w:pStyle w:val="Contents4"/>
            <w:tabs>
              <w:tab w:val="clear" w:pos="8176"/>
              <w:tab w:val="right" w:pos="9026" w:leader="dot"/>
            </w:tabs>
            <w:rPr/>
          </w:pPr>
          <w:hyperlink w:anchor="__RefHeading___Toc13198345_1280447820">
            <w:r>
              <w:rPr>
                <w:webHidden/>
                <w:rStyle w:val="IndexLink"/>
                <w:rtl w:val="true"/>
              </w:rPr>
              <w:t>ثامنها</w:t>
            </w:r>
            <w:r>
              <w:rPr>
                <w:rStyle w:val="IndexLink"/>
                <w:rtl w:val="true"/>
              </w:rPr>
              <w:t xml:space="preserve">: </w:t>
            </w:r>
            <w:r>
              <w:rPr>
                <w:rStyle w:val="IndexLink"/>
                <w:rtl w:val="true"/>
              </w:rPr>
              <w:t>عدم نجاسۀ غير الكلب والخنزير من أنواع الحيوان غير الإنسان</w:t>
            </w:r>
            <w:r>
              <w:rPr>
                <w:rStyle w:val="IndexLink"/>
                <w:rtl w:val="true"/>
              </w:rPr>
              <w:tab/>
            </w:r>
            <w:r>
              <w:rPr>
                <w:rStyle w:val="IndexLink"/>
              </w:rPr>
              <w:t>641</w:t>
            </w:r>
          </w:hyperlink>
        </w:p>
        <w:p>
          <w:pPr>
            <w:pStyle w:val="Contents4"/>
            <w:tabs>
              <w:tab w:val="clear" w:pos="8176"/>
              <w:tab w:val="right" w:pos="9026" w:leader="dot"/>
            </w:tabs>
            <w:rPr/>
          </w:pPr>
          <w:hyperlink w:anchor="__RefHeading___Toc13198347_1280447820">
            <w:r>
              <w:rPr>
                <w:webHidden/>
                <w:rStyle w:val="IndexLink"/>
                <w:rtl w:val="true"/>
              </w:rPr>
              <w:t xml:space="preserve">تاسعها </w:t>
            </w:r>
            <w:r>
              <w:rPr>
                <w:rStyle w:val="IndexLink"/>
                <w:rtl w:val="true"/>
              </w:rPr>
              <w:t xml:space="preserve">: </w:t>
            </w:r>
            <w:r>
              <w:rPr>
                <w:rStyle w:val="IndexLink"/>
                <w:rtl w:val="true"/>
              </w:rPr>
              <w:t>نجاسۀ الكافر نجس بجميع أجزائه</w:t>
            </w:r>
            <w:r>
              <w:rPr>
                <w:rStyle w:val="IndexLink"/>
                <w:rtl w:val="true"/>
              </w:rPr>
              <w:tab/>
            </w:r>
            <w:r>
              <w:rPr>
                <w:rStyle w:val="IndexLink"/>
              </w:rPr>
              <w:t>642</w:t>
            </w:r>
          </w:hyperlink>
        </w:p>
        <w:p>
          <w:pPr>
            <w:pStyle w:val="Contents4"/>
            <w:tabs>
              <w:tab w:val="clear" w:pos="8176"/>
              <w:tab w:val="right" w:pos="9026" w:leader="dot"/>
            </w:tabs>
            <w:rPr/>
          </w:pPr>
          <w:hyperlink w:anchor="__RefHeading___Toc13198349_1280447820">
            <w:r>
              <w:rPr>
                <w:webHidden/>
                <w:rStyle w:val="IndexLink"/>
                <w:rtl w:val="true"/>
              </w:rPr>
              <w:t>عاشرها</w:t>
            </w:r>
            <w:r>
              <w:rPr>
                <w:rStyle w:val="IndexLink"/>
                <w:rtl w:val="true"/>
              </w:rPr>
              <w:t xml:space="preserve">: </w:t>
            </w:r>
            <w:r>
              <w:rPr>
                <w:rStyle w:val="IndexLink"/>
                <w:rtl w:val="true"/>
              </w:rPr>
              <w:t>هل ولد الزنی نجس؟</w:t>
            </w:r>
            <w:r>
              <w:rPr>
                <w:rStyle w:val="IndexLink"/>
                <w:rtl w:val="true"/>
              </w:rPr>
              <w:tab/>
            </w:r>
            <w:r>
              <w:rPr>
                <w:rStyle w:val="IndexLink"/>
              </w:rPr>
              <w:t>651</w:t>
            </w:r>
          </w:hyperlink>
        </w:p>
        <w:p>
          <w:pPr>
            <w:pStyle w:val="Contents4"/>
            <w:tabs>
              <w:tab w:val="clear" w:pos="8176"/>
              <w:tab w:val="right" w:pos="9026" w:leader="dot"/>
            </w:tabs>
            <w:rPr/>
          </w:pPr>
          <w:hyperlink w:anchor="__RefHeading___Toc13198351_1280447820">
            <w:r>
              <w:rPr>
                <w:webHidden/>
                <w:rStyle w:val="IndexLink"/>
                <w:rtl w:val="true"/>
              </w:rPr>
              <w:t>حادي عشرها</w:t>
            </w:r>
            <w:r>
              <w:rPr>
                <w:rStyle w:val="IndexLink"/>
                <w:rtl w:val="true"/>
              </w:rPr>
              <w:t xml:space="preserve">: </w:t>
            </w:r>
            <w:r>
              <w:rPr>
                <w:rStyle w:val="IndexLink"/>
                <w:rtl w:val="true"/>
              </w:rPr>
              <w:t>الخمر</w:t>
            </w:r>
            <w:r>
              <w:rPr>
                <w:rStyle w:val="IndexLink"/>
                <w:rtl w:val="true"/>
              </w:rPr>
              <w:tab/>
            </w:r>
            <w:r>
              <w:rPr>
                <w:rStyle w:val="IndexLink"/>
              </w:rPr>
              <w:t>652</w:t>
            </w:r>
          </w:hyperlink>
        </w:p>
        <w:p>
          <w:pPr>
            <w:pStyle w:val="Contents4"/>
            <w:tabs>
              <w:tab w:val="clear" w:pos="8176"/>
              <w:tab w:val="right" w:pos="9026" w:leader="dot"/>
            </w:tabs>
            <w:rPr/>
          </w:pPr>
          <w:hyperlink w:anchor="__RefHeading___Toc13198353_1280447820">
            <w:r>
              <w:rPr>
                <w:webHidden/>
                <w:rStyle w:val="IndexLink"/>
                <w:rtl w:val="true"/>
              </w:rPr>
              <w:t>ثاني عشرها</w:t>
            </w:r>
            <w:r>
              <w:rPr>
                <w:rStyle w:val="IndexLink"/>
                <w:rtl w:val="true"/>
              </w:rPr>
              <w:t xml:space="preserve">: </w:t>
            </w:r>
            <w:r>
              <w:rPr>
                <w:rStyle w:val="IndexLink"/>
                <w:rtl w:val="true"/>
              </w:rPr>
              <w:t>المسكر مائع بالأصالة</w:t>
            </w:r>
            <w:r>
              <w:rPr>
                <w:rStyle w:val="IndexLink"/>
                <w:rtl w:val="true"/>
              </w:rPr>
              <w:tab/>
            </w:r>
            <w:r>
              <w:rPr>
                <w:rStyle w:val="IndexLink"/>
              </w:rPr>
              <w:t>654</w:t>
            </w:r>
          </w:hyperlink>
        </w:p>
        <w:p>
          <w:pPr>
            <w:pStyle w:val="Contents4"/>
            <w:tabs>
              <w:tab w:val="clear" w:pos="8176"/>
              <w:tab w:val="right" w:pos="9026" w:leader="dot"/>
            </w:tabs>
            <w:rPr/>
          </w:pPr>
          <w:hyperlink w:anchor="__RefHeading___Toc13198355_1280447820">
            <w:r>
              <w:rPr>
                <w:webHidden/>
                <w:rStyle w:val="IndexLink"/>
                <w:rtl w:val="true"/>
              </w:rPr>
              <w:t>ثالث عشرها</w:t>
            </w:r>
            <w:r>
              <w:rPr>
                <w:rStyle w:val="IndexLink"/>
                <w:rtl w:val="true"/>
              </w:rPr>
              <w:t xml:space="preserve">: </w:t>
            </w:r>
            <w:r>
              <w:rPr>
                <w:rStyle w:val="IndexLink"/>
                <w:rtl w:val="true"/>
              </w:rPr>
              <w:t>الفقّاع</w:t>
            </w:r>
            <w:r>
              <w:rPr>
                <w:rStyle w:val="IndexLink"/>
                <w:rtl w:val="true"/>
              </w:rPr>
              <w:tab/>
            </w:r>
            <w:r>
              <w:rPr>
                <w:rStyle w:val="IndexLink"/>
              </w:rPr>
              <w:t>657</w:t>
            </w:r>
          </w:hyperlink>
        </w:p>
        <w:p>
          <w:pPr>
            <w:pStyle w:val="Contents4"/>
            <w:tabs>
              <w:tab w:val="clear" w:pos="8176"/>
              <w:tab w:val="right" w:pos="9026" w:leader="dot"/>
            </w:tabs>
            <w:rPr/>
          </w:pPr>
          <w:hyperlink w:anchor="__RefHeading___Toc13198357_1280447820">
            <w:r>
              <w:rPr>
                <w:webHidden/>
                <w:rStyle w:val="IndexLink"/>
                <w:rtl w:val="true"/>
              </w:rPr>
              <w:t>رابع عشرها</w:t>
            </w:r>
            <w:r>
              <w:rPr>
                <w:rStyle w:val="IndexLink"/>
                <w:rtl w:val="true"/>
              </w:rPr>
              <w:t xml:space="preserve">: </w:t>
            </w:r>
            <w:r>
              <w:rPr>
                <w:rStyle w:val="IndexLink"/>
                <w:rtl w:val="true"/>
              </w:rPr>
              <w:t>عصیر العنب إذا غلی واشتدّ</w:t>
            </w:r>
            <w:r>
              <w:rPr>
                <w:rStyle w:val="IndexLink"/>
                <w:rtl w:val="true"/>
              </w:rPr>
              <w:tab/>
            </w:r>
            <w:r>
              <w:rPr>
                <w:rStyle w:val="IndexLink"/>
              </w:rPr>
              <w:t>658</w:t>
            </w:r>
          </w:hyperlink>
        </w:p>
        <w:p>
          <w:pPr>
            <w:pStyle w:val="Contents3"/>
            <w:tabs>
              <w:tab w:val="clear" w:pos="8459"/>
              <w:tab w:val="right" w:pos="9026" w:leader="dot"/>
            </w:tabs>
            <w:rPr/>
          </w:pPr>
          <w:hyperlink w:anchor="__RefHeading___Toc13198359_1280447820">
            <w:r>
              <w:rPr>
                <w:webHidden/>
                <w:rStyle w:val="IndexLink"/>
                <w:rtl w:val="true"/>
              </w:rPr>
              <w:t xml:space="preserve">القول في المطهرات </w:t>
            </w:r>
            <w:r>
              <w:rPr>
                <w:rStyle w:val="IndexLink"/>
                <w:rtl w:val="true"/>
              </w:rPr>
              <w:t>:</w:t>
            </w:r>
            <w:r>
              <w:rPr>
                <w:rStyle w:val="IndexLink"/>
                <w:rtl w:val="true"/>
              </w:rPr>
              <w:t>وهی أنواع</w:t>
            </w:r>
            <w:r>
              <w:rPr>
                <w:rStyle w:val="IndexLink"/>
                <w:rtl w:val="true"/>
              </w:rPr>
              <w:tab/>
            </w:r>
            <w:r>
              <w:rPr>
                <w:rStyle w:val="IndexLink"/>
              </w:rPr>
              <w:t>662</w:t>
            </w:r>
          </w:hyperlink>
        </w:p>
        <w:p>
          <w:pPr>
            <w:pStyle w:val="Contents4"/>
            <w:tabs>
              <w:tab w:val="clear" w:pos="8176"/>
              <w:tab w:val="right" w:pos="9026" w:leader="dot"/>
            </w:tabs>
            <w:rPr/>
          </w:pPr>
          <w:hyperlink w:anchor="__RefHeading___Toc13198361_1280447820">
            <w:r>
              <w:rPr>
                <w:webHidden/>
                <w:rStyle w:val="IndexLink"/>
                <w:rtl w:val="true"/>
              </w:rPr>
              <w:t>أحدها</w:t>
            </w:r>
            <w:r>
              <w:rPr>
                <w:rStyle w:val="IndexLink"/>
                <w:rtl w:val="true"/>
              </w:rPr>
              <w:t xml:space="preserve">: </w:t>
            </w:r>
            <w:r>
              <w:rPr>
                <w:rStyle w:val="IndexLink"/>
                <w:rtl w:val="true"/>
              </w:rPr>
              <w:t>الماء المطلق</w:t>
            </w:r>
            <w:r>
              <w:rPr>
                <w:rStyle w:val="IndexLink"/>
                <w:rtl w:val="true"/>
              </w:rPr>
              <w:tab/>
            </w:r>
            <w:r>
              <w:rPr>
                <w:rStyle w:val="IndexLink"/>
              </w:rPr>
              <w:t>662</w:t>
            </w:r>
          </w:hyperlink>
        </w:p>
        <w:p>
          <w:pPr>
            <w:pStyle w:val="Contents4"/>
            <w:tabs>
              <w:tab w:val="clear" w:pos="8176"/>
              <w:tab w:val="right" w:pos="9026" w:leader="dot"/>
            </w:tabs>
            <w:rPr/>
          </w:pPr>
          <w:hyperlink w:anchor="__RefHeading___Toc13198363_1280447820">
            <w:r>
              <w:rPr>
                <w:webHidden/>
                <w:rStyle w:val="IndexLink"/>
                <w:rtl w:val="true"/>
              </w:rPr>
              <w:t>ثانيها</w:t>
            </w:r>
            <w:r>
              <w:rPr>
                <w:rStyle w:val="IndexLink"/>
                <w:rtl w:val="true"/>
              </w:rPr>
              <w:t xml:space="preserve">: </w:t>
            </w:r>
            <w:r>
              <w:rPr>
                <w:rStyle w:val="IndexLink"/>
                <w:rtl w:val="true"/>
              </w:rPr>
              <w:t>الشمس</w:t>
            </w:r>
            <w:r>
              <w:rPr>
                <w:rStyle w:val="IndexLink"/>
                <w:rtl w:val="true"/>
              </w:rPr>
              <w:tab/>
            </w:r>
            <w:r>
              <w:rPr>
                <w:rStyle w:val="IndexLink"/>
              </w:rPr>
              <w:t>662</w:t>
            </w:r>
          </w:hyperlink>
        </w:p>
        <w:p>
          <w:pPr>
            <w:pStyle w:val="Contents4"/>
            <w:tabs>
              <w:tab w:val="clear" w:pos="8176"/>
              <w:tab w:val="right" w:pos="9026" w:leader="dot"/>
            </w:tabs>
            <w:rPr/>
          </w:pPr>
          <w:hyperlink w:anchor="__RefHeading___Toc13198365_1280447820">
            <w:r>
              <w:rPr>
                <w:webHidden/>
                <w:rStyle w:val="IndexLink"/>
                <w:rtl w:val="true"/>
              </w:rPr>
              <w:t>ثالثها</w:t>
            </w:r>
            <w:r>
              <w:rPr>
                <w:rStyle w:val="IndexLink"/>
                <w:rtl w:val="true"/>
              </w:rPr>
              <w:t xml:space="preserve">: </w:t>
            </w:r>
            <w:r>
              <w:rPr>
                <w:rStyle w:val="IndexLink"/>
                <w:rtl w:val="true"/>
              </w:rPr>
              <w:t>الأرض</w:t>
            </w:r>
            <w:r>
              <w:rPr>
                <w:rStyle w:val="IndexLink"/>
                <w:rtl w:val="true"/>
              </w:rPr>
              <w:tab/>
            </w:r>
            <w:r>
              <w:rPr>
                <w:rStyle w:val="IndexLink"/>
              </w:rPr>
              <w:t>667</w:t>
            </w:r>
          </w:hyperlink>
        </w:p>
        <w:p>
          <w:pPr>
            <w:pStyle w:val="Contents4"/>
            <w:tabs>
              <w:tab w:val="clear" w:pos="8176"/>
              <w:tab w:val="right" w:pos="9026" w:leader="dot"/>
            </w:tabs>
            <w:rPr/>
          </w:pPr>
          <w:hyperlink w:anchor="__RefHeading___Toc13198367_1280447820">
            <w:r>
              <w:rPr>
                <w:webHidden/>
                <w:rStyle w:val="IndexLink"/>
                <w:rtl w:val="true"/>
              </w:rPr>
              <w:t>رابعها</w:t>
            </w:r>
            <w:r>
              <w:rPr>
                <w:rStyle w:val="IndexLink"/>
                <w:rtl w:val="true"/>
              </w:rPr>
              <w:t xml:space="preserve">: </w:t>
            </w:r>
            <w:r>
              <w:rPr>
                <w:rStyle w:val="IndexLink"/>
                <w:rtl w:val="true"/>
              </w:rPr>
              <w:t>النار</w:t>
            </w:r>
            <w:r>
              <w:rPr>
                <w:rStyle w:val="IndexLink"/>
                <w:rtl w:val="true"/>
              </w:rPr>
              <w:tab/>
            </w:r>
            <w:r>
              <w:rPr>
                <w:rStyle w:val="IndexLink"/>
              </w:rPr>
              <w:t>671</w:t>
            </w:r>
          </w:hyperlink>
        </w:p>
        <w:p>
          <w:pPr>
            <w:pStyle w:val="Contents4"/>
            <w:tabs>
              <w:tab w:val="clear" w:pos="8176"/>
              <w:tab w:val="right" w:pos="9026" w:leader="dot"/>
            </w:tabs>
            <w:rPr/>
          </w:pPr>
          <w:hyperlink w:anchor="__RefHeading___Toc13198369_1280447820">
            <w:r>
              <w:rPr>
                <w:webHidden/>
                <w:rStyle w:val="IndexLink"/>
                <w:rtl w:val="true"/>
              </w:rPr>
              <w:t>خامسها</w:t>
            </w:r>
            <w:r>
              <w:rPr>
                <w:rStyle w:val="IndexLink"/>
                <w:rtl w:val="true"/>
              </w:rPr>
              <w:t xml:space="preserve">: </w:t>
            </w:r>
            <w:r>
              <w:rPr>
                <w:rStyle w:val="IndexLink"/>
                <w:rtl w:val="true"/>
              </w:rPr>
              <w:t>الاستحالۀ</w:t>
            </w:r>
            <w:r>
              <w:rPr>
                <w:rStyle w:val="IndexLink"/>
                <w:rtl w:val="true"/>
              </w:rPr>
              <w:tab/>
            </w:r>
            <w:r>
              <w:rPr>
                <w:rStyle w:val="IndexLink"/>
              </w:rPr>
              <w:t>674</w:t>
            </w:r>
          </w:hyperlink>
        </w:p>
        <w:p>
          <w:pPr>
            <w:pStyle w:val="Contents4"/>
            <w:tabs>
              <w:tab w:val="clear" w:pos="8176"/>
              <w:tab w:val="right" w:pos="9026" w:leader="dot"/>
            </w:tabs>
            <w:rPr/>
          </w:pPr>
          <w:hyperlink w:anchor="__RefHeading___Toc13198371_1280447820">
            <w:r>
              <w:rPr>
                <w:webHidden/>
                <w:rStyle w:val="IndexLink"/>
                <w:rtl w:val="true"/>
              </w:rPr>
              <w:t>سادسها</w:t>
            </w:r>
            <w:r>
              <w:rPr>
                <w:rStyle w:val="IndexLink"/>
                <w:rtl w:val="true"/>
              </w:rPr>
              <w:t xml:space="preserve">: </w:t>
            </w:r>
            <w:r>
              <w:rPr>
                <w:rStyle w:val="IndexLink"/>
                <w:rtl w:val="true"/>
              </w:rPr>
              <w:t>الانقلاب</w:t>
            </w:r>
            <w:r>
              <w:rPr>
                <w:rStyle w:val="IndexLink"/>
                <w:rtl w:val="true"/>
              </w:rPr>
              <w:tab/>
            </w:r>
            <w:r>
              <w:rPr>
                <w:rStyle w:val="IndexLink"/>
              </w:rPr>
              <w:t>676</w:t>
            </w:r>
          </w:hyperlink>
        </w:p>
        <w:p>
          <w:pPr>
            <w:pStyle w:val="Contents4"/>
            <w:tabs>
              <w:tab w:val="clear" w:pos="8176"/>
              <w:tab w:val="right" w:pos="9026" w:leader="dot"/>
            </w:tabs>
            <w:rPr/>
          </w:pPr>
          <w:hyperlink w:anchor="__RefHeading___Toc13198373_1280447820">
            <w:r>
              <w:rPr>
                <w:webHidden/>
                <w:rStyle w:val="IndexLink"/>
                <w:rtl w:val="true"/>
              </w:rPr>
              <w:t>سابعها</w:t>
            </w:r>
            <w:r>
              <w:rPr>
                <w:rStyle w:val="IndexLink"/>
                <w:rtl w:val="true"/>
              </w:rPr>
              <w:t xml:space="preserve">: </w:t>
            </w:r>
            <w:r>
              <w:rPr>
                <w:rStyle w:val="IndexLink"/>
                <w:rtl w:val="true"/>
              </w:rPr>
              <w:t>الإسلام</w:t>
            </w:r>
            <w:r>
              <w:rPr>
                <w:rStyle w:val="IndexLink"/>
                <w:rtl w:val="true"/>
              </w:rPr>
              <w:tab/>
            </w:r>
            <w:r>
              <w:rPr>
                <w:rStyle w:val="IndexLink"/>
              </w:rPr>
              <w:t>678</w:t>
            </w:r>
          </w:hyperlink>
        </w:p>
        <w:p>
          <w:pPr>
            <w:pStyle w:val="Contents4"/>
            <w:tabs>
              <w:tab w:val="clear" w:pos="8176"/>
              <w:tab w:val="right" w:pos="9026" w:leader="dot"/>
            </w:tabs>
            <w:rPr/>
          </w:pPr>
          <w:hyperlink w:anchor="__RefHeading___Toc13198375_1280447820">
            <w:r>
              <w:rPr>
                <w:webHidden/>
                <w:rStyle w:val="IndexLink"/>
                <w:rtl w:val="true"/>
              </w:rPr>
              <w:t>ثامنها</w:t>
            </w:r>
            <w:r>
              <w:rPr>
                <w:rStyle w:val="IndexLink"/>
                <w:rtl w:val="true"/>
              </w:rPr>
              <w:t xml:space="preserve">: </w:t>
            </w:r>
            <w:r>
              <w:rPr>
                <w:rStyle w:val="IndexLink"/>
                <w:rtl w:val="true"/>
              </w:rPr>
              <w:t>زوال عين النجاسة عن بدن الحیوان</w:t>
            </w:r>
            <w:r>
              <w:rPr>
                <w:rStyle w:val="IndexLink"/>
                <w:rtl w:val="true"/>
              </w:rPr>
              <w:tab/>
            </w:r>
            <w:r>
              <w:rPr>
                <w:rStyle w:val="IndexLink"/>
              </w:rPr>
              <w:t>679</w:t>
            </w:r>
          </w:hyperlink>
        </w:p>
        <w:p>
          <w:pPr>
            <w:pStyle w:val="Contents4"/>
            <w:tabs>
              <w:tab w:val="clear" w:pos="8176"/>
              <w:tab w:val="right" w:pos="9026" w:leader="dot"/>
            </w:tabs>
            <w:rPr/>
          </w:pPr>
          <w:hyperlink w:anchor="__RefHeading___Toc13198377_1280447820">
            <w:r>
              <w:rPr>
                <w:webHidden/>
                <w:rStyle w:val="IndexLink"/>
                <w:rtl w:val="true"/>
              </w:rPr>
              <w:t>تاسعها</w:t>
            </w:r>
            <w:r>
              <w:rPr>
                <w:rStyle w:val="IndexLink"/>
                <w:rtl w:val="true"/>
              </w:rPr>
              <w:t xml:space="preserve">: </w:t>
            </w:r>
            <w:r>
              <w:rPr>
                <w:rStyle w:val="IndexLink"/>
                <w:rtl w:val="true"/>
              </w:rPr>
              <w:t>زوال العين النجسة من الباطن</w:t>
            </w:r>
            <w:r>
              <w:rPr>
                <w:rStyle w:val="IndexLink"/>
                <w:rtl w:val="true"/>
              </w:rPr>
              <w:tab/>
            </w:r>
            <w:r>
              <w:rPr>
                <w:rStyle w:val="IndexLink"/>
              </w:rPr>
              <w:t>680</w:t>
            </w:r>
          </w:hyperlink>
        </w:p>
        <w:p>
          <w:pPr>
            <w:pStyle w:val="Contents4"/>
            <w:tabs>
              <w:tab w:val="clear" w:pos="8176"/>
              <w:tab w:val="right" w:pos="9026" w:leader="dot"/>
            </w:tabs>
            <w:rPr/>
          </w:pPr>
          <w:hyperlink w:anchor="__RefHeading___Toc13198379_1280447820">
            <w:r>
              <w:rPr>
                <w:webHidden/>
                <w:rStyle w:val="IndexLink"/>
                <w:rtl w:val="true"/>
              </w:rPr>
              <w:t>عاشرها</w:t>
            </w:r>
            <w:r>
              <w:rPr>
                <w:rStyle w:val="IndexLink"/>
                <w:rtl w:val="true"/>
              </w:rPr>
              <w:t xml:space="preserve">: </w:t>
            </w:r>
            <w:r>
              <w:rPr>
                <w:rStyle w:val="IndexLink"/>
                <w:rtl w:val="true"/>
              </w:rPr>
              <w:t>الغيبة من المسلم</w:t>
            </w:r>
            <w:r>
              <w:rPr>
                <w:rStyle w:val="IndexLink"/>
                <w:rtl w:val="true"/>
              </w:rPr>
              <w:tab/>
            </w:r>
            <w:r>
              <w:rPr>
                <w:rStyle w:val="IndexLink"/>
              </w:rPr>
              <w:t>682</w:t>
            </w:r>
          </w:hyperlink>
        </w:p>
        <w:p>
          <w:pPr>
            <w:pStyle w:val="Contents4"/>
            <w:tabs>
              <w:tab w:val="clear" w:pos="8176"/>
              <w:tab w:val="right" w:pos="9026" w:leader="dot"/>
            </w:tabs>
            <w:rPr/>
          </w:pPr>
          <w:hyperlink w:anchor="__RefHeading___Toc13198381_1280447820">
            <w:r>
              <w:rPr>
                <w:webHidden/>
                <w:rStyle w:val="IndexLink"/>
                <w:rtl w:val="true"/>
              </w:rPr>
              <w:t>حادي عشرها</w:t>
            </w:r>
            <w:r>
              <w:rPr>
                <w:rStyle w:val="IndexLink"/>
                <w:rtl w:val="true"/>
              </w:rPr>
              <w:t xml:space="preserve">: </w:t>
            </w:r>
            <w:r>
              <w:rPr>
                <w:rStyle w:val="IndexLink"/>
                <w:rtl w:val="true"/>
              </w:rPr>
              <w:t>ذهاب الثلثين مطهّر للعصير بالشمس أو النار</w:t>
            </w:r>
            <w:r>
              <w:rPr>
                <w:rStyle w:val="IndexLink"/>
                <w:rtl w:val="true"/>
              </w:rPr>
              <w:tab/>
            </w:r>
            <w:r>
              <w:rPr>
                <w:rStyle w:val="IndexLink"/>
              </w:rPr>
              <w:t>682</w:t>
            </w:r>
          </w:hyperlink>
        </w:p>
        <w:p>
          <w:pPr>
            <w:pStyle w:val="Contents4"/>
            <w:tabs>
              <w:tab w:val="clear" w:pos="8176"/>
              <w:tab w:val="right" w:pos="9026" w:leader="dot"/>
            </w:tabs>
            <w:rPr/>
          </w:pPr>
          <w:hyperlink w:anchor="__RefHeading___Toc13198383_1280447820">
            <w:r>
              <w:rPr>
                <w:webHidden/>
                <w:rStyle w:val="IndexLink"/>
                <w:rtl w:val="true"/>
              </w:rPr>
              <w:t>ثاني عشرها</w:t>
            </w:r>
            <w:r>
              <w:rPr>
                <w:rStyle w:val="IndexLink"/>
                <w:rtl w:val="true"/>
              </w:rPr>
              <w:t xml:space="preserve">: </w:t>
            </w:r>
            <w:r>
              <w:rPr>
                <w:rStyle w:val="IndexLink"/>
                <w:rtl w:val="true"/>
              </w:rPr>
              <w:t>زوال التغيير مطهّر للماء مع اتّصاله بالمعصوم، أو بلوغه كُرّاً</w:t>
            </w:r>
            <w:r>
              <w:rPr>
                <w:rStyle w:val="IndexLink"/>
                <w:rtl w:val="true"/>
              </w:rPr>
              <w:tab/>
            </w:r>
            <w:r>
              <w:rPr>
                <w:rStyle w:val="IndexLink"/>
              </w:rPr>
              <w:t>683</w:t>
            </w:r>
          </w:hyperlink>
        </w:p>
        <w:p>
          <w:pPr>
            <w:pStyle w:val="Contents4"/>
            <w:tabs>
              <w:tab w:val="clear" w:pos="8176"/>
              <w:tab w:val="right" w:pos="9026" w:leader="dot"/>
            </w:tabs>
            <w:rPr/>
          </w:pPr>
          <w:hyperlink w:anchor="__RefHeading___Toc13198385_1280447820">
            <w:r>
              <w:rPr>
                <w:webHidden/>
                <w:rStyle w:val="IndexLink"/>
                <w:rtl w:val="true"/>
              </w:rPr>
              <w:t>ثالث عشرها</w:t>
            </w:r>
            <w:r>
              <w:rPr>
                <w:rStyle w:val="IndexLink"/>
                <w:rtl w:val="true"/>
              </w:rPr>
              <w:t xml:space="preserve">: </w:t>
            </w:r>
            <w:r>
              <w:rPr>
                <w:rStyle w:val="IndexLink"/>
                <w:rtl w:val="true"/>
              </w:rPr>
              <w:t>نزح جميع البئر مع التغيير وكذا نزح المقادير</w:t>
            </w:r>
            <w:r>
              <w:rPr>
                <w:rStyle w:val="IndexLink"/>
                <w:rtl w:val="true"/>
              </w:rPr>
              <w:tab/>
            </w:r>
            <w:r>
              <w:rPr>
                <w:rStyle w:val="IndexLink"/>
              </w:rPr>
              <w:t>683</w:t>
            </w:r>
          </w:hyperlink>
        </w:p>
        <w:p>
          <w:pPr>
            <w:pStyle w:val="Contents4"/>
            <w:tabs>
              <w:tab w:val="clear" w:pos="8176"/>
              <w:tab w:val="right" w:pos="9026" w:leader="dot"/>
            </w:tabs>
            <w:rPr/>
          </w:pPr>
          <w:hyperlink w:anchor="__RefHeading___Toc13198387_1280447820">
            <w:r>
              <w:rPr>
                <w:webHidden/>
                <w:rStyle w:val="IndexLink"/>
                <w:rtl w:val="true"/>
              </w:rPr>
              <w:t>رابع عشرها</w:t>
            </w:r>
            <w:r>
              <w:rPr>
                <w:rStyle w:val="IndexLink"/>
                <w:rtl w:val="true"/>
              </w:rPr>
              <w:t xml:space="preserve">: </w:t>
            </w:r>
            <w:r>
              <w:rPr>
                <w:rStyle w:val="IndexLink"/>
                <w:rtl w:val="true"/>
              </w:rPr>
              <w:t>مطهّریۀ خروج دم الذبيحة لباقي الدم المتخلّف فيها</w:t>
            </w:r>
            <w:r>
              <w:rPr>
                <w:rStyle w:val="IndexLink"/>
                <w:rtl w:val="true"/>
              </w:rPr>
              <w:tab/>
            </w:r>
            <w:r>
              <w:rPr>
                <w:rStyle w:val="IndexLink"/>
              </w:rPr>
              <w:t>683</w:t>
            </w:r>
          </w:hyperlink>
        </w:p>
        <w:p>
          <w:pPr>
            <w:pStyle w:val="Contents4"/>
            <w:tabs>
              <w:tab w:val="clear" w:pos="8176"/>
              <w:tab w:val="right" w:pos="9026" w:leader="dot"/>
            </w:tabs>
            <w:rPr/>
          </w:pPr>
          <w:hyperlink w:anchor="__RefHeading___Toc13198389_1280447820">
            <w:r>
              <w:rPr>
                <w:webHidden/>
                <w:rStyle w:val="IndexLink"/>
                <w:rtl w:val="true"/>
              </w:rPr>
              <w:t>خامس عشرها</w:t>
            </w:r>
            <w:r>
              <w:rPr>
                <w:rStyle w:val="IndexLink"/>
                <w:rtl w:val="true"/>
              </w:rPr>
              <w:t xml:space="preserve">: </w:t>
            </w:r>
            <w:r>
              <w:rPr>
                <w:rStyle w:val="IndexLink"/>
                <w:rtl w:val="true"/>
              </w:rPr>
              <w:t>تطهیر الحجر وما شابهه لمخرج الغائط</w:t>
            </w:r>
            <w:r>
              <w:rPr>
                <w:rStyle w:val="IndexLink"/>
                <w:rtl w:val="true"/>
              </w:rPr>
              <w:tab/>
            </w:r>
            <w:r>
              <w:rPr>
                <w:rStyle w:val="IndexLink"/>
              </w:rPr>
              <w:t>683</w:t>
            </w:r>
          </w:hyperlink>
        </w:p>
        <w:p>
          <w:pPr>
            <w:pStyle w:val="Contents4"/>
            <w:tabs>
              <w:tab w:val="clear" w:pos="8176"/>
              <w:tab w:val="right" w:pos="9026" w:leader="dot"/>
            </w:tabs>
            <w:rPr/>
          </w:pPr>
          <w:hyperlink w:anchor="__RefHeading___Toc13198391_1280447820">
            <w:r>
              <w:rPr>
                <w:webHidden/>
                <w:rStyle w:val="IndexLink"/>
                <w:rtl w:val="true"/>
              </w:rPr>
              <w:t>سادس عشرها</w:t>
            </w:r>
            <w:r>
              <w:rPr>
                <w:rStyle w:val="IndexLink"/>
                <w:rtl w:val="true"/>
              </w:rPr>
              <w:t xml:space="preserve">: </w:t>
            </w:r>
            <w:r>
              <w:rPr>
                <w:rStyle w:val="IndexLink"/>
                <w:rtl w:val="true"/>
              </w:rPr>
              <w:t>الانتقال</w:t>
            </w:r>
            <w:r>
              <w:rPr>
                <w:rStyle w:val="IndexLink"/>
                <w:rtl w:val="true"/>
              </w:rPr>
              <w:tab/>
            </w:r>
            <w:r>
              <w:rPr>
                <w:rStyle w:val="IndexLink"/>
              </w:rPr>
              <w:t>683</w:t>
            </w:r>
          </w:hyperlink>
        </w:p>
        <w:p>
          <w:pPr>
            <w:pStyle w:val="Contents4"/>
            <w:tabs>
              <w:tab w:val="clear" w:pos="8176"/>
              <w:tab w:val="right" w:pos="9026" w:leader="dot"/>
            </w:tabs>
            <w:rPr/>
          </w:pPr>
          <w:hyperlink w:anchor="__RefHeading___Toc13198393_1280447820">
            <w:r>
              <w:rPr>
                <w:webHidden/>
                <w:rStyle w:val="IndexLink"/>
                <w:rtl w:val="true"/>
              </w:rPr>
              <w:t>سابع عشرها</w:t>
            </w:r>
            <w:r>
              <w:rPr>
                <w:rStyle w:val="IndexLink"/>
                <w:rtl w:val="true"/>
              </w:rPr>
              <w:t xml:space="preserve">: </w:t>
            </w:r>
            <w:r>
              <w:rPr>
                <w:rStyle w:val="IndexLink"/>
                <w:rtl w:val="true"/>
              </w:rPr>
              <w:t>استبراء الجلّال</w:t>
            </w:r>
            <w:r>
              <w:rPr>
                <w:rStyle w:val="IndexLink"/>
                <w:rtl w:val="true"/>
              </w:rPr>
              <w:tab/>
            </w:r>
            <w:r>
              <w:rPr>
                <w:rStyle w:val="IndexLink"/>
              </w:rPr>
              <w:t>683</w:t>
            </w:r>
          </w:hyperlink>
        </w:p>
        <w:p>
          <w:pPr>
            <w:pStyle w:val="Contents4"/>
            <w:tabs>
              <w:tab w:val="clear" w:pos="8176"/>
              <w:tab w:val="right" w:pos="9026" w:leader="dot"/>
            </w:tabs>
            <w:rPr/>
          </w:pPr>
          <w:hyperlink w:anchor="__RefHeading___Toc13198395_1280447820">
            <w:r>
              <w:rPr>
                <w:webHidden/>
                <w:rStyle w:val="IndexLink"/>
                <w:rtl w:val="true"/>
              </w:rPr>
              <w:t>ثامن عشرها</w:t>
            </w:r>
            <w:r>
              <w:rPr>
                <w:rStyle w:val="IndexLink"/>
                <w:rtl w:val="true"/>
              </w:rPr>
              <w:t xml:space="preserve">: </w:t>
            </w:r>
            <w:r>
              <w:rPr>
                <w:rStyle w:val="IndexLink"/>
                <w:rtl w:val="true"/>
              </w:rPr>
              <w:t>فی أنّ اتّصال الرطوبة بالمسلم عن كفره مطهّر لها</w:t>
            </w:r>
            <w:r>
              <w:rPr>
                <w:rStyle w:val="IndexLink"/>
                <w:rtl w:val="true"/>
              </w:rPr>
              <w:tab/>
            </w:r>
            <w:r>
              <w:rPr>
                <w:rStyle w:val="IndexLink"/>
              </w:rPr>
              <w:t>683</w:t>
            </w:r>
          </w:hyperlink>
        </w:p>
        <w:p>
          <w:pPr>
            <w:pStyle w:val="Contents4"/>
            <w:tabs>
              <w:tab w:val="clear" w:pos="8176"/>
              <w:tab w:val="right" w:pos="9026" w:leader="dot"/>
            </w:tabs>
            <w:rPr/>
          </w:pPr>
          <w:hyperlink w:anchor="__RefHeading___Toc13198397_1280447820">
            <w:r>
              <w:rPr>
                <w:webHidden/>
                <w:rStyle w:val="IndexLink"/>
                <w:rtl w:val="true"/>
              </w:rPr>
              <w:t>تاسع عشرها</w:t>
            </w:r>
            <w:r>
              <w:rPr>
                <w:rStyle w:val="IndexLink"/>
                <w:rtl w:val="true"/>
              </w:rPr>
              <w:t xml:space="preserve">: </w:t>
            </w:r>
            <w:r>
              <w:rPr>
                <w:rStyle w:val="IndexLink"/>
                <w:rtl w:val="true"/>
              </w:rPr>
              <w:t>فی أنّ انفصال ماء الغسالة مطهّر للرطوبة الباقية على المحلّ المغسول</w:t>
            </w:r>
            <w:r>
              <w:rPr>
                <w:rStyle w:val="IndexLink"/>
                <w:rtl w:val="true"/>
              </w:rPr>
              <w:tab/>
            </w:r>
            <w:r>
              <w:rPr>
                <w:rStyle w:val="IndexLink"/>
              </w:rPr>
              <w:t>684</w:t>
            </w:r>
          </w:hyperlink>
        </w:p>
        <w:p>
          <w:pPr>
            <w:pStyle w:val="Contents4"/>
            <w:tabs>
              <w:tab w:val="clear" w:pos="8176"/>
              <w:tab w:val="right" w:pos="9026" w:leader="dot"/>
            </w:tabs>
            <w:rPr/>
          </w:pPr>
          <w:hyperlink w:anchor="__RefHeading___Toc13198399_1280447820">
            <w:r>
              <w:rPr>
                <w:webHidden/>
                <w:rStyle w:val="IndexLink"/>
                <w:rtl w:val="true"/>
              </w:rPr>
              <w:t>العشرون</w:t>
            </w:r>
            <w:r>
              <w:rPr>
                <w:rStyle w:val="IndexLink"/>
                <w:rtl w:val="true"/>
              </w:rPr>
              <w:t xml:space="preserve">: </w:t>
            </w:r>
            <w:r>
              <w:rPr>
                <w:rStyle w:val="IndexLink"/>
                <w:rtl w:val="true"/>
              </w:rPr>
              <w:t>التبعيّة</w:t>
            </w:r>
            <w:r>
              <w:rPr>
                <w:rStyle w:val="IndexLink"/>
                <w:rtl w:val="true"/>
              </w:rPr>
              <w:tab/>
            </w:r>
            <w:r>
              <w:rPr>
                <w:rStyle w:val="IndexLink"/>
              </w:rPr>
              <w:t>684</w:t>
            </w:r>
          </w:hyperlink>
        </w:p>
        <w:p>
          <w:pPr>
            <w:pStyle w:val="Contents3"/>
            <w:tabs>
              <w:tab w:val="clear" w:pos="8459"/>
              <w:tab w:val="right" w:pos="9026" w:leader="dot"/>
            </w:tabs>
            <w:rPr/>
          </w:pPr>
          <w:hyperlink w:anchor="__RefHeading___Toc13198401_1280447820">
            <w:r>
              <w:rPr>
                <w:webHidden/>
                <w:rStyle w:val="IndexLink"/>
                <w:rtl w:val="true"/>
              </w:rPr>
              <w:t>القول في أحكام التطهير بالماء</w:t>
            </w:r>
            <w:r>
              <w:rPr>
                <w:rStyle w:val="IndexLink"/>
                <w:rtl w:val="true"/>
              </w:rPr>
              <w:tab/>
            </w:r>
            <w:r>
              <w:rPr>
                <w:rStyle w:val="IndexLink"/>
              </w:rPr>
              <w:t>685</w:t>
            </w:r>
          </w:hyperlink>
        </w:p>
        <w:p>
          <w:pPr>
            <w:pStyle w:val="Contents4"/>
            <w:tabs>
              <w:tab w:val="clear" w:pos="8176"/>
              <w:tab w:val="right" w:pos="9026" w:leader="dot"/>
            </w:tabs>
            <w:rPr/>
          </w:pPr>
          <w:hyperlink w:anchor="__RefHeading___Toc13198403_1280447820">
            <w:r>
              <w:rPr>
                <w:webHidden/>
                <w:rStyle w:val="IndexLink"/>
                <w:rtl w:val="true"/>
              </w:rPr>
              <w:t>و فيه مباحث</w:t>
            </w:r>
            <w:r>
              <w:rPr>
                <w:rStyle w:val="IndexLink"/>
                <w:rtl w:val="true"/>
              </w:rPr>
              <w:t>:</w:t>
              <w:tab/>
            </w:r>
            <w:r>
              <w:rPr>
                <w:rStyle w:val="IndexLink"/>
              </w:rPr>
              <w:t>685</w:t>
            </w:r>
          </w:hyperlink>
        </w:p>
        <w:p>
          <w:pPr>
            <w:pStyle w:val="Contents4"/>
            <w:tabs>
              <w:tab w:val="clear" w:pos="8176"/>
              <w:tab w:val="right" w:pos="9026" w:leader="dot"/>
            </w:tabs>
            <w:rPr/>
          </w:pPr>
          <w:hyperlink w:anchor="__RefHeading___Toc13198405_1280447820">
            <w:r>
              <w:rPr>
                <w:webHidden/>
                <w:rStyle w:val="IndexLink"/>
                <w:rtl w:val="true"/>
              </w:rPr>
              <w:t>أحدها</w:t>
            </w:r>
            <w:r>
              <w:rPr>
                <w:rStyle w:val="IndexLink"/>
                <w:rtl w:val="true"/>
              </w:rPr>
              <w:t xml:space="preserve">: </w:t>
            </w:r>
            <w:r>
              <w:rPr>
                <w:rStyle w:val="IndexLink"/>
                <w:rtl w:val="true"/>
              </w:rPr>
              <w:t>وجوب تطهير البدن والثوب عن البول بالغسل بالماء مرّتين</w:t>
            </w:r>
            <w:r>
              <w:rPr>
                <w:rStyle w:val="IndexLink"/>
                <w:rtl w:val="true"/>
              </w:rPr>
              <w:tab/>
            </w:r>
            <w:r>
              <w:rPr>
                <w:rStyle w:val="IndexLink"/>
              </w:rPr>
              <w:t>685</w:t>
            </w:r>
          </w:hyperlink>
        </w:p>
        <w:p>
          <w:pPr>
            <w:pStyle w:val="Contents4"/>
            <w:tabs>
              <w:tab w:val="clear" w:pos="8176"/>
              <w:tab w:val="right" w:pos="9026" w:leader="dot"/>
            </w:tabs>
            <w:rPr/>
          </w:pPr>
          <w:hyperlink w:anchor="__RefHeading___Toc13198407_1280447820">
            <w:r>
              <w:rPr>
                <w:webHidden/>
                <w:rStyle w:val="IndexLink"/>
                <w:rtl w:val="true"/>
              </w:rPr>
              <w:t>ثانيها</w:t>
            </w:r>
            <w:r>
              <w:rPr>
                <w:rStyle w:val="IndexLink"/>
                <w:rtl w:val="true"/>
              </w:rPr>
              <w:t xml:space="preserve">: </w:t>
            </w:r>
            <w:r>
              <w:rPr>
                <w:rStyle w:val="IndexLink"/>
                <w:rtl w:val="true"/>
              </w:rPr>
              <w:t>عدم وجوب التعدّد في الغسل في غير البول من أنواع النجاسات عدا ما استثني</w:t>
            </w:r>
            <w:r>
              <w:rPr>
                <w:rStyle w:val="IndexLink"/>
                <w:rtl w:val="true"/>
              </w:rPr>
              <w:tab/>
            </w:r>
            <w:r>
              <w:rPr>
                <w:rStyle w:val="IndexLink"/>
              </w:rPr>
              <w:t>688</w:t>
            </w:r>
          </w:hyperlink>
        </w:p>
        <w:p>
          <w:pPr>
            <w:pStyle w:val="Contents4"/>
            <w:tabs>
              <w:tab w:val="clear" w:pos="8176"/>
              <w:tab w:val="right" w:pos="9026" w:leader="dot"/>
            </w:tabs>
            <w:rPr/>
          </w:pPr>
          <w:hyperlink w:anchor="__RefHeading___Toc13198409_1280447820">
            <w:r>
              <w:rPr>
                <w:webHidden/>
                <w:rStyle w:val="IndexLink"/>
                <w:rtl w:val="true"/>
              </w:rPr>
              <w:t>ثالثها</w:t>
            </w:r>
            <w:r>
              <w:rPr>
                <w:rStyle w:val="IndexLink"/>
                <w:rtl w:val="true"/>
              </w:rPr>
              <w:t xml:space="preserve">: </w:t>
            </w:r>
            <w:r>
              <w:rPr>
                <w:rStyle w:val="IndexLink"/>
                <w:rtl w:val="true"/>
              </w:rPr>
              <w:t>وجوب العصر في الغسل بالماء القليل في الثياب، وكلّ ما يمكن عصره</w:t>
            </w:r>
            <w:r>
              <w:rPr>
                <w:rStyle w:val="IndexLink"/>
                <w:rtl w:val="true"/>
              </w:rPr>
              <w:tab/>
            </w:r>
            <w:r>
              <w:rPr>
                <w:rStyle w:val="IndexLink"/>
              </w:rPr>
              <w:t>689</w:t>
            </w:r>
          </w:hyperlink>
        </w:p>
        <w:p>
          <w:pPr>
            <w:pStyle w:val="Contents4"/>
            <w:tabs>
              <w:tab w:val="clear" w:pos="8176"/>
              <w:tab w:val="right" w:pos="9026" w:leader="dot"/>
            </w:tabs>
            <w:rPr/>
          </w:pPr>
          <w:hyperlink w:anchor="__RefHeading___Toc13198411_1280447820">
            <w:r>
              <w:rPr>
                <w:webHidden/>
                <w:rStyle w:val="IndexLink"/>
                <w:rtl w:val="true"/>
              </w:rPr>
              <w:t>رابعها</w:t>
            </w:r>
            <w:r>
              <w:rPr>
                <w:rStyle w:val="IndexLink"/>
                <w:rtl w:val="true"/>
              </w:rPr>
              <w:t xml:space="preserve">: </w:t>
            </w:r>
            <w:r>
              <w:rPr>
                <w:rStyle w:val="IndexLink"/>
                <w:rtl w:val="true"/>
              </w:rPr>
              <w:t>سقوط العصر في بول الصبيّ الرضيع</w:t>
            </w:r>
            <w:r>
              <w:rPr>
                <w:rStyle w:val="IndexLink"/>
                <w:rtl w:val="true"/>
              </w:rPr>
              <w:tab/>
            </w:r>
            <w:r>
              <w:rPr>
                <w:rStyle w:val="IndexLink"/>
              </w:rPr>
              <w:t>691</w:t>
            </w:r>
          </w:hyperlink>
        </w:p>
        <w:p>
          <w:pPr>
            <w:pStyle w:val="Contents4"/>
            <w:tabs>
              <w:tab w:val="clear" w:pos="8176"/>
              <w:tab w:val="right" w:pos="9026" w:leader="dot"/>
            </w:tabs>
            <w:rPr/>
          </w:pPr>
          <w:hyperlink w:anchor="__RefHeading___Toc13198413_1280447820">
            <w:r>
              <w:rPr>
                <w:webHidden/>
                <w:rStyle w:val="IndexLink"/>
                <w:rtl w:val="true"/>
              </w:rPr>
              <w:t>خامسها</w:t>
            </w:r>
            <w:r>
              <w:rPr>
                <w:rStyle w:val="IndexLink"/>
                <w:rtl w:val="true"/>
              </w:rPr>
              <w:t xml:space="preserve">: </w:t>
            </w:r>
            <w:r>
              <w:rPr>
                <w:rStyle w:val="IndexLink"/>
                <w:rtl w:val="true"/>
              </w:rPr>
              <w:t>کفایۀ إزالة العين فی الغَسْل</w:t>
            </w:r>
            <w:r>
              <w:rPr>
                <w:rStyle w:val="IndexLink"/>
                <w:rtl w:val="true"/>
              </w:rPr>
              <w:tab/>
            </w:r>
            <w:r>
              <w:rPr>
                <w:rStyle w:val="IndexLink"/>
              </w:rPr>
              <w:t>694</w:t>
            </w:r>
          </w:hyperlink>
        </w:p>
        <w:p>
          <w:pPr>
            <w:pStyle w:val="Contents4"/>
            <w:tabs>
              <w:tab w:val="clear" w:pos="8176"/>
              <w:tab w:val="right" w:pos="9026" w:leader="dot"/>
            </w:tabs>
            <w:rPr/>
          </w:pPr>
          <w:hyperlink w:anchor="__RefHeading___Toc13198415_1280447820">
            <w:r>
              <w:rPr>
                <w:webHidden/>
                <w:rStyle w:val="IndexLink"/>
                <w:rtl w:val="true"/>
              </w:rPr>
              <w:t>سادسها</w:t>
            </w:r>
            <w:r>
              <w:rPr>
                <w:rStyle w:val="IndexLink"/>
                <w:rtl w:val="true"/>
              </w:rPr>
              <w:t xml:space="preserve">: </w:t>
            </w:r>
            <w:r>
              <w:rPr>
                <w:rStyle w:val="IndexLink"/>
                <w:rtl w:val="true"/>
              </w:rPr>
              <w:t>عدم قبول المائع لتطهير مع بقائه على حالته وعدم تغيير صورته</w:t>
            </w:r>
            <w:r>
              <w:rPr>
                <w:rStyle w:val="IndexLink"/>
                <w:rtl w:val="true"/>
              </w:rPr>
              <w:tab/>
            </w:r>
            <w:r>
              <w:rPr>
                <w:rStyle w:val="IndexLink"/>
              </w:rPr>
              <w:t>694</w:t>
            </w:r>
          </w:hyperlink>
        </w:p>
        <w:p>
          <w:pPr>
            <w:pStyle w:val="Contents4"/>
            <w:tabs>
              <w:tab w:val="clear" w:pos="8176"/>
              <w:tab w:val="right" w:pos="9026" w:leader="dot"/>
            </w:tabs>
            <w:rPr/>
          </w:pPr>
          <w:hyperlink w:anchor="__RefHeading___Toc13198417_1280447820">
            <w:r>
              <w:rPr>
                <w:webHidden/>
                <w:rStyle w:val="IndexLink"/>
                <w:rtl w:val="true"/>
              </w:rPr>
              <w:t>سابعها</w:t>
            </w:r>
            <w:r>
              <w:rPr>
                <w:rStyle w:val="IndexLink"/>
                <w:rtl w:val="true"/>
              </w:rPr>
              <w:t xml:space="preserve">: </w:t>
            </w:r>
            <w:r>
              <w:rPr>
                <w:rStyle w:val="IndexLink"/>
                <w:rtl w:val="true"/>
              </w:rPr>
              <w:t>کیفیّۀ تطهیر ما تنفذ فيه النجاسة ولا يمكن إخراجها بالعصر</w:t>
            </w:r>
            <w:r>
              <w:rPr>
                <w:rStyle w:val="IndexLink"/>
                <w:rtl w:val="true"/>
              </w:rPr>
              <w:tab/>
            </w:r>
            <w:r>
              <w:rPr>
                <w:rStyle w:val="IndexLink"/>
              </w:rPr>
              <w:t>695</w:t>
            </w:r>
          </w:hyperlink>
        </w:p>
        <w:p>
          <w:pPr>
            <w:pStyle w:val="Contents4"/>
            <w:tabs>
              <w:tab w:val="clear" w:pos="8176"/>
              <w:tab w:val="right" w:pos="9026" w:leader="dot"/>
            </w:tabs>
            <w:rPr/>
          </w:pPr>
          <w:hyperlink w:anchor="__RefHeading___Toc13198419_1280447820">
            <w:r>
              <w:rPr>
                <w:webHidden/>
                <w:rStyle w:val="IndexLink"/>
                <w:rtl w:val="true"/>
              </w:rPr>
              <w:t>ثامنها</w:t>
            </w:r>
            <w:r>
              <w:rPr>
                <w:rStyle w:val="IndexLink"/>
                <w:rtl w:val="true"/>
              </w:rPr>
              <w:t xml:space="preserve">: </w:t>
            </w:r>
            <w:r>
              <w:rPr>
                <w:rStyle w:val="IndexLink"/>
                <w:rtl w:val="true"/>
              </w:rPr>
              <w:t>کیفیّۀ تطهیر ما انتقع بالنجاسة من الحبوب و اللحوم المطبوخة بالماء النجس</w:t>
            </w:r>
            <w:r>
              <w:rPr>
                <w:rStyle w:val="IndexLink"/>
                <w:rtl w:val="true"/>
              </w:rPr>
              <w:tab/>
            </w:r>
            <w:r>
              <w:rPr>
                <w:rStyle w:val="IndexLink"/>
              </w:rPr>
              <w:t>697</w:t>
            </w:r>
          </w:hyperlink>
        </w:p>
        <w:p>
          <w:pPr>
            <w:pStyle w:val="Contents4"/>
            <w:tabs>
              <w:tab w:val="clear" w:pos="8176"/>
              <w:tab w:val="right" w:pos="9026" w:leader="dot"/>
            </w:tabs>
            <w:rPr/>
          </w:pPr>
          <w:hyperlink w:anchor="__RefHeading___Toc13198421_1280447820">
            <w:r>
              <w:rPr>
                <w:webHidden/>
                <w:rStyle w:val="IndexLink"/>
                <w:rtl w:val="true"/>
              </w:rPr>
              <w:t>تاسعها</w:t>
            </w:r>
            <w:r>
              <w:rPr>
                <w:rStyle w:val="IndexLink"/>
                <w:rtl w:val="true"/>
              </w:rPr>
              <w:t xml:space="preserve">: </w:t>
            </w:r>
            <w:r>
              <w:rPr>
                <w:rStyle w:val="IndexLink"/>
                <w:rtl w:val="true"/>
              </w:rPr>
              <w:t>فیما ورد في جملةٍ من الأخبار الأمر بالرشّ والنضح لمحتمل النجاسة أو لمظنونها</w:t>
            </w:r>
            <w:r>
              <w:rPr>
                <w:rStyle w:val="IndexLink"/>
                <w:rtl w:val="true"/>
              </w:rPr>
              <w:tab/>
            </w:r>
            <w:r>
              <w:rPr>
                <w:rStyle w:val="IndexLink"/>
              </w:rPr>
              <w:t>697</w:t>
            </w:r>
          </w:hyperlink>
        </w:p>
        <w:p>
          <w:pPr>
            <w:pStyle w:val="Contents4"/>
            <w:tabs>
              <w:tab w:val="clear" w:pos="8176"/>
              <w:tab w:val="right" w:pos="9026" w:leader="dot"/>
            </w:tabs>
            <w:rPr/>
          </w:pPr>
          <w:hyperlink w:anchor="__RefHeading___Toc13198423_1280447820">
            <w:r>
              <w:rPr>
                <w:webHidden/>
                <w:rStyle w:val="IndexLink"/>
                <w:rtl w:val="true"/>
              </w:rPr>
              <w:t>عاشرها</w:t>
            </w:r>
            <w:r>
              <w:rPr>
                <w:rStyle w:val="IndexLink"/>
                <w:rtl w:val="true"/>
              </w:rPr>
              <w:t xml:space="preserve">: </w:t>
            </w:r>
            <w:r>
              <w:rPr>
                <w:rStyle w:val="IndexLink"/>
                <w:rtl w:val="true"/>
              </w:rPr>
              <w:t>حکم ما إذا علم موضع النجاسة وما إذا جهاها</w:t>
            </w:r>
            <w:r>
              <w:rPr>
                <w:rStyle w:val="IndexLink"/>
                <w:rtl w:val="true"/>
              </w:rPr>
              <w:tab/>
            </w:r>
            <w:r>
              <w:rPr>
                <w:rStyle w:val="IndexLink"/>
              </w:rPr>
              <w:t>699</w:t>
            </w:r>
          </w:hyperlink>
        </w:p>
        <w:p>
          <w:pPr>
            <w:pStyle w:val="Contents4"/>
            <w:tabs>
              <w:tab w:val="clear" w:pos="8176"/>
              <w:tab w:val="right" w:pos="9026" w:leader="dot"/>
            </w:tabs>
            <w:rPr/>
          </w:pPr>
          <w:hyperlink w:anchor="__RefHeading___Toc13198425_1280447820">
            <w:r>
              <w:rPr>
                <w:webHidden/>
                <w:rStyle w:val="IndexLink"/>
                <w:rtl w:val="true"/>
              </w:rPr>
              <w:t>حادي عشرها</w:t>
            </w:r>
            <w:r>
              <w:rPr>
                <w:rStyle w:val="IndexLink"/>
                <w:rtl w:val="true"/>
              </w:rPr>
              <w:t xml:space="preserve">: </w:t>
            </w:r>
            <w:r>
              <w:rPr>
                <w:rStyle w:val="IndexLink"/>
                <w:rtl w:val="true"/>
              </w:rPr>
              <w:t>غسل الإناء من ولوغ الكلب ثلاثاً أوّلهنّ بالتراب</w:t>
            </w:r>
            <w:r>
              <w:rPr>
                <w:rStyle w:val="IndexLink"/>
                <w:rtl w:val="true"/>
              </w:rPr>
              <w:tab/>
            </w:r>
            <w:r>
              <w:rPr>
                <w:rStyle w:val="IndexLink"/>
              </w:rPr>
              <w:t>700</w:t>
            </w:r>
          </w:hyperlink>
        </w:p>
        <w:p>
          <w:pPr>
            <w:pStyle w:val="Contents4"/>
            <w:tabs>
              <w:tab w:val="clear" w:pos="8176"/>
              <w:tab w:val="right" w:pos="9026" w:leader="dot"/>
            </w:tabs>
            <w:rPr/>
          </w:pPr>
          <w:hyperlink w:anchor="__RefHeading___Toc13198427_1280447820">
            <w:r>
              <w:rPr>
                <w:webHidden/>
                <w:rStyle w:val="IndexLink"/>
                <w:rtl w:val="true"/>
              </w:rPr>
              <w:t>ثالث عشرها</w:t>
            </w:r>
            <w:r>
              <w:rPr>
                <w:rStyle w:val="IndexLink"/>
                <w:rtl w:val="true"/>
              </w:rPr>
              <w:t xml:space="preserve">: </w:t>
            </w:r>
            <w:r>
              <w:rPr>
                <w:rStyle w:val="IndexLink"/>
                <w:rtl w:val="true"/>
              </w:rPr>
              <w:t>غَسْل الإناء من الخمر سبعاً</w:t>
            </w:r>
            <w:r>
              <w:rPr>
                <w:rStyle w:val="IndexLink"/>
                <w:rtl w:val="true"/>
              </w:rPr>
              <w:tab/>
            </w:r>
            <w:r>
              <w:rPr>
                <w:rStyle w:val="IndexLink"/>
              </w:rPr>
              <w:t>706</w:t>
            </w:r>
          </w:hyperlink>
        </w:p>
        <w:p>
          <w:pPr>
            <w:pStyle w:val="Contents4"/>
            <w:tabs>
              <w:tab w:val="clear" w:pos="8176"/>
              <w:tab w:val="right" w:pos="9026" w:leader="dot"/>
            </w:tabs>
            <w:rPr/>
          </w:pPr>
          <w:hyperlink w:anchor="__RefHeading___Toc13198429_1280447820">
            <w:r>
              <w:rPr>
                <w:webHidden/>
                <w:rStyle w:val="IndexLink"/>
                <w:rtl w:val="true"/>
              </w:rPr>
              <w:t>رابع عشرها</w:t>
            </w:r>
            <w:r>
              <w:rPr>
                <w:rStyle w:val="IndexLink"/>
                <w:rtl w:val="true"/>
              </w:rPr>
              <w:t xml:space="preserve">: </w:t>
            </w:r>
            <w:r>
              <w:rPr>
                <w:rStyle w:val="IndexLink"/>
                <w:rtl w:val="true"/>
              </w:rPr>
              <w:t>غَسْل الإناء من موت الفأرة والجُرَذ سبعاً</w:t>
            </w:r>
            <w:r>
              <w:rPr>
                <w:rStyle w:val="IndexLink"/>
                <w:rtl w:val="true"/>
              </w:rPr>
              <w:tab/>
            </w:r>
            <w:r>
              <w:rPr>
                <w:rStyle w:val="IndexLink"/>
              </w:rPr>
              <w:t>706</w:t>
            </w:r>
          </w:hyperlink>
        </w:p>
        <w:p>
          <w:pPr>
            <w:pStyle w:val="Contents4"/>
            <w:tabs>
              <w:tab w:val="clear" w:pos="8176"/>
              <w:tab w:val="right" w:pos="9026" w:leader="dot"/>
            </w:tabs>
            <w:rPr/>
          </w:pPr>
          <w:hyperlink w:anchor="__RefHeading___Toc13198431_1280447820">
            <w:r>
              <w:rPr>
                <w:webHidden/>
                <w:rStyle w:val="IndexLink"/>
                <w:rtl w:val="true"/>
              </w:rPr>
              <w:t>خامس عشرها</w:t>
            </w:r>
            <w:r>
              <w:rPr>
                <w:rStyle w:val="IndexLink"/>
                <w:rtl w:val="true"/>
              </w:rPr>
              <w:t xml:space="preserve">: </w:t>
            </w:r>
            <w:r>
              <w:rPr>
                <w:rStyle w:val="IndexLink"/>
                <w:rtl w:val="true"/>
              </w:rPr>
              <w:t>غسل الإناء من سائر النجاسات ثلاثاً أو مرّتین</w:t>
            </w:r>
            <w:r>
              <w:rPr>
                <w:rStyle w:val="IndexLink"/>
                <w:rtl w:val="true"/>
              </w:rPr>
              <w:tab/>
            </w:r>
            <w:r>
              <w:rPr>
                <w:rStyle w:val="IndexLink"/>
              </w:rPr>
              <w:t>707</w:t>
            </w:r>
          </w:hyperlink>
        </w:p>
        <w:p>
          <w:pPr>
            <w:pStyle w:val="Contents3"/>
            <w:tabs>
              <w:tab w:val="clear" w:pos="8459"/>
              <w:tab w:val="right" w:pos="9026" w:leader="dot"/>
            </w:tabs>
            <w:rPr/>
          </w:pPr>
          <w:hyperlink w:anchor="__RefHeading___Toc13198433_1280447820">
            <w:r>
              <w:rPr>
                <w:webHidden/>
                <w:rStyle w:val="IndexLink"/>
                <w:rtl w:val="true"/>
              </w:rPr>
              <w:t>القول في أحكام النجاسات</w:t>
            </w:r>
            <w:r>
              <w:rPr>
                <w:rStyle w:val="IndexLink"/>
                <w:rtl w:val="true"/>
              </w:rPr>
              <w:tab/>
            </w:r>
            <w:r>
              <w:rPr>
                <w:rStyle w:val="IndexLink"/>
              </w:rPr>
              <w:t>709</w:t>
            </w:r>
          </w:hyperlink>
        </w:p>
        <w:p>
          <w:pPr>
            <w:pStyle w:val="Contents4"/>
            <w:tabs>
              <w:tab w:val="clear" w:pos="8176"/>
              <w:tab w:val="right" w:pos="9026" w:leader="dot"/>
            </w:tabs>
            <w:rPr/>
          </w:pPr>
          <w:hyperlink w:anchor="__RefHeading___Toc13198435_1280447820">
            <w:r>
              <w:rPr>
                <w:webHidden/>
                <w:rStyle w:val="IndexLink"/>
                <w:rtl w:val="true"/>
              </w:rPr>
              <w:t>وفيه أبحاث</w:t>
            </w:r>
            <w:r>
              <w:rPr>
                <w:rStyle w:val="IndexLink"/>
                <w:rtl w:val="true"/>
              </w:rPr>
              <w:t>:</w:t>
              <w:tab/>
            </w:r>
            <w:r>
              <w:rPr>
                <w:rStyle w:val="IndexLink"/>
              </w:rPr>
              <w:t>709</w:t>
            </w:r>
          </w:hyperlink>
        </w:p>
        <w:p>
          <w:pPr>
            <w:pStyle w:val="Contents4"/>
            <w:tabs>
              <w:tab w:val="clear" w:pos="8176"/>
              <w:tab w:val="right" w:pos="9026" w:leader="dot"/>
            </w:tabs>
            <w:rPr/>
          </w:pPr>
          <w:hyperlink w:anchor="__RefHeading___Toc13198437_1280447820">
            <w:r>
              <w:rPr>
                <w:webHidden/>
                <w:rStyle w:val="IndexLink"/>
                <w:rtl w:val="true"/>
              </w:rPr>
              <w:t>أحدها</w:t>
            </w:r>
            <w:r>
              <w:rPr>
                <w:rStyle w:val="IndexLink"/>
                <w:rtl w:val="true"/>
              </w:rPr>
              <w:t xml:space="preserve">: </w:t>
            </w:r>
            <w:r>
              <w:rPr>
                <w:rStyle w:val="IndexLink"/>
                <w:rtl w:val="true"/>
              </w:rPr>
              <w:t>فی إنّ النجس يؤثّر في الملاقي نجاسةً مع الرطوبة في أحدهما القابلة للتأثير</w:t>
            </w:r>
            <w:r>
              <w:rPr>
                <w:rStyle w:val="IndexLink"/>
                <w:rtl w:val="true"/>
              </w:rPr>
              <w:tab/>
            </w:r>
            <w:r>
              <w:rPr>
                <w:rStyle w:val="IndexLink"/>
              </w:rPr>
              <w:t>709</w:t>
            </w:r>
          </w:hyperlink>
        </w:p>
        <w:p>
          <w:pPr>
            <w:pStyle w:val="Contents4"/>
            <w:tabs>
              <w:tab w:val="clear" w:pos="8176"/>
              <w:tab w:val="right" w:pos="9026" w:leader="dot"/>
            </w:tabs>
            <w:rPr/>
          </w:pPr>
          <w:hyperlink w:anchor="__RefHeading___Toc13198439_1280447820">
            <w:r>
              <w:rPr>
                <w:webHidden/>
                <w:rStyle w:val="IndexLink"/>
                <w:rtl w:val="true"/>
              </w:rPr>
              <w:t>ثانيها</w:t>
            </w:r>
            <w:r>
              <w:rPr>
                <w:rStyle w:val="IndexLink"/>
                <w:rtl w:val="true"/>
              </w:rPr>
              <w:t xml:space="preserve">: </w:t>
            </w:r>
            <w:r>
              <w:rPr>
                <w:rStyle w:val="IndexLink"/>
                <w:rtl w:val="true"/>
              </w:rPr>
              <w:t>ثبوت النجاسة بالقطع على النحو المعتاد من الأشخاص وقول صاحب للتأثیر</w:t>
            </w:r>
            <w:r>
              <w:rPr>
                <w:rStyle w:val="IndexLink"/>
                <w:rtl w:val="true"/>
              </w:rPr>
              <w:tab/>
            </w:r>
            <w:r>
              <w:rPr>
                <w:rStyle w:val="IndexLink"/>
              </w:rPr>
              <w:t>712</w:t>
            </w:r>
          </w:hyperlink>
        </w:p>
        <w:p>
          <w:pPr>
            <w:pStyle w:val="Contents4"/>
            <w:tabs>
              <w:tab w:val="clear" w:pos="8176"/>
              <w:tab w:val="right" w:pos="9026" w:leader="dot"/>
            </w:tabs>
            <w:rPr/>
          </w:pPr>
          <w:hyperlink w:anchor="__RefHeading___Toc13198441_1280447820">
            <w:r>
              <w:rPr>
                <w:webHidden/>
                <w:rStyle w:val="IndexLink"/>
                <w:rtl w:val="true"/>
              </w:rPr>
              <w:t>ثالثها</w:t>
            </w:r>
            <w:r>
              <w:rPr>
                <w:rStyle w:val="IndexLink"/>
                <w:rtl w:val="true"/>
              </w:rPr>
              <w:t xml:space="preserve">: </w:t>
            </w:r>
            <w:r>
              <w:rPr>
                <w:rStyle w:val="IndexLink"/>
                <w:rtl w:val="true"/>
              </w:rPr>
              <w:t>ثبوت التطهير بخبر العدلين و بخبر الواحد و بخبر ذي اليد</w:t>
            </w:r>
            <w:r>
              <w:rPr>
                <w:rStyle w:val="IndexLink"/>
                <w:rtl w:val="true"/>
              </w:rPr>
              <w:tab/>
            </w:r>
            <w:r>
              <w:rPr>
                <w:rStyle w:val="IndexLink"/>
              </w:rPr>
              <w:t>715</w:t>
            </w:r>
          </w:hyperlink>
        </w:p>
        <w:p>
          <w:pPr>
            <w:pStyle w:val="Contents4"/>
            <w:tabs>
              <w:tab w:val="clear" w:pos="8176"/>
              <w:tab w:val="right" w:pos="9026" w:leader="dot"/>
            </w:tabs>
            <w:rPr/>
          </w:pPr>
          <w:hyperlink w:anchor="__RefHeading___Toc13198443_1280447820">
            <w:r>
              <w:rPr>
                <w:webHidden/>
                <w:rStyle w:val="IndexLink"/>
                <w:rtl w:val="true"/>
              </w:rPr>
              <w:t>رابعها</w:t>
            </w:r>
            <w:r>
              <w:rPr>
                <w:rStyle w:val="IndexLink"/>
                <w:rtl w:val="true"/>
              </w:rPr>
              <w:t xml:space="preserve">: </w:t>
            </w:r>
            <w:r>
              <w:rPr>
                <w:rStyle w:val="IndexLink"/>
                <w:rtl w:val="true"/>
              </w:rPr>
              <w:t>وجوب إزالة النجاسة عن الثوب والبدن في الصلاة والطواف</w:t>
            </w:r>
            <w:r>
              <w:rPr>
                <w:rStyle w:val="IndexLink"/>
                <w:rtl w:val="true"/>
              </w:rPr>
              <w:tab/>
            </w:r>
            <w:r>
              <w:rPr>
                <w:rStyle w:val="IndexLink"/>
              </w:rPr>
              <w:t>716</w:t>
            </w:r>
          </w:hyperlink>
        </w:p>
        <w:p>
          <w:pPr>
            <w:pStyle w:val="Contents4"/>
            <w:tabs>
              <w:tab w:val="clear" w:pos="8176"/>
              <w:tab w:val="right" w:pos="9026" w:leader="dot"/>
            </w:tabs>
            <w:rPr/>
          </w:pPr>
          <w:hyperlink w:anchor="__RefHeading___Toc13198445_1280447820">
            <w:r>
              <w:rPr>
                <w:webHidden/>
                <w:rStyle w:val="IndexLink"/>
                <w:rtl w:val="true"/>
              </w:rPr>
              <w:t>خامسها</w:t>
            </w:r>
            <w:r>
              <w:rPr>
                <w:rStyle w:val="IndexLink"/>
                <w:rtl w:val="true"/>
              </w:rPr>
              <w:t xml:space="preserve">: </w:t>
            </w:r>
            <w:r>
              <w:rPr>
                <w:rStyle w:val="IndexLink"/>
                <w:rtl w:val="true"/>
              </w:rPr>
              <w:t>بیان موارد عدم وجوب إزالۀ النجاسۀ</w:t>
            </w:r>
            <w:r>
              <w:rPr>
                <w:rStyle w:val="IndexLink"/>
                <w:rtl w:val="true"/>
              </w:rPr>
              <w:tab/>
            </w:r>
            <w:r>
              <w:rPr>
                <w:rStyle w:val="IndexLink"/>
              </w:rPr>
              <w:t>717</w:t>
            </w:r>
          </w:hyperlink>
        </w:p>
        <w:p>
          <w:pPr>
            <w:pStyle w:val="Contents4"/>
            <w:tabs>
              <w:tab w:val="clear" w:pos="8176"/>
              <w:tab w:val="right" w:pos="9026" w:leader="dot"/>
            </w:tabs>
            <w:rPr/>
          </w:pPr>
          <w:hyperlink w:anchor="__RefHeading___Toc13198447_1280447820">
            <w:r>
              <w:rPr>
                <w:webHidden/>
                <w:rStyle w:val="IndexLink"/>
                <w:rtl w:val="true"/>
              </w:rPr>
              <w:t>سادسها</w:t>
            </w:r>
            <w:r>
              <w:rPr>
                <w:rStyle w:val="IndexLink"/>
                <w:rtl w:val="true"/>
              </w:rPr>
              <w:t xml:space="preserve">: </w:t>
            </w:r>
            <w:r>
              <w:rPr>
                <w:rStyle w:val="IndexLink"/>
                <w:rtl w:val="true"/>
              </w:rPr>
              <w:t>حکم ما لو صلّى بالنجاسة في ثوبه أو بدنه الغير المعفوّ عنها عالماً بها عامداً أو جاهلاً أو ناسياً</w:t>
            </w:r>
            <w:r>
              <w:rPr>
                <w:rStyle w:val="IndexLink"/>
                <w:rtl w:val="true"/>
              </w:rPr>
              <w:tab/>
            </w:r>
            <w:r>
              <w:rPr>
                <w:rStyle w:val="IndexLink"/>
              </w:rPr>
              <w:t>732</w:t>
            </w:r>
          </w:hyperlink>
        </w:p>
        <w:p>
          <w:pPr>
            <w:pStyle w:val="Contents4"/>
            <w:tabs>
              <w:tab w:val="clear" w:pos="8176"/>
              <w:tab w:val="right" w:pos="9026" w:leader="dot"/>
            </w:tabs>
            <w:rPr/>
          </w:pPr>
          <w:hyperlink w:anchor="__RefHeading___Toc13198449_1280447820">
            <w:r>
              <w:rPr>
                <w:webHidden/>
                <w:rStyle w:val="IndexLink"/>
                <w:rtl w:val="true"/>
              </w:rPr>
              <w:t xml:space="preserve">سابعها </w:t>
            </w:r>
            <w:r>
              <w:rPr>
                <w:rStyle w:val="IndexLink"/>
                <w:rtl w:val="true"/>
              </w:rPr>
              <w:t>:</w:t>
            </w:r>
            <w:r>
              <w:rPr>
                <w:rStyle w:val="IndexLink"/>
                <w:rtl w:val="true"/>
              </w:rPr>
              <w:t>طهارۀ أواني الكفّار و سائر ما يستعملونه ما لم تعلم نجاسته</w:t>
            </w:r>
            <w:r>
              <w:rPr>
                <w:rStyle w:val="IndexLink"/>
                <w:rtl w:val="true"/>
              </w:rPr>
              <w:tab/>
            </w:r>
            <w:r>
              <w:rPr>
                <w:rStyle w:val="IndexLink"/>
              </w:rPr>
              <w:t>743</w:t>
            </w:r>
          </w:hyperlink>
        </w:p>
        <w:p>
          <w:pPr>
            <w:pStyle w:val="Contents4"/>
            <w:tabs>
              <w:tab w:val="clear" w:pos="8176"/>
              <w:tab w:val="right" w:pos="9026" w:leader="dot"/>
            </w:tabs>
            <w:rPr/>
          </w:pPr>
          <w:hyperlink w:anchor="__RefHeading___Toc13198451_1280447820">
            <w:r>
              <w:rPr>
                <w:webHidden/>
                <w:rStyle w:val="IndexLink"/>
                <w:rtl w:val="true"/>
              </w:rPr>
              <w:t>ثامنها</w:t>
            </w:r>
            <w:r>
              <w:rPr>
                <w:rStyle w:val="IndexLink"/>
                <w:rtl w:val="true"/>
              </w:rPr>
              <w:t xml:space="preserve">: </w:t>
            </w:r>
            <w:r>
              <w:rPr>
                <w:rStyle w:val="IndexLink"/>
                <w:rtl w:val="true"/>
              </w:rPr>
              <w:t>حرمۀ أواني الذهب والفضّة في الأكل و الشرب بل في مطلق الاستعمال</w:t>
            </w:r>
            <w:r>
              <w:rPr>
                <w:rStyle w:val="IndexLink"/>
                <w:rtl w:val="true"/>
              </w:rPr>
              <w:tab/>
            </w:r>
            <w:r>
              <w:rPr>
                <w:rStyle w:val="IndexLink"/>
              </w:rPr>
              <w:t>744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86_203053"/>
      <w:bookmarkStart w:id="1" w:name="pg18986_203053"/>
      <w:bookmarkEnd w:id="1"/>
    </w:p>
    <w:p>
      <w:pPr>
        <w:pStyle w:val="Heading2"/>
        <w:numPr>
          <w:ilvl w:val="1"/>
          <w:numId w:val="1"/>
        </w:numPr>
        <w:rPr/>
      </w:pPr>
      <w:bookmarkStart w:id="2" w:name="pg18986_203053"/>
      <w:bookmarkStart w:id="3" w:name="__RefHeading___Toc1319734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الموضوع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تصنیف مكتبة الكونجرس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735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الموضوع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تصنیف مكتبة الكونجرس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8986_203057"/>
    </w:p>
    <w:p>
      <w:pPr>
        <w:pStyle w:val="Heading2"/>
        <w:numPr>
          <w:ilvl w:val="1"/>
          <w:numId w:val="1"/>
        </w:numPr>
        <w:rPr/>
      </w:pPr>
      <w:bookmarkStart w:id="8" w:name="__RefHeading___Toc13197353_1280447820"/>
      <w:bookmarkStart w:id="9" w:name="_Toc3"/>
      <w:bookmarkEnd w:id="7"/>
      <w:bookmarkEnd w:id="8"/>
      <w:r>
        <w:rPr>
          <w:rtl w:val="true"/>
        </w:rPr>
        <w:t>دلیل أنوار الفقاهة</w:t>
      </w:r>
      <w:bookmarkEnd w:id="9"/>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الخمس، الصوم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والبيع</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الرهن، الحجر،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الشركة، المضاربة، المزارعة والمساقاة</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العارية، الإجارة، الوكالة، الوقف، الهبة ،الصدقة والوصيّة</w:t>
      </w:r>
    </w:p>
    <w:p>
      <w:pPr>
        <w:pStyle w:val="BookText"/>
        <w:rPr/>
      </w:pP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،الطلاق، الخلع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المواريث، القضاء والشهادات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986_203059"/>
      <w:bookmarkStart w:id="11" w:name="pg18986_203059"/>
      <w:bookmarkEnd w:id="11"/>
    </w:p>
    <w:p>
      <w:pPr>
        <w:pStyle w:val="Heading2"/>
        <w:numPr>
          <w:ilvl w:val="1"/>
          <w:numId w:val="1"/>
        </w:numPr>
        <w:rPr/>
      </w:pPr>
      <w:bookmarkStart w:id="12" w:name="pg18986_203059"/>
      <w:bookmarkStart w:id="13" w:name="__RefHeading___Toc13197355_1280447820"/>
      <w:bookmarkStart w:id="14" w:name="_Toc4"/>
      <w:bookmarkEnd w:id="12"/>
      <w:bookmarkEnd w:id="13"/>
      <w:r>
        <w:rPr>
          <w:rtl w:val="true"/>
        </w:rPr>
        <w:t>فهرس الموضوعات</w:t>
      </w:r>
      <w:bookmarkEnd w:id="14"/>
    </w:p>
    <w:p>
      <w:pPr>
        <w:pStyle w:val="BookText"/>
        <w:rPr/>
      </w:pPr>
      <w:r>
        <w:rPr>
          <w:rFonts w:ascii="Amiri" w:hAnsi="Amiri" w:eastAsia="Amiri" w:cs="Amiri"/>
          <w:color w:val="111111"/>
          <w:sz w:val="28"/>
          <w:sz w:val="28"/>
          <w:szCs w:val="28"/>
          <w:rtl w:val="true"/>
          <w:lang w:bidi="ar-SA"/>
        </w:rPr>
        <w:t>مقدمة التحقيق</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اسمه ونسبه وولادته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أُسرته وبيئته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حياته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طريق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تلامذته والمجازون عنه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ذكاؤه وقوّة حافظته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مناظراته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بعض مواقفه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أدبه</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أنوار الفقاهة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أبواب الكتاب وتاريخ تأليفه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مخطوطات أنوار الفقاهة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 المعتمدة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العمل والمساهمون في تنفيذه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شكر وثناء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تعريف الطهارة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فيما تجب له الطهارة وما تستحبّ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بحث فيما يجب له الوضو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بحث فيما يندب له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أكثر ما ذُكر له استحباب الوضوء قد ورد فيه روايات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كثيراً ممّا جاءت به الروايات موافق لفتوى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إثبات الندب من الأخبار بين ما ورد الخطاب به صريحاً لغيره وبين ما ورد الخطاب بغيره متّصفاً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الوضوء لو صادف الحدث الأصغر منويّاً به التقرّب 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الوضوء عند دخول وقت المشروط به إن كان له وقت أو عند إرادة فعله إن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الوضوء التجديدي بتجدّد كلّ صلاة نافلة أو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فيما يحرم على المحدث 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فيما يجب له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هل وجوب الغسل نفسيٌّ أو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بحث فيما يجب أو يندب له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بحث فيما لو نذر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أحكام 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بحث في الماء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بحث في أنّ طهوريّة الماء قضيّة مهملة أو 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بحث في استواء جميع أفراد الماء الطاهر في طهوريتّه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بحث في الماء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الكلام في الجاري في 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الجاري إذا تغيّر عن طبيعته الخلقيّة بنجاسةٍ حلّت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تنجيس الماء بالتغيّر بين كونه بنفس لون النجاسة أو طعمها أو ريحها وبين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بتغيّر الماء ببرودة وسخونة وخفّةٍ و ثقلٍ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بالتغيّر الناشئ من المجاورة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وقوع نجسٍ لا وصف له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مسلوب الصفة على القول بالتقدير هل يقدّر الوصف السابق أو الأشدّ أو الأضعف أو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تغيّر الماء بوصف 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تغيّر الماء بالمتغيّر بوصف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اشتراط كرّيّة الجاري ولا كرّيّة مادته ولا كرّيّتهما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جرى ماء البئر على وجه الأرض أو جرت الآبار بعضاً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تغيّر بعض الماء الجاري دون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الجاري بزوال التغيّر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أنّ ماء الحمّام سبيله سبيل الجاري إذا كان له 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ببلوغ مجموع ماء المادّة والحياض الكرّيّة أو شكّ في كرّيّة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الكرّيّة عند الشكّ بشاهدين عدلين أو شاهد واحد وكذا بقول صاحب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الحوض الصغير كفى اتّصاله بالمادّة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نفس الاتّصال في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زيادة المادّة على الكرّ عند اتّصالها بالحياض في دفع النجاسة أو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بحث في أحكام الماء 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انفعال القليل بالنجاسة بين النجس والمتنجّس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القليل النجس غير المتغيّر باتّصاله بالكثير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يطهر القليل بإتمامه كُرّاً من ماءٍ طاهرٍ أو نجسٍ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طهارة الكرّ النجس إلَّا باتّصاله بجارٍ أو ماء مطر أوكرّ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جمد الكرّ ينفعل بالملاقاة ولا تسري نجاسته إلى جميعه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وجد في الكرّ نجاسة شكّ في زمان وقوعها أنّها بعد حصول الكرّيّة أو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عدم انفعال الكرّ لكلّ ماءٍ مطلق بأيّ مكانٍ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بحث في أحكام الماء الكرّ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بحث في تقدير الكرّ و 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بحث في تحديد الكُرّ مساحةً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بحث في ماء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أنّه هل ينفعل ماء البئر بالانفعال مطلقاً، أو عدمه مطلقاً أو ينفعل مع عدم البلوغ 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فوائد في منزوحات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النزح واجب تعبّدي لنفسه أو تعبّدي من جهة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المطهّر للبئر بالنزح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الدلو والرشا وحواشي البئر بالنزح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الرجوع بالدلو إلى العرف زمن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يُنزح لغير المقدّضر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تكثّرت النجاسة الواقعة في البئر وكان فيها المقدَّر بنزح الجميع أو غير 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في النزح إلى نيّةٍ وقصدٍ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يكتفى في النزح المقدَّر إلَّا بعد إخراج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لو تغيّرت البئر بالنجاسة فهل يكفي نزح ما يزول به التغيّر مطلقاً أو لا بدّ من نزح الجميع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وقع في البئر متنجّس بأحد النجاسات المقدّر لها النزح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نقص ماء البئر عن النزح 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له ماء البئر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تعذّر نزح الجميع أو تعسّر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له كرٌّ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الخامسة عشر فيما يُنزح له سبعون دلواً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للعذرة اليابسة أو المذابة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يُنزح لكثير الدم و قليله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يُنزح لبول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لموت الثعلب والأرنب والسنّور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له سبع دلاء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يُنزح له خمس دلاء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لموت الحيّة و الوزغة و العقرب و الفأرة إذا لم تتفسّخ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لموت العصفور ولبول الرضيع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يُنزح لماء المطر المخالط للبول والعذرة وخرء 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الحيوان ككلّه في النزح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التغيّر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غيّرت البالوعة المتنجّس ماؤها ماءَ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بحث في حكم الماء المشتبه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حكم الماء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الماء المشتبه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الشبهه المحصورة وغير المحصورة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الشبهة المحصورة فيما إذا اشتبه الواجب في غير المحرّم من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الشبهة المحصورة تجنّب الجميع إذا دخل المحرَّم في غيره من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حكم الشبهة في الواجب المشتبه وجوب فعل كلّ ما يدخل فيه الواجب واجتناب كلّ ما يدخل فيه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ارتكاب الشبهة المحصورة عند إمكان استعمال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إراقة الماء تعبّداً عند اشتباه الإناءين؟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الشبهة المحصورة اشتباه التكليف بالنسبة إلى المكلّفين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دخلت الأرض في الاشتباه بين وقوع النجاسة عليها أو على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لو انكفأ أحد المشتبهين وجب اجتناب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اشتبه أحد المشتبهين بغيره من المحصور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الإراقة فيما لو كانت الإناءات أكثر من واحدٍ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المحصور لا ينجّس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قامت البيّنة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أحد الإناءين وحلّيّة أحد الفردين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الشبهة المحصورة بين طروء ما يؤثّر نجاسةً و تحريماً على أحدهما وبين ما كان أحدهما ابتداءً نجساً أو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رفع الخبث في المشتبه طاهره بنجسه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اشتبه التراب النجس بالطاهر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تعارضت البيّنتان في الإناءين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اشتبه المضاف بالمطلق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انكفأ أحد الإناءين من المشتبه بالمطلق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بحث في الماء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قد يكون مضافاً بأصله أو بعارض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رفع الماء المضاف للحدث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رفع الماء المضاف للخبث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المضاف بملاقاة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امتزج المضاف بالمطلق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تنجّس المضاف فهل يقبل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لم يعلم إطلاقه لا يجوز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أحكام الماء المستعمل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بحث في طهارة ماء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الماء المستعمل في غسل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طهارة الماء المستعمل في رفع الحدث الأصغر وكذا المستعمل في الأغسان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طهارة الماء المستعمل في رفع الحدث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يصحّ استعماله في رفع الحدث الأكبر أو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البأس ببقيّة الماء الذي يؤخذ منه ماء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البأس بوقوع القطرات من المغتسل في الماء إذا استهلكت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البأس بالمتّصل من الماء قبل انفصاله عن بدن المغتسل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عند الشكّ فيها حكمه كحكم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المستعمل من الماء الكثير في ترتيبٍ أو 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بطل غسل الجنب في الأثناء لا يلحق ما استعمله بالماء المستعمل لرفع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الماء المستعمل في جميع الأغسال الرافعة للأحداث الكبريات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بارتماس الجنب في ماءٍ قليل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وجد ماءً قليلاً وخيف من رجوع ماء اغتسال الجنب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ليس المدار على الوضوء والغسل بل المدار على رفع الأكبر والأصغر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غسالة ماء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السؤر وطهارة سؤركلّ حيوان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العين النجسة من الحيوان مطهّر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يكفي في تطهير البواطن من الإنسان زوال عين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تكفي الغيبة مع احتمال التطهير مع العلم بالنجاسة وعدمه في غير بدن الإنسان وثيابه المتّصلة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سؤر الخيل والبغال والحمير وما لا يؤكل لحمه والجلّال وآكل الجيف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سؤر الحائض الغير مأمونة في الشرب و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ولد الزنى وكراهته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سؤر المسوخ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التعلب والأرنب طاهر أم نجس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سؤر الحيّة والوزغة والعقرب وكراهته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الدجاج والحشرات والديدان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سؤر الفأرة وكراهته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بحث في الأحداث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وفي المقام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 أحداث ناقضة للوضوء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الخارج من الطبيعي المعتاد لعامة الناس أو الخلقي لذلك الشخص أو المعتاد له مع انسداد الطبيعي يجري عليه حكم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خرج أحد الخبئين ولم ينفصل أو خرجت المقعدة ملوّثة به ثمّ رجعت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ناقضيّة النوم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الحاسّة يرجع حكمه إلى تقديرها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حدث والنوم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ناقضيّة كلّ ما غلب على العقل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ناقضة للوضوء وموجبة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بحث في أحكام التخلّي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استقبال القبلة واستدبارها على المتخلّي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تطهير ظاهر المخرج من البول والغائط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مخرج الغائط عند التعدّي عن المحلّ المعتاد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ذهاب العين في غسل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استنجاء البول غسل المخرج مرّةً بحيث يغلب الماء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في غسل المخرجين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يجزئ في مخرج الغائط عند عدم التعدّي التمسّح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التمسّح بالحجر والمدر والخزف والكرسف والخرق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بما يسمّى مسحاً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المسح بالنجس ولا بالمتنجّس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ثاني عشرها بيان أقلّ المجزئ في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تثليث الماسح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الواحد ذي الجهات الثلاث من حجر أو مدر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البكارة في الأحجار بمعنى عدم استعمالها سابقاً في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سادس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إجزاء الثلاث على سبيل التوزيع على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الاستنجاء بالعظم والروث ممّا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ثامن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الاستنجاء بالمطعوم المعتاد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الاستنجاء بكلّ محترم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التمسح بالثلج والرطب الغير المتماسك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الاستبراء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القول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فروض الوضوء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والكلام في مقامات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النيّة في الطهارات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كلّ مأمور به إلى نيّته بالمعنى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النيّة حقيقة شرعيّة في القصد المقارن للقربة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قصد نفس الفعل جزماً في نيّة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استدامة حكم النيّة في جميع أجزاء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قصد الفعل شعور النفس به بأدنى تفطّنٍ والتفات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مقارنة النيّة لأوّل أجزاء العمل ثمّ استمرار حكمها 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نيّة وجه الفعل من الوجوب والندب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نيّة الرفع وكذا نية الاستباحة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نيّة الوجوب في مقام الندب وبالعكس وكذا نيّة عدم الرفع وعدم الاستباحة بعد نيّة الفعل على وجه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القول بوجوب نيّة الاستباحة يكفي نيّة استباحة أيّ مشروط بالوضوء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وجب عليه الوضوء لغاية وجب عليه نيّة الوجوب إذا نواه لتلك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العمل المشتمل على واجب ومندوب يجوز نية مجموعه قربةً من غير ذكر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البأس بتفريق النيّة على أجزاء العمل بعد نيّة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نوى استباحة ما يكمل بالوضوء من الغايات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الوضوء التجديدي عن الوضوء الرافع لو تبيّن بطلان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وجب عليه العمل في الأثناء بعد أن كان مندوباً لا يجب عليه تجديد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نيّة الوجه من الصبي هي الندب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ينوي الأجير الوجوبَ والمتبرّع الندبَ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الرياء والسمعة مُفسدة للعمل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نيّة الضمائم الراجحة للعبادة وغير الراجحة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الرياء المتأخّر عن العمل والعجب المقارن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الاستدامة الحكميّة في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اجتمعت في المنويّ جهات مندوبة وواجبة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مقتضى صدور أفراد الحدث من نوع واحد أو صدورها من أنواع متعدّدة في أكبر أو 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الوجه، 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يكفي من الماء ما يحصل به الانتشار لا الجريان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حدّ الوجه المأمور بغسله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النزعتين عن حدّ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صغير الوجه وكبيره وصغير اليد وطويلها إلى التحديد بيدٍ تناسب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غسل الباطن عرفاً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غسل الشعر النابت على الوجه إن خرج عن الحدّ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وفيه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اليد بحسب اللغة والعرف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غسل المرفق أصالةً أو تبعاً من باب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الابتداء بالأعلى في غسل الوجه واليدين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مقطوع اليد من دون المرفق أو من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كلّ ما نبت على اليد من تحت المرفق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غسل الشعر مع البشرة وتخليل الشعر وإن كثف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غسل ما تحت الأظفار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الباطن إلّا إذا ظهر وكذا الظاهر إذا 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الغسل للمغسول على أيّ نحوٍ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الرأس ببلّة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المسح بمقدّم الرأس</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هو إمرار الماسح على الممسوح وجرّه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مسح الرأس مديراً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المسح على البشرة وعلى الشعر النابت على مقدّم الرأس ما لم يخرج بمدّه عن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مسح الرأس بالكفّ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يجزئ في المسح المسمّى من إمرار الماسح ولو بجزءٍ منه على المسوح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وجود البلّة في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 لابن الجنيد من جواز المسح بماءٍ جديد مطلقاً أو مع جفاف اليد أو جميع الأعضاء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جمع من الأصحاب إلى عدم وجوب المسح ببقيّة نداوة اليد وجوازه بماء الوضوء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وجوب مسح ظاهر القدم من أطراف الأصابع إلى الكعبين وتفسير الكعب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وهاهنا أُمور</w:t>
      </w:r>
      <w:r>
        <w:rPr>
          <w:rFonts w:eastAsia="IRNazanin" w:cs="IRNazanin"/>
          <w:color w:val="111111"/>
          <w:sz w:val="28"/>
          <w:szCs w:val="28"/>
          <w:rtl w:val="true"/>
          <w:lang w:bidi="fa-IR"/>
        </w:rPr>
        <w:t>: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مسح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الاستيعاب الطولي في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الاستيعاب 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مسح القدمين مقبلاً ومدبراً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إجزاء المسح على حائلٍ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تخليل الشعر في المسح وإيصال الرطوبة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الغَسل مكان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مسح الرأس والرِجْل اليمنى باليمنى واليسرى باليسرى؟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الترتيب بين مسح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فروض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وجوب الترتيب بين أجزاء الوضوء ما عدا مسح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المباشرة للغَسْل والمسح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تفسير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رجحان نذر المتابعة بالكتاب والسنّة والاحتياط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وهنا مباحث</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العقل والتمييز والإسلام و الإيمان في صحّة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صحّة الوضوء أخذه عن اجتهاد أو تقليد أو 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الوضوء بماء مغصوب مع العلم بغصبه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الوضوء في مكان مغصوب فضاؤه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الوضوء بالمضاف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الوضوء بماء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إزالة المانع عن موضع الغسل والمسح ماسحاً أو ممسوحاً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طهارة محالّ الوضوء قبل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كان مستديم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تيقّن الطهارة وشكّ في الحدث أو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تيقّن الطهارة والحدث وشكّ في السابق ولم يعلم التاريخ في أحدهما أو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شكّ في أفعال الوضوء غَسلاً أو مسحاً أو 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أصل الوضوء وقد دخل في عملٍ مشروط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كحكم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الأصل في الطهارة تقديم الماء على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توضّأ وضوءين وصلّى فريضةً وذكر الإخلال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القول في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ثبوت وجوب غسل الجنابة بالكتاب والسنّة والإجماع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بالإدخال ولو بدون الإنزال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الغسل بالإنزال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رأى في ثوبه 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صُور ما إذا خرج منه بلل بعد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جميع البدن واجب للمجنب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الغسل الترتيبي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الغسل الارتماسي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ما يتعلّق بنفس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بيان أُمور تتعلّق بنفس الغسل ترتيباً أو ارتماساً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الوضوء مع غسل الجنابة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أحدث المغتسل عن الجنابة ترتيباً في أثناء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تعيين نوع الغسل من كونه ارتماسيّاً أو ترتيبيّاً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كانت عليه أغسال معها 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يحرم على المجنب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يكره للجنب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للجنب عند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القول في غسل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تعريف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اشتبه دم الحيض بدم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اشتبه دم الحيض بدم الجرح والقرح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صُور ما إذا اشتبه دم الحيض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 الحيض لا يجامع الصغر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الحيض لا يجامع سنّ اليأس وبيان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هل يجامع الحيض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أقلّ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أكثر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تاسعها قاعدة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ذات العادة الوقتيّة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المبتدأة والمضطربة ومثلهما ذات العادة العدديّة تتحيّضان بمجرّد رؤية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تجاوز الدم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تستقرّ به العادة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تستقرّ به العادة الوقتيّة العدديّة أو الوقتيّة أو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خامس عشرها حكم ما إذا تكثّر الدم واجتمع مع العادة 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تجاوز الدم العشرة مستمرّاً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تستظهر ذات العادة بعد تمام العادة إذا استمرّ الدم بعدها بيوم أو يومين أو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استظهرت المرأة فاستمر الدم إلى ما فوق العشرة أو انقطع على العاشر فما 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النقاء المتخلّل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المبتدأة إذا انقطع دمها لدون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المبتدأة إذا تجاوز دمها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أُمور تشترط في الرجوع إلى 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المضطربة التي لم تستقر لها عادة والمضطربة وقتاً المبتدأة عدداً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بيان حكم المضطربة الناسية للوقت والعدد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عمل النساء ذوات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القول في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وهاهنا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أقسام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أحكام الاستحاضة القليلة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المستحاضة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المستحاضة المتوسّطة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على المستحاضة القليلة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القول في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تخلّل أقلّ الطهر بين النفاسين وهل يشترط تخلّل أقلّ الطهر بين النفاس والحيض؟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دم النفاس ما حصل بين تمام الولادة وتمام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حد لقليل النفاس وبيان حدّ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القول في غسل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استقبال الميّت عند الاحتضار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تلقين الميّت وغيره ممّا ورد من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تغسيل الميّت إذا استكمل أُموراً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بعض الميّت ممّا فيه الصدر أو الصدر نفسه يُغسَّل و يُكفَّن ويُصلّى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غسل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القول في الغاسل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أولى الناس بتغسيل الميّت هو الوليّ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المماثلة أو المحرميّة في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تغسيل الرجل أو المرأة للصبي أو الصبيّة إذا كانا ابني ثلاث سنين فنازلاً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تغسيل الرجل للمرأة إذا كان محرَّماً عليها وكذا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للمالك تغسيل مملوكته الغير مزوّجة و المعتدّة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تغسيل أحد الزوجين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البلوغ والعقل والإسلام في الغاسل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وجب عليه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غسل 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القول في التحنيط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القول في التكفين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هنا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كمّيّة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القول في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مواراة الميّت المسلم ومَنْ بحكمه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الاستقبال به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وجوب الإقبار عند التعدّر</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مات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الذمّيّة الميّتة الحاملة من مسلمٍ الذي مات في بطنها في مقابر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القول في مسائل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على المسلمين وعلى الوليّ من الأُمور المتعلّقة بالميت هو نفس الفعل لا بذل المال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الكفن من صلب مال الميّت مقدّماً على الميراث والوصيّة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العبد على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الزوجة على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مات ولد الحامل في بطنها وخشي عليها من الضرر أو ماتت هي دونه و عُلم ببقائه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ابتلع الميّت مالاً خطيراً من ماله أو مغصوباً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أحدث الميّت حدثاً بعد غسله أو في أثنائه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المُحْرم كالمُحلّ في الأحكام حتّى ستر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نبش القبر عدا ما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نقل الميت بعد دفنه إلا الى المشاهد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نقل الموتى قبل دفنهم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دفن ميّتٍ في قبر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خاتمة في بعض المندوبات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القول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مسوغات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الماء إلى آخر الوقت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طلب الماء عند فقدانه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الوقت عن استعمال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الوصول إلى الماء لخوف سبعٍ أو لصٍّ</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الماء المحلَّل</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التألّم الشديد على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النفس المحترمة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العطش على النفس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المرض للمريض باستعمال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الطهارة الشرعيّة 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جواز التيمّم لمن منعه الزحام يوم الجمعة أو عرفة وقد ضاق عليه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جواز التيمّم فيما إذا أدّى استعمال الماء إلى الإفساد على المستطرقين والمارّين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القول فيما يتيمّم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بالصعيد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شرائط ما يجوز التيمّم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فقد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تراب الخزف والآجر والطين المشويّ ليس من التراب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تراب الجصّ والنورة ليسا من التراب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التيمّم بما خرج عن مسمّى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فقد المتيمّم التراب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بالوحل فيما لو فقد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لم يوجد شيء ممّا يجوز التيمّم به إلّا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القول في 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النيّة في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المباشرة في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الموالاة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 الأعضاء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الابتداء بالأعلى بالنسبة إلى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طهارة الأعضاء الماسحة والممسوحة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ضرب اليدين على الأرض باعتمادٍ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 بدل الوضوء أو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مع مسح الجبهة بباطن الكفّين الزيادة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مسح ظاهر الكفّين إلى رؤوس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أحكام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ها هنا مسائل</w:t>
      </w:r>
      <w:r>
        <w:rPr>
          <w:rFonts w:eastAsia="IRNazanin" w:cs="IRNazanin"/>
          <w:color w:val="111111"/>
          <w:sz w:val="28"/>
          <w:szCs w:val="28"/>
          <w:rtl w:val="true"/>
          <w:lang w:bidi="fa-IR"/>
        </w:rPr>
        <w:t>: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التراب ما يجرى في الماء من وجوب السعي إليه ووجوب شرائه ووجوب طلبه إلى ضيق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التراب كالماء سبب لاستباحة الصلوات المفروضة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تيمّم تيمّماً مشروعاً جازله الدخول به في كلّ مشروط بالطهارة ما لم ينتقض تيمّمه بأحد النواقض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اللبث في المساجد للمجنب المتيمّم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خامستها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التيمّم لفريضة قبل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سادستها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التيمّم بالحدث الأكبر والأصغر ووجود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سابعتها جواز تيمم واحد عن أغسال متعدّدة وعدم جواز تداخل التيمم عن وضوءات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ثامنتها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انتقاض التيمّم الصوري بالحدث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تاسعتها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التيمّم للنوم ولصلاة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عاشرتها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اجتمع ميّت ومحدث وجنب وكان عندهم ماء لا يكفي إلّا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تيمّم تيمّماً صحيحاً وصلّى مضى تيمّمه وصحّت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وجد المتيمّم الماء بعد فقده وتمكّن من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القول في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وفيها مباحث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وخرء ذي النفس السائلة ممّا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ذي نفس 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الدم والنجس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ذي النفس السائلة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البرّيّان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غير الكلب والخنزير من أنواع الحيوان غير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الكافر بجميع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ولد الزنى نجس؟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المائع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العنب إذا غلى واشتدّ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القول في المطهّرات، وهي أنواع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رابعها النار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الانقلاب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عن بدن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تاسعها زوال العين النجسة من 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من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من العصير بالشمس أو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التغيير من الماء مع اتّصاله بالمعصوم أو بلوغه 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جميع البئر مع التغيير وكذا نزح المقادير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مطهّريّة خروج دم الذبيحة لباقي الدم المتخلّف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الحجر وما شابهه المخرج 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سابع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الجلّال</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اّتصال الرطوبة بالمسلم عن كفره مطهّرة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انفصال ماء الغسالة مطهّر للرطوبة الباقية على المحلّ المغسول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القول في أحكام التطهير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تطهير البدن والثوب عن البول بالغَسْل بالماء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التعدّد في الغَسْل في غير البول من أنواع النجاسات عدا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العصر في الغَسْل بالماء القليل في الثياب وكلّ ما يمكن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العصر في بول الصبي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إزالة العين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المائع للتطهير مع بقائه على حالته وعدم تغيير صورته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تطهير ما تنفذ فيه النجاسة ولا يمكن إخراجها بالعصر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تطهير ما انتقع بالنجاسة من الحبوب واللحوم المطبوخة بالماء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فيماورد في جملةٍ من الأخبار من الأمر بالرشّ والنضح لمحتمل النجاسة أو لمظنونها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علم موضع النجاسة وما إذا جهلها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الإناء من ولوغ الكلب ثلاثاً أوّلهنّ بالتراب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الإناء من ولوغ الخنزير وشربه ولطعه ولحسه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الإناء من الخمر سبعاً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الإناء من موت الفأرة والجُرذ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الإناء من سائر النجاسات ثلاثاً أو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القول في أحكام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النجس يؤثّر في الملاقي نجاسةٌ مع الرطوبة في أحدهما القابلة للتأثير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النجاسة بالقطع على النحو المعتاد من الأشخاص وبقول صاحب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التطهير بخبر العدلين وبخبر الواحد وبخبر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إزالة النجاسة عن الثوب والبدن في الصلاة والطواف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موارد عدم وجوب إزالة النجاسة</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صلّى بالنجاسة في ثوبه أو بدنه الغير المعفو عنها عامداً أو جاهلاً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أواني الكفّار وسائر ما يستعملونه ما لم تعلم 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أواني الذهب والفضة في الأكل والشرب بل مطلق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bookmarkStart w:id="15" w:name="pg18986_203083"/>
    </w:p>
    <w:p>
      <w:pPr>
        <w:pStyle w:val="Heading2"/>
        <w:numPr>
          <w:ilvl w:val="1"/>
          <w:numId w:val="1"/>
        </w:numPr>
        <w:rPr/>
      </w:pPr>
      <w:bookmarkStart w:id="16" w:name="__RefHeading___Toc13197357_1280447820"/>
      <w:bookmarkStart w:id="17" w:name="_Toc5"/>
      <w:bookmarkEnd w:id="15"/>
      <w:bookmarkEnd w:id="16"/>
      <w:r>
        <w:rPr>
          <w:rtl w:val="true"/>
        </w:rPr>
        <w:t>مقدمة التحقيق</w:t>
      </w:r>
      <w:bookmarkEnd w:id="17"/>
    </w:p>
    <w:p>
      <w:pPr>
        <w:pStyle w:val="Heading3"/>
        <w:numPr>
          <w:ilvl w:val="2"/>
          <w:numId w:val="1"/>
        </w:numPr>
        <w:rPr/>
      </w:pPr>
      <w:bookmarkStart w:id="18" w:name="__RefHeading___Toc13197359_128044782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أنوار الفقاهة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التحقيق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برأ الخلائق أجمعين، وخصّ الإنسان من بينهم لعبادته، وجعل التفقّه في الدين من أفضل العبادة، وجعله مفتاحاً لها وسبيلاً إلى نيل السعادة الأبديّة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والسلام على حجج الله في البريّة وقادتها وهداتها محمّد وآله الطيّبين الطاهرين، خير الأنام وأفضل الكرام، سيّما مهديّ هذه الأُمّة وهاديها، وملاذها ومنجيها، الإمام الثاني عشر الحجّة ابن الحسن العسكري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محيي شريعة الإسلام، ورافع الجور والظلام، ومالئ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كتاب أنوار الفقاهة موسوعة فقهيّة استدلاليّة اشتملت على تحقيقات رشيقة؛ بل إنّه يُعدّ من النوادر الفقهيّة المهمّة، حتّى أنّ بعضهم فضّله على كتاب جواهر الكلام للشيخ محمّد حسن النجفي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وللتعريف بهذا الأثر القيّم ومؤلِّفه رتّبت هذه المقدّمة على فصلين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أنوار الفقاهة ؛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 xml:space="preserve">. </w:t>
      </w:r>
      <w:bookmarkStart w:id="20" w:name="pg18986_203086"/>
    </w:p>
    <w:p>
      <w:pPr>
        <w:pStyle w:val="Heading3"/>
        <w:numPr>
          <w:ilvl w:val="2"/>
          <w:numId w:val="1"/>
        </w:numPr>
        <w:rPr/>
      </w:pPr>
      <w:bookmarkStart w:id="21" w:name="__RefHeading___Toc13197361_1280447820"/>
      <w:bookmarkStart w:id="22" w:name="_Toc7"/>
      <w:bookmarkEnd w:id="20"/>
      <w:bookmarkEnd w:id="21"/>
      <w:r>
        <w:rPr>
          <w:rtl w:val="true"/>
        </w:rPr>
        <w:t xml:space="preserve">الفصل الأوّل </w:t>
      </w:r>
      <w:r>
        <w:rPr>
          <w:rtl w:val="true"/>
        </w:rPr>
        <w:t xml:space="preserve">: </w:t>
      </w:r>
      <w:r>
        <w:rPr>
          <w:rtl w:val="true"/>
        </w:rPr>
        <w:t>ترجمة المؤلّف</w:t>
      </w:r>
      <w:bookmarkEnd w:id="22"/>
    </w:p>
    <w:p>
      <w:pPr>
        <w:pStyle w:val="Heading4"/>
        <w:numPr>
          <w:ilvl w:val="3"/>
          <w:numId w:val="1"/>
        </w:numPr>
        <w:rPr/>
      </w:pPr>
      <w:bookmarkStart w:id="23" w:name="__RefHeading___Toc13197363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وردت ترجمة المؤلّف في كثير من كتب التراجم والتأريخ في القرنين الأخيرين، وقد كتب ولده الشيخ عبّاس آل كاشف الغطاء رسالة مستقلّة في ترجمة والده، وفيما يلي نأتي على التعريف بمصادر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الغري في أحوال الحسن الجعفري، للشيخ عبّاس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العبقات العنبريّة في الطبقات الجعفريّة ، للشيخ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الحصون المنيعة، للشيخ عليّ بن محمّد رضا آل كاشف الغطاء، المجلّد التاسع، مخطوط، نقل عنه في أعيان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الآمال،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الكتب،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علماء النجف الأشرف،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25" w:name="pg18986_203087"/>
    </w:p>
    <w:p>
      <w:pPr>
        <w:pStyle w:val="BookText"/>
        <w:rPr/>
      </w:pPr>
      <w:bookmarkEnd w:id="2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للكحّالة،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يتيمة الدهر في علماء عصر، للسيّد محمّد عليّ ابن السيّد أبي الحسن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ينقل عنه كثيراً في العبقات العنبريّة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اللآلي، للسيّد محمّد بن هاشم الهندي النجفي، مخطوط، ينقل عنه في أعيان الشيعة وماضي النجف وحاضرها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دستنوشتهای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4"/>
        <w:numPr>
          <w:ilvl w:val="3"/>
          <w:numId w:val="1"/>
        </w:numPr>
        <w:rPr/>
      </w:pPr>
      <w:bookmarkStart w:id="26" w:name="__RefHeading___Toc13197365_1280447820"/>
      <w:bookmarkStart w:id="27" w:name="_Toc9"/>
      <w:bookmarkEnd w:id="26"/>
      <w:r>
        <w:rPr>
          <w:rtl w:val="true"/>
        </w:rPr>
        <w:t>اسمه ونسبه وولادته</w:t>
      </w:r>
      <w:bookmarkEnd w:id="27"/>
    </w:p>
    <w:p>
      <w:pPr>
        <w:pStyle w:val="BookText"/>
        <w:rPr/>
      </w:pPr>
      <w:r>
        <w:rPr>
          <w:rFonts w:ascii="Amiri" w:hAnsi="Amiri" w:eastAsia="Amiri" w:cs="Amiri"/>
          <w:color w:val="111111"/>
          <w:sz w:val="28"/>
          <w:sz w:val="28"/>
          <w:szCs w:val="28"/>
          <w:rtl w:val="true"/>
          <w:lang w:bidi="ar-SA"/>
        </w:rPr>
        <w:t>هو الشيخ حسن ابن الشيخ جعفر كاشف الغطاء ابن الشيخ خضر ابن الشيخ يحيى بن مطر بن سيف الدين المالكي الجناجي النجفي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والمالكي نسبة إلى قبيلة بني مالك إحدى قبائل العراق المعروفة،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يرجع إليهم شيخنا المترجَم له، وهم طائفة كبيرة، بعضهم يقطن نواحي الشاميّة، وبعضهم نواحي الحلّة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ينتسبون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ذلك أشار السيّد صادق الأعرجي الفحّام</w:t>
      </w:r>
      <w:r>
        <w:rPr>
          <w:rStyle w:val="FootnoteAnchor"/>
          <w:rtl w:val="true"/>
        </w:rPr>
        <w:footnoteReference w:id="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يرثي بها الشيخ حسين</w:t>
      </w:r>
      <w:r>
        <w:rPr>
          <w:rStyle w:val="FootnoteAnchor"/>
          <w:rtl w:val="true"/>
        </w:rPr>
        <w:footnoteReference w:id="6"/>
      </w:r>
      <w:r>
        <w:rPr>
          <w:rFonts w:ascii="Amiri" w:hAnsi="Amiri" w:eastAsia="Amiri" w:cs="Amiri"/>
          <w:color w:val="111111"/>
          <w:sz w:val="28"/>
          <w:sz w:val="28"/>
          <w:szCs w:val="28"/>
          <w:rtl w:val="true"/>
          <w:lang w:bidi="ar-SA"/>
        </w:rPr>
        <w:t xml:space="preserve">ابن الشيخ خضر، أخا الشيخ جعفر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الزائر قبراً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للعلياء إنسان عين</w:t>
      </w:r>
    </w:p>
    <w:p>
      <w:pPr>
        <w:pStyle w:val="BookText"/>
        <w:rPr/>
      </w:pPr>
      <w:r>
        <w:rPr>
          <w:rFonts w:ascii="Amiri" w:hAnsi="Amiri" w:eastAsia="Amiri" w:cs="Amiri"/>
          <w:color w:val="111111"/>
          <w:sz w:val="28"/>
          <w:sz w:val="28"/>
          <w:szCs w:val="28"/>
          <w:rtl w:val="true"/>
          <w:lang w:bidi="ar-SA"/>
        </w:rPr>
        <w:t>يا منتمي فخراً إلى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مالكي إلّاك في المعنيين</w:t>
      </w:r>
    </w:p>
    <w:p>
      <w:pPr>
        <w:pStyle w:val="BookText"/>
        <w:rPr/>
      </w:pPr>
      <w:r>
        <w:rPr>
          <w:rFonts w:ascii="Amiri" w:hAnsi="Amiri" w:eastAsia="Amiri" w:cs="Amiri"/>
          <w:color w:val="111111"/>
          <w:sz w:val="28"/>
          <w:sz w:val="28"/>
          <w:szCs w:val="28"/>
          <w:rtl w:val="true"/>
          <w:lang w:bidi="ar-SA"/>
        </w:rPr>
        <w:t xml:space="preserve">وأمّا الجناجي فنسبة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من أعمال الحلّة، و أصل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يلفظونها جناجيا على سيرتهم في إبدال القاف جيماً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النجفي فنسبة إلى النجف الأشرف التي سكنها والده الشيخ الكبير جعفر كاشف الغطاء كما ستأتي الإشارة</w:t>
      </w:r>
      <w:r>
        <w:rPr>
          <w:rStyle w:val="FootnoteAnchor"/>
          <w:rtl w:val="true"/>
        </w:rPr>
        <w:footnoteReference w:id="8"/>
      </w:r>
      <w:r>
        <w:rPr>
          <w:rFonts w:ascii="Amiri" w:hAnsi="Amiri" w:eastAsia="Amiri" w:cs="Amiri"/>
          <w:color w:val="111111"/>
          <w:sz w:val="28"/>
          <w:sz w:val="28"/>
          <w:szCs w:val="28"/>
          <w:rtl w:val="true"/>
          <w:lang w:bidi="ar-SA"/>
        </w:rPr>
        <w:t>إلى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محمد الحسين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نسب آل كاشف الغطاء وأُصولهم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مراراً ممّن شاهدته من مشايخنا عن مشايخهم من الطبقة الثانية كمحمّد والمهديّ، عن مشايخهم من الطبقة الأُولى كعليّ والحسن ابني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كثيراً من شَيَبَة الحلّة والعذار الثقاة الأبرار، وسمعته أيضاً من مشايخ آل قاطع الساكنين في جناجية الجديدة وهذا أمر بديهي لشيوعه وتواتره بين الناس من أهل ذلك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الشيخ خضر من العشيرة المعروفة بآل عليّ، وهي طائفة كبيرة بعضهم الآن في نواحي الشاميّة، وبعضهم في نواحي الحلّة،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طوائف من سكان البوادي، يرجعون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وهو شعارهم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مبدؤهم من الحلّة والعذار؛ لأنّ مالكاً وإبراهيم من نخع الكوفة، وهما من مشاهير فرسانها وأعاظم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التقريب تكون محالّ النخع حوالي الحلّة، وهي المنازل المعروفة اليوم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جناجية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سلسلة مالك وإبراهيم ما زالت في الكوفة ونواحيها حتّى اليوم، فإنّ إبراهيم لمّا قُتل تحت راية مصعب بن الزبير جلس بمكانه ولده خولان وتقلّد أمر النخع ومن ينضمّ إليها، ثمّ تقلّدها بعده حمدان ولد خولان، ثمّ تغيّرت الأُمور وصارت الكوفة تضمحلّ شيئاً فشيئاً و تفنى يوماً فيوماً، وجعلت قبائلها تنتقل من منزل إلى منزل، وتحلّ بمكان دون مكان؛ فلحق قوم باليمن وآخرون بالحجاز، وبقيت في أطراف الكوفة شرذمة يسيرة، ومن جملتها رجال من النخع من أولاد مالك، منهم أبو النجم الذي هو ابن حمدان بن خولان بن إبراهيم ومنه تشعّبت قبائل الموالك وتسمّوا بهذا الاسم</w:t>
      </w:r>
    </w:p>
    <w:p>
      <w:pPr>
        <w:pStyle w:val="BookText"/>
        <w:rPr/>
      </w:pPr>
      <w:r>
        <w:rPr>
          <w:rFonts w:ascii="IRNazanin" w:hAnsi="IRNazanin" w:eastAsia="IRNazanin"/>
          <w:color w:val="111111"/>
          <w:sz w:val="28"/>
          <w:sz w:val="28"/>
          <w:szCs w:val="28"/>
          <w:rtl w:val="true"/>
          <w:lang w:bidi="fa-IR"/>
        </w:rPr>
        <w:t>لاضمحلال النخع وتفرّقهم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الشيخ خضر معروفاً عند أعراب الحلّة و نواحيها بأنّه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 ولده كاشف الغطاء، واشتهر أمره وذاع، وملأ البقاع والأصقاع، فاشتهر بسعيه وجِدّه، وأنسى ذكر أبيه وجَدّه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إطراء جدّه الشيخ جعفر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bookmarkStart w:id="28" w:name="pg18986_203090"/>
    </w:p>
    <w:p>
      <w:pPr>
        <w:pStyle w:val="BookText"/>
        <w:rPr/>
      </w:pPr>
      <w:bookmarkEnd w:id="28"/>
      <w:r>
        <w:rPr>
          <w:rFonts w:ascii="Amiri" w:hAnsi="Amiri" w:eastAsia="Amiri" w:cs="Amiri"/>
          <w:color w:val="111111"/>
          <w:sz w:val="28"/>
          <w:sz w:val="28"/>
          <w:szCs w:val="28"/>
          <w:rtl w:val="true"/>
          <w:lang w:bidi="ar-SA"/>
        </w:rPr>
        <w:t xml:space="preserve">وأمّا محلّ وتاريخ ولادة شيخنا المترجَم له، فقد ولد في النجف الأشرف سنة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وأرّخ ولادته الشيخ محمّد رضا النحوي بأمر والده الشيخ جعفر كاشف الغطاء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بالمولود له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أنبته الله نباتاً حسناً</w:t>
      </w:r>
      <w:r>
        <w:rPr>
          <w:rStyle w:val="FootnoteAnchor"/>
          <w:rtl w:val="true"/>
        </w:rPr>
        <w:footnoteReference w:id="10"/>
      </w:r>
    </w:p>
    <w:p>
      <w:pPr>
        <w:pStyle w:val="Heading4"/>
        <w:numPr>
          <w:ilvl w:val="3"/>
          <w:numId w:val="1"/>
        </w:numPr>
        <w:rPr/>
      </w:pPr>
      <w:bookmarkStart w:id="29" w:name="__RefHeading___Toc13197367_1280447820"/>
      <w:bookmarkStart w:id="30" w:name="_Toc10"/>
      <w:bookmarkEnd w:id="29"/>
      <w:r>
        <w:rPr>
          <w:rtl w:val="true"/>
        </w:rPr>
        <w:t>أُسرته وبيئته</w:t>
      </w:r>
      <w:bookmarkEnd w:id="30"/>
    </w:p>
    <w:p>
      <w:pPr>
        <w:pStyle w:val="BookText"/>
        <w:rPr/>
      </w:pPr>
      <w:r>
        <w:rPr>
          <w:rFonts w:ascii="IRNazanin" w:hAnsi="IRNazanin" w:eastAsia="IRNazanin"/>
          <w:color w:val="111111"/>
          <w:sz w:val="28"/>
          <w:sz w:val="28"/>
          <w:szCs w:val="28"/>
          <w:rtl w:val="true"/>
          <w:lang w:bidi="fa-IR"/>
        </w:rPr>
        <w:t>تعدّ البيئة والأُسرة من مقوّمات الشخصية لكلّ فرد، وهي التي ترسم معالمها وتخطّط لها، وبناءً على هذا فإنّ شيخنا المؤلّف قد حُظي من ذلك كلّه بالنصيب الأوفى ونال منها الحظّ الأوفر،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البيئة نشأ في بيئة علميّة أدبيّة لا نظير لها، ألا وهي بيئة النجف الأشرف الحاضرة العلميّة الكبرى للشيعة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حيث الأُسرة ينحدر من أُسرة علميّة شريفة، أُسرة عربيّة عريقة معروفة بالعلم والتقوى والزعامة الدينيّة، بل تعدّ من ألمع الأُسر العلميّة والأدبيّة في العراق؛ حيث تتمتّع بالكثير من أعلام الأُمّة ورجالاتها، وقد استلم الكثير منهم أزمّة الأُمور الدينيّة والسياسية للمجتمع العراقي، وعلى رأسهم والده الشيخ الكبير 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نبذة مختصرة عن حياة والده وجدّه وبعض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جعفر ابن الشيخ خضر بن يحيى بن مطر بن سيف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الحصون في حدود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هـ، وهو أبو الأُسرة الجعفريّة وعنوانها، وشيخ الطائفة في عصره عند الإماميّة في الأقطار الإسلاميّة عامّة والعراق وإيران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حقّه تلميذه وصهره المحقّق التستري في كتابه مقابس الأنوار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السعيد، الشيخ الأعظم، الأعلم الأعصم، قدوة الأنام، سيف الإسلام، عَلَم الأعلام، علّامة العلماء الكرام، خرّيت طريق التحقيق والتدقيق، مالك أزمة الفضل بالنظر الدقيق، مهذّب مسائل الدين الوثيق، مقرّب مقاصد الشريعة من كلّ فجٍّ عميق، </w:t>
      </w:r>
    </w:p>
    <w:p>
      <w:pPr>
        <w:pStyle w:val="BookText"/>
        <w:rPr/>
      </w:pPr>
      <w:r>
        <w:rPr>
          <w:rFonts w:ascii="Amiri" w:hAnsi="Amiri" w:eastAsia="Amiri" w:cs="Amiri"/>
          <w:color w:val="111111"/>
          <w:sz w:val="28"/>
          <w:sz w:val="28"/>
          <w:szCs w:val="28"/>
          <w:rtl w:val="true"/>
          <w:lang w:bidi="ar-SA"/>
        </w:rPr>
        <w:t>وحيد العصر وفريد الدهر ومدار الفصل والوصل، ومنار الفخر والفضل، خاتمة المجتهدين وأُسوة الأفاضل المعتمدين، وحامي بيضة الدين، وماحي آثار المفسدين، بدر النجوم، بحر العلوم، المؤيّد المسدّد من الحيّ القيّوم، شيخي وأُستاذي ومعتمدي واستنادي وجدّ أولادي الموفّقين المحروسين المهديّين بعين عناية الله الباري الهادي، الأجل، الرضي المرضي، الذكي الوفي الصفي، الخائض المغمور في عواطف بحار لطف الله الجلي الخفي، الشيخ جعفر ابن المرحوم المبرور الشيخ خضر النجفي، أدام الله ظلّه العالي على رؤوس العالمين، وزيّن به كراسي العلم للعالمين، وجزاه الله عنّي يوم الدين خير جزاء المحسنين العاملين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وقد ذكره الكثير من الرجاليّين و الأُدباء وغيرهم، وهو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خضر ابن الشيخ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النوري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 خضر من الفقهاء، المتبتّلين و الزهّاد المعروفين، وعلماء عصره كانوا يزدحمون على الصلاة خلفه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ابنه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بالصلاح والتقوى والفضيلة، وكان الفضلاء والعلماء يتزاحمون على الصلاة خلفه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هـ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لشيخنا المترجَم له ثلاثة إخوة لأُمّه وأبيه كلّهم أكبر منه،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موسى كاشف الغطاء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أجلّ أنجال الشيخ الكبير الأربعة شأناً، وأنبههم ذكراً، وأعلاهم صيتاً، وأرفعهم </w:t>
      </w:r>
    </w:p>
    <w:p>
      <w:pPr>
        <w:pStyle w:val="BookText"/>
        <w:rPr/>
      </w:pPr>
      <w:r>
        <w:rPr>
          <w:rFonts w:ascii="Amiri" w:hAnsi="Amiri" w:eastAsia="Amiri" w:cs="Amiri"/>
          <w:color w:val="111111"/>
          <w:sz w:val="28"/>
          <w:sz w:val="28"/>
          <w:szCs w:val="28"/>
          <w:rtl w:val="true"/>
          <w:lang w:bidi="ar-SA"/>
        </w:rPr>
        <w:t>جاهاً، وأطولهم باعاً في العلوم الفقهيّة، وأخبرهم بفنون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خلّاقاً للفقه بصيراً بقوانينه، لم تبصر نظيره الأيّام، وكان أبوه يقدّمه في الفقه على من عدا المحقّق والشهيد، وكان من المبرّزين في العلم والفضل مدقّقاً، فهو علّامة عصره و فريد دهره، فقيه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وولدي موسى والشهيد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محمّد حسن ياسين والسيّد عليّ الطباطبائي وغيرهما من العلماء يفضّلونه على أبيه في الدقّة والمتانة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إليه المرجعيّة العامّة بعد والده، فهو الزعيم الديني المطاع والعلّامة الذي ملأ صيته الأصقاع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بمرض البواسير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هـ عن عمر قارب الستّين عاماً، ودُفن في مقبرتهم مع أبيه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كاشف الغطاء</w:t>
      </w:r>
    </w:p>
    <w:p>
      <w:pPr>
        <w:pStyle w:val="BookText"/>
        <w:rPr/>
      </w:pPr>
      <w:r>
        <w:rPr>
          <w:rFonts w:ascii="Amiri" w:hAnsi="Amiri" w:eastAsia="Amiri" w:cs="Amiri"/>
          <w:color w:val="111111"/>
          <w:sz w:val="28"/>
          <w:sz w:val="28"/>
          <w:szCs w:val="28"/>
          <w:rtl w:val="true"/>
          <w:lang w:bidi="ar-SA"/>
        </w:rPr>
        <w:t>وقد كان عالماً فاضلاً تقيّاً ورعاً، زاهداً مجتهداً، ثقة عدلاً، جليل القدر،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انتهت الرئاسة العلميّة، ورجعت إليه الفتيا والقضاء بعد أخيه الشيخ موسى، من كافّة الأقطار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الذكر، دائم العبادة، مواظباً على الطاعات، وآمراً بالمعروف، ناهياً عن المنكر، له مناقب جمّة وكرامات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والده الشيخ الكبير يعظّمه كثيراً ويفدّيه بنفسه كما تشعر بذلك رسالته الحقّ المبين في ردّ الأخباريّين التي كتبها في إصفهان باستدعاء ولده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في الخيارات، ورسالة في حجّيّة الظنّ مفصّلاً، والقطع والبراءة والاحتياط، وله رسائل كثيرة 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في كربلاء فجأة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هـ، وحمل إلى النجف الأشرف ودفن مع آبائه في مقبرتهم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كاشف الغطاء</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هـ، أرّخ عام ولادته الشيخ محمّدرضا النحوي بأبيات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وادعوا مؤرّخاً أيا قرّة عين جعفرٍ</w:t>
      </w:r>
    </w:p>
    <w:p>
      <w:pPr>
        <w:pStyle w:val="BookText"/>
        <w:rPr/>
      </w:pPr>
      <w:r>
        <w:rPr>
          <w:rFonts w:ascii="Amiri" w:hAnsi="Amiri" w:eastAsia="Amiri" w:cs="Amiri"/>
          <w:color w:val="111111"/>
          <w:sz w:val="28"/>
          <w:sz w:val="28"/>
          <w:szCs w:val="28"/>
          <w:rtl w:val="true"/>
          <w:lang w:bidi="ar-SA"/>
        </w:rPr>
        <w:t>وكان من أعيان العصر ووجهاء زمانه، وهو المقدّم في الطائفة الجعفريّة بعد أبيه وأخويه الشيخ موسى والشيخ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بعد وفاة والده إلى الحلّة، وكانت له الرئاسة بها، وتوفّي فيها في الطاعون الذي عمّ العراق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هـ في حياة أخيه الشيخ عليّ وحمل جثمانه إلى النجف ودفن مع آبائه في مقبرتهم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المشهور والمعروف أنّ للشيخ الكبير أربعة أولاد بما فيهم شيخنا المترجَم له، ولكنّ الشيخ محمّد الحسين آل كاشف الغطاء قال في كتابه العبقات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لأولاد الشيخ جعفر الكبير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الذين ذكرناهم من أولاد الشيخ الكبير من أُمّ واحدة، وحيث إنّهم هم العمدة من أولاده، ومحلّ وثوقه واعتماده الذين قاموا مقامه، وأحيوا ذكره، ورفعوا في العلم أعلامه، فلهذا اقتصرنا عليهم، وإن كان له غيرهم من الأولاد من أُمّهات متعدّدة، وكأنّهم لم يكونوا بشيء عند أبيهم، ولهذا أوقف دوره على موسى ومحمّد وعليّ والحسن وذرّيّتهم، ولم يشرك من أولاده معهم في ذلك أحداً، إلّا الشيخ عيسى، فإنّه اشترط له السكني مدّة حياته معهم، ولا يتعدّى إلى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عيسى ابن الشيخ الكبير، وقال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عيسى هذا من العلماء البررة على ما سمعنا، ووجدنا في بعض الأشعار ذكره ومدحه بذلك، وأنّه من السالكين بتلك الشعوب والمسالك</w:t>
      </w:r>
      <w:r>
        <w:rPr>
          <w:rFonts w:eastAsia="Amiri" w:cs="Amiri" w:ascii="Amiri" w:hAnsi="Amiri"/>
          <w:color w:val="111111"/>
          <w:sz w:val="28"/>
          <w:szCs w:val="28"/>
          <w:rtl w:val="true"/>
          <w:lang w:bidi="ar-SA"/>
        </w:rPr>
        <w:t xml:space="preserve">. </w:t>
      </w:r>
      <w:bookmarkStart w:id="31" w:name="pg18986_203094"/>
    </w:p>
    <w:p>
      <w:pPr>
        <w:pStyle w:val="BookText"/>
        <w:rPr/>
      </w:pPr>
      <w:bookmarkEnd w:id="31"/>
      <w:r>
        <w:rPr>
          <w:rFonts w:ascii="Amiri" w:hAnsi="Amiri" w:eastAsia="Amiri" w:cs="Amiri"/>
          <w:color w:val="111111"/>
          <w:sz w:val="28"/>
          <w:sz w:val="28"/>
          <w:szCs w:val="28"/>
          <w:rtl w:val="true"/>
          <w:lang w:bidi="ar-SA"/>
        </w:rPr>
        <w:t xml:space="preserve">ثمّ ذكر أبياتاً أنشدها فيه السيد محمّد علي ابن السيّد أبي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مدّة حياته وزمان وفاته، وظنّي أنّه توفّي أيّام أخيه الشيخ حسن، وأعقب ولداً يسمّى جواد الأقرع</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3197369_1280447820"/>
      <w:bookmarkStart w:id="33" w:name="_Toc11"/>
      <w:bookmarkEnd w:id="32"/>
      <w:r>
        <w:rPr>
          <w:rtl w:val="true"/>
        </w:rPr>
        <w:t>حياته العلميّة</w:t>
      </w:r>
      <w:bookmarkEnd w:id="33"/>
    </w:p>
    <w:p>
      <w:pPr>
        <w:pStyle w:val="BookText"/>
        <w:rPr/>
      </w:pPr>
      <w:r>
        <w:rPr>
          <w:rFonts w:ascii="IRNazanin" w:hAnsi="IRNazanin" w:eastAsia="IRNazanin"/>
          <w:color w:val="111111"/>
          <w:sz w:val="28"/>
          <w:sz w:val="28"/>
          <w:szCs w:val="28"/>
          <w:rtl w:val="true"/>
          <w:lang w:bidi="fa-IR"/>
        </w:rPr>
        <w:t>نشأ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وترعرع في ربوع النجف الأشرف ورحابه، حيث مثوى باب مدينة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ربّاني الأُمّة وإمام الأئمّة، إمام المتقّين وقدوة أهل النهى واليقين، ذاك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تعدّ حاضرة الشيعة العلميّة الكبرى ما يربو على الألف سنة، ومن أهمّ مراكز العلم الشهيرة في العالم العربي والإسلامي، وقد أنجبت الأُلوف من العلماء والأُدباء، وأنتجت الأُلوف ضعف الأُلوف من الكتب العلميّة والأدبيّة، وفي التاريخ والسيرة وغيرها، وكانت حافلة بمجالس العلم والأدب والمذاكرة، كثيرة المدارس العلميّة، كما أنّ النجف الأشرف ساهمت مساهمة قياديّة وفعّالة في حوادث وقضايا إسلاميّة لا تعدّ ولا تحصى، فكانت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عطف في تاريخ الأُمّة الإسلاميّة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هذه المدينة المقدّسة ولد الشيخ حسن ابن الشيخ جعفر كاشف الغطاء، وفيها نشأ وترعرع، فالتحق بحوزتها العلميّة، وتدرّج فيها في دراسته مكبّاً على تحصيل العلوم الدينيّة، فأحرز المعقول والمنقول في صباه، إلى أن صار فقيه عصره وعلّامة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محسن الملقّب بخنفر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العلماء المجتهدين المقلَّدين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لا أرى أفضل منه في المتقدّمين ولا في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يوماً عنه وعن أبيه كاشف الغطاء،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اجتهد وعمل برأيه قبل أن يكمل العشرين من عمره الشريف، واجتهد في العبادة حتّى نال منها القدح المهنا</w:t>
      </w:r>
      <w:r>
        <w:rPr>
          <w:rFonts w:eastAsia="Amiri" w:cs="Amiri" w:ascii="Amiri" w:hAnsi="Amiri"/>
          <w:color w:val="111111"/>
          <w:sz w:val="28"/>
          <w:szCs w:val="28"/>
          <w:rtl w:val="true"/>
          <w:lang w:bidi="ar-SA"/>
        </w:rPr>
        <w:t xml:space="preserve">... </w:t>
      </w:r>
      <w:bookmarkStart w:id="34" w:name="pg18986_203095"/>
    </w:p>
    <w:p>
      <w:pPr>
        <w:pStyle w:val="BookText"/>
        <w:rPr/>
      </w:pPr>
      <w:bookmarkEnd w:id="34"/>
      <w:r>
        <w:rPr>
          <w:rFonts w:ascii="Amiri" w:hAnsi="Amiri" w:eastAsia="Amiri" w:cs="Amiri"/>
          <w:color w:val="111111"/>
          <w:sz w:val="28"/>
          <w:sz w:val="28"/>
          <w:szCs w:val="28"/>
          <w:rtl w:val="true"/>
          <w:lang w:bidi="ar-SA"/>
        </w:rPr>
        <w:t xml:space="preserve">ارتحل في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المشهورة، التي تقطن شطّ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الحلّة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ضيفاً على زعيم القبيلة الشيخ حمد آل نهر، وتزوّج بابنته وأقام عنده أكثر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يؤلّف أنوار الفقاهة فأتمّ عنده الرهن إلى آخر الوصيّة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 أخوه الشيخ محمّد في طاعون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طلب أهل الحلّة وما تبعها من العلّامة الشيخ عليّ ابن الشيخ جعفر الكبير أن يرسل إليهم عالماً يرجعون إليه في أُمورهم ومسائلهم ومشاكلهم، فقرّ رأيه على إرسال أخيه المترجم، فبعثه إليهم، ولم يزل مقيماً هناك مؤديّاً لوظائفه بأحسن أداء ناشراً علوم أهل البيت بين محبّيهم وأتباعهم، حاملاً هموم الدين راعياً للفقراء والمساكين، هادياً للضالّين والسائلين، متّبعاً معهم أخلاق الأنبياء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هناك على هذه الحالة إلى أن توفّي أخوه الشيخ عليّ في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فعاد إلى النجف الأشرف، وحلّ محلّ أخيه، وأشغل منصّة التدريس وتصدّى للزعامة الدينيّة أيّام رئاسة سميّه الفقيه الأكبر الشيخ محمّد حسن النجفي صاحب الجواهر</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197371_1280447820"/>
      <w:bookmarkStart w:id="36" w:name="_Toc12"/>
      <w:bookmarkEnd w:id="35"/>
      <w:r>
        <w:rPr>
          <w:rtl w:val="true"/>
        </w:rPr>
        <w:t>أقوال العلماء فيه</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أُسرة كاشف الغطاء وأنّها تعدّ من أُسر العلم ودوحة من دوحات الفضل، وقد برز من هذه الأُسرة رجال حازوا أعلى مراتب الزعامة حتّى حكمت أقلامهم على أسياف الملوك، وسمت عمائمهم على تيجان سلاطين الدهر وملوك العصر، فهم علماء وقادة ورثوا العلم أباً عن جدّ، ومن بين هؤلاء الأعلام المشاهير الشيخ حسن كاشف الغطاء، فقد كان عَلَماً في الفقه ومناراً في الأصول، زاهداً عابداً،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عظيم من حسن الخلق وطيب المفاكهة، لا تحصى مفاخره، ولا تستقصى مآثره، فقد ذُكر في كثير من الكتب، و ذكرته الكثير من إجازات المتأخّرين، وأطراه جماعة من العلماء، وأثنى عليه كبار الفقهاء والمجتهدين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صاحب قصص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الشيخ حسن فقيهاً كاملاً، وقد حضرت بعض مجالس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وباعتقادي أنّه كان متقدّماً على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إحاطته بعلم الأُصول، ويده الطولى في علم الكلام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روضات الجنّات عند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مفخر فقهاء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المتفرّد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علماء زماننا وكبراء نبلاء أواننا، منتهياً إليه أمر الفقاهة في الدين ورئاسة سلسلة العلماء المجتهدين، سهيماً لسميّه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 أُشير إليه من المراتب، و قسيماً له في غالب ما أُقيم عليه من المناصب، بل هو عند العرب الشيعة أكثر احتراماً وأجلّ مقاماً، و يقيم الجماعة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والده المرحوم و يصلّي خلفه الخلق الكثير، ويدرّس الفقه في منزله المقدّس بالنجف الأقدس الأشرف بلسانه العربي المبين، ويذكر أيضاً أنّ حوزته الباهرة في هذه الأواخر أجمع و أوسع و أسد و أنفع من سائر مدارس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غاية تسلّطه في الفن ومهارته العجيبة أنّه ليس يتأمّل في مسألة كثيراً، بل يمشي سريعاً، ويطوي مراحل الفقه بأهون ما يكون، وأحسن ما 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قبل وفاة أخيه الشيخ عليّ بن جعفر الفقيه قاطناً أرض الحلّة المحروسة، ثمّ انتقل من بعده إلى ذلك المقام المحمود لخلافة الماضين والقيام بحقّ الرئاسة في الدين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القمّي في الفوائد الرضوية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فتى العلم وكهله وبيت الفضل وأهله ، معدن المعارف وكنز الإفادة، وكعبة الفضائل وقبلةُ الوفادة، مفخر فقهاء الدهور، الفقيه المتفرّد المشهور،صاحب شرح مقدّمات کشف الغطاء</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المحدّث النوري في خاتمة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الراسخين الزاهدين المواظبين على السنن والآداب، ومعظّمي الشعائر،الداعين إلى الله تعالى بالأقوال والأفعال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علّامة فاضلاً ثقة تقيّاً ورعاً محتاطاً، لا نظير له في زمانه في الاقتدار في التفريع والتصويب في مسائل الفقه، وفي حسن الخلق والأدب والوجاهة عند المؤالف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صلاتي خلفه أيّام حياته، وتقليدي ورجوعي في الفتاوى إليه، وكانت الرئاسة العلميّة الدينيّة والدنيوية لأخيه الشيخ عليّ</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إلى آخر ما قاله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حسن الصدر في التكملة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فقيه الشيعة في زمانه، وأُستاذ الشيوخ، وشيخ مشايخنا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تلميذه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أفقه من الشيخ صاحب الجواهر، وكان في غاية التقوى والورع والزهد وترويج العلم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مدحه الأديب الماهر والشاعر الكامل ذو الأدب البارع الشيخ عبد الحسين محيي الدين بقصيدة فريدة يهنّيه بعيد الفطر،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ابن جعفر عن معناك يا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أنّهُ في الدهر موجودُ</w:t>
      </w:r>
    </w:p>
    <w:p>
      <w:pPr>
        <w:pStyle w:val="BookText"/>
        <w:rPr/>
      </w:pPr>
      <w:r>
        <w:rPr>
          <w:rFonts w:ascii="Amiri" w:hAnsi="Amiri" w:eastAsia="Amiri" w:cs="Amiri"/>
          <w:color w:val="111111"/>
          <w:sz w:val="28"/>
          <w:sz w:val="28"/>
          <w:szCs w:val="28"/>
          <w:rtl w:val="true"/>
          <w:lang w:bidi="ar-SA"/>
        </w:rPr>
        <w:t>تمرّ في كلِّ عام مرّتين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لنا من يُمنه عيدُ</w:t>
      </w:r>
    </w:p>
    <w:p>
      <w:pPr>
        <w:pStyle w:val="BookText"/>
        <w:rPr/>
      </w:pPr>
      <w:r>
        <w:rPr>
          <w:rFonts w:ascii="Amiri" w:hAnsi="Amiri" w:eastAsia="Amiri" w:cs="Amiri"/>
          <w:color w:val="111111"/>
          <w:sz w:val="28"/>
          <w:sz w:val="28"/>
          <w:szCs w:val="28"/>
          <w:rtl w:val="true"/>
          <w:lang w:bidi="ar-SA"/>
        </w:rPr>
        <w:t>زانتْ ببهجته أيّامُنا وغدتْ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بطلعته ليلاتُنا السودُ</w:t>
      </w:r>
    </w:p>
    <w:p>
      <w:pPr>
        <w:pStyle w:val="BookText"/>
        <w:rPr/>
      </w:pPr>
      <w:r>
        <w:rPr>
          <w:rFonts w:ascii="Amiri" w:hAnsi="Amiri" w:eastAsia="Amiri" w:cs="Amiri"/>
          <w:color w:val="111111"/>
          <w:sz w:val="28"/>
          <w:sz w:val="28"/>
          <w:szCs w:val="28"/>
          <w:rtl w:val="true"/>
          <w:lang w:bidi="ar-SA"/>
        </w:rPr>
        <w:t>ها نحنُ عيلتُهُ الباقون يشملُنا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مدى الدهر من نعماهُ ممدودُ</w:t>
      </w:r>
    </w:p>
    <w:p>
      <w:pPr>
        <w:pStyle w:val="BookText"/>
        <w:rPr/>
      </w:pPr>
      <w:r>
        <w:rPr>
          <w:rFonts w:ascii="Amiri" w:hAnsi="Amiri" w:eastAsia="Amiri" w:cs="Amiri"/>
          <w:color w:val="111111"/>
          <w:sz w:val="28"/>
          <w:sz w:val="28"/>
          <w:szCs w:val="28"/>
          <w:rtl w:val="true"/>
          <w:lang w:bidi="ar-SA"/>
        </w:rPr>
        <w:t>ذو غرّة يستهلُّ الناس 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w:t>
      </w:r>
    </w:p>
    <w:p>
      <w:pPr>
        <w:pStyle w:val="BookText"/>
        <w:rPr/>
      </w:pPr>
      <w:r>
        <w:rPr>
          <w:rFonts w:ascii="Amiri" w:hAnsi="Amiri" w:eastAsia="Amiri" w:cs="Amiri"/>
          <w:color w:val="111111"/>
          <w:sz w:val="28"/>
          <w:sz w:val="28"/>
          <w:szCs w:val="28"/>
          <w:rtl w:val="true"/>
          <w:lang w:bidi="ar-SA"/>
        </w:rPr>
        <w:t>خلّان أوفاهما المُوفي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وهو مشكورٌ و محمودٌ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الدهر والهادي بنهج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علمٍ لأهل الفضل مورودُ </w:t>
      </w:r>
      <w:bookmarkStart w:id="37" w:name="pg18986_203098"/>
    </w:p>
    <w:p>
      <w:pPr>
        <w:pStyle w:val="BookText"/>
        <w:rPr/>
      </w:pPr>
      <w:bookmarkEnd w:id="37"/>
      <w:r>
        <w:rPr>
          <w:rFonts w:ascii="Amiri" w:hAnsi="Amiri" w:eastAsia="Amiri" w:cs="Amiri"/>
          <w:color w:val="111111"/>
          <w:sz w:val="28"/>
          <w:sz w:val="28"/>
          <w:szCs w:val="28"/>
          <w:rtl w:val="true"/>
          <w:lang w:bidi="ar-SA"/>
        </w:rPr>
        <w:t>ومُدركٌ في مراقي العلم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بها وهو مغبوطٌ ومحسود ُ</w:t>
      </w:r>
    </w:p>
    <w:p>
      <w:pPr>
        <w:pStyle w:val="BookText"/>
        <w:rPr/>
      </w:pPr>
      <w:r>
        <w:rPr>
          <w:rFonts w:ascii="Amiri" w:hAnsi="Amiri" w:eastAsia="Amiri" w:cs="Amiri"/>
          <w:color w:val="111111"/>
          <w:sz w:val="28"/>
          <w:sz w:val="28"/>
          <w:szCs w:val="28"/>
          <w:rtl w:val="true"/>
          <w:lang w:bidi="ar-SA"/>
        </w:rPr>
        <w:t>مؤيّدٌ بالهُدى من ربِّهِ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لشرعة الملّة الغرّاءِ تأييدُ</w:t>
      </w:r>
    </w:p>
    <w:p>
      <w:pPr>
        <w:pStyle w:val="BookText"/>
        <w:rPr/>
      </w:pPr>
      <w:r>
        <w:rPr>
          <w:rFonts w:ascii="Amiri" w:hAnsi="Amiri" w:eastAsia="Amiri" w:cs="Amiri"/>
          <w:color w:val="111111"/>
          <w:sz w:val="28"/>
          <w:sz w:val="28"/>
          <w:szCs w:val="28"/>
          <w:rtl w:val="true"/>
          <w:lang w:bidi="ar-SA"/>
        </w:rPr>
        <w:t>أهوى لكشف الغطا عن كُلِّ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 يقرنُهُ نصٌّ وتسديدُ</w:t>
      </w:r>
    </w:p>
    <w:p>
      <w:pPr>
        <w:pStyle w:val="BookText"/>
        <w:rPr/>
      </w:pPr>
      <w:r>
        <w:rPr>
          <w:rFonts w:ascii="Amiri" w:hAnsi="Amiri" w:eastAsia="Amiri" w:cs="Amiri"/>
          <w:color w:val="111111"/>
          <w:sz w:val="28"/>
          <w:sz w:val="28"/>
          <w:szCs w:val="28"/>
          <w:rtl w:val="true"/>
          <w:lang w:bidi="ar-SA"/>
        </w:rPr>
        <w:t>فكم له فيهِ توضيحُ البيان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العلم والأحكام تمهيدُ</w:t>
      </w:r>
    </w:p>
    <w:p>
      <w:pPr>
        <w:pStyle w:val="BookText"/>
        <w:rPr/>
      </w:pPr>
      <w:r>
        <w:rPr>
          <w:rFonts w:ascii="Amiri" w:hAnsi="Amiri" w:eastAsia="Amiri" w:cs="Amiri"/>
          <w:color w:val="111111"/>
          <w:sz w:val="28"/>
          <w:sz w:val="28"/>
          <w:szCs w:val="28"/>
          <w:rtl w:val="true"/>
          <w:lang w:bidi="ar-SA"/>
        </w:rPr>
        <w:t>آثارُهُ غُررٌ في الدهر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معجزهِ في الناس مَشهودُ</w:t>
      </w:r>
    </w:p>
    <w:p>
      <w:pPr>
        <w:pStyle w:val="BookText"/>
        <w:rPr/>
      </w:pPr>
      <w:r>
        <w:rPr>
          <w:rFonts w:ascii="Amiri" w:hAnsi="Amiri" w:eastAsia="Amiri" w:cs="Amiri"/>
          <w:color w:val="111111"/>
          <w:sz w:val="28"/>
          <w:sz w:val="28"/>
          <w:szCs w:val="28"/>
          <w:rtl w:val="true"/>
          <w:lang w:bidi="ar-SA"/>
        </w:rPr>
        <w:t>ذو همّة في مناط النجم أخمصُها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بها فوق قَرن الشمسِ تشييدُ</w:t>
      </w:r>
    </w:p>
    <w:p>
      <w:pPr>
        <w:pStyle w:val="BookText"/>
        <w:rPr/>
      </w:pPr>
      <w:r>
        <w:rPr>
          <w:rFonts w:ascii="Amiri" w:hAnsi="Amiri" w:eastAsia="Amiri" w:cs="Amiri"/>
          <w:color w:val="111111"/>
          <w:sz w:val="28"/>
          <w:sz w:val="28"/>
          <w:szCs w:val="28"/>
          <w:rtl w:val="true"/>
          <w:lang w:bidi="ar-SA"/>
        </w:rPr>
        <w:t xml:space="preserve">هذا بقيّة موسى والعصا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منه تعاطى لَثمَها الصيدُ</w:t>
      </w:r>
    </w:p>
    <w:p>
      <w:pPr>
        <w:pStyle w:val="BookText"/>
        <w:rPr/>
      </w:pPr>
      <w:r>
        <w:rPr>
          <w:rFonts w:ascii="Amiri" w:hAnsi="Amiri" w:eastAsia="Amiri" w:cs="Amiri"/>
          <w:color w:val="111111"/>
          <w:sz w:val="28"/>
          <w:sz w:val="28"/>
          <w:szCs w:val="28"/>
          <w:rtl w:val="true"/>
          <w:lang w:bidi="ar-SA"/>
        </w:rPr>
        <w:t>من جعفر الفضل إلّا أنَّ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وفيها لذكر الخضرِ تخليدُ</w:t>
      </w:r>
    </w:p>
    <w:p>
      <w:pPr>
        <w:pStyle w:val="BookText"/>
        <w:rPr/>
      </w:pPr>
      <w:r>
        <w:rPr>
          <w:rFonts w:ascii="Amiri" w:hAnsi="Amiri" w:eastAsia="Amiri" w:cs="Amiri"/>
          <w:color w:val="111111"/>
          <w:sz w:val="28"/>
          <w:sz w:val="28"/>
          <w:szCs w:val="28"/>
          <w:rtl w:val="true"/>
          <w:lang w:bidi="ar-SA"/>
        </w:rPr>
        <w:t>ذلّت أكاسرةُ الفُرسِ الكرام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والتوى من قيصرٍ جِيدُ</w:t>
      </w:r>
    </w:p>
    <w:p>
      <w:pPr>
        <w:pStyle w:val="BookText"/>
        <w:rPr/>
      </w:pPr>
      <w:r>
        <w:rPr>
          <w:rFonts w:ascii="Amiri" w:hAnsi="Amiri" w:eastAsia="Amiri" w:cs="Amiri"/>
          <w:color w:val="111111"/>
          <w:sz w:val="28"/>
          <w:sz w:val="28"/>
          <w:szCs w:val="28"/>
          <w:rtl w:val="true"/>
          <w:lang w:bidi="ar-SA"/>
        </w:rPr>
        <w:t>والعالمون تحاموا قدره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منه إقليدٌ و تقليدُ</w:t>
      </w:r>
    </w:p>
    <w:p>
      <w:pPr>
        <w:pStyle w:val="BookText"/>
        <w:rPr/>
      </w:pPr>
      <w:r>
        <w:rPr>
          <w:rFonts w:ascii="Amiri" w:hAnsi="Amiri" w:eastAsia="Amiri" w:cs="Amiri"/>
          <w:color w:val="111111"/>
          <w:sz w:val="28"/>
          <w:sz w:val="28"/>
          <w:szCs w:val="28"/>
          <w:rtl w:val="true"/>
          <w:lang w:bidi="ar-SA"/>
        </w:rPr>
        <w:t>وأمَّهُم منه معقوداً عليه 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قومه الماضين معقودُ</w:t>
      </w:r>
    </w:p>
    <w:p>
      <w:pPr>
        <w:pStyle w:val="BookText"/>
        <w:rPr/>
      </w:pPr>
      <w:r>
        <w:rPr>
          <w:rFonts w:ascii="Amiri" w:hAnsi="Amiri" w:eastAsia="Amiri" w:cs="Amiri"/>
          <w:color w:val="111111"/>
          <w:sz w:val="28"/>
          <w:sz w:val="28"/>
          <w:szCs w:val="28"/>
          <w:rtl w:val="true"/>
          <w:lang w:bidi="ar-SA"/>
        </w:rPr>
        <w:t>و مذ رآه الورى أهلاً ليكفلهم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من الكُلِّ في كفّيه إقليدُ</w:t>
      </w:r>
    </w:p>
    <w:p>
      <w:pPr>
        <w:pStyle w:val="BookText"/>
        <w:rPr/>
      </w:pPr>
      <w:r>
        <w:rPr>
          <w:rFonts w:ascii="Amiri" w:hAnsi="Amiri" w:eastAsia="Amiri" w:cs="Amiri"/>
          <w:color w:val="111111"/>
          <w:sz w:val="28"/>
          <w:sz w:val="28"/>
          <w:szCs w:val="28"/>
          <w:rtl w:val="true"/>
          <w:lang w:bidi="ar-SA"/>
        </w:rPr>
        <w:t>يا كعبةَ الوافد الراجي وأكرمَ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لساحته المُهريّةُ القُودُ</w:t>
      </w:r>
    </w:p>
    <w:p>
      <w:pPr>
        <w:pStyle w:val="BookText"/>
        <w:rPr/>
      </w:pPr>
      <w:r>
        <w:rPr>
          <w:rFonts w:ascii="Amiri" w:hAnsi="Amiri" w:eastAsia="Amiri" w:cs="Amiri"/>
          <w:color w:val="111111"/>
          <w:sz w:val="28"/>
          <w:sz w:val="28"/>
          <w:szCs w:val="28"/>
          <w:rtl w:val="true"/>
          <w:lang w:bidi="ar-SA"/>
        </w:rPr>
        <w:t>سمعاً وُقِيتَ الردى منّي لئالئ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بأمثالها البيضُ الرعاديدُ</w:t>
      </w:r>
    </w:p>
    <w:p>
      <w:pPr>
        <w:pStyle w:val="BookText"/>
        <w:rPr/>
      </w:pPr>
      <w:r>
        <w:rPr>
          <w:rFonts w:ascii="Amiri" w:hAnsi="Amiri" w:eastAsia="Amiri" w:cs="Amiri"/>
          <w:color w:val="111111"/>
          <w:sz w:val="28"/>
          <w:sz w:val="28"/>
          <w:szCs w:val="28"/>
          <w:rtl w:val="true"/>
          <w:lang w:bidi="ar-SA"/>
        </w:rPr>
        <w:t>أقضى بها حقّ نعماء مننت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يزينها فيك إطراء وتمجيدٌ</w:t>
      </w:r>
    </w:p>
    <w:p>
      <w:pPr>
        <w:pStyle w:val="BookText"/>
        <w:rPr/>
      </w:pPr>
      <w:r>
        <w:rPr>
          <w:rFonts w:ascii="Amiri" w:hAnsi="Amiri" w:eastAsia="Amiri" w:cs="Amiri"/>
          <w:color w:val="111111"/>
          <w:sz w:val="28"/>
          <w:sz w:val="28"/>
          <w:szCs w:val="28"/>
          <w:rtl w:val="true"/>
          <w:lang w:bidi="ar-SA"/>
        </w:rPr>
        <w:t>فاسلم على أمد الأيّام في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 خالصها ريب وتنكيبٌ</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إلى غير ذلك من الكلمات الواردة في حقّه، وقد أطراه كلّ من ذكره بكلّ جميل وأثنوا على مآثره الجليلة</w:t>
      </w:r>
      <w:r>
        <w:rPr>
          <w:rStyle w:val="FootnoteAnchor"/>
          <w:rtl w:val="true"/>
        </w:rPr>
        <w:footnoteReference w:id="28"/>
      </w:r>
      <w:r>
        <w:rPr>
          <w:rFonts w:ascii="Amiri" w:hAnsi="Amiri" w:eastAsia="Amiri" w:cs="Amiri"/>
          <w:color w:val="111111"/>
          <w:sz w:val="28"/>
          <w:sz w:val="28"/>
          <w:szCs w:val="28"/>
          <w:rtl w:val="true"/>
          <w:lang w:bidi="ar-SA"/>
        </w:rPr>
        <w:t>، فللّه درّه وعليه أجره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197373_1280447820"/>
      <w:bookmarkStart w:id="39" w:name="_Toc13"/>
      <w:bookmarkEnd w:id="38"/>
      <w:r>
        <w:rPr>
          <w:rtl w:val="true"/>
        </w:rPr>
        <w:t>أساتذته</w:t>
      </w:r>
      <w:bookmarkEnd w:id="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المؤلّف له على أساتذة عظام كرام، فاستفاد من نور علومهم واستضاء بها ممّا جعله في مصافّ كبار الفقهاء والمجتهدين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حضر على والده الشيخ جعفر كاشف الغطاء </w:t>
      </w:r>
      <w:bookmarkStart w:id="40" w:name="pg18986_203099"/>
    </w:p>
    <w:p>
      <w:pPr>
        <w:pStyle w:val="BookText"/>
        <w:rPr/>
      </w:pPr>
      <w:bookmarkEnd w:id="40"/>
      <w:r>
        <w:rPr>
          <w:rFonts w:ascii="Amiri" w:hAnsi="Amiri" w:eastAsia="Amiri" w:cs="Amiri"/>
          <w:color w:val="111111"/>
          <w:sz w:val="28"/>
          <w:sz w:val="28"/>
          <w:szCs w:val="28"/>
          <w:rtl w:val="true"/>
          <w:lang w:bidi="ar-SA"/>
        </w:rPr>
        <w:t xml:space="preserve">قليلاً، وعلى أخيه الشيخ موسى، وعلى السيد جواد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صاحب مفتاح الكرامة، والشيخ أسد الله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صاحب المقابس، والسيّد عبدالله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والشيخ عليّ البحراني، والشيخ سليمان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بالإجازة عنهم جميعاً، وعن أخيه الشيخ عليّ والشيخ قاسم محيي الدين، وعن والده، يروي عنه تارةٌ بواسطة شيخه الشيخ قاسم محيي الدين، وأُخرى بلا واسطة عن مشايخه المتقدّم ذكرهم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197375_1280447820"/>
      <w:bookmarkStart w:id="42" w:name="_Toc14"/>
      <w:bookmarkEnd w:id="41"/>
      <w:r>
        <w:rPr>
          <w:rtl w:val="true"/>
        </w:rPr>
        <w:t>طريق إجازته</w:t>
      </w:r>
      <w:bookmarkEnd w:id="42"/>
    </w:p>
    <w:p>
      <w:pPr>
        <w:pStyle w:val="BookText"/>
        <w:rPr/>
      </w:pPr>
      <w:r>
        <w:rPr>
          <w:rFonts w:ascii="Amiri" w:hAnsi="Amiri" w:eastAsia="Amiri" w:cs="Amiri"/>
          <w:color w:val="111111"/>
          <w:sz w:val="28"/>
          <w:sz w:val="28"/>
          <w:szCs w:val="28"/>
          <w:rtl w:val="true"/>
          <w:lang w:bidi="ar-SA"/>
        </w:rPr>
        <w:t>قال ابنه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إجازة الوالد تتشعّب، فينبغي أن نذكر ذلك بشعبه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إجازته عمّن استجاز من والده وغيره بالطرق الموصلة إلى المشايخ الثلاثة والذي منهم الشيخ أسد الله التستري صاحب المقابس، والسيّد الجواد العاملي صاحب مفتاح الكرامة، والشيخ قاسم محيي الدین صاحب كشف الظلام، والمحدّت السيّد عبدالله شبّر جميعاً بإجازتهم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كاشف الغطاء، وعن والده أيضاً بإجازته عن مشايخه، والمعروف منهم مولانا السيّد محمّد مهدي الطباطبائي بحر العلوم، وشيخنا الآقا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يوسف البحرانی، والشيخ مهديّ الفتوني، والشيخ محمّد تقي الدورقي، وعن الشيخ سليمان القطيفي بإجازته عن الشيخ يوسف البحراني عن مشايخه، وعن الشيخ عليّ البحراني عن مشايخه، فإنّه استجاز ممّن ذكرنا في جميع ما حصلت لهم الإجازة فيه من الأخبار التي تتضمّن الأحكام الشرعية والأدعية والأذكار وكلّ ما يتوقّف على الإجازة في الرواية عنهم جميعاً ما عدا القطيفي والبحراني فلهم شعبة وطريق إلى المجلسي بلا توسّط الآقا </w:t>
      </w:r>
    </w:p>
    <w:p>
      <w:pPr>
        <w:pStyle w:val="BookText"/>
        <w:rPr/>
      </w:pPr>
      <w:r>
        <w:rPr>
          <w:rFonts w:ascii="Amiri" w:hAnsi="Amiri" w:eastAsia="Amiri" w:cs="Amiri"/>
          <w:color w:val="111111"/>
          <w:sz w:val="28"/>
          <w:sz w:val="28"/>
          <w:szCs w:val="28"/>
          <w:rtl w:val="true"/>
          <w:lang w:bidi="ar-SA"/>
        </w:rPr>
        <w:t>والباقي طُرّاً عن الآقا أشهر طريقة إجازتهم عن الآقا محمّد أكمل عن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أبو الحسن العاملي النجفي عن الملّا محمّد باقر ابن المجلسي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المجلسي عن الشيخ البهائي محمّد العاملي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عبدالصمد الحارثي الهمداني ، عن الشهيد الثاني عن ابن عبد العال الميسي عن محمّد بن المؤذّن الجزّيني عن ضياء الدين عن شمس الدين محمّد بن مكي الشهيد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وعن جمال الدين أحمد بن خاتون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عبد العال الكركي المحقق الثاني وعن عليّ بن هلال الجزائري عن أحمد بن فهد الحلي عن عليّ بن الخازن عن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المؤذّن عن السيّد علي بن دقّاق الحسيني عن محمّد بن شجاع القطّان عن الفاضل المقداد بن عبدالله السيوري الحلّي عن محمّد بن مكي عن السيّد عميد الدين عن فخر المحقّقين أبو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القاسم بن معيّة الحسني النسّابة والسيّد نجم الدين مهنّا بن سنان المدني وقطب الدين محمّد الرازي جميعاً عن جمال الدين والملّة الحسن بن يوسف بن مطهّر الحلّي العلّامة عن والده الشيخ يوسف، وعن الخواجة نصير الدين الطوسي، وعن نجم الملّة أبي القاسم جعفر بن الحسن بن سعيد الحلّي المحقّق عن السيّد فخّار بن معد الموسوي النسّابة عن شاذان بن جبرئيل القمّي عن أبي جعفر بن القاسم الطبري عن أبي</w:t>
      </w:r>
    </w:p>
    <w:p>
      <w:pPr>
        <w:pStyle w:val="BookText"/>
        <w:rPr/>
      </w:pPr>
      <w:r>
        <w:rPr>
          <w:rFonts w:ascii="Amiri" w:hAnsi="Amiri" w:eastAsia="Amiri" w:cs="Amiri"/>
          <w:color w:val="111111"/>
          <w:sz w:val="28"/>
          <w:sz w:val="28"/>
          <w:szCs w:val="28"/>
          <w:rtl w:val="true"/>
          <w:lang w:bidi="ar-SA"/>
        </w:rPr>
        <w:t>علىّ الحسن الطوسي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عن السيّد رضي الدين عليّ بن طاوس الحسيني عن حسين بن أحمد السوراوي عن محمّد بن القاسم الطبري عن أبي عليّ عن والده محمّد بن الحسن الطوسي عن جمال الدين عن والده محمّد الطوسي عن فضل الله الراوندي عن المجتبى الحسيني عن الشيخ محمّد بن الحسن الطوسي عن علم الهدى السيّد المرتضى عن عليّ بن الحسين بن موسى التلعكبري، وعن الحسين بن عليّ بن بابويه عن الشيخ المفيد أبي عبدالله بن النعمان الحارثي العكبري البغدادي عن كتاب العلل لابن بابويه </w:t>
      </w:r>
    </w:p>
    <w:p>
      <w:pPr>
        <w:pStyle w:val="BookText"/>
        <w:rPr/>
      </w:pPr>
      <w:r>
        <w:rPr>
          <w:rFonts w:ascii="Amiri" w:hAnsi="Amiri" w:eastAsia="Amiri" w:cs="Amiri"/>
          <w:color w:val="111111"/>
          <w:sz w:val="28"/>
          <w:sz w:val="28"/>
          <w:szCs w:val="28"/>
          <w:rtl w:val="true"/>
          <w:lang w:bidi="ar-SA"/>
        </w:rPr>
        <w:t>القمّي عن سعد بن عبد الله عن محمّد بن أحمد السياري عن محمّد بن عبدالله بن مهران الكوفي عن حنان بن سدير عن أبيه عن أبي إسحاق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ثقة الإسلام محمّد بن يعقوب الكليني عن محمّد بن يحيى عن أحمد بن أحمد عن الحسن بن عمر عن سعيد عن مصدّق بن صدقة عن عمّار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الكليني عن العمريّين عثمان بن سعيد وابنه محمّد بن عثمان المنصوص عليهما من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الحسين بن روح وعن علي بن محمّد السمري عن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وعن الكليني عن باقي رجاله عن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تنتهي إلى صاحب الوسائل عن رجاله الذين ذكرهم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تنتهي إلى الملّا محسن محمّد بن المرتضى صاحب الوافي عن رجاله المودعة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استجاز به من القراءة والتجويد واللغة والنحو والصرف والبيان عن الجماعة من الخاصّة والعامّة وبعض الواقفية والحشوية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تتبعّت طريقه في ذلك عن عدّة 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الجواد صاحب مفتاح الكرامة العاملي عن بحر العلوم الطباطبائي عن الشيخ محمّد تقي الدورقي النجفي عن السيّد مصطفى الحلّي عن الشيخ أحمد الكرخي عن فخر الدين بن محمّد عليّ الطريحي صاحب مجمع البحرين، عن عدّة من مشايخه عن الفضل ابن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عن محمّد بن أحمد ابن الجنيد وعن عبدالرحمن بن محمّد الأنباري عن محمّد بن الحسن بن دريد عن أبي حاتم السجستاني عن أبي الفضل الرياشي وعبد الرحمن ابن أخي الأصمعي عن مشايخه عن أبي عبيدة معمّر بن المثنى التميمي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الصالح الطريحي عن شيخه الببلوشي النحوي عن السيّد عبدالله الحنفي عن والده السيّد صبغة الله المفتي عن مشايخه عن السيّد محمّد بن عزوز الشريف الخلوتي عن جلال الدين السيوطي خاتمة الحفّاظ عن المحقّق الجلال المحلي </w:t>
      </w:r>
      <w:bookmarkStart w:id="43" w:name="pg18986_203102"/>
    </w:p>
    <w:p>
      <w:pPr>
        <w:pStyle w:val="BookText"/>
        <w:rPr/>
      </w:pPr>
      <w:bookmarkEnd w:id="43"/>
      <w:r>
        <w:rPr>
          <w:rFonts w:ascii="Amiri" w:hAnsi="Amiri" w:eastAsia="Amiri" w:cs="Amiri"/>
          <w:color w:val="111111"/>
          <w:sz w:val="28"/>
          <w:sz w:val="28"/>
          <w:szCs w:val="28"/>
          <w:rtl w:val="true"/>
          <w:lang w:bidi="ar-SA"/>
        </w:rPr>
        <w:t>عن عليّ بن يعيش بن أبي السرايا عن أبي الشحنا الحليمي وأبي الفضل عبد الله بن أحمد الطوسي عن أبي الفرج يحيى بن محمود الثقفي عن عبدالرحمن ابن الأنباري عن زيد بن الحسن الكندي عن قالون وورش عن نافع وعن قنبل والبزي عن كثير، وعن أبي عمر وأبي شعيب التوسي عن اليزدي عن أبي عمر وعن ذكوان وهشام عنه وعن أبي بكر وحفص عن عاصم وعن خلف وخلاد عن سليم عن حمزة، وعن أبي عمر الدوري وأبي الحارث 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ابن الأثير عن أبي الفرج عبدالرحمن بن عليّ الجوزي البغدادي عن الحافظ محمّد بن بكر بن عيسى الأصبهاني عن محمود بن عمر الخوارزمي الزمخشري عن أبي منصور الأزهري عن أبي عبيد محمّد الهروي عن أحمد الخطابي البستي عن محمّد بن القاسم الأنباري عن الميرو محمّد بن يزيد الثمالي عن ثعلب أحمد بن يحيى عن شمس بن حمدويه عن إبراهيم بن إسحاق عن ابن قتيبة الدينوري عبدالله بن مسلم عن القاسم بن سلّام عن قطرب محمّد بن المستنير عن عبدالملك الأصمعي عن أبي عبيدة معمر بن المثنى التيمي عن جماعة من التابعين عن أبي موسى الأشعري وعن أبي الأسود الدؤلي عن الإمام سيّدنا عليّ بن أبي طالب الهاشمي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3197377_1280447820"/>
      <w:bookmarkStart w:id="45" w:name="_Toc15"/>
      <w:bookmarkEnd w:id="44"/>
      <w:r>
        <w:rPr>
          <w:rtl w:val="true"/>
        </w:rPr>
        <w:t>تلامذته والمجازون عنه</w:t>
      </w:r>
      <w:bookmarkEnd w:id="45"/>
    </w:p>
    <w:p>
      <w:pPr>
        <w:pStyle w:val="BookText"/>
        <w:rPr/>
      </w:pPr>
      <w:r>
        <w:rPr>
          <w:rFonts w:ascii="Amiri" w:hAnsi="Amiri" w:eastAsia="Amiri" w:cs="Amiri"/>
          <w:color w:val="111111"/>
          <w:sz w:val="28"/>
          <w:sz w:val="28"/>
          <w:szCs w:val="28"/>
          <w:rtl w:val="true"/>
          <w:lang w:bidi="ar-SA"/>
        </w:rPr>
        <w:t>قال ولده الشيخ عبّاس كاشف الغطاء في نبذة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وقرأ عليه واستجازه كثير من العلماء المعتبرين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القزويني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مشكور الحولاوي</w:t>
      </w:r>
      <w:r>
        <w:rPr>
          <w:rStyle w:val="FootnoteAnchor"/>
          <w:rtl w:val="true"/>
        </w:rPr>
        <w:footnoteReference w:id="36"/>
      </w:r>
      <w:r>
        <w:rPr>
          <w:rFonts w:ascii="Amiri" w:hAnsi="Amiri" w:eastAsia="Amiri" w:cs="Amiri"/>
          <w:color w:val="111111"/>
          <w:sz w:val="28"/>
          <w:sz w:val="28"/>
          <w:szCs w:val="28"/>
          <w:rtl w:val="true"/>
          <w:lang w:bidi="ar-SA"/>
        </w:rPr>
        <w:t>والشيخ جواد نجف</w:t>
      </w:r>
      <w:r>
        <w:rPr>
          <w:rStyle w:val="FootnoteAnchor"/>
          <w:rtl w:val="true"/>
        </w:rPr>
        <w:footnoteReference w:id="37"/>
      </w:r>
      <w:r>
        <w:rPr>
          <w:rFonts w:ascii="Amiri" w:hAnsi="Amiri" w:eastAsia="Amiri" w:cs="Amiri"/>
          <w:color w:val="111111"/>
          <w:sz w:val="28"/>
          <w:sz w:val="28"/>
          <w:szCs w:val="28"/>
          <w:rtl w:val="true"/>
          <w:lang w:bidi="ar-SA"/>
        </w:rPr>
        <w:t xml:space="preserve">، والحاج ملّا عليّ ابن المرحوم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ميرزا خليل الطبيب</w:t>
      </w:r>
      <w:r>
        <w:rPr>
          <w:rStyle w:val="FootnoteAnchor"/>
          <w:rtl w:val="true"/>
        </w:rPr>
        <w:footnoteReference w:id="38"/>
      </w:r>
      <w:r>
        <w:rPr>
          <w:rFonts w:ascii="Amiri" w:hAnsi="Amiri" w:eastAsia="Amiri" w:cs="Amiri"/>
          <w:color w:val="111111"/>
          <w:sz w:val="28"/>
          <w:sz w:val="28"/>
          <w:szCs w:val="28"/>
          <w:rtl w:val="true"/>
          <w:lang w:bidi="ar-SA"/>
        </w:rPr>
        <w:t>وأخوه الحاج ميرزا حسين</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أحمد الدجيلي</w:t>
      </w:r>
      <w:r>
        <w:rPr>
          <w:rStyle w:val="FootnoteAnchor"/>
          <w:rtl w:val="true"/>
        </w:rPr>
        <w:footnoteReference w:id="40"/>
      </w:r>
      <w:r>
        <w:rPr>
          <w:rFonts w:ascii="Amiri" w:hAnsi="Amiri" w:eastAsia="Amiri" w:cs="Amiri"/>
          <w:color w:val="111111"/>
          <w:sz w:val="28"/>
          <w:sz w:val="28"/>
          <w:szCs w:val="28"/>
          <w:rtl w:val="true"/>
          <w:lang w:bidi="ar-SA"/>
        </w:rPr>
        <w:t xml:space="preserve">وسميه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البلاغي</w:t>
      </w:r>
      <w:r>
        <w:rPr>
          <w:rStyle w:val="FootnoteAnchor"/>
          <w:rtl w:val="true"/>
        </w:rPr>
        <w:footnoteReference w:id="41"/>
      </w:r>
      <w:r>
        <w:rPr>
          <w:rFonts w:ascii="Amiri" w:hAnsi="Amiri" w:eastAsia="Amiri" w:cs="Amiri"/>
          <w:color w:val="111111"/>
          <w:sz w:val="28"/>
          <w:sz w:val="28"/>
          <w:szCs w:val="28"/>
          <w:rtl w:val="true"/>
          <w:lang w:bidi="ar-SA"/>
        </w:rPr>
        <w:t>والشيخ محمّد حسين الأعسم</w:t>
      </w:r>
      <w:r>
        <w:rPr>
          <w:rStyle w:val="FootnoteAnchor"/>
          <w:rtl w:val="true"/>
        </w:rPr>
        <w:footnoteReference w:id="42"/>
      </w:r>
      <w:r>
        <w:rPr>
          <w:rFonts w:ascii="Amiri" w:hAnsi="Amiri" w:eastAsia="Amiri" w:cs="Amiri"/>
          <w:color w:val="111111"/>
          <w:sz w:val="28"/>
          <w:sz w:val="28"/>
          <w:szCs w:val="28"/>
          <w:rtl w:val="true"/>
          <w:lang w:bidi="ar-SA"/>
        </w:rPr>
        <w:t>والسيّد إسماعيل البهبهاني</w:t>
      </w:r>
      <w:r>
        <w:rPr>
          <w:rStyle w:val="FootnoteAnchor"/>
          <w:rtl w:val="true"/>
        </w:rPr>
        <w:footnoteReference w:id="43"/>
      </w:r>
      <w:r>
        <w:rPr>
          <w:rFonts w:ascii="Amiri" w:hAnsi="Amiri" w:eastAsia="Amiri" w:cs="Amiri"/>
          <w:color w:val="111111"/>
          <w:sz w:val="28"/>
          <w:sz w:val="28"/>
          <w:szCs w:val="28"/>
          <w:rtl w:val="true"/>
          <w:lang w:bidi="ar-SA"/>
        </w:rPr>
        <w:t>، وشيخنا المرتضى الأنصاري</w:t>
      </w:r>
      <w:r>
        <w:rPr>
          <w:rStyle w:val="FootnoteAnchor"/>
          <w:rtl w:val="true"/>
        </w:rPr>
        <w:footnoteReference w:id="44"/>
      </w:r>
      <w:r>
        <w:rPr>
          <w:rFonts w:ascii="Amiri" w:hAnsi="Amiri" w:eastAsia="Amiri" w:cs="Amiri"/>
          <w:color w:val="111111"/>
          <w:sz w:val="28"/>
          <w:sz w:val="28"/>
          <w:szCs w:val="28"/>
          <w:rtl w:val="true"/>
          <w:lang w:bidi="ar-SA"/>
        </w:rPr>
        <w:t>، والحاج سيّد حسين الكوهكمري</w:t>
      </w:r>
      <w:r>
        <w:rPr>
          <w:rStyle w:val="FootnoteAnchor"/>
          <w:rtl w:val="true"/>
        </w:rPr>
        <w:footnoteReference w:id="45"/>
      </w:r>
      <w:r>
        <w:rPr>
          <w:rFonts w:ascii="Amiri" w:hAnsi="Amiri" w:eastAsia="Amiri" w:cs="Amiri"/>
          <w:color w:val="111111"/>
          <w:sz w:val="28"/>
          <w:sz w:val="28"/>
          <w:szCs w:val="28"/>
          <w:rtl w:val="true"/>
          <w:lang w:bidi="ar-SA"/>
        </w:rPr>
        <w:t>، والملا محمّد الإيرواني</w:t>
      </w:r>
      <w:r>
        <w:rPr>
          <w:rStyle w:val="FootnoteAnchor"/>
          <w:rtl w:val="true"/>
        </w:rPr>
        <w:footnoteReference w:id="46"/>
      </w:r>
      <w:r>
        <w:rPr>
          <w:rFonts w:ascii="Amiri" w:hAnsi="Amiri" w:eastAsia="Amiri" w:cs="Amiri"/>
          <w:color w:val="111111"/>
          <w:sz w:val="28"/>
          <w:sz w:val="28"/>
          <w:szCs w:val="28"/>
          <w:rtl w:val="true"/>
          <w:lang w:bidi="ar-SA"/>
        </w:rPr>
        <w:t xml:space="preserve">انتقل لدار البقاء ربيع الأوّل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 والشيخ عبد الحسين الطهراني</w:t>
      </w:r>
      <w:r>
        <w:rPr>
          <w:rStyle w:val="FootnoteAnchor"/>
          <w:rtl w:val="true"/>
        </w:rPr>
        <w:footnoteReference w:id="47"/>
      </w:r>
      <w:r>
        <w:rPr>
          <w:rFonts w:ascii="Amiri" w:hAnsi="Amiri" w:eastAsia="Amiri" w:cs="Amiri"/>
          <w:color w:val="111111"/>
          <w:sz w:val="28"/>
          <w:sz w:val="28"/>
          <w:szCs w:val="28"/>
          <w:rtl w:val="true"/>
          <w:lang w:bidi="ar-SA"/>
        </w:rPr>
        <w:t>، والسيّد حسين بحر العلوم</w:t>
      </w:r>
      <w:r>
        <w:rPr>
          <w:rStyle w:val="FootnoteAnchor"/>
          <w:rtl w:val="true"/>
        </w:rPr>
        <w:footnoteReference w:id="48"/>
      </w:r>
      <w:r>
        <w:rPr>
          <w:rFonts w:ascii="Amiri" w:hAnsi="Amiri" w:eastAsia="Amiri" w:cs="Amiri"/>
          <w:color w:val="111111"/>
          <w:sz w:val="28"/>
          <w:sz w:val="28"/>
          <w:szCs w:val="28"/>
          <w:rtl w:val="true"/>
          <w:lang w:bidi="ar-SA"/>
        </w:rPr>
        <w:t>، والسيد عليّ نقيّ الحائري</w:t>
      </w:r>
      <w:r>
        <w:rPr>
          <w:rStyle w:val="FootnoteAnchor"/>
          <w:rtl w:val="true"/>
        </w:rPr>
        <w:footnoteReference w:id="49"/>
      </w:r>
      <w:r>
        <w:rPr>
          <w:rFonts w:ascii="IRNazanin" w:hAnsi="IRNazanin" w:eastAsia="IRNazanin"/>
          <w:color w:val="111111"/>
          <w:sz w:val="28"/>
          <w:sz w:val="28"/>
          <w:szCs w:val="28"/>
          <w:rtl w:val="true"/>
          <w:lang w:bidi="fa-IR"/>
        </w:rPr>
        <w:t xml:space="preserve">نجل صاحب </w:t>
      </w:r>
    </w:p>
    <w:p>
      <w:pPr>
        <w:pStyle w:val="BookText"/>
        <w:rPr/>
      </w:pPr>
      <w:r>
        <w:rPr>
          <w:rFonts w:ascii="Amiri" w:hAnsi="Amiri" w:eastAsia="Amiri" w:cs="Amiri"/>
          <w:color w:val="111111"/>
          <w:sz w:val="28"/>
          <w:sz w:val="28"/>
          <w:szCs w:val="28"/>
          <w:rtl w:val="true"/>
          <w:lang w:bidi="ar-SA"/>
        </w:rPr>
        <w:t>الرياض، والشيخ جعفر التستري الدسفولي</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الناس منه ممن تبنّاه الشيخ محمّد والشيخ مهديّ ولدا أخيه الشيخ عليّ، والشيخ راضي</w:t>
      </w:r>
      <w:r>
        <w:rPr>
          <w:rStyle w:val="FootnoteAnchor"/>
          <w:rtl w:val="true"/>
        </w:rPr>
        <w:footnoteReference w:id="51"/>
      </w:r>
      <w:r>
        <w:rPr>
          <w:rFonts w:ascii="Amiri" w:hAnsi="Amiri" w:eastAsia="Amiri" w:cs="Amiri"/>
          <w:color w:val="111111"/>
          <w:sz w:val="28"/>
          <w:sz w:val="28"/>
          <w:szCs w:val="28"/>
          <w:rtl w:val="true"/>
          <w:lang w:bidi="ar-SA"/>
        </w:rPr>
        <w:t>ابن أخته وابن عمّه، وكان أقرب الناس إليه حضراً وسفراً وفي خلواته ومؤتمنه على ما في يده ووصيّه من بعده الشيخ مهديّ</w:t>
      </w:r>
      <w:r>
        <w:rPr>
          <w:rStyle w:val="FootnoteAnchor"/>
          <w:rtl w:val="true"/>
        </w:rPr>
        <w:footnoteReference w:id="52"/>
      </w:r>
      <w:r>
        <w:rPr>
          <w:rFonts w:ascii="Amiri" w:hAnsi="Amiri" w:eastAsia="Amiri" w:cs="Amiri"/>
          <w:color w:val="111111"/>
          <w:sz w:val="28"/>
          <w:sz w:val="28"/>
          <w:szCs w:val="28"/>
          <w:rtl w:val="true"/>
          <w:lang w:bidi="ar-SA"/>
        </w:rPr>
        <w:t>ابن أخيه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كبار العلماء الذين تتلمذوا على شيخنا المؤلّف، وأغلب من قرأ على صاحب الجواهر قرأ عليه، ويقصر إحصاء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المؤلّف أن يروي عنه السيّد مهديّ ابن السيّد حسن ابن السيّد أحمد القزويني الحلّي النجفي المتوفّى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هـ ، والشيخ نعمة بن علاء الدين بن أمين الدين الطريحي النجفي المتوفّى حدود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هـ ، والسيّد محمّد مهديّ ابن السيّد حسن ابن السيّد محسن الأعرجي الكاظمي المتوفّى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هـ، وتلميذه الشيخ محمّد ابن الشيخ إبراهيم ابن الشيخ عليّ بن عبدالمولى الربعي المشهدي النجفي المتوفّى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هـ، والشيخ جعفر بن الميرزا أحمد التبريزي المتوفّى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أنّه أجاز الشيخ مشكور الحولاوي والشيخ جواد نجف، والشيخ ملّا عليّ وأخاه الأُستاذ الحاج ميرزا حسين الخليليّين، والشيخ أحمد الدجيلي، والسيّد إسماعيل </w:t>
      </w:r>
      <w:bookmarkStart w:id="46" w:name="pg18986_203105"/>
    </w:p>
    <w:p>
      <w:pPr>
        <w:pStyle w:val="BookText"/>
        <w:rPr/>
      </w:pPr>
      <w:bookmarkEnd w:id="46"/>
      <w:r>
        <w:rPr>
          <w:rFonts w:ascii="Amiri" w:hAnsi="Amiri" w:eastAsia="Amiri" w:cs="Amiri"/>
          <w:color w:val="111111"/>
          <w:sz w:val="28"/>
          <w:sz w:val="28"/>
          <w:szCs w:val="28"/>
          <w:rtl w:val="true"/>
          <w:lang w:bidi="ar-SA"/>
        </w:rPr>
        <w:t xml:space="preserve">البهبهاني المتوفّى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هـ، والشيخ المرتضى الأنصاري، والأُستاذ الملّا محمّد الإيرواني، والشيخ عبدالحسين الطهراني، والسيّد حسين بحر العلوم، وغيرهم الكثير من تلامذته وغيرهم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3197379_1280447820"/>
      <w:bookmarkStart w:id="48" w:name="_Toc16"/>
      <w:bookmarkEnd w:id="47"/>
      <w:r>
        <w:rPr>
          <w:rtl w:val="true"/>
        </w:rPr>
        <w:t>آثاره العلمية</w:t>
      </w:r>
      <w:bookmarkEnd w:id="48"/>
    </w:p>
    <w:p>
      <w:pPr>
        <w:pStyle w:val="BookText"/>
        <w:rPr/>
      </w:pPr>
      <w:r>
        <w:rPr>
          <w:rFonts w:ascii="Amiri" w:hAnsi="Amiri" w:eastAsia="Amiri" w:cs="Amiri"/>
          <w:color w:val="111111"/>
          <w:sz w:val="28"/>
          <w:sz w:val="28"/>
          <w:szCs w:val="28"/>
          <w:rtl w:val="true"/>
          <w:lang w:bidi="ar-SA"/>
        </w:rPr>
        <w:t xml:space="preserve">لقد كانت حياة الشيخ حسن كاشف الغطاء مفعمة بالتأليف والتصنيف والتربية والتدريس، فخلّف كتباً قيّمة و تراثاً ثميناً يشهد على غزارة علمه ونبوغه وتضلّعه في مجالات شتّى وفنون مختلفة، وإليك التعرّض إلى ما وقفنا عليه من آثاره في المعاجم وكتب التراجم، وأكثر اعتمادنا على كتاب نبذة الغري لولده الشيخ عبّاس و أعيان الشيعة للسيّد الأمين والذريعة إلى تصانيف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يديك، وسيأتي الكلام فيه مفصّلاً في الفصل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مقدّمة كشف الغطاء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الطهراني في الذريعة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أصول كشف الغطاء، هو لولد الماتن الشيخ حسن ابن الشيخ الأكبر جعفر كاشف الغطاء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مقدّمة في أُصول الفقه للشيخ الأكبر، كتبها في أوائل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والشرح مبسوط في خمسين مبحثاً من مباحث الأُصول،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والقبح والملازمة،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الشرعيّة،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العرف واللغة،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النسخة في مكتبة الشيخ هادي كاشف الغطاء في النجف، ونسخة ثانية في مكتبة السيد عبدالله خليفة في النجف أيضاً، وقد انتقلت بعد تفرّق مكتبته إلى الشيخ محمّد جواد الجزائري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أيضاً في موضع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مقدّمة كشف الغطاء</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بغية الطالب؛ الأصل، للشيخ الأكبر جعفر كاشف الغطاء،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والفقه، واشتمل قسم الفقه على الطهارة والصلاة فقط ، فألّف الشيخ حسن كاشف الغطاء كتاب الصوم والاعتكاف؛ إلحاقاً وتكميلاً له،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بغية الطالب الذي هو في الطهارة والصلاة بإلحاق الصوم والاعتكاف به لولد مصنّف أصله الشيخ حسن 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مكتبة الشيخ عليّ آل كاشف الغطاء في النجف الأشرف</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العلّامة السيّد الأمين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الطهراني أعلاه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ببالي أنّ بغية الطالب مشتملة على الصوم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تكملة شرح أبيه على قواعد العلّامة، ويبدأ من بيع الصرف وينتهي بآخر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الخيارات إلى آخر البيع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تكملة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شرح أبيه لبيع القواعد للعلّامة، من أوّل الخيارات إلى آخر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جليل لم يكتب مثله في بابه، يدلّ على تبحّره في هذا الفنّ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كثيرة الفروع، مقتصراً فيها على الفتوى، ألّفها لعمل المقلّدين بالتماس جمع من أهل أصفهان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إلى البياض</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علوم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إلى البياض</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كبيرة من المسائل التي كانت تأتي إليه من جميع الأقطار الإسلاميّة وغيرها، فيجيب عنها بالوقت نفسه؛ لسعة إحاطته واستحضاره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المسائل في مجالات شتّى وفي أبواب مختلفة من الفقه وغيره، وقد ذكر بعضها ولده الشيخ عبّاس في كتابه نبذة الغري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الطهراني في الذريعة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 على مقدّمة و ثلاثة أبواب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طاف طائف بالمسجد الحرام، ووقف واقف بالمشاعر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والنسخة بخطّ السيّد راضي بن الحسين بن أحمد المعروف بالعطّار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أُخرى في خزانة السيّد مهديّ آل حيدر الكاظمي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المحقّق الطهراني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العملية للشيخ حسن ابن الشيخ جعفر كاشف الغطاء صاحب أنوار الفقاهة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موجزة في العقائد الإماميّة، يبحث فيها عن التوحيد والنبوّة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نسخة منها في المكتبة العامّة للمرحوم آية الله السيّد شهاب الدين المرعشي بقم المقدّسة تحت رقم </w:t>
      </w:r>
      <w:r>
        <w:rPr>
          <w:rFonts w:eastAsia="Amiri" w:cs="Amiri" w:ascii="Amiri" w:hAnsi="Amiri"/>
          <w:color w:val="111111"/>
          <w:sz w:val="28"/>
          <w:szCs w:val="28"/>
          <w:lang w:bidi="ar-SA"/>
        </w:rPr>
        <w:t>14598/3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فهرست المكتبة،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وجيزة في بيان أحكام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فتاوى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لعمل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أجزاء رسالته العمليّة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لها نسخة في المكتبة العامة للمرحوم آية الله السيّد شهاب الدين المرعشي بقمّ المقدّسة، تحت رقم </w:t>
      </w:r>
      <w:r>
        <w:rPr>
          <w:rFonts w:eastAsia="Amiri" w:cs="Amiri" w:ascii="Amiri" w:hAnsi="Amiri"/>
          <w:color w:val="111111"/>
          <w:sz w:val="28"/>
          <w:szCs w:val="28"/>
          <w:lang w:bidi="ar-SA"/>
        </w:rPr>
        <w:t>14598/1</w:t>
      </w:r>
      <w:r>
        <w:rPr>
          <w:rFonts w:ascii="Amiri" w:hAnsi="Amiri" w:eastAsia="Amiri" w:cs="Amiri"/>
          <w:color w:val="111111"/>
          <w:sz w:val="28"/>
          <w:sz w:val="28"/>
          <w:szCs w:val="28"/>
          <w:rtl w:val="true"/>
          <w:lang w:bidi="ar-SA"/>
        </w:rPr>
        <w:t xml:space="preserve">، كما في فهرس المكتبة،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وأيضاً لها نسخة </w:t>
      </w:r>
    </w:p>
    <w:p>
      <w:pPr>
        <w:pStyle w:val="BookText"/>
        <w:rPr/>
      </w:pPr>
      <w:r>
        <w:rPr>
          <w:rFonts w:ascii="Amiri" w:hAnsi="Amiri" w:eastAsia="Amiri" w:cs="Amiri"/>
          <w:color w:val="111111"/>
          <w:sz w:val="28"/>
          <w:sz w:val="28"/>
          <w:szCs w:val="28"/>
          <w:rtl w:val="true"/>
          <w:lang w:bidi="ar-SA"/>
        </w:rPr>
        <w:t xml:space="preserve">في مكتبة مسجد الأعظم بقمّ تحت رقم </w:t>
      </w:r>
      <w:r>
        <w:rPr>
          <w:rFonts w:eastAsia="Amiri" w:cs="Amiri" w:ascii="Amiri" w:hAnsi="Amiri"/>
          <w:color w:val="111111"/>
          <w:sz w:val="28"/>
          <w:szCs w:val="28"/>
          <w:lang w:bidi="ar-SA"/>
        </w:rPr>
        <w:t>2299/4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فهرس المكتبة،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رسالة موجزة في أحكام الصوم، يشتمل على فتاوى المؤلّف، كتبه لعمل مقلّديه، ولعلّه من أجزاء رسالته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نسخة منها في المكتبة العامة للمرحوم آية الله السيّد شهاب الدين المرعشي بقم المقدّسة، تحت رقم </w:t>
      </w:r>
      <w:r>
        <w:rPr>
          <w:rFonts w:eastAsia="Amiri" w:cs="Amiri" w:ascii="Amiri" w:hAnsi="Amiri"/>
          <w:color w:val="111111"/>
          <w:sz w:val="28"/>
          <w:szCs w:val="28"/>
          <w:lang w:bidi="ar-SA"/>
        </w:rPr>
        <w:t>14598/2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نسخة في مكتبة مسجد أعظم بقم، تحت رقم </w:t>
      </w:r>
      <w:r>
        <w:rPr>
          <w:rFonts w:eastAsia="Amiri" w:cs="Amiri" w:ascii="Amiri" w:hAnsi="Amiri"/>
          <w:color w:val="111111"/>
          <w:sz w:val="28"/>
          <w:szCs w:val="28"/>
          <w:lang w:bidi="ar-SA"/>
        </w:rPr>
        <w:t>2299/5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نُسبت إليه كُتباً أُخرى وبعناوين مستقلّة، ولكن بعد التأمّل والتدقيق يعلم أنّها من أجزاء كتابه أنوار الفقاهة، أو من أجزاء الرسالة العمليّة له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الإرث، ذكره العلّامة الطهراني في الذريعة،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الإرث مبسوطاً للعلّامة الفقيه الشيخ حسن ابن الشيخ الأكبر الشيخ جعفر كاشف الغطاء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في مدرسة السبزواري بالمشهد الرضوي، كما كتبه إليّ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لكنّي أحتمل أنّه من مجلّدات أنوار الفقاهة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الطهراني في كتابه الذريعة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هي من أجزاء كتابه أنوار الفقاهة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 والخمس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أيضاً المحقّق الطهراني في الذريعة،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حسن ابن الشيخ الأكبر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التمسني بعض الإخوان الكرام أن أكتب نبذة من مسائل الحلال والحرام، فأجبتهم إلى ذلك مستعيناً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مكتبة السيد محمّد باقر الحجّة في كربلاء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نسخة بقلم أحمد الشروقي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كتابته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السلاح الماضي في أحكام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مسائل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 الماضي في أحكام القاضي للشيخ حسن ابن الشيخ الأكبر جعفر كاشف الغطاء مؤلّف أنوار الفقاهة، ينقل عنه السيّد ريحان الله في كتابه فواكه الفقهاء، ونسخة منه في تبريز في كتب محمّد مولانا،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كتابتها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هـ</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ماضي النجف وحاضرها وذكر له في الحصون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السلاح الماضي في آداب القاضي، في القضاء والشهادات، كتبه قبل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ألحقه بالأنوار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عثرنا على نسخة الأصل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أنّ المؤلّف كتب أوّلاً رسالة في أحكام القضاء وسمّاها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الماضي في أحكام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لها مقدّمةً يستغرق ثلاث صفحات ثمّ شرع في كتابة أحكام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جدّد النظر فيها وجعلها تتمّة لكتاب أنوار الفقاهة وأضاف إلى أوّلها عبارةً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فيقول الراجي عفو ربِّه الأجل، الأحقر حسن 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رسالة في القضاء والشهادات، التمس كتابتها بعض الإخوان فأجبته مع كثرة التشويش والهموم والأحزان، وأستدعيه أن يجعلها تتمّة لكتابنا الموسوم بأنوار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يتمّها في يسرٍ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ذلك من إضافة كلمات إلى النسخة الأصليّة لكتاب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الاستدلالي المستوفى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الطهراني في كتاب الذريعة ونسبه للشيخ حسن كاشف الغطاء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8986_203110"/>
    </w:p>
    <w:p>
      <w:pPr>
        <w:pStyle w:val="Heading4"/>
        <w:numPr>
          <w:ilvl w:val="3"/>
          <w:numId w:val="1"/>
        </w:numPr>
        <w:rPr/>
      </w:pPr>
      <w:bookmarkStart w:id="50" w:name="__RefHeading___Toc13197381_1280447820"/>
      <w:bookmarkStart w:id="51" w:name="_Toc17"/>
      <w:bookmarkEnd w:id="49"/>
      <w:bookmarkEnd w:id="50"/>
      <w:r>
        <w:rPr>
          <w:rtl w:val="true"/>
        </w:rPr>
        <w:t>ذكاؤه وقوة حافظته</w:t>
      </w:r>
      <w:bookmarkEnd w:id="51"/>
    </w:p>
    <w:p>
      <w:pPr>
        <w:pStyle w:val="BookText"/>
        <w:rPr/>
      </w:pPr>
      <w:r>
        <w:rPr>
          <w:rFonts w:ascii="Amiri" w:hAnsi="Amiri" w:eastAsia="Amiri" w:cs="Amiri"/>
          <w:color w:val="111111"/>
          <w:sz w:val="28"/>
          <w:sz w:val="28"/>
          <w:szCs w:val="28"/>
          <w:rtl w:val="true"/>
          <w:lang w:bidi="ar-SA"/>
        </w:rPr>
        <w:t>كان من خصائص شيخنا المؤلّف ذكاؤه المفرط، ودقّته النافذة، وحافظته المتميّزة، فجلب ذكاؤه نظر المجدّين من طلّاب العلم، فحظي باهتمامهم ورعايتهم؛ لما اتّسم به من ذكاء خارق وذهن ثاقب وجدّيّة منقطعة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ولده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شيخنا الحسن بن جعفر عمّنا عدّة مسائل من أذربيجان، فجلس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يامهديّ، قم وآت بالدواة والقلم واقرأها لي مسألة مسألة وأنا أُجيب وأنت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قرأتها له وهو يذكر الجواب وأنا أكتب حتّى انتهت بأقلّ من ساعة، ولم يتفكّر ولا تأمّل، بل يجيب على رسله، وهي من أشكل المسائل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جاء في حافظة شيخنا المترجَم له فقد نقل ابنه الشيخ عبّاس أيضاً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جماعة أنّ السيّد الأعرجي</w:t>
      </w:r>
      <w:r>
        <w:rPr>
          <w:rStyle w:val="FootnoteAnchor"/>
          <w:rtl w:val="true"/>
        </w:rPr>
        <w:footnoteReference w:id="73"/>
      </w:r>
      <w:r>
        <w:rPr>
          <w:rFonts w:ascii="IRNazanin" w:hAnsi="IRNazanin" w:eastAsia="IRNazanin"/>
          <w:color w:val="111111"/>
          <w:sz w:val="28"/>
          <w:sz w:val="28"/>
          <w:szCs w:val="28"/>
          <w:rtl w:val="true"/>
          <w:lang w:bidi="fa-IR"/>
        </w:rPr>
        <w:t>كان يستنسخ أنوار الفقاهة تأليف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استخرجها إلى البياض، ففقدوا جزءاً من كتاب الصدقات، فلما فتّشوا عنه لم يجدوه لا عند المصنّف ولا عند غيره، فذكروا للشيخ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فقدانه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هو من أيّ مسألة؟ فأتوه بالأصل وعرف مقدار الذاهب، فكتب جزءاً ودفعه إليهم، وأخذه الأعرجي، ثمّ عثروا على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الطلبة، فلم يجدوا اختلافاً في ألفاظه فضلاً عن معانيه إلّا يسيراً من الألفاظ التي لا دخل لها بالمطلب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52" w:name="pg18986_203111"/>
    </w:p>
    <w:p>
      <w:pPr>
        <w:pStyle w:val="Heading4"/>
        <w:numPr>
          <w:ilvl w:val="3"/>
          <w:numId w:val="1"/>
        </w:numPr>
        <w:rPr/>
      </w:pPr>
      <w:bookmarkStart w:id="53" w:name="__RefHeading___Toc13197383_1280447820"/>
      <w:bookmarkStart w:id="54" w:name="_Toc18"/>
      <w:bookmarkEnd w:id="52"/>
      <w:bookmarkEnd w:id="53"/>
      <w:r>
        <w:rPr>
          <w:rtl w:val="true"/>
        </w:rPr>
        <w:t>مناظراته</w:t>
      </w:r>
      <w:bookmarkEnd w:id="54"/>
    </w:p>
    <w:p>
      <w:pPr>
        <w:pStyle w:val="BookText"/>
        <w:rPr/>
      </w:pPr>
      <w:r>
        <w:rPr>
          <w:rFonts w:ascii="IRNazanin" w:hAnsi="IRNazanin" w:eastAsia="IRNazanin"/>
          <w:color w:val="111111"/>
          <w:sz w:val="28"/>
          <w:sz w:val="28"/>
          <w:szCs w:val="28"/>
          <w:rtl w:val="true"/>
          <w:lang w:bidi="fa-IR"/>
        </w:rPr>
        <w:t>كان للمؤلّف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متعدّدة مع كثير من علماء المذاهب الأُخرى والفِرَق المختلفة، وكان له باع طويل في الجدل والمناقشة، قويّ المناظرة، عميق الغور في الاستدلال، يعطي المسألة حقّها في البحث والتنقيب</w:t>
      </w:r>
      <w:r>
        <w:rPr>
          <w:rFonts w:eastAsia="IRNazanin" w:cs="IRNazanin"/>
          <w:color w:val="111111"/>
          <w:sz w:val="28"/>
          <w:szCs w:val="28"/>
          <w:rtl w:val="true"/>
          <w:lang w:bidi="fa-IR"/>
        </w:rPr>
        <w:t>.</w:t>
      </w:r>
    </w:p>
    <w:p>
      <w:pPr>
        <w:pStyle w:val="Heading4"/>
        <w:numPr>
          <w:ilvl w:val="3"/>
          <w:numId w:val="1"/>
        </w:numPr>
        <w:rPr/>
      </w:pPr>
      <w:bookmarkStart w:id="55" w:name="__RefHeading___Toc13197385_1280447820"/>
      <w:bookmarkStart w:id="56" w:name="_Toc19"/>
      <w:bookmarkEnd w:id="55"/>
      <w:r>
        <w:rPr>
          <w:rtl w:val="true"/>
        </w:rPr>
        <w:t>مناظرته مع مفتي بغداد</w:t>
      </w:r>
      <w:bookmarkEnd w:id="56"/>
    </w:p>
    <w:p>
      <w:pPr>
        <w:pStyle w:val="BookText"/>
        <w:rPr/>
      </w:pPr>
      <w:r>
        <w:rPr>
          <w:rFonts w:ascii="Amiri" w:hAnsi="Amiri" w:eastAsia="Amiri" w:cs="Amiri"/>
          <w:color w:val="111111"/>
          <w:sz w:val="28"/>
          <w:sz w:val="28"/>
          <w:szCs w:val="28"/>
          <w:rtl w:val="true"/>
          <w:lang w:bidi="ar-SA"/>
        </w:rPr>
        <w:t>قال ولده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وقع للحسن بن جعفر من الكرامة وحصول التسديد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المعروفة لمّا جُلب مع جماعة من العلماء إلى دار السلام للمباحثة مع علماء أهل السنّة والجماعة في خصوص مسألة الفرقة المعروفة بالبابيّة، وغضب الوالي على بعض العلماء، بل قتل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تلك الحادثة على ما أرويه مرفوعاً إلى المهدي وإلى غيره ممّن كان مشاهداً لذلك الأمر العظيم، وهم عدّة من أصحابنا من أهل الزوراء والغري وكربلاء، مع ترتيب منّي لأُسلوب ما سمعته كعادتي في جميع ما سمعته ممّا نقلته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 الشهر المبارك وتصرّم ثلاثة أو أكثر في سنة الستّين بعد الألف والمائتين هجريّة كان عادة بعض تلامذة الوالد المرحوم أن يجتمعوا عند العصر في إيوان الدار الخارجة التي حلّ محلّ درسه وتدريس أبيه وإخوته، وينتظروا خروجه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أشرقت عليهم شموس أنواره حفّوا به وخرج بهم إلى الحرم الغروي، وبعد إكمال الزيارة يجلس في الرواق الشريف لتلاوة كتاب الله و المذاكرة ببعض الآيات المشكلة، ويجتمع عليه الملأ من العلماء المبرّزين حتّى يدخل وقت العتمة فيودّع بالمسنون، وينصرف مع من معه إلى مسجده فيصلّي جماعة، ثمّ ينصرف إلى محلّه وتفارقه الجماعة إلّا الأقربين ممّن يحضر معه للإفطار، وهذا ديدنه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يوماً على عادته فوجد جماعة جلوساً في الإيوان وفيهم المهدي وجعفر ولدا أخيه ومعهما ما يقرب من عشرة من أهل العلم المنتظرين له، فلمّا أحسّوا بخروجه قاموا </w:t>
      </w:r>
    </w:p>
    <w:p>
      <w:pPr>
        <w:pStyle w:val="BookText"/>
        <w:rPr/>
      </w:pPr>
      <w:r>
        <w:rPr>
          <w:rFonts w:ascii="Amiri" w:hAnsi="Amiri" w:eastAsia="Amiri" w:cs="Amiri"/>
          <w:color w:val="111111"/>
          <w:sz w:val="28"/>
          <w:sz w:val="28"/>
          <w:szCs w:val="28"/>
          <w:rtl w:val="true"/>
          <w:lang w:bidi="ar-SA"/>
        </w:rPr>
        <w:t>إجلالاً واستقبلوه على جري العادة، فنظر وإذا بينهم رجل عجمي قصير ملحم، ذو عمّة كبيرة أكثر من ثلاثين طيّة، و منطقة بيضاء قد أدارها على وسطه تبلغ أسته، وهو أحمر اللون، ذو لحية سوداء وعينين تميلان إلى الزرقة ،فابتدر إلى الشيخ وقبّل يده، ووقف وأطلق لساناً عربياًّ بالدعاء والثناء قليل اللكنة ذلق حسن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لهذا الرجل حكاية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كأنّ به جنوناً يزعم أنّه مرسل من الباب إليكم، وعنده كتاب يزعم أنّه من الله تعالى غير الكتاب المرسل وكانت بيد المهدي تلك الأسفار ،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الأسفار التي يزعم أنّها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فيها من المهملات و المزخرفات ما يضحك الثكلى، ولو شئت يا عمّ لكتبت إلى المغرب صحفاً أحسن من هذا وألطف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الشيخ وهزّ يده وخرج، وقال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فلا تفتوا زمانه بما لا ثمرة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بأثره وأخذ ذلك العجمي أسفاره ومضى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ومن معه إلى الحرم على عادتهم، فلمّا تصرّم اليوم، وجلس الشيخ لفطوره والمهدي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أتدري ما صنع الله بالعجمي؟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الحرم وجلس بقبر محمّد خان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صُفَّة من بعض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الرواق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عليه خلق من الطغام وأخرج أسفاره فهزؤوا به، وانتهبوا ما عنده من تلك الأوراق وصحبوه إلى أن خرج إلى الصحن الشريف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الناس إليك وعرّفهم الباب،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وكان جهوري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الصبيان من الجهات وحسبوه مجنوناً وصفّقوا له وصنعوا معه ما يصنعوه مع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استوحش، فنزل من المنبر الذي كان في الصحن قد ارتقاه، وتبعه الصبيان إلى أن خرج إلى السوق وهم في أثره، فالتفّت بهم الصبيان الذين في السوق حتّى صاروا أكثر من مائتين صبيّاً أو كهلاً كالصبيّ وهم يرمونه بما في السوق من الكسافات والأشياء النجسة الملقاة وهو قدّامهم يركض وهم يعدون خلفه حتّى بلغ قريباً من القلعة التي فيها الجند، فخرج إليهم بعض الجند وحالوا بينهم وبينه ولم أعلم ما صنع الله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 الأمر على ذلك برهة فلما انقضي من ذي الحجّة الحرام من تلك السنة نصفه، فلم نشعر إلّا وقد ورد الأمر من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باشا ويصحبه مكتوب إلى الشيخ يتضمّن الإرادة بإرسال الأسفار التي انتهبوها من ذلك اللكع الذي يدّعي أنّها الكتاب الجديد والتفتيش عليها، فمن كان عنده منها شيء ولم يدفعه يحصل له الجزاء بالحبس والتنكيل؛ ففتشوا عليها وبحثوا عنها، فألفوا منها ما يزيد على خمسين ورقة متفرّقة عند طغام الناس من ورقة أو اثنتين وأرسلوها إلى محلّ الولاية مع بعض القوّاد من أهل النوبة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على ذلك شيء من الزمان حتّى دخلت سنة الواحد والستّين بعد المائتين، وتصرّم من المحرّم ما يزيد على ثلثه، فعندها ورد إلى الغري من خاصّة أصحاب الوزير المزبور نفر معه خدم وحشم وبيده أمر مؤكّد على جلب علماء النجف الأشرف إلى بغداد عموماً، وخصوصاً العالِمَين المنحصر فيهما أمر التقليد صاحب الجواهر والشيخ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فاضطربت الشيعة وكثر الهرج والمرج، وتشعّبت الآراء وشاع بين الناس أنّ الذين يذهبون في كمال الخطر على أنفسهم، وإنّ المفتي أفتى بذلك والقاضي حكم به، والإذن صدرت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أنّهم بعد واقعة كربلاء السابقة </w:t>
      </w:r>
      <w:r>
        <w:rPr>
          <w:rStyle w:val="FootnoteAnchor"/>
          <w:rtl w:val="true"/>
        </w:rPr>
        <w:footnoteReference w:id="75"/>
      </w:r>
      <w:r>
        <w:rPr>
          <w:rFonts w:ascii="IRNazanin" w:hAnsi="IRNazanin" w:eastAsia="IRNazanin"/>
          <w:color w:val="111111"/>
          <w:sz w:val="28"/>
          <w:sz w:val="28"/>
          <w:szCs w:val="28"/>
          <w:rtl w:val="true"/>
          <w:lang w:bidi="fa-IR"/>
        </w:rPr>
        <w:t>في تمام القوّة والاقتدار حتّى عادت أوامرهم بين الكاف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فبقوا على ذلك يوماً أو يومين وخافوا من المخالفة على أنفسهم من أن يؤخذوا تحت الحفظ، فاجتمعت طائفة من العلماء والأشراف في قبر المرحوم الشيخ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هناك بعد صلاة العشاء، وحضر أيضاً الشيخ صاحب الجواهر فأجالوا الفكر، فقال الشيخ الوالد مخاطباً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شيخنا لا محيص عن المسير وامتثال الأمر ولا يرخّص لنا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التخلّف، فغايته أن أُقتل فأكون الشهيد الثالث وتقُتل فتكون الرابع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تجاولوا الحديث، فاستقرّ رأيهم على مسير الشيخ الوالد ومعه عشرون شخصاً </w:t>
      </w:r>
    </w:p>
    <w:p>
      <w:pPr>
        <w:pStyle w:val="BookText"/>
        <w:rPr/>
      </w:pPr>
      <w:r>
        <w:rPr>
          <w:rFonts w:ascii="IRNazanin" w:hAnsi="IRNazanin" w:eastAsia="IRNazanin"/>
          <w:color w:val="111111"/>
          <w:sz w:val="28"/>
          <w:sz w:val="28"/>
          <w:szCs w:val="28"/>
          <w:rtl w:val="true"/>
          <w:lang w:bidi="fa-IR"/>
        </w:rPr>
        <w:t>من العلماء من لُحمته وغيرهم وأن يتخلّف الشيخ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 عديدة من كون الشيخ الوالد أشدّ ارتباطاً به من جهة حلوله عنده كما ذكره، فعساه أن يأخذه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المصالح أن لا تبقى الشيعة بلا عميد ترجع إليه في التقليد وغيره خوفاً من عروض الحادث على أحدهما، فتبقى الإماميّة غنماً بلا راعٍ، والذئاب محيطة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وعزم الشيخ على المسير متوكّلاً ومفوّضاً أُموره إلى المبدأ الفيّاض، ومقدّماً للتوسّل إليه بأقرب الخلق منه النبي والعترة الطاهرة ومن معه كذلك لثلاث وعشرين خلت من محرّم سنة الواحد والستّين هجريّة غبّ صلاة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بعد التمسّك بأعتاب أسد الله الغالب وتوديعه ومعه المشيّعون من جميع الأصناف إلى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 ما التقط الحصى المروي به السلامة، وودّع المشيّعين قُدّم له التخت الذي أرسله له أمين الدولة الإيرانيّة سابقاً، وكان في الغري بعد انفصاله مجاوراً فاتّخذه مركباً، وركب من معه دوابّهم كلٌّ على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الجادة وركبوا الطريق إلى باب نجاة الأُمّة سيّد الشهداء بهيئة يلوح عليها النصر والظفر وهم يتلفّتون إلى المرقد العلوي حتّى 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فتلفَّتتْ عيني ومُذْ خفيتْ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الطلول تلفّتَ القلبُ</w:t>
      </w:r>
    </w:p>
    <w:p>
      <w:pPr>
        <w:pStyle w:val="BookText"/>
        <w:rPr/>
      </w:pPr>
      <w:r>
        <w:rPr>
          <w:rFonts w:ascii="Amiri" w:hAnsi="Amiri" w:eastAsia="Amiri" w:cs="Amiri"/>
          <w:color w:val="111111"/>
          <w:sz w:val="28"/>
          <w:sz w:val="28"/>
          <w:szCs w:val="28"/>
          <w:rtl w:val="true"/>
          <w:lang w:bidi="ar-SA"/>
        </w:rPr>
        <w:t>ثمّ أقاموا ليلة في الطريق ودخلوا قبيل المغرب إلى البلد الأمين الذي شرّفه الله على كعبة البيت الحرام على حين غفلة من أهلها، وترجّلوا يهرعون حتّى هجموا على الحائر الحسيني، ودخلوا بتمام السكينة إلى قبّة سيّد الشهداء حافين بالشيخ حُفاة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قضوا من ذلك وطراً طاروا بأجنحة الشوق إلى مثوى أبي الفضل وكأنّهم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أنت الباب للسبط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كان باباً لأحمدا</w:t>
      </w:r>
    </w:p>
    <w:p>
      <w:pPr>
        <w:pStyle w:val="BookText"/>
        <w:rPr/>
      </w:pPr>
      <w:r>
        <w:rPr>
          <w:rFonts w:ascii="Amiri" w:hAnsi="Amiri" w:eastAsia="Amiri" w:cs="Amiri"/>
          <w:color w:val="111111"/>
          <w:sz w:val="28"/>
          <w:sz w:val="28"/>
          <w:szCs w:val="28"/>
          <w:rtl w:val="true"/>
          <w:lang w:bidi="ar-SA"/>
        </w:rPr>
        <w:t>إذا أنت تشفع بمقصدِ 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السبط لم ينجح له السبطُ مقصدا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وزارهم ليلاً الكثير من أشراف البلد وطلبة العلوم، وأخبروهم بأنّ علماء كربلاء جُلبوا بالأمر من الوالي إلى الزوراء منذ أيّام، منهم السيّد إبراهيم القزويني صاحب النتائج والضوابط، والملّا حسن كوهر والميرزا محيط، وجماعة غيرهم لأجل هذه المسألة، وأقاموا ليلتهم، ولمّا أصبحوا همّوا بالرحيل، فعاقهم تزاحم الزائرين إلى عميدهم </w:t>
      </w:r>
    </w:p>
    <w:p>
      <w:pPr>
        <w:pStyle w:val="BookText"/>
        <w:rPr/>
      </w:pP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دنا وقت الزوال، فلمّا راموا التحرّك سألوهم البقاء الليلة القابلة ليتزوّدوا منهم على أنّ الشتاء أناخ بكلكله ولا تصلون إلى المنزل إلّا ليلاً، وفي السماء غيم خفيف ووابل طل كرؤوس الإبر، ونخشى أن يشتدّ ويثقل والشيخ ضعيف المزاج، فأجابوا مسألتهم وأقاموا ليلتهم الثانية وصنعوا كصنيعهم في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يزر الشيخ أحداً ممّن زاره لضيق الوقت عن ذلك، فلمّا انكشف النهار وقضوا ما عليهم من تكرار الزيارة والوداع لأبي الأئمّة ساروا عند ارتفاع الشمس رأد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الطريق السلطاني إلى بعد العصر، فأشرفوا على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كتف الفرات تشمل على أكثر من مائة بيت أغلبهم إمامية وفيهم من بعض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فاستقبلوا الشيخ ومن معه، أضافوهم وأحسنوا ضيافتهم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وتشرّفوا بتقبيل يديه ورجليه، فأقام بمن معه عندهم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وسألوه عن قبري ولدي سيّدنا مسلم بن عقيل وكانا قريبين من القرية،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ذلك من المسموع فالعمل عليه ولا بأس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أصبح صلّى الصبح في المسجد، وبعد أن أتمّ تعقيبه أمر بالرحيل، فقرّبت إليهم رواحلهم وأركبوا الوالد الحسن في تخته، وشيّعهم أهل القرية ميلاً أو أكثر فلزموا جادة الطريق الأعظم، ولم ينزلوا حتّى للصلاة في بعض منازل الطريق إلى أن 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أُعدّ للعابرين يشتمل على اصطبل واسع للدوابّ، وعلى أواوين عدّة للمسافرين بعد العصر، فنزلوا وأدّوا الفرض والسنّة وباتوا ليلتهم، واستراحوا وأراحوا دوابّهم إلى أن خرج العصفور من وكره، وقد لألأ في ذنب السرحان، ومحا ظلمة الليل ضوء النهار، نادى منادي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هم الخدم أن يضعوا الأوعية على الدوابّ إذ طلع عليهم فرس أشقر عليه رجل مُحتبي بجُبّة سنجابية لا يبين منه شيء من شدّة البرد ومعه خدم وحشم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أماط النقاب عن وجهه وإذا به التقي النقي الحاج محمّد صالح كبّة</w:t>
      </w:r>
      <w:r>
        <w:rPr>
          <w:rStyle w:val="FootnoteAnchor"/>
          <w:rtl w:val="true"/>
        </w:rPr>
        <w:footnoteReference w:id="76"/>
      </w:r>
      <w:r>
        <w:rPr>
          <w:rFonts w:ascii="IRNazanin" w:hAnsi="IRNazanin" w:eastAsia="IRNazanin"/>
          <w:color w:val="111111"/>
          <w:sz w:val="28"/>
          <w:sz w:val="28"/>
          <w:szCs w:val="28"/>
          <w:rtl w:val="true"/>
          <w:lang w:bidi="fa-IR"/>
        </w:rPr>
        <w:t xml:space="preserve">نجل </w:t>
      </w:r>
    </w:p>
    <w:p>
      <w:pPr>
        <w:pStyle w:val="BookText"/>
        <w:rPr/>
      </w:pPr>
      <w:r>
        <w:rPr>
          <w:rFonts w:ascii="Amiri" w:hAnsi="Amiri" w:eastAsia="Amiri" w:cs="Amiri"/>
          <w:color w:val="111111"/>
          <w:sz w:val="28"/>
          <w:sz w:val="28"/>
          <w:szCs w:val="28"/>
          <w:rtl w:val="true"/>
          <w:lang w:bidi="ar-SA"/>
        </w:rPr>
        <w:t>المرحوم الحاج مصطفى كبّة من أعاظم تجّار الإماميّة، مسلّم صدقه وصداقته وحسن سيرته وتقواه عند المؤالف والمخالف، وقد ورد لاستقبال الشيخ ومعه بعض قرابته، ويصحبه الحاج أحمد الشوشتري أحد المعتمدين من تجّار الشيعة، وأخيراً سكن النجف إلى أن توفّي بها السنة الثالثة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ترجّل الصالح ومن معه سلّموا على الشيخ وقبّلوا يديه وجلسوا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المفاوضة سأله الصالح عن عزمه،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أركب وأجعل الزوراء يميني حتّى أهجم على إمامي 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وأقضي وطري ومن معي من التمسّك بأعتابهما، ثمّ أعود إلى دار السلام، ويقضي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الحاج صالح المذكور بأنّي أرى أن تمضي بمن معك رأساً إلى الزوراء، فيظهر الوالي أنّ قصدك إليه، وعسى أن يكون أوفق بالمصلحة وأدعى لقضاء المطلب الذي دعيتم إليه، وأرضى لمواليك وأئمّتك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فاستصوب الشيخ رأيه وساعده الحاضرون؛ لكن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أتفاءل بكتاب الله تعالى، فخرجت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w:t>
      </w:r>
      <w:r>
        <w:rPr>
          <w:rStyle w:val="FootnoteAnchor"/>
          <w:rtl w:val="true"/>
        </w:rPr>
        <w:footnoteReference w:id="77"/>
      </w:r>
      <w:r>
        <w:rPr>
          <w:rFonts w:ascii="IRNazanin" w:hAnsi="IRNazanin" w:eastAsia="IRNazanin"/>
          <w:color w:val="111111"/>
          <w:sz w:val="28"/>
          <w:sz w:val="28"/>
          <w:szCs w:val="28"/>
          <w:rtl w:val="true"/>
          <w:lang w:bidi="fa-IR"/>
        </w:rPr>
        <w:t>، فقال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مِنْ الآمِنِين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فانكشف عن الشيخ ومن معه بهذه الآية أكثر ما يجدونه من الحذر، وهبّوا خفافاً وامتطوا ظهور دوابّهم وأزمعوا السير يقتفون تخت رئيسهم، والعبد الصالح كبّة معهم على الطريق السلطاني، وقد توجّهوا تلقاء مَدْين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 صاروا عن الخان ميلاً أو أكثر وإذا بجماعة من الشيعة جاؤوا لاستقبال الشيخ، فنزلوا عن ظهور دوابّهم وحيّوه وقبّلوا يديه وركبوا ورجعوا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الشيخ وصحبه كلّما قطعوا وادياً أو ارتقوا ربوة وجدوا جماعة من وجوه الشيعة خرجوا لاستقبالهم من عشرة عشرة ،وعشرين  وعشرين، وهم مستبشرون بقدومهم مع عميدهم وهكذا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البطاحَ تملكُ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لسمعت التأهيلَ والترحيبا </w:t>
      </w:r>
    </w:p>
    <w:p>
      <w:pPr>
        <w:pStyle w:val="BookText"/>
        <w:rPr/>
      </w:pPr>
      <w:r>
        <w:rPr>
          <w:rFonts w:ascii="Amiri" w:hAnsi="Amiri" w:eastAsia="Amiri" w:cs="Amiri"/>
          <w:color w:val="111111"/>
          <w:sz w:val="28"/>
          <w:sz w:val="28"/>
          <w:szCs w:val="28"/>
          <w:rtl w:val="true"/>
          <w:lang w:bidi="ar-SA"/>
        </w:rPr>
        <w:t>حتّى أشرفوا على الكرخ وقد تكمّلوا جمّاً غفيراً من العرب والعجم والهنود وغيرهم من الإماميّة إلى أن بلغوا باب دار السلام ممّا يلي الرصافة بعدما عبروا المسعودي</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تلك الصفة، وقطعوا الأزقّة إلى الجسر بهيئة حسنة وأبّهة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وترجّل من أكابرهم جماعة، وأحاطوا بالتخت وقادوه إكراماً وإعظاماً حتّى عبروا به الجسر إلى الجانب الآخر، وكان دار الإمارة مشرفاً عليه، فأخرجت الأُمراء والكتّاب ورؤساء الجند رؤوسهم من الرواشن ينظرون إليهم، فرأوا من تكاثرهم على موئل رأيهم ومبين أحكامهم ما ساءهم، فتعجّبوا من ذلك واستعظموه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اكتملوا بالجانب الآخر أخذوا ذات اليمين على السوق إلى دار العبد الصالح كبّة، فانحاز الناس عنهم، وأخلوا لهم الطريق وهم ينظرون شيئاً لم يروا مثله من تسديد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الرعب في قلوب أعداء الدين لمّا لاح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 أهلُ النهى كانوا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مَنْ خيرُ هذا الخلق قيل هُمْ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الفرزدق، إيليا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فقطعوا الأزقّة والأسواق إلى أن وصلوا آخر النهار إلى دار العبد الصالح كبّة، وكانت داره من عهد أبيه معدّاً للضيوف خصوصاً للعلماء الواردين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نزل الشيخ من مركبه ودخل الدار وارتقى إلى المكان الذي أُعدّ له وكذا أصحابه، وتفرّق الناس إلى مضاربهم، وأدّى المكتوبة، واستراح هو ومن معه من وعثاء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فألقت عصاها واستقرّ بها النوى</w:t>
      </w:r>
    </w:p>
    <w:p>
      <w:pPr>
        <w:pStyle w:val="BookText"/>
        <w:rPr/>
      </w:pPr>
      <w:r>
        <w:rPr>
          <w:rFonts w:ascii="Amiri" w:hAnsi="Amiri" w:eastAsia="Amiri" w:cs="Amiri"/>
          <w:color w:val="111111"/>
          <w:sz w:val="28"/>
          <w:sz w:val="28"/>
          <w:szCs w:val="28"/>
          <w:rtl w:val="true"/>
          <w:lang w:bidi="ar-SA"/>
        </w:rPr>
        <w:t>وأذّن مؤذّن المغرب فتهيّأ وا للصلاة، ولما فرغوا قدّمت لهم الموائد فأكلوا وشربوا وحمدوا الله وشكروه وباتوا بأهنأ ليلة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وارتفع قرص الشمس إلى ثلث الأُفق جلس الشيخ للزائرين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خبر وروده إلى علماء كربلاء ممّن دعاهم الوزير فأسرعوا قادمين وكانوا بحظيرة القدس في </w:t>
      </w:r>
    </w:p>
    <w:p>
      <w:pPr>
        <w:pStyle w:val="BookText"/>
        <w:rPr/>
      </w:pPr>
      <w:r>
        <w:rPr>
          <w:rFonts w:ascii="Amiri" w:hAnsi="Amiri" w:eastAsia="Amiri" w:cs="Amiri"/>
          <w:color w:val="111111"/>
          <w:sz w:val="28"/>
          <w:sz w:val="28"/>
          <w:szCs w:val="28"/>
          <w:rtl w:val="true"/>
          <w:lang w:bidi="ar-SA"/>
        </w:rPr>
        <w:t>مقابر قريش عند 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استقرّ بهم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غاصّاً بأهله من وجوه الفرقة المحقّة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دخل قائد من قوّاد الوزير ذو خدم و حشم حتّى ورد المجلس و حيّا الشيخ ومن معه بالمعتاد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رحّب بالشيخ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أرسلني وهو يخصّك بالسلام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إن شاء الله في سفرك هذا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عنّي التحيّة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أمر الدولة مطاع، والعناء يذهب ونلتقي إن شاء الله تعالى، فإذا رأى ما بي من ضعف البنية عرف أنّي كيف قادني الشوق إليه وبادرت لامتثال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القائد الإذن بالانصراف ، فأذن الشيخ له فقام وانصرف ولم يحتفل الشيخ به، لكن الله أودع حبّه في قلبه، فإنّه لمّا شيّعه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أدخلت وليّاً من أولياء الله دارك، وإنّ الله تعالى أودع في قلبي حبّه لما رأيته في الغري حينما نزلنا تكيته بخدمة الوالي، ثمّ مضى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ولّى حتّى دخل على أثره أربعة أنفار معمّمين على هيئة طلبة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رجل أبيض اللحية قد طعن في السن والباقي كهول، فسلّموا وجلسوا وسار الصالح الشيخ بأنّ هذا أمين الفتوى فرحّب به وأدنى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استقرّ به الجلوس أخرج من كمّه ورقة طويلة الحجم وسلّمها إلى الشيخ بتأدّب، ففتحها الحسن وتلاها على أصحابه فإذا فيها على ما بلغني ممّن كان مع الوالد مع 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بعد</w:t>
      </w:r>
    </w:p>
    <w:p>
      <w:pPr>
        <w:pStyle w:val="BookText"/>
        <w:rPr/>
      </w:pPr>
      <w:r>
        <w:rPr>
          <w:rFonts w:ascii="IRNazanin" w:hAnsi="IRNazanin" w:eastAsia="IRNazanin"/>
          <w:color w:val="111111"/>
          <w:sz w:val="28"/>
          <w:sz w:val="28"/>
          <w:szCs w:val="28"/>
          <w:rtl w:val="true"/>
          <w:lang w:bidi="fa-IR"/>
        </w:rPr>
        <w:t>خطبة تشمل على الحمد والصلاة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أئمّة الدين، وعلماء المسلمين، ومرشد الطريقة، وجامعي الشريعة والحقيقة، من ساكني دار السلام وغيرهم من الأعلام في جماعة يقولون كلمة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أنّ لهم قائداً يطلقون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ويزعمون أنّ له أركاناً وله كتاب غير الكتاب العزيز، فما حكمه وحكم متابعيه، وما يجب على وليّ الأمر فيهم وفيه، ويلحقون بدار الحرب أم لا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أهل السنّة، بل المسلمون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خرق الإجماع القطعي الذي </w:t>
      </w:r>
    </w:p>
    <w:p>
      <w:pPr>
        <w:pStyle w:val="BookText"/>
        <w:rPr/>
      </w:pPr>
      <w:r>
        <w:rPr>
          <w:rFonts w:ascii="Amiri" w:hAnsi="Amiri" w:eastAsia="Amiri" w:cs="Amiri"/>
          <w:color w:val="111111"/>
          <w:sz w:val="28"/>
          <w:sz w:val="28"/>
          <w:szCs w:val="28"/>
          <w:rtl w:val="true"/>
          <w:lang w:bidi="ar-SA"/>
        </w:rPr>
        <w:t>صار من ضروريّات الدين كفر، وبه صُرّح في خزانة الجرجاني والمحيط البرهاني وأحكام الرازي وأصول البزودي، ولا كتاب بعد الكتاب المنزل، فلا شكّ في إلحاق هؤلاء وشبههم من أهل البدع بدار الكفر بنصّ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الَّذِينَ يُحَارِبُونَ اللَّهَ وَرَسُولَهُ وَيَسْعَوْنَ فِي الْأَرْضِ فَسَادًا أَنْ يُقَتَّلُوا أَوْ يُصَلَّبُوا أَوْ تُقَطَّعَ أَيْدِيهِمْ وَأَرْجُلُهُمْ مِنْ خِلَافٍ أَوْ يُنْفَوْا مِنَ الْأَرْضِ</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الفساد إلّا خلاف ما عليه المسلمون قاطبة، فهم من أهل الردّة، وقد استباح الصدّيق إلحاقهم بدار الحرب بمنعهم الزكاة، فكيف بمثل هذه الدعاوي الفظيعة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إكفار من قال بالربط العادي، والتشبيه والتجسيم والجهة، والأُصول الثلاثة، وقِدَم العالم والجواهر، وتلازم الأسباب الطبيعيّة في التوليد، والعقول المجرّدة، والنفوس الفلكيّة، والقوى المتخيّلة في الإنسان من حيث استيلائها على القوّة العاقلة وصرفها عن جانب القدس إلى الشهوات واللذّات الحسّيّة الوهميّة ،فنسبة ذلك أو بعضه كفر وإكفار، والله تعالى أكمل الدين بآية الإكمال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أهل الكتاب من اليهود والنصارى والمجوس لم يعهد ولم نسمع به، فإكفار هذه الفرقة من المبدعين ومتابعيهم والراضين بفعالهم والمساعدين لهم وإلحاقهم بدار الحرب مما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مختارات النوازل تبجيل الكافر كفر، فمن سلّم على الذمّى تبجيلاً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آخرها نسبة الكفر لجماعة معلومين مشخّصين، وجعلهم من التابعين لهم، منهم العجمي السابق الذكر الذي أتى بالأسفار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بيراع أبو الثناء شهاب الدين المفتي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هامشها خطوط جماعة من علماء أهل السنّة بتصحيح ذلك كلّه لم يحضرني أسماؤهم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أحاط الحسن ومن معه بها خُبراً التفت إلى أمين الفتوى مستفهماً عمّا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هذا الطرس بقلمك، واختمه بخاتمك بأمر حضرة المفتي ليكون العمل عليه بإجماع علماء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فقبض الشيخ على كريمته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عليه الجمهور لا ينكر، غير أن المتسرّع بالفتوى في خطر عظيم ما لم يتبصّر ويجدّ ويجتهد فيما يدين الله به، وقد اشتملت الورقة على مسائل ينبغي أن تُلْحظ ، ونحن على جناح سفر فإن استقرّ بنا المقام نظرنا في نتائج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الصباح يحمد القوم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أمين الفتوى ولم يتكلّم، وطوى كتابه، وقام من حينه بمن 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توارى شخصه أقبل الشيخ بوجهه على الجماعة،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لا ينبغي لي أن أعترف بشيء منه أو أمضيه وأخشى أن يكون مقدّمة لأمر آخر، فإنّا إن وافقناهم ولو على الضروري وقعنا في أمر لا يسعنا إنكاره وهو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إلى ما يكون إليه المآل، فإذا بلغت التقيّة الدماء فلا تقيّة ونستعين بالله وبصاحب الشريعة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 إلّا الميرزا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نفارقهم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مكانِ يُنْبِتُ العِزّ طيّب</w:t>
      </w:r>
    </w:p>
    <w:p>
      <w:pPr>
        <w:pStyle w:val="BookText"/>
        <w:rPr/>
      </w:pPr>
      <w:r>
        <w:rPr>
          <w:rFonts w:ascii="Amiri" w:hAnsi="Amiri" w:eastAsia="Amiri" w:cs="Amiri"/>
          <w:color w:val="111111"/>
          <w:sz w:val="28"/>
          <w:sz w:val="28"/>
          <w:szCs w:val="28"/>
          <w:rtl w:val="true"/>
          <w:lang w:bidi="ar-SA"/>
        </w:rPr>
        <w:t>فلم يستصوب الشيخ ولا الجماعة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نوافقهم حسب الإمكان كما أُمرنا بذلك ولا ندخل على أنفسنا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أدهى وأمرّ، معنا من يعيننا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فعارٌ على حامي الحمى وهو في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 في البيدا عِقالُ بعيرِ</w:t>
      </w:r>
    </w:p>
    <w:p>
      <w:pPr>
        <w:pStyle w:val="BookText"/>
        <w:rPr/>
      </w:pPr>
      <w:r>
        <w:rPr>
          <w:rFonts w:ascii="Amiri" w:hAnsi="Amiri" w:eastAsia="Amiri" w:cs="Amiri"/>
          <w:color w:val="111111"/>
          <w:sz w:val="28"/>
          <w:sz w:val="28"/>
          <w:szCs w:val="28"/>
          <w:rtl w:val="true"/>
          <w:lang w:bidi="ar-SA"/>
        </w:rPr>
        <w:t>ثمّ أمسكوا وبقوا يومهم ذلك وليلتهم في تشويش وتفكّر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وتصرّم من اليوم بعضه والشيخ في مجلسه، والشيعة تختلف إليه حتّى من كان في القرى المحيطة ببغداد، فدخل عليهم ذلك القائد الذي جاء سابقاً وقبّل يد الشيخ، ثمّ أخرج رقعة ودفعها إليه، ففضّها وإذا مرسوم فيها استدعاء الشيخ ومن معه إلى قصر الإمارة غداً أوّل النهار من الوالي، فأنعم الحسن بالقبول، وخرج القائد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انقضى زمن المهلة، وحان حين الوقت، واجتمعت الجماعة نزل الشيخ من المكان الذي أُعد ّله محتبي بجبّة خرّ ضافية عليه، أهداها له بعض أُمراء إيران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فانحدر ونزلنا بأثره إلى صحن الدار عازمين إلى ما دُعينا إليه متوكّلين </w:t>
      </w:r>
    </w:p>
    <w:p>
      <w:pPr>
        <w:pStyle w:val="BookText"/>
        <w:rPr/>
      </w:pPr>
      <w:r>
        <w:rPr>
          <w:rFonts w:ascii="Amiri" w:hAnsi="Amiri" w:eastAsia="Amiri" w:cs="Amiri"/>
          <w:color w:val="111111"/>
          <w:sz w:val="28"/>
          <w:sz w:val="28"/>
          <w:szCs w:val="28"/>
          <w:rtl w:val="true"/>
          <w:lang w:bidi="ar-SA"/>
        </w:rPr>
        <w:t>على الحيّ القيّوم، مستغيثين بصاحب الأمر، وحينئذٍ قُدّمت له بغلة الصالح كبّة الشهباء، فركبها وأحاطت به العلماء ممّن صحبه وغيرهم، فخرجوا وإمامهم أمامهم، ومرّ بمن معه في الأزقّة والأسواق فلا يلوي على أحدٍ إلّا قام إجلالاً له، ورمقتهم الأبصار، وتبعهم من الإماميّة خلق كثير حتّى إذا ما بلغوا دار الإمارة وجدوا الحُجّاب صفّين ببابه كالبنيان المرصوص، فدخل الشيخ الصراي الأوّل وإذا به مملوء من الناس نساءً ورجالاً من كلِّ</w:t>
      </w:r>
    </w:p>
    <w:p>
      <w:pPr>
        <w:pStyle w:val="BookText"/>
        <w:rPr/>
      </w:pPr>
      <w:r>
        <w:rPr>
          <w:rFonts w:ascii="Amiri" w:hAnsi="Amiri" w:eastAsia="Amiri" w:cs="Amiri"/>
          <w:color w:val="111111"/>
          <w:sz w:val="28"/>
          <w:sz w:val="28"/>
          <w:szCs w:val="28"/>
          <w:rtl w:val="true"/>
          <w:lang w:bidi="ar-SA"/>
        </w:rPr>
        <w:t>ملّة وأهل النوبة مصطفّون إلى باب الصراي الآخر يحولون بين الناس وبين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الثاني وهو على بغلته، وصحابته خلفه وإذا به كالأوّل من الخلق، ورأوا القوّاد والشرطة وأهل النوبة وأُمراء الجند كُلّاً على مرتبته واقفين ينظرون من طرف خفي، والشيخ ومن معه في أبّهة تسرّ الصديق وتكبت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توسّط دار الإمارة صلّى بعض الشيعة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 فصلّى من حضر من الناس كذلك، وارتفعت الأصوات بالصلوات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يحاذي المقصورة العظمى التي هي محلّ الأمر والنهي والفتق والرتق والمجلس العمومي فيها خرج من غرفة مجاورة لها رجلٌ إلى الطول أميل، خفيف العارضين، متقلّداً سيفه، مسدلاً على صدره نيشانه المرصّع، فأسرع إلى الشيخ وأخذ بلجام بغلته، وسأله النزول بباب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الرجل يدعى بصادق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أُمور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 الحسن ودخل ومن معه الغرفة، وأمر لهم الكهية المذكور بما يناسب من الإكرامات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طريق المقصورة العظمى على تلك الغرفة، فنظر الجماعة إلى علماء أهل السنّة يمرّون ولا يمنعون إلى مقصورة الولاية الكبرى، فأخبروا الشيخ رمزاً بذلك، فانزعج و وجّه الخطاب إلى الكهية المزبور بأنّك حبستني عندك وعلماؤكم تمرٌ علينا ولم تحبسهم، أما والله تعالى إنّ وجدت أنّ المكان المعدّ لنا غير لائق بنا أو في صفّ النعال رجعت على أثري بمن معي فإنّ العزّة لله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يا حسن أفندي، فلعلّ في ذلك لك تمام الصلاح فإنّ الوزير والدستور الكبير لا يبغي بك بدلاً ولا يقدّم عليك أحداً فأبشر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تمّ كلامه حتّى صدر الإذن بدخول الشيخ وتبعته إلى المقصورة العظمى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والجماعة في أثره وكانوا أكثر من ثلاثين حتّى دخلوا ذلك المحلّ وإذا به محلّ واسع طوله أكثر من ستّين ذراعاً باليد في عرض خمسة وعشرين ذراعاً كذلك، والوزير في صدره في وسط القبّة، وعلى شماله ممّا يلي دجلة علماء أهل السنّة جلوس إلى آخره يزيدون على المائة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طرف اليمين لم يجلس أحد سوى إسماعيل خان المنصوب من سلطان إيران لحراسة رعيته في عرض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 الوزير الشيخ نهض قائماً وقام كلّ من حضر، ومضى الحسن على رسله إلى أن وصل إليه بعد أن استقبله خطوات وجلس إلى جنبه، وجلست أصحابه بحذائه كلٌّ على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أقرب الناس إليه السيّد إبراهيم القزويني وبعده محمّد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أن انتهى مجلسهم بالخان المزبور فلم يستوفوا بالجلوس ثلث المقصورة وقليل ما همكَم مِّن فِئَةٍ قَلِيلَةٍ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اطمأنّ بهم المجلس ارتدّت من الناس الأنفاس، وسكنت الحواسّ ممّن هو في ساحة دار الإمارة ممّن ضاقت به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إلى حذاء القصر ممّا يلى الدجلة فإنّ للمقصورة الكبرى أبواباً يرى الجالس فيها من طرف الدجلة كما يرى من ساحة ذلك الصرح فبقي من في تلك المضارب يسارقون المجلس بالنظر وهم بتمام الدهشة كأنّما على رؤوسهم الطير فرحّب الوزير بهم وحيّاهم، وعطف على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أزعجناك وأزحمناك في كانون، وانجلى إن شاء الله تعالى ما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كثيراً ما يختلج بخاطري أن أزورك غير أنّ ضعف البنية يمنعني من ذلك، فأجتزئ عن ذلك بالدعاء للدولة العلية ولو كلائها خصوصاً حضرتكم في روضة أسد الله الغالب باب مدينة العلم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دعائي وسائر أهل التحصيل مستجاب لدى بارئ النسم؛ لأنّه غير منوط بطمع، ولا مأخوذ عليه الأجر، وإن كنّا في أمن واستراحة فإنّ الدعاء لحافظ الثغور من الواجبات العينيّة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فساء المفتي ذلك وهو إذ ذلك أبو الثناء شهاب الدين السيّد محمود أفندي آلوسي زاده، ويدّعي العلم والمعرفة والإحاطة بالمعقول والمنقول، وله روح المعاني التفسير الذي </w:t>
      </w:r>
    </w:p>
    <w:p>
      <w:pPr>
        <w:pStyle w:val="BookText"/>
        <w:rPr/>
      </w:pPr>
      <w:r>
        <w:rPr>
          <w:rFonts w:ascii="Amiri" w:hAnsi="Amiri" w:eastAsia="Amiri" w:cs="Amiri"/>
          <w:color w:val="111111"/>
          <w:sz w:val="28"/>
          <w:sz w:val="28"/>
          <w:szCs w:val="28"/>
          <w:rtl w:val="true"/>
          <w:lang w:bidi="ar-SA"/>
        </w:rPr>
        <w:t>يزعم أنّه لم يكتب مثله، فخاطب الشيخ وكان ثالث ثلاثة عن شمال الوزير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أفندي، إنّ الدعاء مع الإحسان أشدّ إخلاصاً وأقرب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ظلّت مطيتُك 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لوليّ الأمر عبادة تناط بالإخلاص والقربة، وأخذ الجعل والإجارة ينافي الخلوص في النيّة، ولذلك تركتْهُ الأولياء، وكان المتعفّف منهم أوقع في النفوس مثل ابن عربي، والغزالي، والبسطامي، والحلّاج،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أنّ عمرو بن عبيد، لمّا استدعاه المنصور الخليفة الدوانيقي 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سوى حاجة واحدة وهي أن لا تدعوني حتّى آتيك،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نلتقي</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سمة الأولياء والسلف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للإحسان لا للأجر المنافي للإخلاص،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القبول أولى وأخلص كي لا يجزع إن انقطع فيكون ممّن قال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الصَّدَقَتِ</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نرى بالوجدان أنّه متى تأخرّ نجم من نجوم معاشه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المدح بالذّم فضلاً عن ترك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الوزير وبسط راحتيه ودعا بأعلى صوته بما يقتضيه المقام للسلطان مورّياً دعاءٌ خفيفاً إلى أن أعلن بآمین فصاحت الناس آمين جميعاً، فسرّ الوزير بذلك، ولاح البِشْرُ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الوزير إلى ورائه فتناول عِيبَةً فيها قراطيس وألقاها بين يدي الحسن، ففتحها وأخرج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فوجدها الأسفار التي جاء بها ذلك العجمي، فألقاها من يده في الأرض وهزّ يده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واطّلعني بعض الأصدقاء بعد مدّة على ورقة زعم أنّها من تلك الأسفار، فوجدت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السيّار، والفلك الدوّار واختلاف الليل والنهار، ما في العالم العلوي ولا السفلي، سوى الباب اللاهوتي والشأن الملكوتي، قِفْ أثر من كان قبلك من النبيّين، فإنّ </w:t>
      </w:r>
    </w:p>
    <w:p>
      <w:pPr>
        <w:pStyle w:val="BookText"/>
        <w:rPr/>
      </w:pPr>
      <w:r>
        <w:rPr>
          <w:rFonts w:ascii="Amiri" w:hAnsi="Amiri" w:eastAsia="Amiri" w:cs="Amiri"/>
          <w:color w:val="111111"/>
          <w:sz w:val="28"/>
          <w:sz w:val="28"/>
          <w:szCs w:val="28"/>
          <w:rtl w:val="true"/>
          <w:lang w:bidi="ar-SA"/>
        </w:rPr>
        <w:t>المبدأ الأزل، فاقمع زيغ مَنْ ألحد، وظلّ عن الطريق بما كان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يخطر يبالي من تلك الورقة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مدّة كنت أقرأ المطوّل عند الشيخ الفاضل إبراهيم قفطان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وبيدي معاهد التنصيص</w:t>
      </w:r>
      <w:r>
        <w:rPr>
          <w:rStyle w:val="FootnoteAnchor"/>
          <w:rtl w:val="true"/>
        </w:rPr>
        <w:footnoteReference w:id="86"/>
      </w:r>
      <w:r>
        <w:rPr>
          <w:rFonts w:ascii="Amiri" w:hAnsi="Amiri" w:eastAsia="Amiri" w:cs="Amiri"/>
          <w:color w:val="111111"/>
          <w:sz w:val="28"/>
          <w:sz w:val="28"/>
          <w:szCs w:val="28"/>
          <w:rtl w:val="true"/>
          <w:lang w:bidi="ar-SA"/>
        </w:rPr>
        <w:t>فمررت بترجمة المتنبّي الشاعر المعروف فوجدت هذه الفقرات بتغيير يسير فما ادّعى النبوّة فيه، فعرفت أنّها ملفّقات بلا معنى ولا مبنى أعاذنا الله من الجنون الابليسي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أفندم، نحن في جوار المرقد العلوي، وهو قصر في وسط البيداء بوادٍ غير ذي زرع، وحرم تقصده الناس من كلّ فجٍّ عميق على اختلاف مللها وطرائقها، ومن سائر أصناف الدراويش، وأرباب الفال، وأغلب مَنْ يأتي من هذه المقولة نجده على خلاف ما عليه جملة المسلمين، فواحدٌ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مردة يزعمون أنّه مرشد وآخر له بساط فيه أسباب يزعم أنّه يفرّق بين المرء وزوجه، وأنّه يسخّر الجنّ، وأنّه يجلب الحبّ، فتجتمع عليه نواقص العقول ويتوصّل بذلك إلى معاشه، وبعض يلعب بالدفوف وبيده حديدة محماة يضرب بها صدره وبطنه ويستخرجها من جانب لجانب، ويدّعي أنّه من نسل سيّدنا الرفاعي، وأنّ هذه سجّيته، افتراءٌ عليه فيما حرّم الله تعالى، وبعض يصفق ويغنّي وينشر شعره ويغيّب نفسه عن الوجود ويدّعي أنّه من الأقطاب بإظهار الجنون، وبعضٌ يترك الواجبات بأسرها ويدّعي أنّه وصل إلى الحقّ اليقين، فلو اعترض عليه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وأمثال هؤلاء أكثر من أن يحصى أو يستقصى، فلو أنّا نعاقب كلّ من يدخل إلينا من هذا النسق، أو من أرباب العقائد الفاسدة، ويسألنا الوالي عنهم لما قرّ لنا قرار، ولكن لكلّ مرض دواء، ودواء مثل ذلك الإعراض عنه وعدم الاحتفال به، يتلاشى بالطبع ويضمحِلُّ ولا يبقى له أثر، وإذا اتّبعنا أثرهم تزايدوا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حريص على ما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كشف لي الغطاء بأنّك استدعيتنا لذلك لذكرت لحضرتكم الرأي المصيب فيه، لكن الخير فيما وقع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ذلك في عقل الوزير واستصوبه، والتفت إلى المفتي بالإشارة والمفتي المرقوم </w:t>
      </w:r>
    </w:p>
    <w:p>
      <w:pPr>
        <w:pStyle w:val="BookText"/>
        <w:rPr/>
      </w:pPr>
      <w:r>
        <w:rPr>
          <w:rFonts w:ascii="Amiri" w:hAnsi="Amiri" w:eastAsia="Amiri" w:cs="Amiri"/>
          <w:color w:val="111111"/>
          <w:sz w:val="28"/>
          <w:sz w:val="28"/>
          <w:szCs w:val="28"/>
          <w:rtl w:val="true"/>
          <w:lang w:bidi="ar-SA"/>
        </w:rPr>
        <w:t>كان متميّزاً من بين أقرانه بالعلم والفضل والإحاطة، وله مصنّفات كثيرة خصوصاً في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لسناً أديباً فصيحاً بارعاً في النحو والصرف والبيان جدلاً وقيحاً ألدّ الخصام، فبرز قليلاً عن أصحابه بحيث تميّز تقدّمه،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أفندي، هذه بدعة، وكلّ بدعة ضلالة، ونخشى أن يكون بسببها إكفار خلق كثير، فيجب على وليّ الأمر ونوّابه وسائر العلماء أن يجتهدوا في محوها ويعاقبوا عليها بالقتل والحرق والتمثيل،</w:t>
      </w:r>
    </w:p>
    <w:p>
      <w:pPr>
        <w:pStyle w:val="BookText"/>
        <w:rPr/>
      </w:pPr>
      <w:r>
        <w:rPr>
          <w:rFonts w:ascii="Amiri" w:hAnsi="Amiri" w:eastAsia="Amiri" w:cs="Amiri"/>
          <w:color w:val="111111"/>
          <w:sz w:val="28"/>
          <w:sz w:val="28"/>
          <w:szCs w:val="28"/>
          <w:rtl w:val="true"/>
          <w:lang w:bidi="ar-SA"/>
        </w:rPr>
        <w:t>وليس ذلك ممّن ذكرت والمقيس غير المقيس عليه؛ للفرق الواضح بينهما، مع بطلان القياس عندكم وكون ذلك ممّا يقضي به الاعتبار، فيكون المستند في الإعراض عنهم العقل أيضاً لا يجدي؛ لتوقّفه على تجريده من شوائب الوهم والألف والعادة والاحتراز من الخطأ في الترتيب والعلم بخلوصه ممّا يخلّ، وكلّ ذلك مفقود فيما نحن فيه إن لم يقض العقل بمحو ذلك للزوم الفساد، فما تقول؟</w:t>
      </w:r>
    </w:p>
    <w:p>
      <w:pPr>
        <w:pStyle w:val="BookText"/>
        <w:rPr/>
      </w:pPr>
      <w:r>
        <w:rPr>
          <w:rFonts w:ascii="Amiri" w:hAnsi="Amiri" w:eastAsia="Amiri" w:cs="Amiri"/>
          <w:color w:val="111111"/>
          <w:sz w:val="28"/>
          <w:sz w:val="28"/>
          <w:szCs w:val="28"/>
          <w:rtl w:val="true"/>
          <w:lang w:bidi="ar-SA"/>
        </w:rPr>
        <w:t>ثمّ سكت، وترجم ذلك كلّه للوزير بلغته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الحسن بن جعفر حتّى ترك الوزير خلفه،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 سهمك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اللبون إذا ما لزّ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 ننكر لزوم إزالة الفساد ومحو البدع عيناً أو كفاية؛ فإنّه من الضروريّت ولا يحتاج إلى إقامة البرهان، وكذا ما يتوقّف عليه لوجوب ما يتوقّف عليه الواجب، غير أنّ المقدّمات مختلفة، فمنها ما يحصل به ذو المقدّمة من دون ترتّب فساد آخر من نهب أو قتل أو إضرار، ومنها ما يحصل به المطلوب بسهولة، ومتى انحصرت لوحظ الأهمّ ما بين الضرر الناشئ من فعل المقدّمة وإن حصل به المطلوب وما بين الناشئ من تركها والإعراض عن المأمور به، وإلى ذلك ينظر فعل النبي صلى الله عليه وسلم لمّا صالح بعض الكفرة المأمور بنصّ الكتاب بقتالهم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الْمُشْرِكِينَ كَافَّةٌ</w:t>
      </w:r>
      <w:r>
        <w:rPr>
          <w:rStyle w:val="FootnoteAnchor"/>
          <w:rtl w:val="true"/>
        </w:rPr>
        <w:footnoteReference w:id="88"/>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يناسب ذلك المصالحة وأخذ الفداء والهدنة حتّى ترك الحجّ ورجع كلّ ذلك بمرأى من الصحابة ومسمع وسببه أنّ الإسلام إذا ضرب بجرانه</w:t>
      </w:r>
      <w:r>
        <w:rPr>
          <w:rStyle w:val="FootnoteAnchor"/>
          <w:rtl w:val="true"/>
        </w:rPr>
        <w:footnoteReference w:id="89"/>
      </w:r>
      <w:r>
        <w:rPr>
          <w:rFonts w:ascii="Amiri" w:hAnsi="Amiri" w:eastAsia="Amiri" w:cs="Amiri"/>
          <w:color w:val="111111"/>
          <w:sz w:val="28"/>
          <w:sz w:val="28"/>
          <w:szCs w:val="28"/>
          <w:rtl w:val="true"/>
          <w:lang w:bidi="ar-SA"/>
        </w:rPr>
        <w:t>وقويت أهله ضعف الجانب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نحن فيه إذا أمكن محو هذه الفرقة المنحوسة بغير القتل والتمثيل من لطائف الحيل وجب ارتكابه؛ لِما في الأوّل من الضرر وأقلّه أخذ البريء بالمذنب والحمل على العقوق فيُعرِضُ ولي الأمر عنهم كأن لم يكونوا، ويضع المراصيد عليهم ويغتالهم، ولا يجعلهم طرفاً مقابلاً فيتعاظم أمرهم ويلحق بهم غيرهم، فإنّ النفوس للطمع مجبولة على حبّ الفساد، فلا ريب أنّ ذلك أولى له أُسوة بمن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المقيس عليه غير المقيس وفرقٌ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تمام المؤاخذة ضرورة أنّ القائل بالقياس يرى أنّ أصل الحكم إذا كان مأخوذاً من الشارع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الحكم فيمن ذكرناه مأخوذ من الشارع فهو من موضوع القياس، وأيّ فرق بينهما؟ وإنِّي أُحذّرك بطش الله تعالى في تأجُّج نائرة عظيمة يهلك بها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تدر أنّ أهل التشيّع كلّهم من جهة إرسالكم إلى علمائهم فى حيص بيص</w:t>
      </w:r>
      <w:r>
        <w:rPr>
          <w:rStyle w:val="FootnoteAnchor"/>
          <w:rtl w:val="true"/>
        </w:rPr>
        <w:footnoteReference w:id="90"/>
      </w:r>
      <w:r>
        <w:rPr>
          <w:rFonts w:ascii="Amiri" w:hAnsi="Amiri" w:eastAsia="Amiri" w:cs="Amiri"/>
          <w:color w:val="111111"/>
          <w:sz w:val="28"/>
          <w:sz w:val="28"/>
          <w:szCs w:val="28"/>
          <w:rtl w:val="true"/>
          <w:lang w:bidi="ar-SA"/>
        </w:rPr>
        <w:t>، واضطراب ؟ وقد خيّل لهم الشيطان بعض الخيالات ، فإخماد هذه النائرة وأخذها بالأمور السياسيّة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وترجم للوزير ذلك أو بعضه بالتركيّة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أتمّ المترجم 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يا حسن أفندي هذا، فإنّا قد أفتينا بارتدادهم وسفك دمائهم، وقد نصبنا السلطان لذلك فيجب على القاضي أن يحكم طبق الفتوى، ويلزم إجراء الحكم ولا يجوز الردّ ولا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تذكر فما السبب لإحضارنا؟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فصل الحكومة يحصل من قاض واحد، وجمع الحكّام في مسألة أو نزاع إمّا لجهة إعانة الحاكم في مقدّمات الحكم كي لا يخطئ، و إمّا لإنفاذ الحكم فيما لو حكم به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متوقّف على أُمور ينبغي أن تلحظ كي لا يكون الحكم والفتوى بغير ما أنزل الله تعالى خصوصاً في مسألة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أصل المسألة التي صدرت الفتوى بها في أنّها محلّ خلاف، أم من المتّفق عليه ؟ وعلى الأوّل ينظر في وَهْنِ قول المخالف وعدمه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إحراز الموضوع فقد تكون المناقشة في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إذا نصب مفتياً أو عيّن قاضياً وأفتى ذلك المفتي على طبق مذهبه مع مخالفته لباقي المذاهب أو بعضها فهل يجب على من خالفه إنفاذ تلك الفتوى، ويلزم القاضي الحكم بها؟ أو للمخالف أن يردّ الفتوى حتّى يظهر رجحانها على غيرها بكون الأكثر عليها، أو صدور النصّ الصحيح بها أو غير ذلك من المرجّحات، فإذا ترجّحت تلك الفتوى بمرجّحها لزم القاضي الحكم بها، وإلّا توقّف أو حكم بضدّها حيث يكون الرجحان للطرف المقابل في مقام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أنواع المسائل وأصنافها غير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عليه يلزمنا التدبّر في خصوص هذه الفتوى من جميع أطرافها، فإن وجدنا فيها موضعاً للاشتباه سألناك إما الرجوع عنها أو رفع الشبهة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رأى المفتى توسّط ذكر السلطان انتهزها فرصة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السلطان وليّ أُمور المسلمين فإذا نصب مفتياً أو قاضياً وعيّن له مذهباً خاصّاً من المذاهب تعيّن قبول تلك الفتوى من جهة أمره ولزم القاضي الحكم بما تضمنته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يطول شرحها، ولكنّ الذي أُمرنا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وافق الكتاب والسنّة النبويّة وتطبيق الفروع على الأُصول في غير ما ورد النصّ فيه والرجوع إلى الأعلم الأعرف في غير المنصوص ؛ لأنّه أقرب إلى الواقع، ويلزم امتثال أوامر ولاة الأمر في السياسات وتقوية الإسلام، وأمّا فيما كان المرجع فيه الكتاب والسنّة فلا يأمر السلطان بخلافه، وإن أمر لا يجوز اتّباعه، وليس الحكم الشرعي يدور مدار أمره ونهيه، بل يدور مدار السنّة النبويّة، وإلّا لّا دوّنت الكتب وحفظت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ماترى لو أمر السلطان بلزوم متابعة الإمام الأعظم كما هو مذهبه الآن يقتضي أن لا يجوز العمل بباقي المذاهب ويحرم عليهم التديّن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عليه الملّة الإسلاميّة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يلزمك ترك الشاذّ النادر والتدبّر بما اختلفت فيه أهل المذاهب والحكم بأقوى الأمارتين، لكن بشرط أن لا يكون مذهباً محدثاً بحيث يلزم منه الخروج عن الإجماع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المؤمنون حسناً، فهو عند الله حسن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المواعظ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بيبرس</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الظاهريّة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وستّين وستّمائة لمّا رأى مذاهب الناس متشعبّة لهناتٍ كانت في أيّام السلطان صلاح الدين فحمل الناس على المذاهب الأربعة وولّى في مصر أربع قضاة لكلّ مذهب قاضٍ، وعملت لأهلها المدارس والخوانك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والزوايا والربط إلى آخر ما حُكي، فحينئذٍ لا يجب العمل بما طابق أحد المذاهب حتّى لو عيّن السلطان لمن نصبه للإفتاء ذلك، بل يكفي أن لا تخرج الفتوى عن جملة المذاهب، وأمسك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المفتي إلى أصحاب الشيخ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جميعكم تقولون بهذا، وتوافقون الشيخ حسن أفندي؟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والمترجم يلخّص القول ويترجم والوالي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أفندي تشيّع شطرك حيث حضرت المذاهب بالأربعة، فالمذهب الجعفري محدث؟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الحسن على ركبتيه واحمرّ وجهه، وخرج بكلّه عن المجلس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وعِ، إنّ المذاهب كلّاً مرجعها إلى المذهب الجعفري، لأنّها لا تخرج عن السنّة وهو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جميع علماء الإسلام على قبول رواية جعفر بن محمّد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الله تعالى، ولم يطعن طاعن في سلسلة روايته، وعبّر الكلّ عنها بسلسلة الذهب، ولا ذكر أحد عدم جامعيّة من يروي عنهم لجميع ما اشترط في قبول الرواية كما ذكر أهل الرجال في غيره من الأقاويل، فإنّ الكتب تنبئك عن توثيقه، ووفور علمه المتلقّى يداً بيد عن آبائه، وأهل البيت أدرى بما في البيت، والمنتخب من علماء أهل السنّة والإماميّة إنّما يتميّز؛ لأنّه أخذ منه أو من أحد آبائه أو أبنائه، فهو أصل لهذه المذاهب، وحكمه حكم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إلى العلماء، لا أنّه مذهب في عرض هذه المذاهب فيكون المقلّد مختاراً بين الرجوع إلى روايته ورواية غيره، بل هم كلّهم طُرُق للوصول إليه أو إلى أحد آبائه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 لم يكن له أو لأحد آبائه رواية في حكم يرجع فيها إلى أحد أعيان الصحابة ويؤخذ بالأوثق الأعرف منهم، بل إذا دار الأمر بين رواية أحد الصحابة وبين رواية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الاختلاف يلزم الأخذ برواية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خلواته، كما نصّ عليه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منك مع وفور علمك، وجودة فهمك، وإحاطتك بالسنن أن تتفوّه بأنّ المذهب الجعفري مذهب في عرض المذاهب،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ادّعيت الحدوث في غيره لكان أولى، فإنّا اجتهدنا كثيراً في الاستدلال على لزوم حصر الرجوع إلى هؤلاء العلماء الأربعة فلم نجد دليلاً وافياً بذلك بحيث لا يردّ عليه سوى الإجماع المدّعى مع إمكان المناقشة فيه، وكونهم أقرب طرق الإيصال إلى معرفة حكم الله تعالى لا دليل عليها من عقل ولا نقل؛ لأنّ العلماء لا تتناهى، فلعلّ في الناس من هو أعلم منهم بخلاف الأقربيّة التي ندّعيها؛ لأنّ منشأها الوثوق بالراوي في الرواية بالحكم المتضمّنة له، فكأنّها مسموعة شفاهاً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فنرجع إلى اللغة والعرف في المعنى ونجتهد في ذلك، وهذا معنى فَتْحِنا لباب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نجتهد أيضاً في توثيق من يروي عنهم بالطرق المألوفة، ومن هنا حرّمنا القياس؛ لعدم احتياجنا إليه مع إمكان أخذ الحكم من معدنه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كان يمرّ ببالي أو يختلج في خاطري أنّ مثلك وأشباهك من ذوي المعرفة والوصول ترى أنّ ما تتعبّد به الإماميّة مذهباً كسائر المذاهب، كأنّك لا تدري أنّ المذاهب ترجع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السابقين من ولاة الأمر لأيّ شيء لم تحمل الناس عليه فإنّ سببه واضح؛ لأنّ الولاة حملوا الناس على التديّن بدين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الرجوع إلى من يروي عنه بطريق موثوق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كان العلماء الأربعة من أهل المناصب في عهد سلاطين بني العبّاس فأُوجبت شهرتهم بين الناس، وإنّ من يروي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المنزوين في زوايا الخمول ولا تعرفهم الولاة ولم يتعرّضوا لمنصب أو لمراجعة الولاة، فلذلك لم يرشدوا الناس إليهم، ولو أنّهم عرفوهم وبان لهم فضلهم لأرشدوا الناس إليهم؛ فإنّ الرواة عن الصادق وآبائه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 من لا ينقص عن العلماء الأربعة، وناهيك بذلك </w:t>
      </w:r>
    </w:p>
    <w:p>
      <w:pPr>
        <w:pStyle w:val="BookText"/>
        <w:rPr/>
      </w:pPr>
      <w:r>
        <w:rPr>
          <w:rFonts w:ascii="Amiri" w:hAnsi="Amiri" w:eastAsia="Amiri" w:cs="Amiri"/>
          <w:color w:val="111111"/>
          <w:sz w:val="28"/>
          <w:sz w:val="28"/>
          <w:szCs w:val="28"/>
          <w:rtl w:val="true"/>
          <w:lang w:bidi="ar-SA"/>
        </w:rPr>
        <w:t>كتبهم ومصنّفاتهم في الأُصول والفروع والحكمة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ننكر أنّ العلماء الأربعة من أجلّ علماء الإسلام جدّوا فاجتهدوا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على الظاهر الإمام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قرأ على جعفر بن محمّد كما ذكر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حسن أفندي، إنّي الآن في المجلس أثبت عند القاضي ارتداد هذا الشخص المحبوس الذي جاء بهذه الأسفار بحضوركم، وآخذه بإقراره فيحكم القاضي أيضاً بما يدين الله فيه وأنتم تنظرون، فإن وجدتم نقصاً في مقدّمات الحكم أو عيباً في الفتوى أُذكروه لننظر أنّه عن أصل ثابت أو من فضول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ذلك بأس، فإنّ من وظيفة السلطان ونوّابه والعلماء المتمكّنين من الأمر بالمعروف والنهي عن المنكر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الرجل المحبوس؟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يدّعي أنّ اسمه الداعي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باب المقصورة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بالشهود، فحضر رجلان أحدهما معمّم بعمامة سوداء عظيم الجثّة طويل القامة قد حلق لحيته، والآخر على رأسه عقال من أواسط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بسؤال وسأله ما عنك من الشهادة على هذا العجمي 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أمس معه في الحبس فسألته ما سبب تقييدك وحبسك؟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الداعي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مؤمن به وبكتابه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تنحّى وسأل الآخر، فأجاب بما أجاب به الأوّل، لكنّهما اختلفا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فعطف الحسن على أصحاب المفتي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الشاهدين وتوثقونهما؟ فسبق المفتي وقال للشاهدين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 ربّكما وتوبا إليه، ثمّ اشهدا ثانياً، ففعلا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أنّ حبسهما كان ظلماً أم أنّهما ارتكبا خلاف المشروع فاستحقّا ذلك؟ ولكنّي الآن أعرضت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أن تقام البيّنة عليه بحضوره فعساه أن يتعلّق بشيء يزيل حكم هذه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فهم الوزير بالترجمة ذلك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العلوي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جلوسي حذاء باب مفتوح من المقصورة مشرف على ساحة القصر، فرأيت الناس قاموا وهي تموج بعضها في بعض واختلط </w:t>
      </w:r>
    </w:p>
    <w:p>
      <w:pPr>
        <w:pStyle w:val="BookText"/>
        <w:rPr/>
      </w:pPr>
      <w:r>
        <w:rPr>
          <w:rFonts w:ascii="Amiri" w:hAnsi="Amiri" w:eastAsia="Amiri" w:cs="Amiri"/>
          <w:color w:val="111111"/>
          <w:sz w:val="28"/>
          <w:sz w:val="28"/>
          <w:szCs w:val="28"/>
          <w:rtl w:val="true"/>
          <w:lang w:bidi="ar-SA"/>
        </w:rPr>
        <w:t xml:space="preserve">الرجال بالنساء وهجم من كان خارجاً على القصر وهي تترى، وكان الحبس خارج القصر في موضع متّصل به، فلم نشعر إلّا وقد قادوا رجلاً معمّماً بسلسلة من حديد وهو مقيّد وأمامه أربعة من الشرطة وخلفه مثلهم وهم ينحّون الناس عنه بأعمدة من حديد حتّى صعدوا به إلى باب المقصورة، وتداكّت الناس على المقصورة حتّى وطئ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بالرجل إلى وسط المقصورة، فلمّا نظر إليه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حتّى يرتدٌ إليه روعه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الحسن المفتي في أن يسأله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أين أتيت؟</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فارس من توابع عراق العجم، وأرسلني الباب إلى هذا الطرف لأدعوهم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مثلكم يدّعي أنّه قطب العالم، وأنّ به قوام الأفلاك، وأنا مع جماعة صدّقنا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التي انتهبتموها في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الشيخ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العجمي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ممّا وقع عليه ولّى إلى أهله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الشيخ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مؤمن بالذي أرسلك وبهذه الأسفار ومصدّق بما يدّعيه من خلاف المذهب وممّا عليه عامّة المسلمين؟</w:t>
      </w:r>
    </w:p>
    <w:p>
      <w:pPr>
        <w:pStyle w:val="BookText"/>
        <w:rPr/>
      </w:pPr>
      <w:r>
        <w:rPr>
          <w:rFonts w:ascii="Amiri" w:hAnsi="Amiri" w:eastAsia="Amiri" w:cs="Amiri"/>
          <w:color w:val="111111"/>
          <w:sz w:val="28"/>
          <w:sz w:val="28"/>
          <w:szCs w:val="28"/>
          <w:rtl w:val="true"/>
          <w:lang w:bidi="ar-SA"/>
        </w:rPr>
        <w:t>فقال بلسان عربي واضح نعم، قد كنت كما ذكرت من الاعتقاد به وأكثر، ولكن قبل يومين تفكّرت في أمري وأنا من أهل العلم وراجعت نفسي واستعذت من الشيطان، فوجدت أنّي على ضلالة و أنّي في الهاوية، وانكشف لي بطلان ذلك كلّه، فقمت وأسبغت الوضوء وصلّيت صلاة التوبة، وندمت على ما كان منّي وتبت إلى الله توبة نصوحاً، ولعنت الباب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لي يا شيخ من توبة وأنت إمام الملّة الإسلاميّة؟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ويدرأ الحدّ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أسفر المفتي عن ذراعه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حسن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توبة المرتدّ الفطري غير مقبولة عند الإمام الأعظم وتجري عليه أحكام الكفر تاب أم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يمنع من عدم قبولها؛ للزوم التكليف بما لا يطاق، لبقاء التكليف وامتناعه في حقٌ المرتدٌ،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93"/>
      </w:r>
      <w:r>
        <w:rPr>
          <w:rFonts w:ascii="Amiri" w:hAnsi="Amiri" w:eastAsia="Amiri" w:cs="Amiri"/>
          <w:color w:val="111111"/>
          <w:sz w:val="28"/>
          <w:sz w:val="28"/>
          <w:szCs w:val="28"/>
          <w:rtl w:val="true"/>
          <w:lang w:bidi="ar-SA"/>
        </w:rPr>
        <w:t>لم تخصّص مع أنّها مقبولة في مذهب الإمام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مشتبه، هي غير مقبولة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لا تدري، هي عنده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فتراداً ذلك ثلاثاً والعجمي واقف والجلّاد ينتظر الأمر بترتيب من المفتي، والناس على ما وصفنا، فرفع الوزير يديه فأمسكوا جميعاً عن الكلام، ثمّ أشار إلى المترجم فلخّص له المقالة والمنازعة،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يقطع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فقال بالتركية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أحضروها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المفتي؛ تعال، فحضر غلامه فأمره أن يأتيه منه وَكْرَه بفتاوي أبي حنيفة، فأسرع الرسول وجاء بالكتاب،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فظنّ المفتي أنّه يعجز عن إخراج الفتوى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إليه، فناوله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جميع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فتحه ولم يقلب ورقة كأنّ له به علامة، ونحن ندعو ونبتهل أن لا يخجل الشيخ فيذهب مجلسنا كأمس الدابر ويكون الغلب له ولم يخطر لنا أنّ الشيخ أدرى منه بمذهبه، ولكن الباري هو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عن فطرة يقتل ما لم يتب، فإن تاب درأ عنه الحدّ كغيره من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الحسن الكتاب من يده والتفت إلى الوزير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أفندم، تنصبون للفتوى من لا يدري بمذهبه فيستبيح بذلك نفوس الناس وأموالهم، إنّ هذا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الوزير ذلك، ودخلنا من السرور والفرح ما يضيق عن وصفه نطاق اليراع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الحال إلى هنا والخلق بالكيفيّة التي ذكرناها رفع الوالي رأسه، فرجعوا </w:t>
      </w:r>
    </w:p>
    <w:p>
      <w:pPr>
        <w:pStyle w:val="BookText"/>
        <w:rPr/>
      </w:pPr>
      <w:r>
        <w:rPr>
          <w:rFonts w:ascii="Amiri" w:hAnsi="Amiri" w:eastAsia="Amiri" w:cs="Amiri"/>
          <w:color w:val="111111"/>
          <w:sz w:val="28"/>
          <w:sz w:val="28"/>
          <w:szCs w:val="28"/>
          <w:rtl w:val="true"/>
          <w:lang w:bidi="ar-SA"/>
        </w:rPr>
        <w:t>بالعجمي، وعلت أصوات الشيعة بالصلوات، ثمّ أشار إلى علماء أهل السنّة فنهضوا جميعاً دفعة واحدة، ولا يبصر أحدهم موضع قدمه ممّا عراهم من الخجل والدهشة، وتسابقوا إلى الباب كلٌّ يريد الخروج قبل صاحبه تزاحم الإبل يوم خمسها لورود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الناس وجلسوا في الأزقّة والأسواق على طريق الشيخ ليروه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المكان والحسن وأصحابه جلوس التفت الوالي إلى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للعلماء وسائر المسلمين إذا ظفروا بمثل ذلك أن يقطعوا شأفته بكلّ ما يمكن ويمحوا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إلى علماء كربلاء وكان السيّد إبراهيم وأصحابه زهاء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بقاء هذا الرجل بين أظهركم أكثر من شهرين ولم تُعلمونا بذلك ولا صنعتم صنيع أهل الغري معه حتّى بلغني أنّه يرتقي الأعواد في صحن الروضتين، فما هذا؟ وأكثر بعتابهم، فاعتذروا واعتذر الحسن لهم بما هوّن به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استأذنوه بالرجوع إلى محلّهم فأذِنَ لهم، فلمّا نهض الحسن نهض الوزير مُشَيِّعاً له إلى نصف المقصورة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نجتمع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وانحدر الشيخ بمن معه إلى ساحة القصر، وقُدّمت له بغلته فركبها ورجع مؤيّداً منصوراً، فكلما مرّ بملأ من الناس أشارت إليه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عليّ القدر بُردة فخره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قضاً من جعفر ٍماله ردّ</w:t>
      </w:r>
    </w:p>
    <w:p>
      <w:pPr>
        <w:pStyle w:val="BookText"/>
        <w:rPr/>
      </w:pPr>
      <w:r>
        <w:rPr>
          <w:rFonts w:ascii="Amiri" w:hAnsi="Amiri" w:eastAsia="Amiri" w:cs="Amiri"/>
          <w:color w:val="111111"/>
          <w:sz w:val="28"/>
          <w:sz w:val="28"/>
          <w:szCs w:val="28"/>
          <w:rtl w:val="true"/>
          <w:lang w:bidi="ar-SA"/>
        </w:rPr>
        <w:t>تورّث من موسى عصاهُ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يدُهُ البيضاء من يده تبدو</w:t>
      </w:r>
    </w:p>
    <w:p>
      <w:pPr>
        <w:pStyle w:val="BookText"/>
        <w:rPr/>
      </w:pPr>
      <w:r>
        <w:rPr>
          <w:rFonts w:ascii="Amiri" w:hAnsi="Amiri" w:eastAsia="Amiri" w:cs="Amiri"/>
          <w:color w:val="111111"/>
          <w:sz w:val="28"/>
          <w:sz w:val="28"/>
          <w:szCs w:val="28"/>
          <w:rtl w:val="true"/>
          <w:lang w:bidi="ar-SA"/>
        </w:rPr>
        <w:t>وكان زمان مجلسهم يوم الثلاثاء بعد مضيّ ثلاث ساعات من الدستة الذي هو ساعة غبّ طلوع الشمس إلى أن تعدّت الساعة العاشرة بحيث أن أوصل لمّا رجع صلاة الدلوكين بالعتمة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سألنا الشيخ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تعلم بفتوى الحنفي في خصوص المرتدّ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سبرت أقوال العلماء في ساعتي تلك في خصوص هذه المسألة فذكرت أنّ ابن الجنيد من يرى قبول توبته وكثيراً ما يطابق أبي حنيفة بالفتوى، لذلك جزمت بها فكان ما رأيتم من تسديد إمامي، والحمد لله تعالى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مناظراته مناظرته مع مفتي القاهرة، وقد نقلها ابنه الشيخ عبّاس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إلى النجف الأشرف سنة ستّين بعد المائتين والألف مفتي مصر القاهرة بجلالة عظيمة، ومعه بعض طلبته، وهو يدّعي دعاوى كثيرة كبيرة، فسأل عن علماء النجف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ألقاهم فأفحمهم في بعض المسائل، فأُرشد إلى الشيخ، وذكر له ما يدّعي، فهزّ يده، فزار المفتي الشيخ عصراً في محلّ تدريسه، وهي الدار المعدّة لذلك من عهد أبيه وإخوته، ومع المفتي جماعة وعند الشيخ كثير من تلامذته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 الجلوس وأنس بمفاكهة الشيخ وجرت بينهما أسئلة في العقائد حتّى انتهى الأمر إلى الصحابة وشيعتهم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 فقال الحسن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وشيعته هم الناجون، وغيرهم مرجون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قسمة ضيزى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ابن الأثير، أهو محدّث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تعترف بصدق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أرسل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ستقدم أنت وشيعتك على الله راضين مرضيّين، ويقدم عليه أعداؤك غِضاباً مُقمَحين</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بأنّ شيعة عليّ صارت عَلَما لأُناس مخصوصين، كما نصّ عليه غير واحد من علمائكم، وأنا أسألك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عليّ؟ ومَن أعداؤه وأعداؤهم؟ ثمّ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الحديث، وإن شاء الله تعالى أُراجع النهاية وأنظر من أيّ صحيح أخرجه ابن الأثير وأرسم لكم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فاستدعى الشيخ بالنهاية وأخرجه له، فخجل وسكت، ثمّ قام يجرّ رجله ومن معه بأثره ولم يحتفل الحسن بهم،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متى رأيت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عشرين سنة، مذكنت أكتب بالزكاة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وقد أوردنا هذا المقطع بطوله لما فيه من الفوائد العلميّة والنكات الدالة على عمق شخصيّة المؤلّف وطول باعه في المناظرات العلميّة وصفاء سريرته وتوكلّه على الله تعالى وغيرها من صفاته المحمودة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8986_203135"/>
    </w:p>
    <w:p>
      <w:pPr>
        <w:pStyle w:val="BookText"/>
        <w:rPr/>
      </w:pPr>
      <w:bookmarkEnd w:id="57"/>
      <w:r>
        <w:rPr>
          <w:rFonts w:ascii="Amiri" w:hAnsi="Amiri" w:eastAsia="Amiri" w:cs="Amiri"/>
          <w:color w:val="111111"/>
          <w:sz w:val="28"/>
          <w:sz w:val="28"/>
          <w:szCs w:val="28"/>
          <w:rtl w:val="true"/>
          <w:lang w:bidi="ar-SA"/>
        </w:rPr>
        <w:t>وغير ذلك من مناظراته اللطيفة ومجادلاته الظريفة التي وقعت بينه وبين علماء الفِرَق الأُخرى، وكان له التغلّب على مجادليه، ومن أراد التفصيل في مناظراته فليرجع إلى ما كتبه ابنه الشيخ عبّاس في كتابه نبذة الغري في أحوال الحسن الجعفري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3197387_1280447820"/>
      <w:bookmarkStart w:id="59" w:name="_Toc20"/>
      <w:bookmarkEnd w:id="58"/>
      <w:r>
        <w:rPr>
          <w:rtl w:val="true"/>
        </w:rPr>
        <w:t>بعض مواقفه السياسية</w:t>
      </w:r>
      <w:bookmarkEnd w:id="59"/>
    </w:p>
    <w:p>
      <w:pPr>
        <w:pStyle w:val="BookText"/>
        <w:rPr/>
      </w:pPr>
      <w:r>
        <w:rPr>
          <w:rFonts w:ascii="Amiri" w:hAnsi="Amiri" w:eastAsia="Amiri" w:cs="Amiri"/>
          <w:color w:val="111111"/>
          <w:sz w:val="28"/>
          <w:sz w:val="28"/>
          <w:szCs w:val="28"/>
          <w:rtl w:val="true"/>
          <w:lang w:bidi="ar-SA"/>
        </w:rPr>
        <w:t xml:space="preserve">كان شيخنا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أنجال الشيخ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حصناً ومفزعاً للمسلمين أجمع إذا دهتهم داهية أو ألمّت بهم ملمّة، وهكذا كان والدهم الشيخ جعفر الكبير، وهذا الشبل من ذاك الأسد، فممّا كان من جهاده ودفاعه عن النجف الأشرف وأهلها أنّه دفع عنها طغيان الوالي العثماني نجيب باشا أوائل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هـ، بعد غزوه مدينة كربلاء، وقتله أهلها أشرّ قتلة،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قتلهم جيش الأتراك بقيادة نجيب باشا في كربلاء جاوز العشرة آلاف 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الوقعة يوم الغدير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هـ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حرز الدين في كتابه معارف الرجال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الثقاة من المعمّرين وبعض مشايخ الغري، وآخر مَن حدّثني الثقة الجليل الشيخ حسين نجل الأُستاذ الشيخ حسن الفرطوسي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هـ،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الوالي نجيب باشا إلى المترجم له كتاباً، وفيه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أَيُّهَا الثَّقَلانِفعلم بالكتاب مجاورو قبر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فاضطربوا؛ كما سبق من مجزرة كربلاء، فخرج العجزة والضعفاء إلى بساتين الحيرة والكوفة، وأخذ نجيب باشا يجمع الجموع الجيش التركي ورؤساء القبائل خارج كربلاء قاصداً حرب النجف وباقي مدن العراق التي لم ترضخ لجور الولاة العثمانيّين، فعندئذٍ خرج المترجَم له لملاقاة الوالي في كربلاء وبصحبته جماعة من أهل الفضل والدين، ومنهم الفقيه الشيخ حسن الفرطوسي وكان كهلاً، ولمّا قاربواكربلاء رجع البعض لما شاهدوه من الجيوش المجمّعة، وبقي نفر يسير مع الشيخ منهم الفرطوسي حتّى دخلوا المعسكر وأخبروا الوالي أنّه قدم الشيخ حسن نجل كاشف الغطاء مع جماعته فأمر الوالي بخيمة كبيرة ضربت لهم، ثمّ أقبل الوالي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الفرطوسي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الشيخ بقدومه لكي يستقبله، فلم يلتفت ونحن نحثّه حتّى صار بباب الخيمة، ثمّ إنّ الشيخ زجرهم، فقلت لرفقائي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أعرف بشؤونه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الخيمة واستقرّ مكانه والمترجَم له على جلسته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الوالي مخاطباً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يصلك كتابي؟ ألم تسمع بسطوتي؟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كلّ ذلك، وكان يزيد بن معاوية أشدّ منك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توُدٍّ حقّ الوافد والقيام له ؟</w:t>
      </w:r>
    </w:p>
    <w:p>
      <w:pPr>
        <w:pStyle w:val="BookText"/>
        <w:rPr/>
      </w:pPr>
      <w:r>
        <w:rPr>
          <w:rFonts w:ascii="Amiri" w:hAnsi="Amiri" w:eastAsia="Amiri" w:cs="Amiri"/>
          <w:color w:val="111111"/>
          <w:sz w:val="28"/>
          <w:sz w:val="28"/>
          <w:szCs w:val="28"/>
          <w:rtl w:val="true"/>
          <w:lang w:bidi="ar-SA"/>
        </w:rPr>
        <w:t>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بالنسبة إليك كالسلطان إلى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فصاح الشيخ بأعلى صوته لكي يسمع الأمراء والضبّاط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الشيخ موسى المصلح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لنا الفضل عليكم، ولولا أخي لاحتلّ أهل إيران العراق منكم، فأخي السلطان وأنا أخوه، وإذا أسأت إلينا تغضب عليك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اسطنبول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الضبّاط والجيش لابدّ أن يخالفوك إن نويت عقوبة النجف، بلد ضمّ تربته جسد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الإسلام والمسلمين، والنجف بلد العلم والدين، فاستجوب الأُمراء والضبّاط ورؤساء القبائل الذين زهوت بهم، واعرف موقفك منهم، ثمّ أُدخلوا بقيّتهم الخيمة وخاطبهم الشيخ بعد أن عرّف نفسه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ناشدتكم الله تعالى هل تطيعون الباشا بضرب النجف ومَن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عفونا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عفوت فلك علينا حقّ الوافد، ثمّ قام من مجلسه وتصافحا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نرجع الأمر إليك يا شيخ النجف بالانصراف أو ندخل النجف سلماً ؟</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لدخول الجيش النجف بعد العفو، والذي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وخاصّتك ضيف عندنا لكي تزور بطل الإسلام سيدنا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الوالي نجيب باشا النجف مع خواصّه وحرّاسه يقرب من أربعمائة فارس تركي، فاستقبلهم سدنة الحرم الأقدس حاملين المصاحف التي تحمل أمام الملوك والأعلام بأيديهم، وأقام الباشا ثلاثة أيّام ضيفاً على الشيخ في دارهم الكبيرة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حلول مغادرتهم النجف جاءت المرأة الصالحة بنت الشاه زاده القاجاري إلى </w:t>
      </w:r>
      <w:bookmarkStart w:id="60" w:name="pg18986_203137"/>
    </w:p>
    <w:p>
      <w:pPr>
        <w:pStyle w:val="BookText"/>
        <w:rPr/>
      </w:pPr>
      <w:bookmarkEnd w:id="60"/>
      <w:r>
        <w:rPr>
          <w:rFonts w:ascii="Amiri" w:hAnsi="Amiri" w:eastAsia="Amiri" w:cs="Amiri"/>
          <w:color w:val="111111"/>
          <w:sz w:val="28"/>
          <w:sz w:val="28"/>
          <w:szCs w:val="28"/>
          <w:rtl w:val="true"/>
          <w:lang w:bidi="ar-SA"/>
        </w:rPr>
        <w:t>الشيخ والتمست منه الرخصة بأن تصنع طعاماً إلى الجيش في الطريق عند عودته ؛ خدمة للعلماء وكيان النجف، وفرحاً بدفع المكروه عن المجاورين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الأسلوب المناسب والحنكة السياسية العالية استطاع الشيخ أن يدفع كيد العدوّ وشرّه، ورفع البلاء عن النجف الأشرف وساكنيه بفضل وحكمة شيخنا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نقل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للشيخ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 مهمّاً في إطفاء ثائرة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الشمرت والزكمرت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استمرّت عقوداً متعدّدة حيث كانت بينهما حروب طويلة أُزهقت فيها نفوس كثيرة من الأبرياء، فأخمد نار تلك الفتنة المسجرة الملتهبة بحكمته ووعيه وباستعمال علاقاته الاجتماعيّة الواسعة، فقطع دابر المفسدين من العتاة المردة من الطائفتين المذكورتين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3197389_1280447820"/>
      <w:bookmarkStart w:id="62" w:name="_Toc21"/>
      <w:bookmarkEnd w:id="61"/>
      <w:r>
        <w:rPr>
          <w:rtl w:val="true"/>
        </w:rPr>
        <w:t>كراماته</w:t>
      </w:r>
      <w:bookmarkEnd w:id="62"/>
    </w:p>
    <w:p>
      <w:pPr>
        <w:pStyle w:val="BookText"/>
        <w:rPr/>
      </w:pPr>
      <w:r>
        <w:rPr>
          <w:rFonts w:ascii="Amiri" w:hAnsi="Amiri" w:eastAsia="Amiri" w:cs="Amiri"/>
          <w:color w:val="111111"/>
          <w:sz w:val="28"/>
          <w:sz w:val="28"/>
          <w:szCs w:val="28"/>
          <w:rtl w:val="true"/>
          <w:lang w:bidi="ar-SA"/>
        </w:rPr>
        <w:t>كان لشيخنا المترجَم له من الكرامات الكثيرة والعجيبة في نفس الوقت، وإليك بعض هذه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عبدالباقي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العلماء الفحول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أعجب ما شاهدته أن انقطع عنّي ما كنت أتات به ممّا يأتيني من گيلان حتّى ضاق صدري، وكثر عليّ الدين، واشتدّ عليّ الأمر في النجف الأشرف وكنت مع ذلك مُبتلى بعيال وأولاد، فكثرت عليَّ مطالب الديّانين، مضافاً إلى أنّي شارفت أن أخجل من عيالي في تقتير الرزق وعدم بسط اليد، فزارني الأُستاذ الحسن بن جعفر يوماً ورأى أنّي لست كما كنت عليه أوّلاً، وأنا كالمبهوت، فاستشعر ذلك منّي، وكنت أُخفي عليه وعلى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دهاك؟ فأصرّ عليَّ حتّى كشفت له ستري وأخبرته بأمري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تخبرني فأدعو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فبسط راحتيه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اكشف ضرّه بمحمّد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ثلاثاً ولم يزد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يومين فصادف الجمعة، فخرجت إلى الحرم الشريف للزيارة فشاهدت بعض الغرباء من الأعاجم، فتصفّحتهم فلم أجد فيهم مَنْ هو من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أكملت الزيارة وإذا بقاصد منهم لي، فسلّم عليَّ سلام العارف،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حوالي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تفصيل أحواله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فخذني إلى دارك،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سافرت إلى بغداد تاجراً وما نضّ العروض وقبضت بدله إلّا هذه الأيّام، فأردت الرجوع إلى أهلي، إلّا أنّي زرت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توجهّي فاستوحشت من الطريق، وبقيت أنتظر مسير قافلة فيها منعة فلم يتيسّر لي، فوقع في نفسي المجيء إلى النجف لأدفع الدراهم لمن يتيسر لي ممن أعتمد عليه بطريق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عروض ذلك له، وفي أيّ وقت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عند الدلوك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الوقت الذي دعا لي فيه الأُستاذ، فبهتُّ و تعجبّتُ وحمدتُ الله وشكرتُه؛ إذ منحني القرب من مثل هذا المولى المشابه فعله لما يُنقل لنا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أتعطيني مالك وأنا أُحيلك؟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المال من هميانه فكان أكثر من ستّمائة توماناً، فوفيت ديني وصلح حالي، ثمّ إنّي لم أجد بعدها فاقة أبداً حتّى تزوّجت العلوية الطاهرة بنت بحر العلوم، ورجعت بعد وفاته إلى أهلي ووطني، فأمدّني الله بسعة الرزق، ووفّقني لإحياء السنن، فما برحت أتلو أحاديث فضله حتّى الساعة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الحاج عيسى الملقّب بأبي صفقات من أخيار الحلّة الملازمين للشيخ،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أمرنا ظالم غشوم من البيكات فأفرط في الظلم، وسامنا الخسف حتّى صلب من أهالي الحلّة جماعة على الجسر، وألقى منهم في الفرات آخرين، وشكوناه إلى الوالي فلم يسمع، والشيخ إذ ذاك في الحلّة، فأسرع الناس أفواجاً إلى بيته وشكوا إليه حاكمهم</w:t>
      </w:r>
      <w:r>
        <w:rPr>
          <w:rFonts w:eastAsia="Amiri" w:cs="Amiri" w:ascii="Amiri" w:hAnsi="Amiri"/>
          <w:color w:val="111111"/>
          <w:sz w:val="28"/>
          <w:szCs w:val="28"/>
          <w:rtl w:val="true"/>
          <w:lang w:bidi="ar-SA"/>
        </w:rPr>
        <w:t xml:space="preserve">. </w:t>
      </w:r>
      <w:bookmarkStart w:id="63" w:name="pg18986_203139"/>
    </w:p>
    <w:p>
      <w:pPr>
        <w:pStyle w:val="BookText"/>
        <w:rPr/>
      </w:pPr>
      <w:bookmarkEnd w:id="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هوّنوا عليكم الليلة أدعو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كأنّهم يئسوا ممّا أرادوه أن يكتب إلى الوالي بعزله، وذهبوا غير 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سألتُ الشيخ عن دعائه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دارت الجمعة حتّى سمعنا الواعية في داره فسألنا،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 الحلّة أصبح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فبحث عن قاتله فكان أمرد شرب معه الخمر فقتله وهو سكران، فلم يبتل بقتله أحد من الناس</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الكرامات التي لا تحصى والتي كانت يتناقلها الناس في حياته وبعد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جملة منها ابنه الشيخ عبّاس في كتابه نبذة الغري، وذكر بعضها الشيخ محمّد الحسين آل كاشف الغطاء في كتابه العبقات العنبريّة</w:t>
      </w:r>
      <w:r>
        <w:rPr>
          <w:rFonts w:eastAsia="IRNazanin" w:cs="IRNazanin"/>
          <w:color w:val="111111"/>
          <w:sz w:val="28"/>
          <w:szCs w:val="28"/>
          <w:rtl w:val="true"/>
          <w:lang w:bidi="fa-IR"/>
        </w:rPr>
        <w:t>.</w:t>
      </w:r>
    </w:p>
    <w:p>
      <w:pPr>
        <w:pStyle w:val="Heading4"/>
        <w:numPr>
          <w:ilvl w:val="3"/>
          <w:numId w:val="1"/>
        </w:numPr>
        <w:rPr/>
      </w:pPr>
      <w:bookmarkStart w:id="64" w:name="__RefHeading___Toc13197391_1280447820"/>
      <w:bookmarkStart w:id="65" w:name="_Toc22"/>
      <w:bookmarkEnd w:id="64"/>
      <w:r>
        <w:rPr>
          <w:rtl w:val="true"/>
        </w:rPr>
        <w:t>أدبه</w:t>
      </w:r>
      <w:bookmarkEnd w:id="65"/>
    </w:p>
    <w:p>
      <w:pPr>
        <w:pStyle w:val="BookText"/>
        <w:rPr/>
      </w:pPr>
      <w:r>
        <w:rPr>
          <w:rFonts w:ascii="IRNazanin" w:hAnsi="IRNazanin" w:eastAsia="IRNazanin"/>
          <w:color w:val="111111"/>
          <w:sz w:val="28"/>
          <w:sz w:val="28"/>
          <w:szCs w:val="28"/>
          <w:rtl w:val="true"/>
          <w:lang w:bidi="fa-IR"/>
        </w:rPr>
        <w:t>إنّ لشيخنا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 جيّداً وقريضاً حسناً، غير أنّه لم يكثر في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 حرز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شاعراً أديباً سريع البديهة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له شعر رائق لا يذكر على طريقة الشعراء والأُدباء، حيث قد يزرى به من مرض قلبه حسداً،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كضرائر الحسناء قلن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الحسين آل كاشف الغطاء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 النظم جدّاً؛ ولهذا كان مقلّاً منه، وإن كانت له أشعار كثيرة في أيّام صباه، إلّا أنّها ليست بمثابة من الحسن، ولذا أعرضنا عن ذكرها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كتب قصيدة وبعثها من الحلّة أيّام إقامته فيها إلى أخيه الشيخ عليّ کاشف الغطاء، يتشوّق إلى أهله وأوطانه، والقصيدة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الغريّ وبوركت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ولستُ بغيرها أرضى</w:t>
      </w:r>
    </w:p>
    <w:p>
      <w:pPr>
        <w:pStyle w:val="BookText"/>
        <w:rPr/>
      </w:pPr>
      <w:r>
        <w:rPr>
          <w:rFonts w:ascii="Amiri" w:hAnsi="Amiri" w:eastAsia="Amiri" w:cs="Amiri"/>
          <w:color w:val="111111"/>
          <w:sz w:val="28"/>
          <w:sz w:val="28"/>
          <w:szCs w:val="28"/>
          <w:rtl w:val="true"/>
          <w:lang w:bidi="ar-SA"/>
        </w:rPr>
        <w:t>شَطَّتْ فعيني بعد فرقتها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أجفانها الغمضا</w:t>
      </w:r>
    </w:p>
    <w:p>
      <w:pPr>
        <w:pStyle w:val="BookText"/>
        <w:rPr/>
      </w:pPr>
      <w:r>
        <w:rPr>
          <w:rFonts w:ascii="Amiri" w:hAnsi="Amiri" w:eastAsia="Amiri" w:cs="Amiri"/>
          <w:color w:val="111111"/>
          <w:sz w:val="28"/>
          <w:sz w:val="28"/>
          <w:szCs w:val="28"/>
          <w:rtl w:val="true"/>
          <w:lang w:bidi="ar-SA"/>
        </w:rPr>
        <w:t>خلّفتُ فيها مَن شُغفتُ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محضتُهُ صفو الهوى محضا</w:t>
      </w:r>
    </w:p>
    <w:p>
      <w:pPr>
        <w:pStyle w:val="BookText"/>
        <w:rPr/>
      </w:pPr>
      <w:r>
        <w:rPr>
          <w:rFonts w:ascii="Amiri" w:hAnsi="Amiri" w:eastAsia="Amiri" w:cs="Amiri"/>
          <w:color w:val="111111"/>
          <w:sz w:val="28"/>
          <w:sz w:val="28"/>
          <w:szCs w:val="28"/>
          <w:rtl w:val="true"/>
          <w:lang w:bidi="ar-SA"/>
        </w:rPr>
        <w:t>فرضٌ على قلبي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ویرى عليه مَوَدَّتى فرضا</w:t>
      </w:r>
    </w:p>
    <w:p>
      <w:pPr>
        <w:pStyle w:val="BookText"/>
        <w:rPr/>
      </w:pPr>
      <w:r>
        <w:rPr>
          <w:rFonts w:ascii="Amiri" w:hAnsi="Amiri" w:eastAsia="Amiri" w:cs="Amiri"/>
          <w:color w:val="111111"/>
          <w:sz w:val="28"/>
          <w:sz w:val="28"/>
          <w:szCs w:val="28"/>
          <w:rtl w:val="true"/>
          <w:lang w:bidi="ar-SA"/>
        </w:rPr>
        <w:t>عجِّلْ فديتُكَ باللقا فلقّدْ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البعادُ بأنفسٍ مرضى</w:t>
      </w:r>
    </w:p>
    <w:p>
      <w:pPr>
        <w:pStyle w:val="BookText"/>
        <w:rPr/>
      </w:pPr>
      <w:r>
        <w:rPr>
          <w:rFonts w:ascii="Amiri" w:hAnsi="Amiri" w:eastAsia="Amiri" w:cs="Amiri"/>
          <w:color w:val="111111"/>
          <w:sz w:val="28"/>
          <w:sz w:val="28"/>
          <w:szCs w:val="28"/>
          <w:rtl w:val="true"/>
          <w:lang w:bidi="ar-SA"/>
        </w:rPr>
        <w:t>إنْ جدتَ قِدْماً بالوداد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صيَّرنَهُ في ذمّتي قرضا</w:t>
      </w:r>
    </w:p>
    <w:p>
      <w:pPr>
        <w:pStyle w:val="BookText"/>
        <w:rPr/>
      </w:pPr>
      <w:r>
        <w:rPr>
          <w:rFonts w:ascii="Amiri" w:hAnsi="Amiri" w:eastAsia="Amiri" w:cs="Amiri"/>
          <w:color w:val="111111"/>
          <w:sz w:val="28"/>
          <w:sz w:val="28"/>
          <w:szCs w:val="28"/>
          <w:rtl w:val="true"/>
          <w:lang w:bidi="ar-SA"/>
        </w:rPr>
        <w:t>قلبي قبضْتُ زمامه 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يميل فأحسن القبضا</w:t>
      </w:r>
    </w:p>
    <w:p>
      <w:pPr>
        <w:pStyle w:val="BookText"/>
        <w:rPr/>
      </w:pPr>
      <w:r>
        <w:rPr>
          <w:rFonts w:ascii="Amiri" w:hAnsi="Amiri" w:eastAsia="Amiri" w:cs="Amiri"/>
          <w:color w:val="111111"/>
          <w:sz w:val="28"/>
          <w:sz w:val="28"/>
          <w:szCs w:val="28"/>
          <w:rtl w:val="true"/>
          <w:lang w:bidi="ar-SA"/>
        </w:rPr>
        <w:t>إنْ شطَّ جسمي عن حماكَ 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بغير حماكَ لا يرضى</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 شعره ما كتبه إلى السيّد عمر رمضان من أبيات سقط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من محبّ ليس يسلو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وإن تقاومت الليالي</w:t>
      </w:r>
    </w:p>
    <w:p>
      <w:pPr>
        <w:pStyle w:val="BookText"/>
        <w:rPr/>
      </w:pPr>
      <w:r>
        <w:rPr>
          <w:rFonts w:ascii="Amiri" w:hAnsi="Amiri" w:eastAsia="Amiri" w:cs="Amiri"/>
          <w:color w:val="111111"/>
          <w:sz w:val="28"/>
          <w:sz w:val="28"/>
          <w:szCs w:val="28"/>
          <w:rtl w:val="true"/>
          <w:lang w:bidi="ar-SA"/>
        </w:rPr>
        <w:t>يحنّ إلى لقاك حنين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ظماً إلى الماء الزلال</w:t>
      </w:r>
    </w:p>
    <w:p>
      <w:pPr>
        <w:pStyle w:val="BookText"/>
        <w:rPr/>
      </w:pPr>
      <w:r>
        <w:rPr>
          <w:rFonts w:ascii="IRNazanin" w:hAnsi="IRNazanin" w:eastAsia="IRNazanin"/>
          <w:color w:val="111111"/>
          <w:sz w:val="28"/>
          <w:sz w:val="28"/>
          <w:szCs w:val="28"/>
          <w:rtl w:val="true"/>
          <w:lang w:bidi="fa-IR"/>
        </w:rPr>
        <w:t>دعاه منك داعي الشوق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طعناً وهمّ على ارتحال</w:t>
      </w:r>
    </w:p>
    <w:p>
      <w:pPr>
        <w:pStyle w:val="BookText"/>
        <w:rPr/>
      </w:pPr>
      <w:r>
        <w:rPr>
          <w:rFonts w:ascii="Amiri" w:hAnsi="Amiri" w:eastAsia="Amiri" w:cs="Amiri"/>
          <w:color w:val="111111"/>
          <w:sz w:val="28"/>
          <w:sz w:val="28"/>
          <w:szCs w:val="28"/>
          <w:rtl w:val="true"/>
          <w:lang w:bidi="ar-SA"/>
        </w:rPr>
        <w:t>فكتب السيّد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أبيه في عمل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لم يزل حسن الفعال</w:t>
      </w:r>
    </w:p>
    <w:p>
      <w:pPr>
        <w:pStyle w:val="BookText"/>
        <w:rPr/>
      </w:pPr>
      <w:r>
        <w:rPr>
          <w:rFonts w:ascii="Amiri" w:hAnsi="Amiri" w:eastAsia="Amiri" w:cs="Amiri"/>
          <w:color w:val="111111"/>
          <w:sz w:val="28"/>
          <w:sz w:val="28"/>
          <w:szCs w:val="28"/>
          <w:rtl w:val="true"/>
          <w:lang w:bidi="ar-SA"/>
        </w:rPr>
        <w:t>يعزّ عليَّ والرحمن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منك الديارَ غدت خوالي</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المعاصرون له مقطوعة كتبها في رسالة إلى السيّد كاظم الرشتي المتوفّى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هـ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شقيق أراه معرضاً عن 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طريقي كان غير طريقه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الخير لا يذهب بوجدك 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منّا شائقاً عن مشوقه </w:t>
      </w:r>
      <w:bookmarkStart w:id="66" w:name="pg18986_203141"/>
    </w:p>
    <w:p>
      <w:pPr>
        <w:pStyle w:val="BookText"/>
        <w:rPr/>
      </w:pPr>
      <w:bookmarkEnd w:id="66"/>
      <w:r>
        <w:rPr>
          <w:rFonts w:ascii="Amiri" w:hAnsi="Amiri" w:eastAsia="Amiri" w:cs="Amiri"/>
          <w:color w:val="111111"/>
          <w:sz w:val="28"/>
          <w:sz w:val="28"/>
          <w:szCs w:val="28"/>
          <w:rtl w:val="true"/>
          <w:lang w:bidi="ar-SA"/>
        </w:rPr>
        <w:t>يحنّ إلى ذكراك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حنّ وجداً عاشق لعلوقه</w:t>
      </w:r>
    </w:p>
    <w:p>
      <w:pPr>
        <w:pStyle w:val="BookText"/>
        <w:rPr/>
      </w:pPr>
      <w:r>
        <w:rPr>
          <w:rFonts w:ascii="Amiri" w:hAnsi="Amiri" w:eastAsia="Amiri" w:cs="Amiri"/>
          <w:color w:val="111111"/>
          <w:sz w:val="28"/>
          <w:sz w:val="28"/>
          <w:szCs w:val="28"/>
          <w:rtl w:val="true"/>
          <w:lang w:bidi="ar-SA"/>
        </w:rPr>
        <w:t>ترفق بصبّ مستهام فؤاده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يحن وراء الركب حنّة نوقه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ناظر يرعى النجوم ومدمع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وقلب خافق من مضيقه</w:t>
      </w:r>
    </w:p>
    <w:p>
      <w:pPr>
        <w:pStyle w:val="BookText"/>
        <w:rPr/>
      </w:pPr>
      <w:r>
        <w:rPr>
          <w:rFonts w:ascii="Amiri" w:hAnsi="Amiri" w:eastAsia="Amiri" w:cs="Amiri"/>
          <w:color w:val="111111"/>
          <w:sz w:val="28"/>
          <w:sz w:val="28"/>
          <w:szCs w:val="28"/>
          <w:rtl w:val="true"/>
          <w:lang w:bidi="ar-SA"/>
        </w:rPr>
        <w:t>فلا العين ترجو أن تجفّ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القلب يرجو راحة من خفوقه</w:t>
      </w:r>
    </w:p>
    <w:p>
      <w:pPr>
        <w:pStyle w:val="BookText"/>
        <w:rPr/>
      </w:pPr>
      <w:r>
        <w:rPr>
          <w:rFonts w:ascii="Amiri" w:hAnsi="Amiri" w:eastAsia="Amiri" w:cs="Amiri"/>
          <w:color w:val="111111"/>
          <w:sz w:val="28"/>
          <w:sz w:val="28"/>
          <w:szCs w:val="28"/>
          <w:rtl w:val="true"/>
          <w:lang w:bidi="ar-SA"/>
        </w:rPr>
        <w:t>وشتّان ما بين الخلي وواجد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مأسور الهوى وطليقه</w:t>
      </w:r>
    </w:p>
    <w:p>
      <w:pPr>
        <w:pStyle w:val="BookText"/>
        <w:rPr/>
      </w:pPr>
      <w:r>
        <w:rPr>
          <w:rFonts w:ascii="Amiri" w:hAnsi="Amiri" w:eastAsia="Amiri" w:cs="Amiri"/>
          <w:color w:val="111111"/>
          <w:sz w:val="28"/>
          <w:sz w:val="28"/>
          <w:szCs w:val="28"/>
          <w:rtl w:val="true"/>
          <w:lang w:bidi="ar-SA"/>
        </w:rPr>
        <w:t>وما بين مألوف السهاد وراقد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مثلوج الحشى وحريقه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وغير ذلك من الأشعار التي تدلّ على ذوقه الأدبي الرفيع، وهذا ليس بعيداً عليه فقد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ميّالاً لكلّ علم وفضيلة، وكانت عبقريته تساعده على إتقان كلّ ما تصبو إليه نفسه من الفنون والعلوم بما في ذلك الأدب العربي</w:t>
      </w:r>
      <w:r>
        <w:rPr>
          <w:rFonts w:eastAsia="IRNazanin" w:cs="IRNazanin"/>
          <w:color w:val="111111"/>
          <w:sz w:val="28"/>
          <w:szCs w:val="28"/>
          <w:rtl w:val="true"/>
          <w:lang w:bidi="fa-IR"/>
        </w:rPr>
        <w:t>.</w:t>
      </w:r>
    </w:p>
    <w:p>
      <w:pPr>
        <w:pStyle w:val="Heading4"/>
        <w:numPr>
          <w:ilvl w:val="3"/>
          <w:numId w:val="1"/>
        </w:numPr>
        <w:rPr/>
      </w:pPr>
      <w:bookmarkStart w:id="67" w:name="__RefHeading___Toc13197393_1280447820"/>
      <w:bookmarkStart w:id="68" w:name="_Toc23"/>
      <w:bookmarkEnd w:id="67"/>
      <w:r>
        <w:rPr>
          <w:rtl w:val="true"/>
        </w:rPr>
        <w:t>وفاته ومدفنه</w:t>
      </w:r>
      <w:bookmarkEnd w:id="68"/>
    </w:p>
    <w:p>
      <w:pPr>
        <w:pStyle w:val="BookText"/>
        <w:rPr/>
      </w:pPr>
      <w:r>
        <w:rPr>
          <w:rFonts w:ascii="Amiri" w:hAnsi="Amiri" w:eastAsia="Amiri" w:cs="Amiri"/>
          <w:color w:val="111111"/>
          <w:sz w:val="28"/>
          <w:sz w:val="28"/>
          <w:szCs w:val="28"/>
          <w:rtl w:val="true"/>
          <w:lang w:bidi="ar-SA"/>
        </w:rPr>
        <w:t xml:space="preserve">توفّي رحمه الله يوم الأربعاء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بالوباء، ودفن في مقبرة آل كاشف الغطاء الخاصة إلى جنب أبيه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ولده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دخلت السنة الثانية والستّين بعد المائتين والألف هجريّة، وتصرّم منها تسعة أشهر، ظهر الوباء في نواحي العراق حتّى حلّ في الغريّ في العشر الأواخر من شهر رمضان المبارك، فثَقُل أمره وفشا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خطاباً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 لك اتّخذتْ حماك حمى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اصطلت لهبَ الوباء الواري؟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 أكثر مَن في الغريّ إلى خارج البلد ، لكنّهم لم يجوزوا الحمى، ولا تجاوزوا محلّ الترخّص، بل أقفلوا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يعلم البيت أنّي بعد فرقتِهِ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سرتُ من حرم إلّا إلى حرم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يبقَ في البلد أحد من العلماء، وضربوا خيامهم على البحيرة المحيطة بالبلد ممّا يلي الجنوب وينتهي بالمغرب، حتّى أنّ ماءها يتّصل بسفح طور سيناء المرقد الحيدري، </w:t>
      </w:r>
    </w:p>
    <w:p>
      <w:pPr>
        <w:pStyle w:val="BookText"/>
        <w:rPr/>
      </w:pPr>
      <w:r>
        <w:rPr>
          <w:rFonts w:ascii="Amiri" w:hAnsi="Amiri" w:eastAsia="Amiri" w:cs="Amiri"/>
          <w:color w:val="111111"/>
          <w:sz w:val="28"/>
          <w:sz w:val="28"/>
          <w:szCs w:val="28"/>
          <w:rtl w:val="true"/>
          <w:lang w:bidi="ar-SA"/>
        </w:rPr>
        <w:t>وكان عليها بعض الحدائق غير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حديقة السيّد العلوي السيّد صقر جريو، وكان محلّها قريباً من مرسى السفن الواردة من ناحية الشرق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السيّد المذكور إلى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له حسن تلك الروضة، ولطف أرض بيضاء غير مشكلة متّصلة بها، وأنّها ليس فيها شيء من الهوام، وفي الأرض قطع متجاورات، وسأله أن يخرج إليها حتّى يرتفع الوباء، وألحّ عليه غاية الإلحاح، واجتمعت عليه أُسرته ولُحْمَتُهُ، وأصرّوا عليه بالانتقال وزيّنوا له ذلك وهو يماطلهم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سجاياه أنّه يستخير الله تعالى في أكثر أموره، فكرّر الاستخارة على ذلك مثنى، فخرجت نهياً، فلم يقنع أصحابه وعشيرته بذلك من حبّهم له وخوفهم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له أنّ المرجوح لا تقع الخيرة عليه، ثمّ نرفع نهيَها بالالتماس المسنون إجابته؛ فلم يجد بُدّاً من إجابتهم، وعزم على الانتقال إلى المحلّ المزبور يوم الخميس، ثاني عشر شوّال، فخرج بعياله وأطفاله وحشمه وخدم مه وخدمه وأُسرته ولحمته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ساروا وجدّوا بالمسير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خلفهم يسري على الأثر</w:t>
      </w:r>
    </w:p>
    <w:p>
      <w:pPr>
        <w:pStyle w:val="BookText"/>
        <w:rPr/>
      </w:pPr>
      <w:r>
        <w:rPr>
          <w:rFonts w:ascii="Amiri" w:hAnsi="Amiri" w:eastAsia="Amiri" w:cs="Amiri"/>
          <w:color w:val="111111"/>
          <w:sz w:val="28"/>
          <w:sz w:val="28"/>
          <w:szCs w:val="28"/>
          <w:rtl w:val="true"/>
          <w:lang w:bidi="ar-SA"/>
        </w:rPr>
        <w:t>حتّى بلغ النادي المذكور فعرّس بفنائه، وضرب فيه قبابه وأخبيته، ونصب فساطيطه، وبنى فيه بيوتاً من القصب لمن يعول به من أهله،وأحاطت به قبيلته وأُسرته، وحلالهم النادي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الغصون تدعوه 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وتناديه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للوفود بيتاً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تحسدُ الأرضَ مُذْ بناه السماءُ</w:t>
      </w:r>
    </w:p>
    <w:p>
      <w:pPr>
        <w:pStyle w:val="BookText"/>
        <w:rPr/>
      </w:pPr>
      <w:r>
        <w:rPr>
          <w:rFonts w:ascii="Amiri" w:hAnsi="Amiri" w:eastAsia="Amiri" w:cs="Amiri"/>
          <w:color w:val="111111"/>
          <w:sz w:val="28"/>
          <w:sz w:val="28"/>
          <w:szCs w:val="28"/>
          <w:rtl w:val="true"/>
          <w:lang w:bidi="ar-SA"/>
        </w:rPr>
        <w:t>وكان فيه الرائح والغادي، والحاضر والبادي، ويؤدّي الخمس والسنن به ويزوره النافرون من البلد على طبقاتهم حتّى يؤدّوا المكتوبة خلفه جماعةً، فإذا أمسى المساء وفرغوا من العشاء جلس عنده الأدنون من أهله يقرؤون له الأنباء التي تزيّن بها المحافل من آثار الأئمّة الهداة، وبعدها ينهض إلى محلّ استراحته، وبعد أن ينام قليلاً يقوم إلى نافلة الليل والدعاء المأثور، حتّى يطلع الفجر فيبادر إلى صلاة الصبح ويوقظ أهله بالأذان فيسرعوا إلى ثواب الجماعة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دأبه وتلك حالاته إلى أن مضى له في تلك البقعة أربعة عشر يوماً من انتقاله، </w:t>
      </w:r>
    </w:p>
    <w:p>
      <w:pPr>
        <w:pStyle w:val="BookText"/>
        <w:rPr/>
      </w:pPr>
      <w:r>
        <w:rPr>
          <w:rFonts w:ascii="Amiri" w:hAnsi="Amiri" w:eastAsia="Amiri" w:cs="Amiri"/>
          <w:color w:val="111111"/>
          <w:sz w:val="28"/>
          <w:sz w:val="28"/>
          <w:szCs w:val="28"/>
          <w:rtl w:val="true"/>
          <w:lang w:bidi="ar-SA"/>
        </w:rPr>
        <w:t>وأصبح صبيحة الاثنين فشكا من ضعف اعتراه حتّى تصرّم يومه ولم يغيّر ما كان عليه من عبادته، فلمّا كان من الغد ابتلى بعلّة المؤمنين والأولياء وأحسّ بالمغص في بطنه، ولكنّه لم يحتفل به ومشى بدائه، حتّى إذا صلّى الظهر وانفتل من صلاته، وقبل نهوضه لنافلة العصر أخذه المغص، فقام للنجو، وعراهُ الإطلاق، فلمّا فرغ أحسّ ببلل في ثيابه وعلى فخذيه، فأسرع إلى حوض الحديقة وطهّر ثوبه وجسده ورجع إلى مصلّاه، وألمّ به الضعف فأدّى النافلة، ثمّ صلّى العصر خفيفاً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ومذ فرغ من صلاته زادت به العلّة ونحف جسمه، ومضى للخلاء ثلاثاً أو أكثر، فعندها عجز عن القيام فبُسطت له الفرش والحشايا، ووضعوا عليه مطارفه ونقلوه إلى مصلّاه، واتّخذوا له متّكأً، وحجبت العوّاد وحجبت العوّاد عنه إلى آخر النهار إلّا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وأدّى العتمة وهو مستلقٍ، غير أنّه لم يغلب على عقله ولم ينقطع الذكر من لسانه ويتلو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ممّا سنّ للمحتضر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مضى من الليل شطره فأدركته صحوة الموت، فذكر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واحداً واحداً ويستغيث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وتبرّأ، ثمّ دعا بي وضمّني إلى صدره وخلّفني عند ربّه، ودعا لي بالخير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استلقى وقد أحسّ بالأمر، فأمر أن يوضع فراشه إلى القبلة، ووجهه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ابن أخيه المهدي وأوصاه بوصاياه، ودفع إليه مفاتيح غرفه ومقاصيره وعرّفه الصندوق الذي فيه كفنه وصحيفته وحبرته وحنوطه، ثمّ اشتغل بالذكر،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دعاء العديلة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ومكث هنيئة وقد انقضى من الليل أكثره، وثارت في ذلك الوقت ريح عاصفة سوداء فيها صِرٌّ، فكان الشخص لا يبصر فيها موضع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لسانه وبلغت روحه التراقي، فمدّ رجليه وغمّض عينيه وقضى نحبه ولقي ربّه هادياً مهديّاً من کلّ درن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فنشج من في البيت نشيجاً خفيفاً إلّا بعض خدمه فإنّهم صرخوا، واتّصلت الصيحة بالنساء فصرخن، فاتّصل الصياح بالصياح إلى الصباح حتّى سمعت الضجّة من النجف كأنّما هتف بهم هاتف، ففتحت أبواب الحصن، وجاءت الناس كعُرف الفرس من النجف، </w:t>
      </w:r>
    </w:p>
    <w:p>
      <w:pPr>
        <w:pStyle w:val="BookText"/>
        <w:rPr/>
      </w:pPr>
      <w:r>
        <w:rPr>
          <w:rFonts w:ascii="Amiri" w:hAnsi="Amiri" w:eastAsia="Amiri" w:cs="Amiri"/>
          <w:color w:val="111111"/>
          <w:sz w:val="28"/>
          <w:sz w:val="28"/>
          <w:szCs w:val="28"/>
          <w:rtl w:val="true"/>
          <w:lang w:bidi="ar-SA"/>
        </w:rPr>
        <w:t>وما أحاط به ممّن خرج، يطأ بعضهم بعضاً، وبأيديهم الأعلام السود، وهم ينادون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أودعه في الصندوق ممّا يحتاج إليه الميّت فرضاً وسنّةً قبل عشرين سنة، وضُربت له قبّة على تلك البحيرة، وغُسّل فيها، وأُدرج في أكفانه عند ارتفاع النهار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الأربعاءُ أثبتُ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استمّرت في دهرنا الأربعاءُ</w:t>
      </w:r>
    </w:p>
    <w:p>
      <w:pPr>
        <w:pStyle w:val="BookText"/>
        <w:rPr/>
      </w:pPr>
      <w:r>
        <w:rPr>
          <w:rFonts w:ascii="Amiri" w:hAnsi="Amiri" w:eastAsia="Amiri" w:cs="Amiri"/>
          <w:color w:val="111111"/>
          <w:sz w:val="28"/>
          <w:sz w:val="28"/>
          <w:szCs w:val="28"/>
          <w:rtl w:val="true"/>
          <w:lang w:bidi="ar-SA"/>
        </w:rPr>
        <w:t>وقدّم له التخت الذي عليه بردة ضريح أسد الله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فيه وحُمِلَ على الأعناق، وقد امتلأت تلك البسيطة إلى النجف بالرجال والنساء، صغاراً وكباراً ممّا لا يُحصى عددهم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وأحدقوا بالتخت من جوانبه حتّى كانت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تحرّكت فيه محمولاً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زاحمتِ تحتَ لوائه جبريلا</w:t>
      </w:r>
    </w:p>
    <w:p>
      <w:pPr>
        <w:pStyle w:val="BookText"/>
        <w:rPr/>
      </w:pPr>
      <w:r>
        <w:rPr>
          <w:rFonts w:ascii="Amiri" w:hAnsi="Amiri" w:eastAsia="Amiri" w:cs="Amiri"/>
          <w:color w:val="111111"/>
          <w:sz w:val="28"/>
          <w:sz w:val="28"/>
          <w:szCs w:val="28"/>
          <w:rtl w:val="true"/>
          <w:lang w:bidi="ar-SA"/>
        </w:rPr>
        <w:t>وما دخلوا النجف إلّا وقد بلغ الفيء أربعة أقدام، فوضعوه في الصحن الشريف للصلاة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عليه محمّد ابن أخيه عليّ بتقديم العلماء له، ثمّ هجموا به على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ليجدّدوا به عهداً، ثمّ تحرّكوا به إلى تربته في المدرسة إلى جنب أبيه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أدلوه في مرقده، وأهالوا التراب عليه، وأشرجوا اللبن، ونفضوا أناملهم من ثراه، وهم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للصلاة وللصِلات وقد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العباد عبادة ونوالا</w:t>
      </w:r>
    </w:p>
    <w:p>
      <w:pPr>
        <w:pStyle w:val="BookText"/>
        <w:rPr/>
      </w:pPr>
      <w:r>
        <w:rPr>
          <w:rFonts w:ascii="Amiri" w:hAnsi="Amiri" w:eastAsia="Amiri" w:cs="Amiri"/>
          <w:color w:val="111111"/>
          <w:sz w:val="28"/>
          <w:sz w:val="28"/>
          <w:szCs w:val="28"/>
          <w:rtl w:val="true"/>
          <w:lang w:bidi="ar-SA"/>
        </w:rPr>
        <w:t>وأُقيمت الفواتح والمآتم في النجف وخارجه من أصقاع الإماميّة، حتّى بلغني أنّ مجالس العزاء في خصوص الحلّة ارتفعت إلى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بمقامه ابن أخيه المحمود محمّد، واشتغل بالتدريس، واجتمع عليه عدّة من أصحاب عمّه حتّى انتشر أمره وعلا صيته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أورده ولده الذي أعقبه الشيخ عبّاس كاشف الغطاء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ورثته الشعراء بمراتٍ كثيرة، وقد كتب بالحجر القاشي على قبره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 ثوى فيه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جعفر الإمام المؤتمن</w:t>
      </w:r>
    </w:p>
    <w:p>
      <w:pPr>
        <w:pStyle w:val="BookText"/>
        <w:rPr/>
      </w:pPr>
      <w:r>
        <w:rPr>
          <w:rFonts w:ascii="Amiri" w:hAnsi="Amiri" w:eastAsia="Amiri" w:cs="Amiri"/>
          <w:color w:val="111111"/>
          <w:sz w:val="28"/>
          <w:sz w:val="28"/>
          <w:szCs w:val="28"/>
          <w:rtl w:val="true"/>
          <w:lang w:bidi="ar-SA"/>
        </w:rPr>
        <w:t>وابن أخيه العلم المهدي والقا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 بالحقّ فروضاً وسنن</w:t>
      </w:r>
    </w:p>
    <w:p>
      <w:pPr>
        <w:pStyle w:val="BookText"/>
        <w:rPr/>
      </w:pPr>
      <w:r>
        <w:rPr>
          <w:rFonts w:ascii="Amiri" w:hAnsi="Amiri" w:eastAsia="Amiri" w:cs="Amiri"/>
          <w:color w:val="111111"/>
          <w:sz w:val="28"/>
          <w:sz w:val="28"/>
          <w:szCs w:val="28"/>
          <w:rtl w:val="true"/>
          <w:lang w:bidi="ar-SA"/>
        </w:rPr>
        <w:t>ثمّ أخوه جعفر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 كالغرّة في وجه الزمن</w:t>
      </w:r>
    </w:p>
    <w:p>
      <w:pPr>
        <w:pStyle w:val="BookText"/>
        <w:rPr/>
      </w:pPr>
      <w:r>
        <w:rPr>
          <w:rFonts w:ascii="IRNazanin" w:hAnsi="IRNazanin" w:eastAsia="IRNazanin"/>
          <w:color w:val="111111"/>
          <w:sz w:val="28"/>
          <w:sz w:val="28"/>
          <w:szCs w:val="28"/>
          <w:rtl w:val="true"/>
          <w:lang w:bidi="fa-IR"/>
        </w:rPr>
        <w:t>ثمّ ابن موسى ابن الإمام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الندب الرضا ربّ المنن</w:t>
      </w:r>
    </w:p>
    <w:p>
      <w:pPr>
        <w:pStyle w:val="BookText"/>
        <w:rPr/>
      </w:pPr>
      <w:r>
        <w:rPr>
          <w:rFonts w:ascii="Amiri" w:hAnsi="Amiri" w:eastAsia="Amiri" w:cs="Amiri"/>
          <w:color w:val="111111"/>
          <w:sz w:val="28"/>
          <w:sz w:val="28"/>
          <w:szCs w:val="28"/>
          <w:rtl w:val="true"/>
          <w:lang w:bidi="ar-SA"/>
        </w:rPr>
        <w:t>وممّن رثاه الشيخ إبراهيم قفطان والشيخ صالح ،حاجي، ورثاه الكامل الأديب السيّد صالح القزويني النجفي البغدادي بقصيدة عصماء، وهنّأ بها الشيخ محمّد بجلوسه بمحلّ آبائه الكرام، فقال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أقامك الحسن الزاكي لنا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عن آبائك الخلفا</w:t>
      </w:r>
    </w:p>
    <w:p>
      <w:pPr>
        <w:pStyle w:val="BookText"/>
        <w:rPr/>
      </w:pPr>
      <w:r>
        <w:rPr>
          <w:rFonts w:ascii="Amiri" w:hAnsi="Amiri" w:eastAsia="Amiri" w:cs="Amiri"/>
          <w:color w:val="111111"/>
          <w:sz w:val="28"/>
          <w:sz w:val="28"/>
          <w:szCs w:val="28"/>
          <w:rtl w:val="true"/>
          <w:lang w:bidi="ar-SA"/>
        </w:rPr>
        <w:t>قرّت بك العين من بعد القذاء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برد الأسى بعد الأسى التحفا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في الورى كالدرّ في 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الدرّ منهم واقذف الصدفا</w:t>
      </w:r>
    </w:p>
    <w:p>
      <w:pPr>
        <w:pStyle w:val="BookText"/>
        <w:rPr/>
      </w:pPr>
      <w:r>
        <w:rPr>
          <w:rFonts w:ascii="Amiri" w:hAnsi="Amiri" w:eastAsia="Amiri" w:cs="Amiri"/>
          <w:color w:val="111111"/>
          <w:sz w:val="28"/>
          <w:sz w:val="28"/>
          <w:szCs w:val="28"/>
          <w:rtl w:val="true"/>
          <w:lang w:bidi="ar-SA"/>
        </w:rPr>
        <w:t>موسى عليّ المعالي والفتى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مجاري جعفر عرفا</w:t>
      </w:r>
    </w:p>
    <w:p>
      <w:pPr>
        <w:pStyle w:val="BookText"/>
        <w:rPr/>
      </w:pPr>
      <w:r>
        <w:rPr>
          <w:rFonts w:ascii="Amiri" w:hAnsi="Amiri" w:eastAsia="Amiri" w:cs="Amiri"/>
          <w:color w:val="111111"/>
          <w:sz w:val="28"/>
          <w:sz w:val="28"/>
          <w:szCs w:val="28"/>
          <w:rtl w:val="true"/>
          <w:lang w:bidi="ar-SA"/>
        </w:rPr>
        <w:t>هم الأئمّة علماً نائلاً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تقى سنداً حلماً حجي كنفا</w:t>
      </w:r>
    </w:p>
    <w:p>
      <w:pPr>
        <w:pStyle w:val="BookText"/>
        <w:rPr/>
      </w:pPr>
      <w:r>
        <w:rPr>
          <w:rFonts w:ascii="Amiri" w:hAnsi="Amiri" w:eastAsia="Amiri" w:cs="Amiri"/>
          <w:color w:val="111111"/>
          <w:sz w:val="28"/>
          <w:sz w:val="28"/>
          <w:szCs w:val="28"/>
          <w:rtl w:val="true"/>
          <w:lang w:bidi="ar-SA"/>
        </w:rPr>
        <w:t>ورثاه الكامل الأديب الشيخ عبدالحسين محيي الدين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يوماً أودى ابن جعفر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 الدين فتنة عمياء</w:t>
      </w:r>
    </w:p>
    <w:p>
      <w:pPr>
        <w:pStyle w:val="BookText"/>
        <w:rPr/>
      </w:pPr>
      <w:r>
        <w:rPr>
          <w:rFonts w:ascii="Amiri" w:hAnsi="Amiri" w:eastAsia="Amiri" w:cs="Amiri"/>
          <w:color w:val="111111"/>
          <w:sz w:val="28"/>
          <w:sz w:val="28"/>
          <w:szCs w:val="28"/>
          <w:rtl w:val="true"/>
          <w:lang w:bidi="ar-SA"/>
        </w:rPr>
        <w:t>إنّ يوماً به قضى الحسن الزاكي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الحسين والزهراء</w:t>
      </w:r>
    </w:p>
    <w:p>
      <w:pPr>
        <w:pStyle w:val="BookText"/>
        <w:rPr/>
      </w:pPr>
      <w:r>
        <w:rPr>
          <w:rFonts w:ascii="Amiri" w:hAnsi="Amiri" w:eastAsia="Amiri" w:cs="Amiri"/>
          <w:color w:val="111111"/>
          <w:sz w:val="28"/>
          <w:sz w:val="28"/>
          <w:szCs w:val="28"/>
          <w:rtl w:val="true"/>
          <w:lang w:bidi="ar-SA"/>
        </w:rPr>
        <w:t>يا إمام الهدى ليومك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والأئمّة الأُمناء</w:t>
      </w:r>
    </w:p>
    <w:p>
      <w:pPr>
        <w:pStyle w:val="BookText"/>
        <w:rPr/>
      </w:pPr>
      <w:r>
        <w:rPr>
          <w:rFonts w:ascii="Amiri" w:hAnsi="Amiri" w:eastAsia="Amiri" w:cs="Amiri"/>
          <w:color w:val="111111"/>
          <w:sz w:val="28"/>
          <w:sz w:val="28"/>
          <w:szCs w:val="28"/>
          <w:rtl w:val="true"/>
          <w:lang w:bidi="ar-SA"/>
        </w:rPr>
        <w:t>إنّ يوماً به نيت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شوم هل ذاك عاشوراء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69" w:name="pg18986_203146"/>
    </w:p>
    <w:p>
      <w:pPr>
        <w:pStyle w:val="Heading3"/>
        <w:numPr>
          <w:ilvl w:val="2"/>
          <w:numId w:val="1"/>
        </w:numPr>
        <w:rPr/>
      </w:pPr>
      <w:bookmarkStart w:id="70" w:name="__RefHeading___Toc13197395_1280447820"/>
      <w:bookmarkStart w:id="71" w:name="_Toc24"/>
      <w:bookmarkEnd w:id="69"/>
      <w:bookmarkEnd w:id="70"/>
      <w:r>
        <w:rPr>
          <w:rtl w:val="true"/>
        </w:rPr>
        <w:t>الفصل الثاني</w:t>
      </w:r>
      <w:r>
        <w:rPr>
          <w:rtl w:val="true"/>
        </w:rPr>
        <w:t xml:space="preserve">: </w:t>
      </w:r>
      <w:r>
        <w:rPr>
          <w:rtl w:val="true"/>
        </w:rPr>
        <w:t>كتاب أنوار الفقاهة</w:t>
      </w:r>
      <w:bookmarkEnd w:id="71"/>
    </w:p>
    <w:p>
      <w:pPr>
        <w:pStyle w:val="Heading4"/>
        <w:numPr>
          <w:ilvl w:val="3"/>
          <w:numId w:val="1"/>
        </w:numPr>
        <w:rPr/>
      </w:pPr>
      <w:bookmarkStart w:id="72" w:name="__RefHeading___Toc13197397_1280447820"/>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لا إشكال ولا ترديد في نسبة هذا الأثر القيّم وكونه من آثار الشيخ حسن ابن الشيخ جعفر كاشف الغطاء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الكتاب هو عبارة عن موسوعة فقهية استدلالية مفصّلة، اشتمل على أغلب أبواب الفقه وتضمّن تحقيقات لطيفة ونوادر فقهية 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استوفى فيه المؤلّف الأدلّة والأحكام، لم یر مثله في كثرة التفريع والإحاطة بنوادر الفقه والاستقامة في طريق الاستدلال، كما ذكر ذلك بعضهم</w:t>
      </w:r>
      <w:r>
        <w:rPr>
          <w:rStyle w:val="FootnoteAnchor"/>
          <w:rtl w:val="true"/>
        </w:rPr>
        <w:footnoteReference w:id="109"/>
      </w:r>
      <w:r>
        <w:rPr>
          <w:rFonts w:ascii="IRNazanin" w:hAnsi="IRNazanin" w:eastAsia="IRNazanin"/>
          <w:color w:val="111111"/>
          <w:sz w:val="28"/>
          <w:sz w:val="28"/>
          <w:szCs w:val="28"/>
          <w:rtl w:val="true"/>
          <w:lang w:bidi="fa-IR"/>
        </w:rPr>
        <w:t>عند ترجمته 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أفضل كتاب جرى به قلم المؤلّف حيث صبّه في قالب بديع وتنسيق رفيع، وهو من أجلّ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وأشهرها، بل هو من الكتب النفيسة في هذا الفنّ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متين كثير الفروع، محيط للغاية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أنوار الفقاهة على ترتيب كتب الفقه، وهو كتاب جليل نهج فيه نهج الشهيد الأوّل في الذكرى</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محمّد التنكابني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كتاب مرغوب مشتمل على فروع كثيرة، وقد كان مجلّد الصوم منه من مَراجعي عندما ألّفت كتاب الصوم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الشاعر الشهير السيّد جعفر الحلّي في قصيدته التي رثى بها الملا محمّد </w:t>
      </w:r>
    </w:p>
    <w:p>
      <w:pPr>
        <w:pStyle w:val="BookText"/>
        <w:rPr/>
      </w:pPr>
      <w:r>
        <w:rPr>
          <w:rFonts w:ascii="Amiri" w:hAnsi="Amiri" w:eastAsia="Amiri" w:cs="Amiri"/>
          <w:color w:val="111111"/>
          <w:sz w:val="28"/>
          <w:sz w:val="28"/>
          <w:szCs w:val="28"/>
          <w:rtl w:val="true"/>
          <w:lang w:bidi="ar-SA"/>
        </w:rPr>
        <w:t>الإيرواني وقد تخلّص في آخرها بمدح آل كاشف الغطاء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وشعاع أنوار الفقاهة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عن العلياء كلّ ضبابٍ</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وقد كتب الشيخ عبد الرحيم بن عبد الرحمن الكرمانشاهي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دقائق الحقائق في أُصول الفقه وواحدٌ من تلاميذ المؤلّف توشيحاً في أوّل كتاب الطهارة من نسخته الخطّيّة التي كان يمتلكها من كتابنا هذا، رأينا من المناسب أن ننقلها هنا لما فيها من النكات المفيدة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يخفى على ذوي اللباب أنّ هذا الكتاب المستطاب الذي أحاط بدقائق الفقه في كلّ باب، لم تكتحل أعينُ الفقهاء بمثله، ولم يُرَ في زُبُر الأوّلين والآخرين من العلماء المحقّقين نظيره، مع ما فيه من الاختصار مشتملاً على ما أحاط به، وهو المسمّى بأنوار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هو اسمٌ طابقَ مسمّاه؛ لتجلّي فقاهة مؤلّفه طيّب الله رمسه فيه، حتّى استنار منه قلوب المقتبسين من أنواره، وارتفع ظلمات الوهم عن وجه المسائل في رياض الفقه، حتّى سهل بإضاءته جَنْيُ أزهاره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مولانا الأعظم وأُستاذنا الأفخم، بل أُستاذ علماء عصره من العرب والعجم، الحَبر المؤتمن، شيخنا الشيخ حسن، نجل مَن فضله أشهر من أن يُذكر وأجلُّ من أن يُسطر؛ الشيخ جعفر النجفي روّح الله روحهما وطيّب الرحمن رمسهما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تشرّفت برهةٌ من الزمان بخدمته، واستفدت بقدر وُسعي واستعدادي من إفاداته؛ وأنا أقلّ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أحقر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الأثيم ابن آقا عبدالرحمن الكرمانشاهي، عبدالرحيم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يسجّل لهذه الموسوعة الفقهيّة الرائعة الجليلة أنّها كُتبت بأُسلوب بليغ وبيان مشرق، وَلِمَ لا تكون كذلك ومؤلّفها كان متضلّعاً في اللغة العربية، محيطاً بأسرارها الدقيقة ،</w:t>
      </w:r>
    </w:p>
    <w:p>
      <w:pPr>
        <w:pStyle w:val="BookText"/>
        <w:rPr/>
      </w:pPr>
      <w:r>
        <w:rPr>
          <w:rFonts w:ascii="Amiri" w:hAnsi="Amiri" w:eastAsia="Amiri" w:cs="Amiri"/>
          <w:color w:val="111111"/>
          <w:sz w:val="28"/>
          <w:sz w:val="28"/>
          <w:szCs w:val="28"/>
          <w:rtl w:val="true"/>
          <w:lang w:bidi="ar-SA"/>
        </w:rPr>
        <w:t>ممتلكاً ناحية التمييز بين مفرداتها من حيث الاستعمال الحقيقي والمجازي، فكان يحدّد المعنى المستعمل في المفردة اللغويّة طبقاً لما نصّت عليه معاجم اللغة والوضع اللغوي، مستعيناً بمفردات القرآن الكريم، وكان بصيراً بالأخبار وأسانيدها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كان ذا يد باسطة وملكة راسخة في الفقاهة، تشهد له بطول باعه </w:t>
      </w:r>
      <w:bookmarkStart w:id="74" w:name="pg18986_203148"/>
    </w:p>
    <w:p>
      <w:pPr>
        <w:pStyle w:val="BookText"/>
        <w:rPr/>
      </w:pPr>
      <w:bookmarkEnd w:id="74"/>
      <w:r>
        <w:rPr>
          <w:rFonts w:ascii="Amiri" w:hAnsi="Amiri" w:eastAsia="Amiri" w:cs="Amiri"/>
          <w:color w:val="111111"/>
          <w:sz w:val="28"/>
          <w:sz w:val="28"/>
          <w:szCs w:val="28"/>
          <w:rtl w:val="true"/>
          <w:lang w:bidi="ar-SA"/>
        </w:rPr>
        <w:t>وسعة اطّلاعه وإحاطته التامّة المستوعبة لتمام مدارك أحكام الشريعة الغرّاء تأصيلاً وتفريعاً، وقد أُوتي الذوق الفقاهتي الرفيع وتميّز بشم الفقاهة حتّى صار لازماً له في كلّ ما جرى به يراعه السيّال في باب تفريع الأحكام وتنقيح المناط، ومراعاة الأشباه والنظائر، بعيداً عن القياسات والاستحسانات، بل هو بعيد عن الاحتمالات والظنون التي لم تنشأ عن أدلّة خاصّة معتبرة ولم تغن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الشيخ حسن كاشف الغطاء مجتهداً أُصوليّاً، وقد ظهرت قوّة مبانيه الأُصوليّة و مداركه الرصينة في كتابه أنوار الفقاهة ، وذلك من خلال استدلاله للمسائل الفقهيّة،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النجس لا يرفع حدثاً ولا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الشبهة وأقسامها، وبيّن أحكامها، فذكر أنّ الشبهة إمّا أن تكون محصورة أو غير محصورة، والمرجع في الفرق بينهما العرف، ولا يبعد أنّ ما استلزم من التجنّب عنه العسر والحرج لعامّة المكلّفين في أغلب الأحوال فهو من غير المحصور، وإلّا فهو من المحصور، ويحتمل أنّ ما قلّ عدّه و صغر حدّهُ فهو محصور، وإلّا فغير محصور، وحكم الشبهة غير المحصورة حلّية الإقدام وعدم حرمة التجنّب عنها،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الشبهة غير المحصورة وبيّن أحكامها بصورة 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الكتاب إلى الفتاوى النادرة أو الشاذّة، وحملها على التقية أو وجهّها بتوجيه مقبول يناسب ما عليه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نراه يخالف المشهور في بعض فتاواه كفتواه بعدم مفطرية تدخين النرجيلة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راجع الكتاب يتّضح له وضوحاً جليّاً من مسلكه الاجتهادي أنّ الدليل العقلي كان له من الأهميّة القصوى في عملية استنباط الأحكام الشرعيّة، بل كان له نصيب كبير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كتاب استدلالي متين جمع بين كثرة التفريع والإيجاز غير المخلّ، سلك المؤلّف في عرض الأدلّة والتفريع عليها مسلكاً قويماً لا يتأتّى إلّا للأوحديّ من أساطين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روائع الكتب الفقهيّة ونوادرها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3197399_1280447820"/>
      <w:bookmarkStart w:id="76" w:name="_Toc26"/>
      <w:bookmarkEnd w:id="75"/>
      <w:r>
        <w:rPr>
          <w:rtl w:val="true"/>
        </w:rPr>
        <w:t>أبواب الكتاب وتاريخ تأليفه</w:t>
      </w:r>
      <w:bookmarkEnd w:id="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نعثر على تاريخ محدّد لتأليف الكتاب، ولكن توجد هناك بعض القرائن يمكن أن يستفاد منها زمان تأليفه بالتقريب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ولده الشيخ عبّاس كاشف الغطاء في نبذة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لي من يوثق به أنّه ورد إلى النجف الأشرف سنة ستّين بعد المائتين والألف مفتي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 المفتي الشيخ عصراً في محلّ تدريسه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بينهما أسئلة في العقائد حتّى انتهى الأمر إلى الصحابة وشيعتهم وعليّ وشيعته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الناجون وغيرهم مرجون لأمر الله، فقال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قسمة ضيزى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 ما تقول في ابن الأثير أهو محدّث صادق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ستقدم أنت وشيعتك على الله راضين مرضیّين و يقدم عليه أعداؤك غضباناً مقمحين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جماعة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عشرين سنة مذكنت أكتب الزكاة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والدة الشيخ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النسبيّة بنت الشيخ حمد آل نهر أحد عظماء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أخذ الوالد بنته أنّه ارتحل إليه بعد في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هـ لأمرٍ مّا فلمّا حلّ بفنائه آواه وأكرمه، وبالغ في احترامه وأبدى العبوديّة له ومَن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 له بيتاً داخل حصيره مع عياله لاستراحته ومكّنه من جميع ماله سلطنة عليه، ودفع له من الأراضي ما يكفيه ويزيد عليه، وأقام عنده أكثر من سنة وهو يؤلّف أنوار الفقاهة، فأتمّ عنده الرهن إلى آخر الوصيّة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الحسين آل كاشف الغطاء في خطبته في جامع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تلى الشيخ موسى أخوه الشيخ حسن، فإنّه أقام في الحلّة برهة، وكان مرجعها الوحيد، وفيها ألّف كتابه الجليل الموسوم بأنوار الفقاهة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إنهاء كتاب الرهن من نسخة استنسخت على نسخة المؤلّف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الفراغ من كتابته يوم الإثنين لسبع وعشرين مضين من شوّال من شهور سنة ستّ وأربعين بعد الألف والمائتين من الهجرة النبويّة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في النسخة الخطّيّة المحفوظة بالرقم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العامّة لآية الله السيّد شهاب الدين المرعشي بقم، أنّها كتبت في العام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تشتمل على كتابَي الطهارة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آقا بزرگ الطهراني في الذريعة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التعريف بكتاب السلاح الماضي في أحكام القاضي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ونسخة منه في تبريز في كتب السيّد محمّد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تأريخ كتابتها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ممّا ذكرنا أنّ شيخنا المؤلّف شرع في تأليف كتاب أنوار الفقاهة في العقد الرابع من عمره الشريف وفي النجف الأشرف وواصل الكتابة بعد رحلته إلى الحلّة وانتقاله إلى النجف حتّى مضى إلى جوار رحمة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أبواب الكتاب وأجزاؤه فكما يستفاد من بعض النسخ الموجودة جعل المؤلّف الكتاب في ستّة مجلّدات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الخمس، الصيام، والحجّ؛</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البيع والقرض؛</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الرهن، الحجر، الضمان، الصلح، الشركة، المضاربة، المزارعة والمساقاة، الوديعة، العارية، الإجارة، الوكالة، الوقف، الهبة، الصدقة والوصية؛</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الطلاق، الخلع، الغصب، المواريث، القضاء والشهادات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يتيسّر له تأليف بقيّة أبواب الفقه مثل الصيد والذباحة والسبق والرماية والحدود والديات والظهار والإيلاء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كتب من أنوار الفقاهة هو السلاح الماضي في أحكام القاضي، ثمّألحقه بأنوار الفقاهة وجعله تتمة له كما ذكر ذلك في أوّل النسخة المسودّة بخطّ المؤلّف</w:t>
      </w:r>
      <w:r>
        <w:rPr>
          <w:rFonts w:eastAsia="Amiri" w:cs="Amiri" w:ascii="Amiri" w:hAnsi="Amiri"/>
          <w:color w:val="111111"/>
          <w:sz w:val="28"/>
          <w:szCs w:val="28"/>
          <w:rtl w:val="true"/>
          <w:lang w:bidi="ar-SA"/>
        </w:rPr>
        <w:t xml:space="preserve">. </w:t>
      </w:r>
      <w:bookmarkStart w:id="77" w:name="pg18986_203151"/>
    </w:p>
    <w:p>
      <w:pPr>
        <w:pStyle w:val="Heading3"/>
        <w:numPr>
          <w:ilvl w:val="2"/>
          <w:numId w:val="1"/>
        </w:numPr>
        <w:rPr/>
      </w:pPr>
      <w:bookmarkStart w:id="78" w:name="__RefHeading___Toc13197401_1280447820"/>
      <w:bookmarkStart w:id="79" w:name="_Toc27"/>
      <w:bookmarkEnd w:id="77"/>
      <w:bookmarkEnd w:id="78"/>
      <w:r>
        <w:rPr>
          <w:rtl w:val="true"/>
        </w:rPr>
        <w:t xml:space="preserve">الخاتمة </w:t>
      </w:r>
      <w:r>
        <w:rPr>
          <w:rtl w:val="true"/>
        </w:rPr>
        <w:t xml:space="preserve">: </w:t>
      </w:r>
      <w:r>
        <w:rPr>
          <w:rtl w:val="true"/>
        </w:rPr>
        <w:t>منهجية التحقيق</w:t>
      </w:r>
      <w:bookmarkEnd w:id="79"/>
    </w:p>
    <w:p>
      <w:pPr>
        <w:pStyle w:val="Heading4"/>
        <w:numPr>
          <w:ilvl w:val="3"/>
          <w:numId w:val="1"/>
        </w:numPr>
        <w:rPr/>
      </w:pPr>
      <w:bookmarkStart w:id="80" w:name="__RefHeading___Toc13197403_1280447820"/>
      <w:bookmarkStart w:id="81" w:name="_Toc28"/>
      <w:bookmarkEnd w:id="80"/>
      <w:r>
        <w:rPr/>
        <w:t>1</w:t>
      </w:r>
      <w:r>
        <w:rPr>
          <w:rtl w:val="true"/>
        </w:rPr>
        <w:t>.</w:t>
      </w:r>
      <w:r>
        <w:rPr>
          <w:rtl w:val="true"/>
        </w:rPr>
        <w:t>مخطوطات أنوار الفقاهة</w:t>
      </w:r>
      <w:bookmarkEnd w:id="81"/>
    </w:p>
    <w:p>
      <w:pPr>
        <w:pStyle w:val="BookText"/>
        <w:rPr/>
      </w:pPr>
      <w:r>
        <w:rPr>
          <w:rFonts w:ascii="IRNazanin" w:hAnsi="IRNazanin" w:eastAsia="IRNazanin"/>
          <w:color w:val="111111"/>
          <w:sz w:val="28"/>
          <w:sz w:val="28"/>
          <w:szCs w:val="28"/>
          <w:rtl w:val="true"/>
          <w:lang w:bidi="fa-IR"/>
        </w:rPr>
        <w:t xml:space="preserve">تمّ حتّى الآن تشخيص وتعريف أكثر من مائة نسخة خطّيّة ومصوّرة من نسخ أنوار الفقاهة فی مكتبات إيران والعراق، فقد عرّفت ثمانين نسخة منها فقط في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كما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وخمسون نسخة خطّيّة بعنوان أنوار الفقاهة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إحدى عشرة نسخة خطّيّة بعنوان السلاح الماضي في أحكام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 نسخ خطّيّة بعنوان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خطّيّة واحدة بعنوان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الفقاهة ، السلاح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خطية واحدة بعنوان القضاء والشهادات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خطّيّة واحدة بعنوان الغصب والشهادات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خطّيّة واحدة بعنوان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واحدة بعنوان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النسخ الخطّيّة التي ذُكرت في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القطع بأنّ جميعها تُعدّ من النسخ الخطّيّة لكتاب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هناك نسخ خطّيّة متعدّدة أُخرى لكتاب أنوار الفقاهة في مكتبات إيران والعراق، وعُدّت من المجاهيل، ولكن بعد التدقيق والتطبيق فيها تُنسب إلى الشيخ حسن كاشف الغطاء بصورة قطعيّة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يضاف إلى كلّ ذلك أن هناك نسخاً خطّيّة أُخرى لهذا الكتاب في مكتبات العراق المختلفة، خصوصاً مكتبات النجف الأشرف، وإليك نبذة مختصرة عن مصوّرات مخطوطات أنوار الفقاهة في مؤسّسة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كما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المخطوطات ،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تقع 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نسخ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ق، حسين بن محمّد العجيمة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كتاب النكاح، كتاب الطلاق، كتاب الغصب، كتاب الميراث، كتاب القضاء والشهادات دليل المخطوطات،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قسم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المؤلّف، وتشتمل على كتاب الزكاة والخمس والصوم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الصلاة إلى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أنها نسخت في حياة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قسمت مصوّرات هذه المخطوطة وعرّفت في دليل المخطوطات ضمن أرقام </w:t>
      </w:r>
      <w:r>
        <w:rPr>
          <w:rFonts w:eastAsia="Amiri" w:cs="Amiri" w:ascii="Amiri" w:hAnsi="Amiri"/>
          <w:color w:val="111111"/>
          <w:sz w:val="28"/>
          <w:szCs w:val="28"/>
          <w:lang w:bidi="ar-SA"/>
        </w:rPr>
        <w:t>0749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الرهن إلى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الرهن إلى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دليل مخطوطات مؤسسة كاشف الغطاء العامة في النجف الأشرف،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التجارة والبيع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النكاح بخطّ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المخطوطات،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بخطّ المؤلّف، تقع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الطلاق، الخلع والمباراة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المخطوطات،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الطهارة بخطّ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الشركة إلى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القضاء بخطّ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القرض والرهن، كتاب الحجر، كتاب الضمان وقسم من كتاب الشهادات بخطّ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المخطوطات،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أيضاً أربع نسخ مصوّرة في مركز إحياء التراث الإسلامي في قم المقدّسة، وقد صُوّرت من النسخ الخطّيّة المودّعة في مكتبة مؤسّسة كاشف الغطاء في النجف الأشرف، وهي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المصوّرة المرقّمة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الزكاة، الخمس، الصوم، الاعتكاف والحجّ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المصوّرة المرقّمة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النكاح، الطلاق، الخلع ،المباراة، الغصب ،الميراث والشهادات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المصوّرة المرقّمة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المصوّرة المرقّمة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كتاب التجارة إلى آخر الوصيّة</w:t>
      </w:r>
      <w:r>
        <w:rPr>
          <w:rFonts w:eastAsia="Amiri" w:cs="Amiri" w:ascii="Amiri" w:hAnsi="Amiri"/>
          <w:color w:val="111111"/>
          <w:sz w:val="28"/>
          <w:szCs w:val="28"/>
          <w:rtl w:val="true"/>
          <w:lang w:bidi="ar-SA"/>
        </w:rPr>
        <w:t xml:space="preserve">. </w:t>
      </w:r>
      <w:bookmarkStart w:id="82" w:name="pg18986_203154"/>
    </w:p>
    <w:p>
      <w:pPr>
        <w:pStyle w:val="BookText"/>
        <w:rPr/>
      </w:pPr>
      <w:bookmarkEnd w:id="82"/>
      <w:r>
        <w:rPr>
          <w:rFonts w:ascii="Amiri" w:hAnsi="Amiri" w:eastAsia="Amiri" w:cs="Amiri"/>
          <w:color w:val="111111"/>
          <w:sz w:val="28"/>
          <w:sz w:val="28"/>
          <w:szCs w:val="28"/>
          <w:rtl w:val="true"/>
          <w:lang w:bidi="ar-SA"/>
        </w:rPr>
        <w:t xml:space="preserve">كما أن المحقق الطهراني ذكر بعض النسخ الخطية لكتاب أنوار الفقاهة في كتاب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آثار هامة، أشهرها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جملة من مجلّداته في مكتبة آل كاشف الغطاء في النجف، ورأيت بعضها في مكتبة المجدّد الشيرازي بسامراء، ورأيت مجلّد الطهارة ومجلّد الصوم والاعتكاف في مكتبة السيّد محمّد مهديّ الصدر في الكاظميّة، كما فصّلته في الذريعة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1437</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الفقاهة للشيخ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جملة من مجلّداته في خزانة كتب الشيخ عليّ ابن الشيخ محمّد رضا آل كاشف الغطاء، وبعضها في مكتبة آية الله الإمام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مجلّد الطهارة ومجلّد الصوم والاعتكاف في مكتبة السيّد محمّد مهديّ الصدر بالكاظميّة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3197405_1280447820"/>
      <w:bookmarkStart w:id="84" w:name="_Toc29"/>
      <w:bookmarkEnd w:id="83"/>
      <w:r>
        <w:rPr/>
        <w:t>2</w:t>
      </w:r>
      <w:r>
        <w:rPr>
          <w:rtl w:val="true"/>
        </w:rPr>
        <w:t xml:space="preserve">. </w:t>
      </w:r>
      <w:r>
        <w:rPr>
          <w:rtl w:val="true"/>
        </w:rPr>
        <w:t>النسخ المعتمدة في التحقيق</w:t>
      </w:r>
      <w:bookmarkEnd w:id="84"/>
    </w:p>
    <w:p>
      <w:pPr>
        <w:pStyle w:val="BookText"/>
        <w:rPr/>
      </w:pPr>
      <w:r>
        <w:rPr>
          <w:rFonts w:ascii="IRNazanin" w:hAnsi="IRNazanin" w:eastAsia="IRNazanin"/>
          <w:color w:val="111111"/>
          <w:sz w:val="28"/>
          <w:sz w:val="28"/>
          <w:szCs w:val="28"/>
          <w:rtl w:val="true"/>
          <w:lang w:bidi="fa-IR"/>
        </w:rPr>
        <w:t>تقدّم أنّ تعداد النسخ الخطّيّة والمصوّرة لكتاب أنوار الفقاهة قد فاقت المائة نسخة في مكتبات إيران والعراق، وقد هيّئ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لتصحيح هذا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عشرة نسخة خطّيّة ومصوّرة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 أكثر من دورتين كاملتين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بعض هذه النسخ المعتمدة في تصحيح الكتاب كانت بخطّ الشيخ المؤلّف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الالتفات إلى أنّ بعض هذه النسخ يشتمل على ثمانمائة صفحة من الكتاب ،حيث ضمّت أكثر من عشرين باباً فقهيّاً، في حين يشتمل بعض النسخ على مائة صفحة فقط، حيث يضمّ باباً فقهيّاً واحداً، أو بعض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تعريفاً مفصّلاً بالنسخ الخطّيّة التي هيّئت لتصحيح الكتاب وتحقيقه،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مؤسّسة كاشف الغطاء في النجف الأشرف المرقّمة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وهي تشتمل</w:t>
      </w:r>
    </w:p>
    <w:p>
      <w:pPr>
        <w:pStyle w:val="BookText"/>
        <w:rPr/>
      </w:pPr>
      <w:r>
        <w:rPr>
          <w:rFonts w:ascii="Amiri" w:hAnsi="Amiri" w:eastAsia="Amiri" w:cs="Amiri"/>
          <w:color w:val="111111"/>
          <w:sz w:val="28"/>
          <w:sz w:val="28"/>
          <w:szCs w:val="28"/>
          <w:rtl w:val="true"/>
          <w:lang w:bidi="ar-SA"/>
        </w:rPr>
        <w:t>على كتاب الطهارة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هي النسخة المسودة الأصليّة، وبخطّ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مؤسّسة كاشف الغطاء المرقّمة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احتوت على 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النسخة المسودة الأصليّة بخطّ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أشرنا إلى هاتين النسختين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مخطوطة مؤسّسة كاشف الغطاء المرقّمة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حسين بن محمّد العجيمة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ضمّت هذه النسخة كتاب الحجّ، وهي تقع 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مؤسسة كاشف الغطاء، المرقّمة</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المصوّرة لدى مكتبة مركز إحياء التراث الإسلامي في قمّ المقدّسة، برقم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نسخت في القرن الرابع عشر الهجري، وناسخها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صحّحت هذه النسخة على نسخة المؤلّف، وتلاحظ على بعض صفحاتها علامات البلاغ وحواشي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احتوت على كتاب التجارة والبيع والقرض والرهن والحجر، الوديعة، العارية، الإجارة، الوكالة، الوقف، الهبة، الصدقات، وآخرها كتاب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يوجد على ظهر الورقة الأُولى من هذه المخطوطة توقيع حفيد الشيخ جعفر الكبير، وقد كتب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تعالى، الهادي بن العبّاس بن عليّ نجل الشيخ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على الورقة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بسمه تعالى، قد اشتريت هذا المجلّد مع المجلّد الذي يليه في ستّين قراناً، وأنا الأقلّ هادي ابن الشيخ عبّاس دام بقاه،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ورمزنا لهاتين النسختين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في قم المقدّسة، المرقّمة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والمصوّرة برقم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مصوّرات المركز ؛ تاريخ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ق،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كتابي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مركز إحياء التراث الإسلامي، المرقمة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 استنسخت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 تحتوي على كتاب الزكاة والخمس والصوم والحجّ، وكتبت على حواشيها بعض رؤوس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في قم المقدّسة، المرقّمة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اشتملت على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التجارة، الإجارة، الرهن، الضمان، المضاربة، الحوالة، الكفالة، الصلح،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استنسخت على نسخة المؤلّف في حياته،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كتاب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المجلّد الخامس من مصنّفات الشيخ الفاضل الشيخ حسن دام مجده وعزّه وأطال الله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كتاب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الفراغ من كتابته يوم الإثنين لسبع وعشرين مضين من شوّال من شهور سنة ستّ وأربعين بعد الألف والمائتين من الهجرة النبويّة على مشرّفها أفضل الصلوات وأشرف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اسم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أنّ الناسخ كان واحداً من تلاميذ الشيخ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تداخلت أوّل هذه النسخة أوراقٌ من نسخة أُخرى من كتاب التجارة اسم ناسخها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تقع في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نفيسة جدّاً، إلّا أنّها غير مرتّبة وسقطت بعض أوراقها بل وبعض أبوابها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في قم المقدّسة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أنّها نسخت في عصر المؤلّف، ولم نعثر على اسم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وتحتوي على كتابي المواريث والغصب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كتاب الغصب من هذه المخطوطة قوبل مع نسخة المؤلّف وصحّحت في عصره، وقوبل كتاب المواريث منها مع نسخة كانت قوبلت مع نسخة المؤلف وصحّحت </w:t>
      </w:r>
    </w:p>
    <w:p>
      <w:pPr>
        <w:pStyle w:val="BookText"/>
        <w:rPr/>
      </w:pPr>
      <w:r>
        <w:rPr>
          <w:rFonts w:ascii="Amiri" w:hAnsi="Amiri" w:eastAsia="Amiri" w:cs="Amiri"/>
          <w:color w:val="111111"/>
          <w:sz w:val="28"/>
          <w:sz w:val="28"/>
          <w:szCs w:val="28"/>
          <w:rtl w:val="true"/>
          <w:lang w:bidi="ar-SA"/>
        </w:rPr>
        <w:t>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أوّل المواريث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الحقير الأحقر حسن ابن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كتاب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فيقول الأحقر حسن ابن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الغصب، نسأل الله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على ظهر الورقة الأُولى علامة تملّك محمّد مهديّ الطهراني النجفي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رمزنا لهذه النسخ الأربع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في مشهد المرقّمة </w:t>
      </w:r>
      <w:r>
        <w:rPr>
          <w:rFonts w:eastAsia="Amiri" w:cs="Amiri" w:ascii="Amiri" w:hAnsi="Amiri"/>
          <w:color w:val="111111"/>
          <w:sz w:val="28"/>
          <w:szCs w:val="28"/>
          <w:lang w:bidi="ar-SA"/>
        </w:rPr>
        <w:t>14718</w:t>
      </w:r>
      <w:r>
        <w:rPr>
          <w:rFonts w:ascii="Amiri" w:hAnsi="Amiri" w:eastAsia="Amiri" w:cs="Amiri"/>
          <w:color w:val="111111"/>
          <w:sz w:val="28"/>
          <w:sz w:val="28"/>
          <w:szCs w:val="28"/>
          <w:rtl w:val="true"/>
          <w:lang w:bidi="ar-SA"/>
        </w:rPr>
        <w:t xml:space="preserve">؛ نسخت في عام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هـ في حياة المؤلّف، وناسخها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كتاب الطهارة، وعلى هوامشها علامات التصحيح 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على ظهر الورقة الأُولى أنّها ملك السيّد عبدالله الموسوي البهبهاني في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ق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مكتبة الروضة الرضويّة المقدّسة في مشهد، المرقّمة </w:t>
      </w:r>
      <w:r>
        <w:rPr>
          <w:rFonts w:eastAsia="IRNazanin" w:cs="IRNazanin"/>
          <w:color w:val="111111"/>
          <w:sz w:val="28"/>
          <w:szCs w:val="28"/>
          <w:lang w:bidi="fa-IR"/>
        </w:rPr>
        <w:t>14723</w:t>
      </w:r>
      <w:r>
        <w:rPr>
          <w:rFonts w:ascii="IRNazanin" w:hAnsi="IRNazanin" w:eastAsia="IRNazanin"/>
          <w:color w:val="111111"/>
          <w:sz w:val="28"/>
          <w:sz w:val="28"/>
          <w:szCs w:val="28"/>
          <w:rtl w:val="true"/>
          <w:lang w:bidi="fa-IR"/>
        </w:rPr>
        <w:t>؛ نسخت بعد وفاة المؤلّف أواخر القرن الثالث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وتحتوي على الكتب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الزكاة،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في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العالم جناب شیخ المشايخ الشيخ حسن ابن الشيخ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المجلّد الثالث من تصنيف الشيخ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على ظهر الورقة الأُولى تملك ابن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تملّك هذا الكتاب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ابن المرحوم الشيخ حسن ابن الشيخ جعفر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ورمزنا لهاتين النسختين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في مشهد، المرقّمة </w:t>
      </w:r>
      <w:r>
        <w:rPr>
          <w:rFonts w:eastAsia="Amiri" w:cs="Amiri" w:ascii="Amiri" w:hAnsi="Amiri"/>
          <w:color w:val="111111"/>
          <w:sz w:val="28"/>
          <w:szCs w:val="28"/>
          <w:lang w:bidi="ar-SA"/>
        </w:rPr>
        <w:t>7451</w:t>
      </w:r>
      <w:r>
        <w:rPr>
          <w:rFonts w:ascii="Amiri" w:hAnsi="Amiri" w:eastAsia="Amiri" w:cs="Amiri"/>
          <w:color w:val="111111"/>
          <w:sz w:val="28"/>
          <w:sz w:val="28"/>
          <w:szCs w:val="28"/>
          <w:rtl w:val="true"/>
          <w:lang w:bidi="ar-SA"/>
        </w:rPr>
        <w:t xml:space="preserve">؛ تاريخ نسخها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استنسخت على نسخة المؤلّف ، وقوبلت معها، وصحّحت عليها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وضمّت هذه النسخة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البيع، القرض، الرهن، الحجر، الضمان، الصلح، الشركة، المضاربة، المزارعة، المساقاة، الوديعة، العارية، الإجارة، الوكالة، الوقف السكني، الهبة والصدقة، والوصيّة، وصفحة واحدة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البسمله والحمدله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الراجي عفو ربِّه الأحقر حسن 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في مشهد، المرقّمة </w:t>
      </w:r>
      <w:r>
        <w:rPr>
          <w:rFonts w:eastAsia="Amiri" w:cs="Amiri" w:ascii="Amiri" w:hAnsi="Amiri"/>
          <w:color w:val="111111"/>
          <w:sz w:val="28"/>
          <w:szCs w:val="28"/>
          <w:lang w:bidi="ar-SA"/>
        </w:rPr>
        <w:t>14466</w:t>
      </w:r>
      <w:r>
        <w:rPr>
          <w:rFonts w:ascii="Amiri" w:hAnsi="Amiri" w:eastAsia="Amiri" w:cs="Amiri"/>
          <w:color w:val="111111"/>
          <w:sz w:val="28"/>
          <w:sz w:val="28"/>
          <w:szCs w:val="28"/>
          <w:rtl w:val="true"/>
          <w:lang w:bidi="ar-SA"/>
        </w:rPr>
        <w:t xml:space="preserve">؛ نسخت حياة المؤلّف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ق وناسخها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هذه النسخة بالصيام وتنتهي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في مشهد، المرقّمة </w:t>
      </w:r>
      <w:r>
        <w:rPr>
          <w:rFonts w:eastAsia="Amiri" w:cs="Amiri" w:ascii="Amiri" w:hAnsi="Amiri"/>
          <w:color w:val="111111"/>
          <w:sz w:val="28"/>
          <w:szCs w:val="28"/>
          <w:lang w:bidi="ar-SA"/>
        </w:rPr>
        <w:t>14479</w:t>
      </w:r>
      <w:r>
        <w:rPr>
          <w:rFonts w:ascii="Amiri" w:hAnsi="Amiri" w:eastAsia="Amiri" w:cs="Amiri"/>
          <w:color w:val="111111"/>
          <w:sz w:val="28"/>
          <w:sz w:val="28"/>
          <w:szCs w:val="28"/>
          <w:rtl w:val="true"/>
          <w:lang w:bidi="ar-SA"/>
        </w:rPr>
        <w:t>؛ نسخت في القرن الثالث عشر الهجري، وناسخها أيضاً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احتوت على كتاب النكاح من بدايته مع الطلاق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بنهاية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على ظهر أوراقها الأُولى أنّها دخلت في ملك السيّد عبدالله الموسوي البهبهاني في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لهذه النسخة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المرحوم آية الله الجليلي الكرمانشاهي، المرقّمة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احتوت على كتابي الطهارة والصلاة تاريخ تحريرها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من القرن الثالث عشر، ناسخها محمّد بن ملّا حسين بن عليّ اليزدي الأردكاني ، وقد قوبلت وصحّحت مع النسخة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وقفها على أولاده الشيخ عبد الرحيم بن عبد الرحمن الكرمانشاهي من تلاميذ المصنّف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مخطوطة مكتبة المرحوم آية الله الجليلي الكرمانشاهي المرقّمة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نسخت في القرن الثالث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محمّد عليّ التبريزي، وقد قابلها وصحّحها على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كتاب الزكاة والخمس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مخطوطة مكتبة المرحوم آية الله الجليلي الكرمانشاهي، المرقّمة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نسخت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الثالث عشر الهجري، ولم نعثر على اسم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هذه </w:t>
      </w:r>
      <w:bookmarkStart w:id="85" w:name="pg18986_203159"/>
    </w:p>
    <w:p>
      <w:pPr>
        <w:pStyle w:val="BookText"/>
        <w:rPr/>
      </w:pPr>
      <w:bookmarkEnd w:id="85"/>
      <w:r>
        <w:rPr>
          <w:rFonts w:ascii="Amiri" w:hAnsi="Amiri" w:eastAsia="Amiri" w:cs="Amiri"/>
          <w:color w:val="111111"/>
          <w:sz w:val="28"/>
          <w:sz w:val="28"/>
          <w:szCs w:val="28"/>
          <w:rtl w:val="true"/>
          <w:lang w:bidi="ar-SA"/>
        </w:rPr>
        <w:t xml:space="preserve">النسخة كتاب المكاسب والبيع والقرض وتقع في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وقفها على أولاده الشيخ عبد الرحيم بن عبد الرحمن الكرمانشاهي من تلاميذ المصنّف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مخطوطة مكتبة المرحوم آية الله الجليلي الكرمانشاهي ، المرقّمة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الثالث عشر الهجري، ولم نعثر على اسم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هذه المخطوطة من بداية كتاب النكاح إلى آخر كتاب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عناوينها بالأحمر، تقع في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رمزنا إلى هذه النسخ الأربع الأخيرة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الحجّتيّة، المرقّمة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احتوت على كتاب الزكاة والخمس والصيام، تقع 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3197407_1280447820"/>
      <w:bookmarkStart w:id="87" w:name="_Toc30"/>
      <w:bookmarkEnd w:id="86"/>
      <w:r>
        <w:rPr/>
        <w:t>3</w:t>
      </w:r>
      <w:r>
        <w:rPr>
          <w:rtl w:val="true"/>
        </w:rPr>
        <w:t xml:space="preserve">. </w:t>
      </w:r>
      <w:r>
        <w:rPr>
          <w:rtl w:val="true"/>
        </w:rPr>
        <w:t>منهج العمل والمساهمون في تنفيذه</w:t>
      </w:r>
      <w:bookmarkEnd w:id="87"/>
    </w:p>
    <w:p>
      <w:pPr>
        <w:pStyle w:val="BookText"/>
        <w:rPr/>
      </w:pPr>
      <w:r>
        <w:rPr>
          <w:rFonts w:ascii="Amiri" w:hAnsi="Amiri" w:eastAsia="Amiri" w:cs="Amiri"/>
          <w:color w:val="111111"/>
          <w:sz w:val="28"/>
          <w:sz w:val="28"/>
          <w:szCs w:val="28"/>
          <w:rtl w:val="true"/>
          <w:lang w:bidi="ar-SA"/>
        </w:rPr>
        <w:t>اتّبع في تحقيق هذا السفر القيّم وتصحيحه منهج العمل الجماعي، وهو المنهج الذي دأب عليه مركز إحياء التراث الإسلامي في معظم تحقيقاته، فكانت مراحل التحقيق لهذا الكتاب ومَن ساهَم في تحمّل عبء تنفيذه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النسخ الخطّيّة و اختيار دورتين منها، وقد ذكرنا أوصافها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سعينا إلى التوفير في الوقت والجهد وزيادة الدقّة العلمية من خلال تجاوز مرحلة استنساخ النسخة الخطّيّة وتهيئتها للطبع بأن أوكلنا مهمّة الطبع والتقطيع الأوّلي للنصّ مباشرةٌ من النسخة الخطّيّة المنتخبة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محقّقينا من ذوي الخبرة في قراءة النسخ الخطّيّة والطباعة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كفانا هذه المهمّة الأُستاذ محمد حكمت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مقابلة المطبوع مع النُسخ الخطّيّة الأخرى التي مرّ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موارد الاختلاف بينها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المساهمون فيها هم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بني هاشمي، غلام حسین دهقان، فرج الله جهاندوست، حسان فرادی، طه النجفي، عبد الرسول مهاجر، السيّد خليل عابديني، </w:t>
      </w:r>
    </w:p>
    <w:p>
      <w:pPr>
        <w:pStyle w:val="BookText"/>
        <w:rPr/>
      </w:pPr>
      <w:r>
        <w:rPr>
          <w:rFonts w:ascii="IRNazanin" w:hAnsi="IRNazanin" w:eastAsia="IRNazanin"/>
          <w:color w:val="111111"/>
          <w:sz w:val="28"/>
          <w:sz w:val="28"/>
          <w:szCs w:val="28"/>
          <w:rtl w:val="true"/>
          <w:lang w:bidi="fa-IR"/>
        </w:rPr>
        <w:t>السيّد خليل جوادي، جواد فاضل بخشايشي، السيّد رضا هدايتي، محمّد جعفر مرادي، کمال هاشم پور وإسماعيل بيك المندلاوي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الشريفة من كتاب وسائل الشيعة للشيخ الحرّ العاملي، عدا ما صرّح به في المتن، فإنّه خرّج من مصدره الذي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الأحاديث المتكرّرة فاكتفينا بتخريجها في موضعها الأوّل، والإرجاع إليه في المواضع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وتوثيق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لا يخلو توثيقه من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مصادرها الرئيسية إن وجدت فيها، وإن لم توجد فإنّها أُرجعت إلى المصادر الحاكية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المساهمون فيها هم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بني هاشمي، السيّد أبو الحسن مطّلبي، عليّ المختاري، الشيخ عليّ الأسدي، ولي الله قرباني ، غلامرضا نقي، محمّد مهديّ عادل 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النصّ وتوثيقه وشرح المفردات الصعبة وتوزيع النصّ وتنظيم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تلك المراحل، ويشمل تصحيح ما في المتن من الأخطاء النحويّة والإملائيّة والعلميّة إن وجدت؛ وذلك لتقديم الكتاب بنصٍّ سليم، وقد اتّبعت طريقة التلفيق بين النسخ المشار إليها أعلاه، بحيث يكون النصّ الصحيح في المتن، وما عداه يشار إليه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المساهمون في هذه المرحلة هم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قيصريه ها، غلامرضا نقي، منصور الإبراهيمي، محمّد الحسون، عبّاس محمّدي، ومحمّد الباقري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المراجعة النهائية للكتاب وتوحيد الجهود المبذولة لتحقيق هذا السفر القيّم و تصحيحه ورفع الأخطاء التي زاغ عنها البصر في المراحل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 الهوامش وإعدادها وترتيبها بشكلها النهائي بما يراعي الأُمور الفنّيّة المتّبعة في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لإنجاز هذه المرحلة سماحة الشيخ محمّد الباقري، كما قام بوضع فهرس موضوعات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 الفهارس الفنّيّة وتنظيمها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المساهمون فيها هم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شكري، إسماعيل بيك المندلاوي، محسن النوروزي ورمضان عليّ القرباني</w:t>
      </w:r>
      <w:r>
        <w:rPr>
          <w:rFonts w:eastAsia="Amiri" w:cs="Amiri" w:ascii="Amiri" w:hAnsi="Amiri"/>
          <w:color w:val="111111"/>
          <w:sz w:val="28"/>
          <w:szCs w:val="28"/>
          <w:rtl w:val="true"/>
          <w:lang w:bidi="ar-SA"/>
        </w:rPr>
        <w:t>.</w:t>
      </w:r>
      <w:bookmarkStart w:id="88" w:name="pg18986_203161"/>
    </w:p>
    <w:p>
      <w:pPr>
        <w:pStyle w:val="BookText"/>
        <w:rPr/>
      </w:pPr>
      <w:bookmarkEnd w:id="8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الإخراج الفنّي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المساهمون فيها هم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شكري، محمّد هادي الأديب، ورمضان عليّ القرباني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إصدار ونشر الكتاب في عشر مجلّدات، حيث تشتمل بعض المجلّدات على باب واحد يبتدئ المجلّد الأوّل بكتاب الطهارة وينتهي المجلّد الأخير بكتاب القضاء والشهادات والفهارس العامّة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3197409_1280447820"/>
      <w:bookmarkStart w:id="90" w:name="_Toc31"/>
      <w:bookmarkEnd w:id="89"/>
      <w:r>
        <w:rPr>
          <w:rtl w:val="true"/>
        </w:rPr>
        <w:t>شكر وثناء</w:t>
      </w:r>
      <w:bookmarkEnd w:id="90"/>
    </w:p>
    <w:p>
      <w:pPr>
        <w:pStyle w:val="BookText"/>
        <w:rPr/>
      </w:pPr>
      <w:r>
        <w:rPr>
          <w:rFonts w:ascii="Amiri" w:hAnsi="Amiri" w:eastAsia="Amiri" w:cs="Amiri"/>
          <w:color w:val="111111"/>
          <w:sz w:val="28"/>
          <w:sz w:val="28"/>
          <w:szCs w:val="28"/>
          <w:rtl w:val="true"/>
          <w:lang w:bidi="ar-SA"/>
        </w:rPr>
        <w:t>وفي الختام نتقدّم بالشكر الجزيل والثناء الجميل لجميع إخوتنا الذين ساهموا في تحقيق هذا السفر القيّم وإخراجه بهذه الحلّة القشيبة راجين لهم دوام الموفّقيّة لمثل هذه المشاريع المهمّة التي تخدم العلم والعلماء، خصوصاً إخوتنا المحقّقين الذين بذلوا ما في وسعهم لإنجاز هذا المشروع المهمّ الذي استغرق العمل فيه عشر سنوات، والذين أشرنا إلى أسمائهم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نتقدّم بالشكر الجزيل إلى الأُستاذ المحقّق الشيخ رضا المختاري، حيث اقترح مشروع تحقيق الكتاب بإشارة من سماحة آية الله السيّد موسى الشبيري الزنجاني حفظه الله ورعاه، والباحث الخبير عليّ أكبر زماني نجاد الذي هيّأ المصادر الأصليّة لهذه المقدّمة والتعريف بالنسخ الخطّيّة، والأُستاذ الشيخ عليّ الحميداوي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لمساعدته في تأليف مقدّمة التحقيق وتعريبها، والأخ الكريم محسن النوروزي لمتابعته للأعمال الفنّيّة والمراجعة النهائيّة قبل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نتقدّم بالشكر إلى كلّ من ساهم في إنجاز هذا السفر القيم من قريب أو بعيد، ومن أسدى معروفاً أو خدمة على طريق إصدارها، ممّن لم نتعرّض لذكر أسمائهم خصوصاً الإخوة العاملين في مركز إحياء التراث الإسلامي والإخوة الأعزّاء في قسم النشر التابع للمركز العالي للعلوم والثقافة الإسلاميّة، جزاهم الله خير الجزاء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إلينا الشيخ عبّاس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أعلام أُسرة </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مائلٌ للطبع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نورد مقاطع منها في اكرين له حُسن اهتمامه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كَشَفَ بأنوار الفقاهة مبهمات الأحكام والصلاة والسلام على سيّد رسله ومنهاج سُبُله محمّد بن عبد الله وعلى آله أئمّة الهدى وسادات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كتاب أنوار الفقاهة من أجلِّ ما جرى به قلم فقيهنا الشيخ حسن نجل الشيخ الأكبر الشيخ جعفر المعروف بكاشف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صبّهُ مؤلفُهُ في قالب بديع وتنسيق فريد، أوفى على الغاية، ورفع على سائر المتون الفقهيّة المدوّنة بعده الراية، وقد استفاد بعض أساطين الفقهاء من هذا السفر فيما حرّره و قرّره في أحد كتبه الاستدلالية لما أمتاز به هذا المصنّف من قوّة الاستدلال والغَوْص على دقائق مدارك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يسجّل لهذه الموسوعة الفقهيّة الجليلة أنّها كتبت بإسلوب بليغ وبيان مشرق، فكان الشيخ حسن رضوان الله عليه ذايد باسطة وملكة راسخة في الفقاهة تَشْهَدُ له بطول باعه وسَعَةِ اطّلاعهِ وإحاطته التامّة المُسْتَوعِبة لجميع مدارك أحكام الشريعة الغرّاء تأصيلاً وتفريعاً، وقد أوتي الذوق الفقاهي الرفيع، وتميّز بشَمّ الفقاهة حتّى صار لازماً له في كلّ ما جرى به يراعُهُ السيّالُ في باب تفريع الأحكام وتنقيح المناط ومراعاة الأشباه والنظائر مع البُعد عن القياس المستنبط العلّة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أرباب هذا الفن ولا عازب عن أفهامهم السديدة ما لشَمّ الفقاهة من آثارٍ متميّزة في إثراء البحوث الفقهيّة ومدٌّ تفريعاتها على ضوء الأدلّة الكاشفة عن دقائق وجوه الاستدلال والغوص على مكامن الاستنتاج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يقول الشيخ حسن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لمقدّمة كتاب والده كشف الغطاء ما نصّه هذا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الفاهمون في مراتب الوصول والعاملون في درجات الحصول، فمنهم من يكون ذا فكر صائب ورأي ثاقب، سريع الانتقال من الدليل إلى مدلوله، ومن اللزوم إلى لازمه، ومن الأصل إلى فرعه، ومن الظاهر إلى باطنه، ومن مجموع الأدلّة إلى أحكام غير </w:t>
      </w:r>
    </w:p>
    <w:p>
      <w:pPr>
        <w:pStyle w:val="BookText"/>
        <w:rPr/>
      </w:pPr>
      <w:r>
        <w:rPr>
          <w:rFonts w:ascii="Amiri" w:hAnsi="Amiri" w:eastAsia="Amiri" w:cs="Amiri"/>
          <w:color w:val="111111"/>
          <w:sz w:val="28"/>
          <w:sz w:val="28"/>
          <w:szCs w:val="28"/>
          <w:rtl w:val="true"/>
          <w:lang w:bidi="ar-SA"/>
        </w:rPr>
        <w:t>منصوصة وفروع غير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ما مضمونه أنّ الفقيه لا يكون فقيهاً حتّى يعرف لحن الخطاب ورمزه، وهذا معنى جعل شمّ الفقيه للحكم من الأدلّة، وصيرورة الشمّ دليلاً للمجتهد، وإنّها لكلمة حقٌ ومنطق صدق يعرفها أهلها وينكرها من لم يكن كفوا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فقد حاسّة الشمّ فجمد على ما رآه وسمعه لا ينتقل من شيء إلى آخر، ولا من مفهوم إلى مفهوم، ولا من مراد إلى مراد لعدم تبيّن أنفه له؛ لأنّ من لم يشمٌ الشيء</w:t>
      </w:r>
    </w:p>
    <w:p>
      <w:pPr>
        <w:pStyle w:val="BookText"/>
        <w:rPr/>
      </w:pPr>
      <w:r>
        <w:rPr>
          <w:rFonts w:ascii="Amiri" w:hAnsi="Amiri" w:eastAsia="Amiri" w:cs="Amiri"/>
          <w:color w:val="111111"/>
          <w:sz w:val="28"/>
          <w:sz w:val="28"/>
          <w:szCs w:val="28"/>
          <w:rtl w:val="true"/>
          <w:lang w:bidi="ar-SA"/>
        </w:rPr>
        <w:t>لا يهتدي إليه، إذا كان لا يبصره ولا يسمعه فجمد على المناطيق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فالشمّ من الأدلّة الشرعيّة والظنّ الحاصل به دليل وأي دليل يهدي إلى السبيل، ومن نظر وتتبّع أقوال الفقهاء من قديم الزمان إلى هذا الآن يجد أنّه لولا أنّ الشمّ من مجموع الأدلّة أو من مفرداتها، ومن أدلّة كلٌ باب منها لما كتبوا كتب الفروع وأكثروا من تشقيق المسألة الواحدة إلى ما يقرب المئات، وأفتوا بها وليس عندهم نصّ في ذلك من عموم أو خصوص، كالعلّامة في ثلثي القواعد والتحرير، وكذا الشهيد في الدروس بل والشيخ في المبسوط ، وحاشاهم من الأخذ بغير دليل أو عمل بالقياس والاستحسان، بل عملهم على الظنون الناشئة عن الأدلّة الخاصّة، وهو معنى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لا يجوز الأخذ بكلّ ظنّ ولا الجمود على الظنون، بل هو أمر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ظهرت قوّة مبانيه الأُصوليّة ومداركه الرصينة من خلال استدلاله للمسائل الفقهيّة، وكتابه أنوار الفقاهة شاهد عدل على ما كان يتمتّع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عمق فكره الأُصولي، و سبقه فی تناول بعض المباحث الأُصوليّة على هذا النحو من التفصيل والتفريع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استعرض في موسوعته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النادرة أو الشاذّة وحملها على التقية، وقد يوجهها بتوجيه مقبول يوافق المشهور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إحاطته بكلّ ما ورد من المسائل الشرعيّة إحاطة تامّة ومستوعبة لجميع فروعها وتقسيماتها يكشف من دون ريب تسلّطه التامٌ على الفقه، كما أنّه يتّضح وضوحاً جليّاً من مسلكه الاجتهادي أنّ الدليل العقلي له من الأهمّيّة في عملية استنباط الأحكام الشرعيّة نصيب كبير، وقد نحا في بعض الموارد منها حمل الروايات غير المستوفية شروط الاستدلال التامّ أو المخالفة للمشهور على نحو الاستحباب بدل من رفع اليد عنها وعدم العمل بها للتقيّة، 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أفاظ الله عليه شآبيب رحمته ورضوانه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 اطّلاع واف على فقه المذاهب الإسلاميّة محيطاً بصور الاختلاف بين أئمّة تلك المذاهب، كما كان مطّلعاً على الموسوعات الفقهيّة والحديثيّة المعتبرة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شرعُنا في العقد المنصرم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حَرْفيّاً لغرض التوفّر على تحقيقها، بيد أنّنا صرفنا النظر عن ذلك بعد علمنا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للمركز العالي للعلوم والثقافة الإسلاميّة في قم المقدّسة قد شَرَعَ بتحقيق الكتاب على مخطوطاته بأُسلوب مبتكرٍ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المناسبة نغتنم هذه الفرصة لتقديم أسمى آيات الشكر والامتنان لهذا المركز والعاملين فيه لمبادرتهم للنهوض بعِبء تحقيق هذا الكتاب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يشكرون مرّة ثانية على ما بذلوه ويبذلونه لاهتمامهم بتحقيق آثار السلف الصالح من أساطين علمائنا الخضارم وفقهائنا الأعاظم، وأبرز ما دبجته أقلام مفكري الطائفة في في مختلف العلوم والمعارف الإسلاميّة، ممّا يُعدّ غرة شامخة في جبين الدهر، ويعتبر خدمة خالصة في سبيل إحياء التراث الإسلامي عموماً والفكر الإمامي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في هذا المجال إلّا أن نتضرّع إلى المولى تبارك آلاؤه أن يمدّهم بالعون والعناية، ويكلأهم بالتزويد والرعاية لمواصلة المزيد من أعمالهم الجادّة المشكورة بتحقيق ونشر ذخائر الفكر الإسلامي من مناجمه المُترعة بنفائس الآثار وروائع 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لا يسعنا إلّا التماس العَون والتسديد من الله المنّان في جهودنا لخدمة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وقبول بضاعتنا اليسيرة المزجاة أمام ميزان كرمه وفضله؛ ملتمسين من القارئ الكريم النظر بعين العطف إلى ما قد يراه من هفوةٍ أو كبوة، وما ذلك بغريبٍ على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أوسط الناطقي</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bookmarkStart w:id="91" w:name="pg18986_203165"/>
    </w:p>
    <w:p>
      <w:pPr>
        <w:pStyle w:val="Heading3"/>
        <w:numPr>
          <w:ilvl w:val="2"/>
          <w:numId w:val="1"/>
        </w:numPr>
        <w:rPr/>
      </w:pPr>
      <w:bookmarkStart w:id="92" w:name="__RefHeading___Toc13197411_1280447820"/>
      <w:bookmarkStart w:id="93" w:name="_Toc32"/>
      <w:bookmarkEnd w:id="91"/>
      <w:bookmarkEnd w:id="92"/>
      <w:r>
        <w:rPr>
          <w:rtl w:val="true"/>
        </w:rPr>
        <w:t>نماذج من مصوّرات النسخ الخطية المعتمدة في التحقيق</w:t>
      </w:r>
      <w:bookmarkEnd w:id="9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كتاب الطهارة، نسخة الأصل</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الصفحة الأخيرة من كتاب الطهارة، نسخة الأصل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الصفحة الأولى من كتاب الطلاق، نسخة الأصل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كتاب النكاح، نسخة الأصل</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الأصل</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كتاب القضاء والشهادات، نسخة الأصل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كتاب الطهارة، نسخة</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كتاب الرهن،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الأخيرة من كتاب الرهن، نسخة</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كتاب البيع،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إجازة المؤلّف الشيخ حسن كاشف الغطاء بخطّ يده يجيز فيها لمقلّديه الرجوع إلى الحاج ملّا إسماعيل بن دوست عليّ، موجودة على الورقة الأُولى من نسخة للرسالة الصلاتيّة له، المحفوظة في مكتبة آية الله المرحوم السيّد شهاب الدين المرعشي بقم المقدّسة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المكتبة ،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bookmarkStart w:id="94" w:name="pg18988_203177"/>
    </w:p>
    <w:p>
      <w:pPr>
        <w:pStyle w:val="Heading2"/>
        <w:numPr>
          <w:ilvl w:val="1"/>
          <w:numId w:val="1"/>
        </w:numPr>
        <w:rPr/>
      </w:pPr>
      <w:bookmarkStart w:id="95" w:name="__RefHeading___Toc13197413_1280447820"/>
      <w:bookmarkStart w:id="96" w:name="_Toc33"/>
      <w:bookmarkEnd w:id="94"/>
      <w:bookmarkEnd w:id="95"/>
      <w:r>
        <w:rPr>
          <w:rtl w:val="true"/>
        </w:rPr>
        <w:t>كتاب الطهارة</w:t>
      </w:r>
      <w:bookmarkEnd w:id="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3197415_1280447820"/>
      <w:bookmarkStart w:id="98" w:name="_Toc34"/>
      <w:bookmarkEnd w:id="97"/>
      <w:r>
        <w:rPr>
          <w:rtl w:val="true"/>
        </w:rPr>
        <w:t>اشارة</w:t>
      </w:r>
      <w:bookmarkEnd w:id="9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8988_203179"/>
      <w:bookmarkStart w:id="100" w:name="pg18988_203179"/>
      <w:bookmarkEnd w:id="100"/>
    </w:p>
    <w:p>
      <w:pPr>
        <w:pStyle w:val="BookText"/>
        <w:rPr/>
      </w:pPr>
      <w:bookmarkStart w:id="101" w:name="pg18988_203179"/>
      <w:bookmarkEnd w:id="10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الطهارة</w:t>
      </w:r>
    </w:p>
    <w:p>
      <w:pPr>
        <w:pStyle w:val="Heading3"/>
        <w:numPr>
          <w:ilvl w:val="2"/>
          <w:numId w:val="1"/>
        </w:numPr>
        <w:rPr/>
      </w:pPr>
      <w:bookmarkStart w:id="102" w:name="__RefHeading___Toc13197417_1280447820"/>
      <w:bookmarkStart w:id="103" w:name="_Toc35"/>
      <w:bookmarkEnd w:id="102"/>
      <w:r>
        <w:rPr>
          <w:rtl w:val="true"/>
        </w:rPr>
        <w:t>تعریف الطهارۀ لغۀً و شرعاً</w:t>
      </w:r>
      <w:bookmarkEnd w:id="103"/>
    </w:p>
    <w:p>
      <w:pPr>
        <w:pStyle w:val="BookText"/>
        <w:rPr/>
      </w:pPr>
      <w:r>
        <w:rPr>
          <w:rFonts w:ascii="Amiri" w:hAnsi="Amiri" w:eastAsia="Amiri" w:cs="Amiri"/>
          <w:color w:val="111111"/>
          <w:sz w:val="28"/>
          <w:sz w:val="28"/>
          <w:szCs w:val="28"/>
          <w:rtl w:val="true"/>
          <w:lang w:bidi="ar-SA"/>
        </w:rPr>
        <w:t>وهي لغةً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والنظافة من القذرات الحسّيّة والنجاسات الظاهريّة، وتُستعمل كثيراً في الكتاب والسنّة في النزاهة من الأدناس المعنويّة والأرجاس الباطنيّة على وجه الاشتراك المعنوي أو اللفظي لغةٌ، أو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ثبوتها فيما استعمله الشارع في المعاني الجديدة كثيراً حتّى شاع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لاستعمال طهور مشروط بالنيّة، له تأثير في استباحة العبادة المترتبّة عليه، على وجه الاشتراك المعنوي بين الوضوء والغسل والتيمّم، الاشتراك اللفظي ؛ لأنّه خلاف الأصل، ولاستعمال طهور رافع للخبث الشرعي، على وجه الاشتراك بينهما شرعاً لفظاً، لا معنىً؛ لما في الاشتراك المعنوي من تكلّف قدر مشترك بينهما غير متبادر منها عرفاً عند المتشرّعة، وغير ظاهرٍ من كلام الشارع، على أنّ التردّد في الفهم والإجمال دليل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الفرق بين لفظ الطهارة فيختصّ لفظها بالأوّل على وجه الحقيقة، وبين مشتقّاتها فتعمّ الأمرين على وجه الاشتراك اللفظي أو المعنوي لاستعمالها في الثاني كثيراً، بعيدٌ كلّ البُعْد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ذكرناه فالطهارة شاملةٌ للرافع للحدث والخبث، وللمبيح، وموضوعةٌ لنفس استعمال الطهور، لا لأثره المترتّب عليه، ولا للحالة الحاصلة بعده من الابتهاج النفساني والقرب الروحاني، كما يدّعيه بعض الأولياء</w:t>
      </w:r>
      <w:r>
        <w:rPr>
          <w:rStyle w:val="FootnoteAnchor"/>
          <w:rtl w:val="true"/>
        </w:rPr>
        <w:footnoteReference w:id="132"/>
      </w:r>
      <w:r>
        <w:rPr>
          <w:rFonts w:ascii="Amiri" w:hAnsi="Amiri" w:eastAsia="Amiri" w:cs="Amiri"/>
          <w:color w:val="111111"/>
          <w:sz w:val="28"/>
          <w:sz w:val="28"/>
          <w:szCs w:val="28"/>
          <w:rtl w:val="true"/>
          <w:lang w:bidi="ar-SA"/>
        </w:rPr>
        <w:t>، ومختصّةٌ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تصدق على وجه الحقيقة على غير المبيح، سواء كان مكمّلاً للعبادة المترتّبة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كالوضوء التجديدي والوضوء لغسل الجنابة، وغسل الزيارة وغسل الإحرام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مزيداً في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رافعاً لشبهةٍ نقصاً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كالوضوء للرعاف ومسّ باطن الفرج والدبر والتقبيل والكذب والظلم وإنشاد الشعر ونحوها إذا سبقته طهارة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مؤثِّراً في غير العبادة حسناً، أو دفع قبحٍ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للنوم أو للجماع أو للأكل أو للشرب للمجنب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 كوضوء الحائض وشبهه، مع احتمال أنّه مكمّل لذكر الله تعالى في جلوسها، وغسل الجمعة والعيدَيْن وجميع الأوقات المندوب لها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تكميلها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كلّه شيوع استعمال الشارع لها في ذلك دون غيره، وما ورد من نفي الطهر عن الحائض وثبوت الوضوء لها</w:t>
      </w:r>
      <w:r>
        <w:rPr>
          <w:rStyle w:val="FootnoteAnchor"/>
          <w:rtl w:val="true"/>
        </w:rPr>
        <w:footnoteReference w:id="133"/>
      </w:r>
      <w:r>
        <w:rPr>
          <w:rFonts w:ascii="Amiri" w:hAnsi="Amiri" w:eastAsia="Amiri" w:cs="Amiri"/>
          <w:color w:val="111111"/>
          <w:sz w:val="28"/>
          <w:sz w:val="28"/>
          <w:szCs w:val="28"/>
          <w:rtl w:val="true"/>
          <w:lang w:bidi="ar-SA"/>
        </w:rPr>
        <w:t>، والاقتصار على مورد اليقين في الوضع يقضي به، وأمّا التقسيم إلى المبيح وغيره فلا يقضي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تصدق على كلّ طهارة قد اختلّ بعض شروطها أو نقصت بعض أجزائها ففسدت؛ لظهور كون اسمها موضوعاً للصحيح دون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على ما كان مكمّلاً لغايته، كالوضوء لقراءة القرآن والمسّ والطواف المندوب وصلاة الجنازة؛ لأنّه في جميع ذلك رافعٌ ومبيحٌ على الأقوى وإن كان شُرّع للتكميل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حدودهم في المقام ناشئٌ عن اختلافهم في المعنى الشرعي الموضوع له اللفظ شرعاً، لا ناشئٌ عن تباين اصطلاحاتهم في المنقول إليه، ولا عن تسامحهم في الحدود؛ لعدم ثبوت اصطلاحٍ جديد لهم، ولتدقيقهم في إلإدخال والإخراج، مع احتمال ذلك، وأنّهم يريدون تميّز الأسماء في الجملة بأيّ طريقٍ كان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حاجة إلى تطويل الكلام بذكرها ونقضها طرداً وعكساً</w:t>
      </w:r>
      <w:r>
        <w:rPr>
          <w:rFonts w:eastAsia="Amiri" w:cs="Amiri" w:ascii="Amiri" w:hAnsi="Amiri"/>
          <w:color w:val="111111"/>
          <w:sz w:val="28"/>
          <w:szCs w:val="28"/>
          <w:rtl w:val="true"/>
          <w:lang w:bidi="ar-SA"/>
        </w:rPr>
        <w:t xml:space="preserve">. </w:t>
      </w:r>
      <w:bookmarkStart w:id="104" w:name="pg18988_203181"/>
    </w:p>
    <w:p>
      <w:pPr>
        <w:pStyle w:val="Heading3"/>
        <w:numPr>
          <w:ilvl w:val="2"/>
          <w:numId w:val="1"/>
        </w:numPr>
        <w:rPr/>
      </w:pPr>
      <w:bookmarkStart w:id="105" w:name="__RefHeading___Toc13197419_1280447820"/>
      <w:bookmarkStart w:id="106" w:name="_Toc36"/>
      <w:bookmarkEnd w:id="104"/>
      <w:bookmarkEnd w:id="105"/>
      <w:r>
        <w:rPr>
          <w:rtl w:val="true"/>
        </w:rPr>
        <w:t>فيما تجب له الطهارة وما تستحبّ</w:t>
      </w:r>
      <w:bookmarkEnd w:id="106"/>
    </w:p>
    <w:p>
      <w:pPr>
        <w:pStyle w:val="Heading4"/>
        <w:numPr>
          <w:ilvl w:val="3"/>
          <w:numId w:val="1"/>
        </w:numPr>
        <w:rPr/>
      </w:pPr>
      <w:bookmarkStart w:id="107" w:name="__RefHeading___Toc13197421_1280447820"/>
      <w:bookmarkStart w:id="108" w:name="_Toc37"/>
      <w:bookmarkEnd w:id="107"/>
      <w:r>
        <w:rPr>
          <w:rtl w:val="true"/>
        </w:rPr>
        <w:t>بحث فیما یجب له الوضوء</w:t>
      </w:r>
      <w:bookmarkEnd w:id="108"/>
    </w:p>
    <w:p>
      <w:pPr>
        <w:pStyle w:val="BookText"/>
        <w:rPr/>
      </w:pPr>
      <w:r>
        <w:rPr>
          <w:rFonts w:ascii="Amiri" w:hAnsi="Amiri" w:eastAsia="Amiri" w:cs="Amiri"/>
          <w:color w:val="111111"/>
          <w:sz w:val="28"/>
          <w:sz w:val="28"/>
          <w:szCs w:val="28"/>
          <w:rtl w:val="true"/>
          <w:lang w:bidi="ar-SA"/>
        </w:rPr>
        <w:t>يجب الوضوء للصلاة الواجبة وجوباً غيريّاً، قضى به الخطاب التبعي للصلاة؛ لمكان الشرطيّة، والخطاب الأصلي الغيري؛ وذلك بالإجماع، والكتاب</w:t>
      </w:r>
      <w:r>
        <w:rPr>
          <w:rStyle w:val="FootnoteAnchor"/>
          <w:rtl w:val="true"/>
        </w:rPr>
        <w:footnoteReference w:id="134"/>
      </w:r>
      <w:r>
        <w:rPr>
          <w:rFonts w:ascii="Amiri" w:hAnsi="Amiri" w:eastAsia="Amiri" w:cs="Amiri"/>
          <w:color w:val="111111"/>
          <w:sz w:val="28"/>
          <w:sz w:val="28"/>
          <w:szCs w:val="28"/>
          <w:rtl w:val="true"/>
          <w:lang w:bidi="ar-SA"/>
        </w:rPr>
        <w:t xml:space="preserve">، والسنّة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لأجزائها المنسيّة وركعاتها 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إلحاق سجود السهو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للطواف الواجب؛ لأنّه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الصلاة الواجبةِ المنذورةُ والمستأجرُ عليها، وفي الطواف الواجبِ المنذور والمستأجر عليه، إن قلنا بشرطيّة الوضوء للطواف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لمسّ المصحف ولفظ الجلالة الواجبَيْن بنذرٍ أو شبهه، أو بعروض ما يوجب تعظيمهما، كرفعهما من القدرات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تحريم مسّ المحدِث لهما، كما يستفاد من الآية</w:t>
      </w:r>
      <w:r>
        <w:rPr>
          <w:rStyle w:val="FootnoteAnchor"/>
          <w:rtl w:val="true"/>
        </w:rPr>
        <w:footnoteReference w:id="136"/>
      </w:r>
      <w:r>
        <w:rPr>
          <w:rFonts w:ascii="Amiri" w:hAnsi="Amiri" w:eastAsia="Amiri" w:cs="Amiri"/>
          <w:color w:val="111111"/>
          <w:sz w:val="28"/>
          <w:sz w:val="28"/>
          <w:szCs w:val="28"/>
          <w:rtl w:val="true"/>
          <w:lang w:bidi="ar-SA"/>
        </w:rPr>
        <w:t>والرواية</w:t>
      </w:r>
      <w:r>
        <w:rPr>
          <w:rStyle w:val="FootnoteAnchor"/>
          <w:rtl w:val="true"/>
        </w:rPr>
        <w:footnoteReference w:id="137"/>
      </w:r>
      <w:r>
        <w:rPr>
          <w:rFonts w:ascii="Amiri" w:hAnsi="Amiri" w:eastAsia="Amiri" w:cs="Amiri"/>
          <w:color w:val="111111"/>
          <w:sz w:val="28"/>
          <w:sz w:val="28"/>
          <w:szCs w:val="28"/>
          <w:rtl w:val="true"/>
          <w:lang w:bidi="ar-SA"/>
        </w:rPr>
        <w:t>، المعتضدة بالأخبار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بالنذر له أو للطهارة الداخلة فيها، أو بالاستئجار عليه لميّت أو لحيّ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لنفسه؛ للأصل، والإجماعات المنقولة</w:t>
      </w:r>
      <w:r>
        <w:rPr>
          <w:rStyle w:val="FootnoteAnchor"/>
          <w:rtl w:val="true"/>
        </w:rPr>
        <w:footnoteReference w:id="138"/>
      </w:r>
      <w:r>
        <w:rPr>
          <w:rFonts w:ascii="Amiri" w:hAnsi="Amiri" w:eastAsia="Amiri" w:cs="Amiri"/>
          <w:color w:val="111111"/>
          <w:sz w:val="28"/>
          <w:sz w:val="28"/>
          <w:szCs w:val="28"/>
          <w:rtl w:val="true"/>
          <w:lang w:bidi="ar-SA"/>
        </w:rPr>
        <w:t>، والشهرة المحصّلة، والسيرة القاطعة، وخلوّ الأخبار والمواعظ والوصايا والنصائح وكلام المتقدّمين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جاء من الأخبار من الأمر به</w:t>
      </w:r>
      <w:r>
        <w:rPr>
          <w:rStyle w:val="FootnoteAnchor"/>
          <w:rtl w:val="true"/>
        </w:rPr>
        <w:footnoteReference w:id="139"/>
      </w:r>
      <w:r>
        <w:rPr>
          <w:rFonts w:ascii="Amiri" w:hAnsi="Amiri" w:eastAsia="Amiri" w:cs="Amiri"/>
          <w:color w:val="111111"/>
          <w:sz w:val="28"/>
          <w:sz w:val="28"/>
          <w:szCs w:val="28"/>
          <w:rtl w:val="true"/>
          <w:lang w:bidi="ar-SA"/>
        </w:rPr>
        <w:t>محمولٌ على بيان الشرطيّة، كما ورد في غَسْل الأخباث</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الاستحباب، وعدم فهم الأصحاب منها الوجوب النفسي وإعراضهم عنه يورث الظنّ الواجبَ الاتّباع في ظواهر الخطاب بعدم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إلى آخره؛ لظهور عدمهما عند عدم 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تسلّط الحكم على المجموع فينتفي المجموع بعدم دخوله ويكفي في انتفائه انتفاء وجوب الصلاة فقط، كاحتمال تسلّط النفي في المفهوم على الكلّيّة، ويكفي في نفيها السلب الجزئي، بعيدان، كاحتمال تقيّد المنطوق بوجوب الطهور لها، فينتفي في المفهوم ذلك فلا يفيد نفي النفسي؛ للزوم الاعتماد عليه سدّ باب المفهوم رأساً وأصلاً، ولا يساعده عرفٌ ولا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الصَّلوَةِ</w:t>
      </w:r>
      <w:r>
        <w:rPr>
          <w:rStyle w:val="FootnoteAnchor"/>
          <w:rtl w:val="true"/>
        </w:rPr>
        <w:footnoteReference w:id="142"/>
      </w:r>
      <w:r>
        <w:rPr>
          <w:rFonts w:ascii="Amiri" w:hAnsi="Amiri" w:eastAsia="Amiri" w:cs="Amiri"/>
          <w:color w:val="111111"/>
          <w:sz w:val="28"/>
          <w:sz w:val="28"/>
          <w:szCs w:val="28"/>
          <w:rtl w:val="true"/>
          <w:lang w:bidi="ar-SA"/>
        </w:rPr>
        <w:t xml:space="preserve">إلى آخره، فإنّها تدلّ عرفاً على الوجوب الغيري،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سلاحك إذا لقيتَ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بالمفهوم على ذلك أيضاً؛ لانتفاء الجزاء عند انتفاء الشرط مطلقاً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والطعن في الاستدلال بها من جهة عدم عموم المنطوق، أو من جهة عدم عموم المفهوم، أو من جهة عدم ظهور المفهوم؛ لظهور فائدة أخرى غيره، وهي بيان وجوبه الغيري أو الشرطي للصلاة، أو من جهة احتمال تقيّد المنطوق بكونه للصلاة فينتفى كونه لها بالمفهوم لا مطلقاً فلا يدلّ على نفي الوجوب النفسي، كلّه ضعيفٌ لا يُركن إليه ، كما لا يُركن لمن ضعّف المفهومَ بأنّ القول به مخالف للإجماع؛ للزوم عدم الوجوب عند عدم القيام، المتجوّز به عن التهيّؤ، أو المحذوف منه الإرادة عند دخول الوقت، ولا قائل به، و ذلك لأنّ خروج بعض المفهوم بالإجماع لا يُسقطه عن الحجّيّة، كما أنّ المنطوق لا يستدلّ به على الوجوب النفسي من جهة شموله للوقت وما قبله، ولا يكون وجوبه قبله إلّا نفسيّاً؛ لأنّ ظهور الإرادة والتهيّؤ في المتّصلتين </w:t>
      </w:r>
      <w:bookmarkStart w:id="109" w:name="pg18988_203183"/>
    </w:p>
    <w:p>
      <w:pPr>
        <w:pStyle w:val="BookText"/>
        <w:rPr/>
      </w:pPr>
      <w:bookmarkEnd w:id="109"/>
      <w:r>
        <w:rPr>
          <w:rFonts w:ascii="Amiri" w:hAnsi="Amiri" w:eastAsia="Amiri" w:cs="Amiri"/>
          <w:color w:val="111111"/>
          <w:sz w:val="28"/>
          <w:sz w:val="28"/>
          <w:szCs w:val="28"/>
          <w:rtl w:val="true"/>
          <w:lang w:bidi="ar-SA"/>
        </w:rPr>
        <w:t>الحاصلتين في الوقت، دون المنفصلتين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الوجوب بالقيام المؤوّل بهما ممّا يُبعّد ذلك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يلزم على القول بالوجوب النفسي إيجاد واجبات متعدّدة لا يتّصف تاركها بالذمّ والعقاب، كمن توضّأ وضوءات متعدّدة بعد أحداث متعدّدة، كلّ وضوءٍ بَيْن حدثين يتضيّق واحد منها بظنّ الفوات ولا بضيق مشروط به،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والنقض بلزوم مثل ذلك على القول بالوجوب الغيري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الغيري ما يترتّب عليه المشروط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وقع الحدث قبل فعل المشروط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واجباً وإن تخيّل وجوبه ابتداءٌ لانكشاف عدم وجوبه بعد ذلك</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197423_1280447820"/>
      <w:bookmarkStart w:id="111" w:name="_Toc38"/>
      <w:bookmarkEnd w:id="110"/>
      <w:r>
        <w:rPr>
          <w:rtl w:val="true"/>
        </w:rPr>
        <w:t>بحث فیما یندب له الوضوء</w:t>
      </w:r>
      <w:r>
        <w:rPr>
          <w:rtl w:val="true"/>
        </w:rPr>
        <w:t>:</w:t>
      </w:r>
      <w:bookmarkEnd w:id="111"/>
    </w:p>
    <w:p>
      <w:pPr>
        <w:pStyle w:val="Heading5"/>
        <w:numPr>
          <w:ilvl w:val="4"/>
          <w:numId w:val="1"/>
        </w:numPr>
        <w:rPr/>
      </w:pPr>
      <w:bookmarkStart w:id="112" w:name="__RefHeading___Toc13197425_1280447820"/>
      <w:bookmarkStart w:id="113" w:name="_Toc39"/>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يندب الوضوء لغايات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في صحّتها، كصلاة النافلة، والطواف المندوب إن قلنا بشرطيّته له،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فعلها بدونه، كالمسّ المندوب لتبرّكٍ أو تعظيمٍ أو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مؤثّراً فيها كمالاً، كطلب الحاجة، وحمل المصحف، وأفعال الحجّ عدا الطواف والصلاة، وصلاة الجنازة، وزيارة قبور المؤمنين، وتلاوة القرآن، ونوم الجنب، وجماع المحتلم ، وجماع غاسل الميّت ولمّا يغتسل، ومريد غسل الميّت وهو جنب، وذكر الحائض، والتأهّب للفرض قبل وقته، والتجديد، والكون على الطهارة، وجماع الحامل، وأكل الجنب، ودخول المساجد، والنوم، والمجامع إذا أراد الجماع مرّةً أُخرى، وكتابة القرآن، والقدوم من السفر لأهله، وللزوجين ليلة الزفاف، وجلوس القاضي مجلس القضاء، وإدخال الميّت القبر، وتكفينه إذا أراد تكفينه، وغسل الجنابة، وجميع الأغسال المسنونة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يندب لأُمور كثيرة؛ لشبهها بالنواقض، كالضحك في الصلاة سيّما القهقهة، والكذب، والظلم، والإكثار من إنشاد الشعر الباطل أو إنشائه مطلقاً أو ما يزيد على أربعة أبيات، والوَدي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البول والاستبراء منه، والمذي، والرعاف، والقيء، والتخليل بما يسيل الدم، ومسّ </w:t>
      </w:r>
      <w:bookmarkStart w:id="114" w:name="pg18988_203184"/>
    </w:p>
    <w:p>
      <w:pPr>
        <w:pStyle w:val="BookText"/>
        <w:rPr/>
      </w:pPr>
      <w:bookmarkEnd w:id="114"/>
      <w:r>
        <w:rPr>
          <w:rFonts w:ascii="Amiri" w:hAnsi="Amiri" w:eastAsia="Amiri" w:cs="Amiri"/>
          <w:color w:val="111111"/>
          <w:sz w:val="28"/>
          <w:sz w:val="28"/>
          <w:szCs w:val="28"/>
          <w:rtl w:val="true"/>
          <w:lang w:bidi="ar-SA"/>
        </w:rPr>
        <w:t>باطن الدبر، وباطن الإحليل، ونسيان الاستنجاء قبل الوضوء، والتقبيل بشهوةٍ، ومسّ باطن الفرج والقضيب، وبعد الأكل، ولمن لم يستنجئ بالماء حتّى توضّأ وإن كان استجمر</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197427_1280447820"/>
      <w:bookmarkStart w:id="116" w:name="_Toc40"/>
      <w:bookmarkEnd w:id="115"/>
      <w:r>
        <w:rPr>
          <w:rtl w:val="true"/>
        </w:rPr>
        <w:t xml:space="preserve">وهنا فوائد </w:t>
      </w:r>
      <w:r>
        <w:rPr>
          <w:rtl w:val="true"/>
        </w:rPr>
        <w:t>:</w:t>
      </w:r>
      <w:bookmarkEnd w:id="116"/>
    </w:p>
    <w:p>
      <w:pPr>
        <w:pStyle w:val="Heading5"/>
        <w:numPr>
          <w:ilvl w:val="4"/>
          <w:numId w:val="1"/>
        </w:numPr>
        <w:rPr/>
      </w:pPr>
      <w:bookmarkStart w:id="117" w:name="__RefHeading___Toc13197429_1280447820"/>
      <w:bookmarkStart w:id="118" w:name="_Toc41"/>
      <w:bookmarkEnd w:id="117"/>
      <w:r>
        <w:rPr>
          <w:rtl w:val="true"/>
        </w:rPr>
        <w:t>الأُولى</w:t>
      </w:r>
      <w:r>
        <w:rPr>
          <w:rtl w:val="true"/>
        </w:rPr>
        <w:t xml:space="preserve">: </w:t>
      </w:r>
      <w:r>
        <w:rPr>
          <w:rtl w:val="true"/>
        </w:rPr>
        <w:t>فی أنّ أکثر ما ذُکر له استحباب الوضوء قد ورد فیه روایات خاصّۀ</w:t>
      </w:r>
      <w:bookmarkEnd w:id="118"/>
    </w:p>
    <w:p>
      <w:pPr>
        <w:pStyle w:val="BookText"/>
        <w:rPr/>
      </w:pPr>
      <w:r>
        <w:rPr>
          <w:rFonts w:ascii="Amiri" w:hAnsi="Amiri" w:eastAsia="Amiri" w:cs="Amiri"/>
          <w:color w:val="111111"/>
          <w:sz w:val="28"/>
          <w:sz w:val="28"/>
          <w:szCs w:val="28"/>
          <w:rtl w:val="true"/>
          <w:lang w:bidi="ar-SA"/>
        </w:rPr>
        <w:t>أكثر ما قدّمناه قد ورد فيه روايات خاصّة</w:t>
      </w:r>
      <w:r>
        <w:rPr>
          <w:rStyle w:val="FootnoteAnchor"/>
          <w:rtl w:val="true"/>
        </w:rPr>
        <w:footnoteReference w:id="143"/>
      </w:r>
      <w:r>
        <w:rPr>
          <w:rFonts w:ascii="Amiri" w:hAnsi="Amiri" w:eastAsia="Amiri" w:cs="Amiri"/>
          <w:color w:val="111111"/>
          <w:sz w:val="28"/>
          <w:sz w:val="28"/>
          <w:szCs w:val="28"/>
          <w:rtl w:val="true"/>
          <w:lang w:bidi="ar-SA"/>
        </w:rPr>
        <w:t>، وحكم به مشهور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لم نعثر به على رواية خاصّة لكنّه قد قضت به العمومات كالوضوء قبل الأغسال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لم نعثر به على دليل مطلقاً سوى فتوى الفقهاء وبعض الاستحسانات العقليّة، كجلوس القاضي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بالكلّ؛ لما تقرّر من جواز التسامح بأدلّة السنن، وجواز الاستناد بها إلى الخبر الضعيف، وفتوى الفقيه الواحد، بل وإلى الاستحسان العقلي؛ وذلك لأنّ ما شرّع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أو دعاء أو زيارة أو ذكر أو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خصوصيّاته من زمان ومكان وحال، ولم يكن هناك معارض لمشروعيّة تلك الخصوصيّة سوى التشريع، قطع العقل بحسن فعله لتلك الخصوصيّة؛ لاحتمال تحصيل ما يترتّب عليها من الثواب، ويشمله دليل الاحتياط، وكان منفعة خالٍ عن أمارات المفسدة، واحتمال المفسدة من جهة التشريع يرفعها الحسن العقلي والاحتياط الشرعي، فيكون فعله راجحاً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3197431_1280447820"/>
      <w:bookmarkStart w:id="120" w:name="_Toc42"/>
      <w:bookmarkEnd w:id="119"/>
      <w:r>
        <w:rPr>
          <w:rtl w:val="true"/>
        </w:rPr>
        <w:t>الثانية</w:t>
      </w:r>
      <w:r>
        <w:rPr>
          <w:rtl w:val="true"/>
        </w:rPr>
        <w:t xml:space="preserve">: </w:t>
      </w:r>
      <w:r>
        <w:rPr>
          <w:rtl w:val="true"/>
        </w:rPr>
        <w:t>فی أنّ کثیراً ممّا جاءت به الروایات موافق لفتوی العامّۀ</w:t>
      </w:r>
      <w:bookmarkEnd w:id="120"/>
    </w:p>
    <w:p>
      <w:pPr>
        <w:pStyle w:val="BookText"/>
        <w:rPr/>
      </w:pPr>
      <w:r>
        <w:rPr>
          <w:rFonts w:ascii="Amiri" w:hAnsi="Amiri" w:eastAsia="Amiri" w:cs="Amiri"/>
          <w:color w:val="111111"/>
          <w:sz w:val="28"/>
          <w:sz w:val="28"/>
          <w:szCs w:val="28"/>
          <w:rtl w:val="true"/>
          <w:lang w:bidi="ar-SA"/>
        </w:rPr>
        <w:t>كثير ممّا جاءت به الروايات موافق لفتوى العامّة، فحمله على الندب دون طرحِه وحملِه على التقيّة محتاج إلى الترجيح، و الظاهر أنّ الراجح ذلك؛ لأولويّة تقديم الحمل على الندب؛ لشيوع الندب وأكثريّته من الورود مورد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عملاً بالدليل في الجملة، والتقيّة تقضي بطرحه بالكليّة؛ لأنّ المتيقّن من الحمل على التقيّة ووجوب الأخذ بخلافهم إنّما هو في مقام التعارض، دون الأحكام السالمة عن المعارضات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في جملة من الأخبار أنّها خارجة مخرج التقيّة بظاهرها الدالّ على الوجوب ومراداً بها مع ذلك الحكم الندبي، فتفيد الندب إرادةً، وتنزّل على التقيّة ظاهراً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مشكل جدّاً لا يساعده عرف ولا استعمال</w:t>
      </w:r>
      <w:r>
        <w:rPr>
          <w:rFonts w:eastAsia="Amiri" w:cs="Amiri" w:ascii="Amiri" w:hAnsi="Amiri"/>
          <w:color w:val="111111"/>
          <w:sz w:val="28"/>
          <w:szCs w:val="28"/>
          <w:rtl w:val="true"/>
          <w:lang w:bidi="ar-SA"/>
        </w:rPr>
        <w:t xml:space="preserve">. </w:t>
      </w:r>
      <w:bookmarkStart w:id="121" w:name="pg18988_203185"/>
    </w:p>
    <w:p>
      <w:pPr>
        <w:pStyle w:val="BookText"/>
        <w:rPr/>
      </w:pPr>
      <w:bookmarkEnd w:id="121"/>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الوجوب على التقيّة لا ينافي بقاء الرجحان الضمني استصحاباً، فيثبت الاستحباب؛ لعدم معقوليّة ذلك من ظاهر الخطاب إلّا بالقرينة المبيّنة، وليس فليس</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3197433_1280447820"/>
      <w:bookmarkStart w:id="123" w:name="_Toc43"/>
      <w:bookmarkEnd w:id="122"/>
      <w:r>
        <w:rPr>
          <w:rtl w:val="true"/>
        </w:rPr>
        <w:t>الثالثة</w:t>
      </w:r>
      <w:r>
        <w:rPr>
          <w:rtl w:val="true"/>
        </w:rPr>
        <w:t>:</w:t>
      </w:r>
      <w:r>
        <w:rPr>
          <w:rtl w:val="true"/>
        </w:rPr>
        <w:t>فی عدم الفرق فی إثبات الندب من الأخبار بین ما ورد الخطاب به صریحاً لغیره و بین ما ورد الخطاب بغیره متّصفاً به</w:t>
      </w:r>
      <w:bookmarkEnd w:id="123"/>
    </w:p>
    <w:p>
      <w:pPr>
        <w:pStyle w:val="BookText"/>
        <w:rPr/>
      </w:pPr>
      <w:r>
        <w:rPr>
          <w:rFonts w:ascii="Amiri" w:hAnsi="Amiri" w:eastAsia="Amiri" w:cs="Amiri"/>
          <w:color w:val="111111"/>
          <w:sz w:val="28"/>
          <w:sz w:val="28"/>
          <w:szCs w:val="28"/>
          <w:rtl w:val="true"/>
          <w:lang w:bidi="ar-SA"/>
        </w:rPr>
        <w:t>لا فرق في إثبات الندب من الأخبار بين ما ورد الخطاب به صريحاً لغيره، وبين ما ورد الخطاب بغيره متّصفاً به، فيُفهم منه أنّ الشارع قد رتّب الثواب على ذلك الغير لاتّصافه به، فيُفهم إرادته وترتّب الثواب عليه لذلك الغير من باب مفهوم الاقتضاء أو الإشارة، وهو كثير في أخبارنا، كمن دخل المسجد متطهّراً، أو نام كذلك، أو فَعَل كذلك كان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فهم الفقهاء وطريقتهم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3197435_1280447820"/>
      <w:bookmarkStart w:id="125" w:name="_Toc44"/>
      <w:bookmarkEnd w:id="124"/>
      <w:r>
        <w:rPr>
          <w:rtl w:val="true"/>
        </w:rPr>
        <w:t>الرابعة</w:t>
      </w:r>
      <w:r>
        <w:rPr>
          <w:rtl w:val="true"/>
        </w:rPr>
        <w:t xml:space="preserve">: </w:t>
      </w:r>
      <w:r>
        <w:rPr>
          <w:rtl w:val="true"/>
        </w:rPr>
        <w:t>فی أنّ الوضوء لو صادف الحدث الأصغر منویّاً به التقرّب رفعه</w:t>
      </w:r>
      <w:bookmarkEnd w:id="125"/>
    </w:p>
    <w:p>
      <w:pPr>
        <w:pStyle w:val="BookText"/>
        <w:rPr/>
      </w:pPr>
      <w:r>
        <w:rPr>
          <w:rFonts w:ascii="Amiri" w:hAnsi="Amiri" w:eastAsia="Amiri" w:cs="Amiri"/>
          <w:color w:val="111111"/>
          <w:sz w:val="28"/>
          <w:sz w:val="28"/>
          <w:szCs w:val="28"/>
          <w:rtl w:val="true"/>
          <w:lang w:bidi="ar-SA"/>
        </w:rPr>
        <w:t>الأقوى والأظهر أنّ الوضوء لو صادف الحدث الأصغر منويّاً به التقرّب رفعه؛ لأنّه من الأسباب المقتضية لذلك، ورفع الحدث من الآثار المترتّبة عليه اللازمة له فيقع قهراً، ولا يحتاج بعد نيّة القربة إلى نية الاستباحة أو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ينوهما عمداً أو سهواً مع اعتقاد قابليّة المحلّ لنيّتهما، أو مع اعتقاد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 أنّه مجنب أو أنّها حائض أو أنّه متوضّئ قبل ذلك، أو مغتسل للجنابة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الوضوء في جميع ذلك وارتفع الحدث قهراً إذا صادف إمكان ارتفاعه، كما إذا تبيّن عدم كونه جنباً، وعدم كونها حائضاً، وعدم كونه متطهّراً بالطهارة الأُولى لخللٍ فيها، أو لعدم فعلها، بل لو نوى عدم رفع الحدث أو عدم الاستباحة أو عدمهما صحّ الوضوء ووقعت النيّة لغواً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يحتاج في الوضوء إلى نيّة سبب خاصّ من أسبابه، ولا غاية معيّنة من غاياته، بل لو نوى وضوءاً مطلقاً أو وضوءاً للكون على الطهارة أجزأه عن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نوى غايةً خاصّة فإنّها تجزئ عن جميع الغايات؛ وذلك لأنّ الأسباب والغايات غير منوّعة للوضوء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كفايات الغسل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تعيين السبب والغاية لتعيين النوع منه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أيضاً على أنّ كلّ وضوء رافعٌ للحدث الأخبار الدالّة على أنّ الوضوء ينقضه إلّا حدث</w:t>
      </w:r>
      <w:r>
        <w:rPr>
          <w:rStyle w:val="FootnoteAnchor"/>
          <w:rtl w:val="true"/>
        </w:rPr>
        <w:footnoteReference w:id="144"/>
      </w:r>
      <w:r>
        <w:rPr>
          <w:rFonts w:ascii="Amiri" w:hAnsi="Amiri" w:eastAsia="Amiri" w:cs="Amiri"/>
          <w:color w:val="111111"/>
          <w:sz w:val="28"/>
          <w:sz w:val="28"/>
          <w:szCs w:val="28"/>
          <w:rtl w:val="true"/>
          <w:lang w:bidi="ar-SA"/>
        </w:rPr>
        <w:t>، أو إلّا ما يخرج من الطرفين</w:t>
      </w:r>
      <w:r>
        <w:rPr>
          <w:rStyle w:val="FootnoteAnchor"/>
          <w:rtl w:val="true"/>
        </w:rPr>
        <w:footnoteReference w:id="145"/>
      </w:r>
      <w:r>
        <w:rPr>
          <w:rFonts w:ascii="Amiri" w:hAnsi="Amiri" w:eastAsia="Amiri" w:cs="Amiri"/>
          <w:color w:val="111111"/>
          <w:sz w:val="28"/>
          <w:sz w:val="28"/>
          <w:szCs w:val="28"/>
          <w:rtl w:val="true"/>
          <w:lang w:bidi="ar-SA"/>
        </w:rPr>
        <w:t>لأنّه لو لم يرفع الحدث بمجرّد حصوله لما نقضه الحدث</w:t>
      </w:r>
      <w:r>
        <w:rPr>
          <w:rFonts w:eastAsia="Amiri" w:cs="Amiri" w:ascii="Amiri" w:hAnsi="Amiri"/>
          <w:color w:val="111111"/>
          <w:sz w:val="28"/>
          <w:szCs w:val="28"/>
          <w:rtl w:val="true"/>
          <w:lang w:bidi="ar-SA"/>
        </w:rPr>
        <w:t xml:space="preserve">. </w:t>
      </w:r>
      <w:bookmarkStart w:id="126" w:name="pg18988_203186"/>
    </w:p>
    <w:p>
      <w:pPr>
        <w:pStyle w:val="BookText"/>
        <w:rPr/>
      </w:pPr>
      <w:bookmarkEnd w:id="126"/>
      <w:r>
        <w:rPr>
          <w:rFonts w:ascii="Amiri" w:hAnsi="Amiri" w:eastAsia="Amiri" w:cs="Amiri"/>
          <w:color w:val="111111"/>
          <w:sz w:val="28"/>
          <w:sz w:val="28"/>
          <w:szCs w:val="28"/>
          <w:rtl w:val="true"/>
          <w:lang w:bidi="ar-SA"/>
        </w:rPr>
        <w:t>وكذا ما دلّ على المنع من الوضوء بعد الوضوء من دون يقين الحدث</w:t>
      </w:r>
      <w:r>
        <w:rPr>
          <w:rStyle w:val="FootnoteAnchor"/>
          <w:rtl w:val="true"/>
        </w:rPr>
        <w:footnoteReference w:id="146"/>
      </w:r>
      <w:r>
        <w:rPr>
          <w:rFonts w:ascii="IRNazanin" w:hAnsi="IRNazanin" w:eastAsia="IRNazanin"/>
          <w:color w:val="111111"/>
          <w:sz w:val="28"/>
          <w:sz w:val="28"/>
          <w:szCs w:val="28"/>
          <w:rtl w:val="true"/>
          <w:lang w:bidi="fa-IR"/>
        </w:rPr>
        <w:t>، وظاهرٌ أنّ الوضوء لا یراد به معيّنٌ؛ لعدم المعهوديّة، ولا واحدٌ لا بعينه؛ لعدم الفائدة، فلا بدّ من إرادة المعنى العامّ الشامل للكلّ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أنّ الوضوء رافع للحدث بالنسبة إلى غاية معيّنة دون غيرها، كاحتمال أنّه مع رفعه للحدث تجب إعادته للصلاة؛ للأمر به لها بعيدان جدّاً، بل لا يقولهما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فالأحوط أن لا يصلّي إلّا في وضوء غاية مشروطة صحّتُها برفع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في الاحتياط أن لا يصلّي في الوضوء المصادف لاعتقاد ارتفاع الحدث قبله كالتجديدي وسائر النواقض المندوب لها الوضوء، والمصادف لاعتقاد وجود الحدث الأكبر كوضوء الجنب والحائض وإعادته بعد ذلك وعدم 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ويشتدّ الاحتياط فيما إذا صادف اعتقاد الاتّصاف ببقاء الحدث الأكبر؛ لأنّه يؤول إلى نيّة عدم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الاحتياط في التجديدي؛ لأنّ الظاهر أنّ مشروعيّته لرفع الحدث المتوهّم أو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هنا أقوال وكلمات لا حاجة للتعرّض لها</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3197437_1280447820"/>
      <w:bookmarkStart w:id="128" w:name="_Toc45"/>
      <w:bookmarkEnd w:id="127"/>
      <w:r>
        <w:rPr>
          <w:rtl w:val="true"/>
        </w:rPr>
        <w:t>الخامسة</w:t>
      </w:r>
      <w:r>
        <w:rPr>
          <w:rtl w:val="true"/>
        </w:rPr>
        <w:t xml:space="preserve">: </w:t>
      </w:r>
      <w:r>
        <w:rPr>
          <w:rtl w:val="true"/>
        </w:rPr>
        <w:t>إنّما يشرع الوضوء عند دخول وقت المشروط به إن كان له وقت، أو عند إرادة فعله إن لم يكن كذلك</w:t>
      </w:r>
      <w:r>
        <w:rPr>
          <w:rtl w:val="true"/>
        </w:rPr>
        <w:t>.</w:t>
      </w:r>
      <w:bookmarkEnd w:id="128"/>
    </w:p>
    <w:p>
      <w:pPr>
        <w:pStyle w:val="BookText"/>
        <w:rPr/>
      </w:pPr>
      <w:r>
        <w:rPr>
          <w:rFonts w:ascii="Amiri" w:hAnsi="Amiri" w:eastAsia="Amiri" w:cs="Amiri"/>
          <w:color w:val="111111"/>
          <w:sz w:val="28"/>
          <w:sz w:val="28"/>
          <w:szCs w:val="28"/>
          <w:rtl w:val="true"/>
          <w:lang w:bidi="ar-SA"/>
        </w:rPr>
        <w:t>ولا يجوز تقديمه على الوقت بنيّة الوجوب في الواجب الموسّع؛ لتبعيّة وجوبه لوجوب مشروطه،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الواجب المضيّق كلام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بجواز تقديمه بنيّة الوجوب في الموسّع؛ استناداً إلى إطلاق أوامر الوضوء للصلاة وإن كانت غيريّة ، فإذا علم المكلّف بقاءه إلى دخول الوقت أو ظنّ بالاستصحاب جاز له نيّة الوجوب، وإلى أنّ الواجب الموسّع يجوز فعله في أوّل الوقت، وهو موقوف على فعل الشرط قبله، فيجب فعله موسّعاً لمشروطه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الاحتمال ضعيف والاحتياط يقضي بتركه ولو قلنا به فلا بدّ أن نقتصر على </w:t>
      </w:r>
      <w:bookmarkStart w:id="129" w:name="pg18988_203187"/>
    </w:p>
    <w:p>
      <w:pPr>
        <w:pStyle w:val="BookText"/>
        <w:rPr/>
      </w:pPr>
      <w:bookmarkEnd w:id="129"/>
      <w:r>
        <w:rPr>
          <w:rFonts w:ascii="Amiri" w:hAnsi="Amiri" w:eastAsia="Amiri" w:cs="Amiri"/>
          <w:color w:val="111111"/>
          <w:sz w:val="28"/>
          <w:sz w:val="28"/>
          <w:szCs w:val="28"/>
          <w:rtl w:val="true"/>
          <w:lang w:bidi="ar-SA"/>
        </w:rPr>
        <w:t>جوازه قبل الوقت في الجملة بزمان قليل؛ لأنّه هو المتيقّن كما أنّ الوضوء لإحدى الغايات لا بدّ من سبقه عليها بزمان يحكم أهل العرف أنّه لها، فلو قدّمه قبلها بشهرٍ أو أكثر لم يترتّب عليه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فعله للغاية ولم يتّفق وقوعها بعده، صحّ الوضوء، وانكشف فساد نيّته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يثاب ثواب الفاعل للغاية أم لا؟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الوجوب الغيري قبل الوقت عدم جواز إهراق الماء قبل دخول الوقت لمن علم عدم تمكنّه من الماء بعد دخول الوقت، ووجوب الوضوء على مَنْ علم بعدم التمكّن بعد الوقت قبله</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3197439_1280447820"/>
      <w:bookmarkStart w:id="131" w:name="_Toc46"/>
      <w:bookmarkEnd w:id="130"/>
      <w:r>
        <w:rPr>
          <w:rtl w:val="true"/>
        </w:rPr>
        <w:t>السادسة</w:t>
      </w:r>
      <w:r>
        <w:rPr>
          <w:rtl w:val="true"/>
        </w:rPr>
        <w:t xml:space="preserve">: </w:t>
      </w:r>
      <w:r>
        <w:rPr>
          <w:rtl w:val="true"/>
        </w:rPr>
        <w:t>تحقّق الوضوء التجديدي بتجدّد كلّ صلاة نافلة أو فريضة</w:t>
      </w:r>
      <w:bookmarkEnd w:id="131"/>
    </w:p>
    <w:p>
      <w:pPr>
        <w:pStyle w:val="BookText"/>
        <w:rPr/>
      </w:pPr>
      <w:r>
        <w:rPr>
          <w:rFonts w:ascii="Amiri" w:hAnsi="Amiri" w:eastAsia="Amiri" w:cs="Amiri"/>
          <w:color w:val="111111"/>
          <w:sz w:val="28"/>
          <w:sz w:val="28"/>
          <w:szCs w:val="28"/>
          <w:rtl w:val="true"/>
          <w:lang w:bidi="ar-SA"/>
        </w:rPr>
        <w:t>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 كما دلّت عليه الأخبار</w:t>
      </w:r>
      <w:r>
        <w:rPr>
          <w:rStyle w:val="FootnoteAnchor"/>
          <w:rtl w:val="true"/>
        </w:rPr>
        <w:footnoteReference w:id="147"/>
      </w:r>
      <w:r>
        <w:rPr>
          <w:rFonts w:ascii="Amiri" w:hAnsi="Amiri" w:eastAsia="Amiri" w:cs="Amiri"/>
          <w:color w:val="111111"/>
          <w:sz w:val="28"/>
          <w:sz w:val="28"/>
          <w:szCs w:val="28"/>
          <w:rtl w:val="true"/>
          <w:lang w:bidi="ar-SA"/>
        </w:rPr>
        <w:t xml:space="preserve">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بتجدّد كلّ صلاة نافلة أو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يُفهم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 المغرب والعشاء والصبح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التجديد وإن لم يتجدّد للمتوضّئ صلاة مطلقاً؛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حصول الفاصل الطويل وعدمه، وبين احتمال النقض وعدمه، وبين زيادته على الثلاثة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إحداث وضوءٍ آخَر عند اليقين بالوضوء الأوّل مخصوص بغير التجديدي وبغير ما نصّ عليه في الروايات وكلمات الأصحاب ممّا كان يشبه الناقض كما تقدّم</w:t>
      </w:r>
      <w:r>
        <w:rPr>
          <w:rStyle w:val="FootnoteAnchor"/>
          <w:rtl w:val="true"/>
        </w:rPr>
        <w:footnoteReference w:id="148"/>
      </w:r>
      <w:r>
        <w:rPr>
          <w:rFonts w:ascii="IRNazanin" w:hAnsi="IRNazanin" w:eastAsia="IRNazanin"/>
          <w:color w:val="111111"/>
          <w:sz w:val="28"/>
          <w:sz w:val="28"/>
          <w:szCs w:val="28"/>
          <w:rtl w:val="true"/>
          <w:lang w:bidi="fa-IR"/>
        </w:rPr>
        <w:t>، أو مخصوص بما اعتقد عند فعله بطلان الأوّل ففعل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الاقتصار في التجديدي على المرّتين إذا لم تتجدّد الصلاة، تفصّياً من شبهة مَنْ قصّره على المرّتين؛ حملاً لما ورد من أنّ الوضوء مثنى مثنى، والثالثة لا يؤجر عليها</w:t>
      </w:r>
      <w:r>
        <w:rPr>
          <w:rStyle w:val="FootnoteAnchor"/>
          <w:rtl w:val="true"/>
        </w:rPr>
        <w:footnoteReference w:id="149"/>
      </w:r>
      <w:r>
        <w:rPr>
          <w:rFonts w:ascii="Amiri" w:hAnsi="Amiri" w:eastAsia="Amiri" w:cs="Amiri"/>
          <w:color w:val="111111"/>
          <w:sz w:val="28"/>
          <w:sz w:val="28"/>
          <w:szCs w:val="28"/>
          <w:rtl w:val="true"/>
          <w:lang w:bidi="ar-SA"/>
        </w:rPr>
        <w:t>على التجديدي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الأحوط عدم التجديد للغايات الأُخَر غير الصلاة، من غير فرقٍ بين ما أثّرت فيه كمالاً أو أثّرت صحّةً كالطواف الواجب، سواء اختلفت وتعدّدت لاختلافها أو اتّحدت وتكرّرت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يندب التجديدي بعد غسل الجنابة وغيره من الأغسال الرافعة أم لا؟ وجهان</w:t>
      </w:r>
      <w:r>
        <w:rPr>
          <w:rFonts w:eastAsia="Amiri" w:cs="Amiri" w:ascii="Amiri" w:hAnsi="Amiri"/>
          <w:color w:val="111111"/>
          <w:sz w:val="28"/>
          <w:szCs w:val="28"/>
          <w:rtl w:val="true"/>
          <w:lang w:bidi="ar-SA"/>
        </w:rPr>
        <w:t xml:space="preserve">. </w:t>
      </w:r>
      <w:bookmarkStart w:id="132" w:name="pg18988_203188"/>
    </w:p>
    <w:p>
      <w:pPr>
        <w:pStyle w:val="BookText"/>
        <w:rPr/>
      </w:pPr>
      <w:bookmarkEnd w:id="132"/>
      <w:r>
        <w:rPr>
          <w:rFonts w:ascii="Amiri" w:hAnsi="Amiri" w:eastAsia="Amiri" w:cs="Amiri"/>
          <w:color w:val="111111"/>
          <w:sz w:val="28"/>
          <w:sz w:val="28"/>
          <w:szCs w:val="28"/>
          <w:rtl w:val="true"/>
          <w:lang w:bidi="ar-SA"/>
        </w:rPr>
        <w:t>والأقوى ندبه بعدها، والأحوط الترك، كما أنّ الأحوط عدم جواز تجديد الوضوء المجامع للحدث الأكبر؛ لعدم كون الأوّل طهارةً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3197441_1280447820"/>
      <w:bookmarkStart w:id="134" w:name="_Toc47"/>
      <w:bookmarkEnd w:id="133"/>
      <w:r>
        <w:rPr>
          <w:rtl w:val="true"/>
        </w:rPr>
        <w:t>بحث فیما یحرم علی المحدث مسّه</w:t>
      </w:r>
      <w:r>
        <w:rPr>
          <w:rtl w:val="true"/>
        </w:rPr>
        <w:t>:</w:t>
      </w:r>
      <w:bookmarkEnd w:id="134"/>
    </w:p>
    <w:p>
      <w:pPr>
        <w:pStyle w:val="BookText"/>
        <w:rPr/>
      </w:pPr>
      <w:r>
        <w:rPr>
          <w:rFonts w:ascii="Amiri" w:hAnsi="Amiri" w:eastAsia="Amiri" w:cs="Amiri"/>
          <w:color w:val="111111"/>
          <w:sz w:val="28"/>
          <w:sz w:val="28"/>
          <w:szCs w:val="28"/>
          <w:rtl w:val="true"/>
          <w:lang w:bidi="ar-SA"/>
        </w:rPr>
        <w:t xml:space="preserve">الأظهر وفاقاً للأشهر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مسّ القرآن محدثاً بالأصغر والأكبر؛ للأخبار</w:t>
      </w:r>
      <w:r>
        <w:rPr>
          <w:rStyle w:val="FootnoteAnchor"/>
          <w:rtl w:val="true"/>
        </w:rPr>
        <w:footnoteReference w:id="150"/>
      </w:r>
      <w:r>
        <w:rPr>
          <w:rFonts w:ascii="Amiri" w:hAnsi="Amiri" w:eastAsia="Amiri" w:cs="Amiri"/>
          <w:color w:val="111111"/>
          <w:sz w:val="28"/>
          <w:sz w:val="28"/>
          <w:szCs w:val="28"/>
          <w:rtl w:val="true"/>
          <w:lang w:bidi="ar-SA"/>
        </w:rPr>
        <w:t>المعتبرة المنجبرة بفتوى المشهور وعملهم، والمناسبة لأدلّة التعظيم والاحترام، والموافقة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يَمَسُّهُ إِلَّا المُطَهَّرُونَ</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لفظ المسيس في الحسّي، والطهارة في المعنى الشرعي، ولظهور كون الجملة من صفات القرآن، دون كتاب مكنون وإن قرب لسياق الكلام، ولظهورها إرادة النهي وإلّا لزم الكذب، ولظهور عموم الطهارة للكبرى والصغرى، و إلّا لزم التخصيص من غير دليل، بل وللخبث إذا مسّ بما خبث من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الأظهر تحريم مسّ لفظ الجلالة نفسه؛ للأولويّة في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إلحاق الأسماء المختصّة به، بل وجميع الأسماء الحسنى له عزّ وجلّ بلفظ الجلالة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وباقي الأنبياء والملائكة، وغير القرآن من الصحف والأحاديث القدسيّة والروايات الإماميّة المنقولة باللفظ، فلا يبعد كراهة مسها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فيندب لها الوضوء، وكذا نفس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 أو الأمكنة المشرّفة كنفس الكعبة ونفس الضريح، فإنّه لا يبعد كراهة مسّها محدثاً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القرآن بين منسوخ الحكم وعدمه، وبين كتابته بالعربي وغيره ما لم تكن نفس ألفاظه مغيّرة كما إذا ترجم بلسانٍ آخَر، وبين كون الآية في المصحف وغيره، وبين المكتوب قصداً وغيره إذا كان مختصّاً بالقرآنيّة غير مشترك بينه وبين غيره، وفي المشترك لا بدّ من قصد الكاتب أنّه قرآن وإلّا جاز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اثنان في رسم مشترك، فقصد أحدهما القرآن دون الآخر، غلّب قصد الأوّل، وبين المكتوب بخطٍّ وبين غيره من نقش أحجار أو تسطير بناء أو نقشٍ في أرضٍ أو تخطيط في قرطاس بمسمار وشبهه</w:t>
      </w:r>
      <w:r>
        <w:rPr>
          <w:rFonts w:eastAsia="Amiri" w:cs="Amiri" w:ascii="Amiri" w:hAnsi="Amiri"/>
          <w:color w:val="111111"/>
          <w:sz w:val="28"/>
          <w:szCs w:val="28"/>
          <w:rtl w:val="true"/>
          <w:lang w:bidi="ar-SA"/>
        </w:rPr>
        <w:t xml:space="preserve">. </w:t>
      </w:r>
      <w:bookmarkStart w:id="135" w:name="pg18988_203189"/>
    </w:p>
    <w:p>
      <w:pPr>
        <w:pStyle w:val="BookText"/>
        <w:rPr/>
      </w:pPr>
      <w:bookmarkEnd w:id="135"/>
      <w:r>
        <w:rPr>
          <w:rFonts w:ascii="Amiri" w:hAnsi="Amiri" w:eastAsia="Amiri" w:cs="Amiri"/>
          <w:color w:val="111111"/>
          <w:sz w:val="28"/>
          <w:sz w:val="28"/>
          <w:szCs w:val="28"/>
          <w:rtl w:val="true"/>
          <w:lang w:bidi="ar-SA"/>
        </w:rPr>
        <w:t>وفي وضع خيط أو حبل على شكل آية من القرآن أو على هيئة اسم الجلالة أو قصّ قرطاس على ذلك الشكل إشكال والأحوط 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كتبت الحروف على غير النهج المتعارف في الكتابة اصطلاحاً برقم الهندسة، أو نحوها ممّا لم يكن من الكتابات المتعارفة، أو وضع حرف مكان حرف اصطلاحاً من الكاتب، فالأحوط تجنّبه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تفطّرت الأرض أو أثّر الريح فيها كشكل آية، فالأحوط تجنّبها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الحروف بين المتواصلة والمقطّعة على إشكال في الأخير، ولا بين المقلوب والمستقيم على إشكال في الأوّل، ولا بين المسّ فيما تحلّه الحياة وبين غيره؛ لإطلاق الأخبار، سوى الشَّعْر فالأظهر عدم حرمة المسّ به؛ لخروجه عن إطلاق لفظ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 والتشديد داخلان في القرآن، دون الإعراب؛ لعدم تيقّن صدق القرآن عليه، ولتجريد الصحف الأوّل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للوليّ منع الصبيّ عن مسّه محدثاً؛ للتعظيم، إلّا إذا كان مميّزاً متطهّراً؛ فإنّ الأقوى أنّ عبادته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ولوكتب المحدث على بدنه قرآناً فالأحوط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نشر القرطاس إلى خلف فالأحوط تجنّبه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197443_1280447820"/>
      <w:bookmarkStart w:id="137" w:name="_Toc48"/>
      <w:bookmarkEnd w:id="136"/>
      <w:r>
        <w:rPr>
          <w:rtl w:val="true"/>
        </w:rPr>
        <w:t>بحث فیما یجب له الغسل</w:t>
      </w:r>
      <w:r>
        <w:rPr>
          <w:rtl w:val="true"/>
        </w:rPr>
        <w:t>:</w:t>
      </w:r>
      <w:bookmarkEnd w:id="137"/>
    </w:p>
    <w:p>
      <w:pPr>
        <w:pStyle w:val="Heading5"/>
        <w:numPr>
          <w:ilvl w:val="4"/>
          <w:numId w:val="1"/>
        </w:numPr>
        <w:rPr/>
      </w:pPr>
      <w:bookmarkStart w:id="138" w:name="__RefHeading___Toc13197445_1280447820"/>
      <w:bookmarkStart w:id="139" w:name="_Toc49"/>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يجب الغسل بحصول أسبابه لغايات مترتّبة عليه في الجملة إجماعاً وضرورةً، فيجب غسل الجنابة للصلاة الواجبة ابتداءٌ، أو بنذرٍ، أو استئجارٍ؛ إجماعاً وكتاباً</w:t>
      </w:r>
      <w:r>
        <w:rPr>
          <w:rStyle w:val="FootnoteAnchor"/>
          <w:rtl w:val="true"/>
        </w:rPr>
        <w:footnoteReference w:id="152"/>
      </w:r>
      <w:r>
        <w:rPr>
          <w:rFonts w:ascii="Amiri" w:hAnsi="Amiri" w:eastAsia="Amiri" w:cs="Amiri"/>
          <w:color w:val="111111"/>
          <w:sz w:val="28"/>
          <w:sz w:val="28"/>
          <w:szCs w:val="28"/>
          <w:rtl w:val="true"/>
          <w:lang w:bidi="ar-SA"/>
        </w:rPr>
        <w:t>وسنّةً</w:t>
      </w:r>
      <w:r>
        <w:rPr>
          <w:rStyle w:val="FootnoteAnchor"/>
          <w:rtl w:val="true"/>
        </w:rPr>
        <w:footnoteReference w:id="153"/>
      </w:r>
      <w:r>
        <w:rPr>
          <w:rFonts w:ascii="Amiri" w:hAnsi="Amiri" w:eastAsia="Amiri" w:cs="Amiri"/>
          <w:color w:val="111111"/>
          <w:sz w:val="28"/>
          <w:sz w:val="28"/>
          <w:szCs w:val="28"/>
          <w:rtl w:val="true"/>
          <w:lang w:bidi="ar-SA"/>
        </w:rPr>
        <w:t>بأمرٍ أصليٍّ توصّليٍّ، وبأمرٍ تبعيّ للصلاة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للطواف الواجب الأصليّ؛ لأنّه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للمسّ الواجب بنذر أو استئجار أو شبههما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لدخول المسجدين، وللمكث في المساجد الباقية إن وجبا بأحد الأسباب أو بعض العوارض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لقراءة العزائم كلّاً أو بعضاً إن وجبت بأحد الأسباب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بنذر الطهارة أو بنذره خصوصاً أو بالاستئجار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غسل الحيض يجب ، كذلك؛ بالإجماع والأخبار</w:t>
      </w:r>
      <w:r>
        <w:rPr>
          <w:rStyle w:val="FootnoteAnchor"/>
          <w:rtl w:val="true"/>
        </w:rPr>
        <w:footnoteReference w:id="154"/>
      </w:r>
      <w:r>
        <w:rPr>
          <w:rFonts w:ascii="Amiri" w:hAnsi="Amiri" w:eastAsia="Amiri" w:cs="Amiri"/>
          <w:color w:val="111111"/>
          <w:sz w:val="28"/>
          <w:sz w:val="28"/>
          <w:szCs w:val="28"/>
          <w:rtl w:val="true"/>
          <w:lang w:bidi="ar-SA"/>
        </w:rPr>
        <w:t>في الثلاثة الأُوَل، وبالإجماع المنقول</w:t>
      </w:r>
      <w:r>
        <w:rPr>
          <w:rStyle w:val="FootnoteAnchor"/>
          <w:rtl w:val="true"/>
        </w:rPr>
        <w:footnoteReference w:id="155"/>
      </w:r>
      <w:r>
        <w:rPr>
          <w:rFonts w:ascii="Amiri" w:hAnsi="Amiri" w:eastAsia="Amiri" w:cs="Amiri"/>
          <w:color w:val="111111"/>
          <w:sz w:val="28"/>
          <w:sz w:val="28"/>
          <w:szCs w:val="28"/>
          <w:rtl w:val="true"/>
          <w:lang w:bidi="ar-SA"/>
        </w:rPr>
        <w:t>والشهرة المحصّلة في الأخيرين، واستصحاباً لحكم المنع المحقّق فيهما ما دام الحيض سائلاً، وتغيّر الموضوع مع الانقطاع قبل الغسل لم يثبت؛ لصدق الحائض على مَنْ نقت قبل الغسل الأخبار وكلام الأصحاب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حقيقة في المتلبّس دون الماضي، ولأنّ حدث الحيض أعظم من حدث الجنابة، كما يُفهم من الأخبار</w:t>
      </w:r>
      <w:r>
        <w:rPr>
          <w:rStyle w:val="FootnoteAnchor"/>
          <w:rtl w:val="true"/>
        </w:rPr>
        <w:footnoteReference w:id="156"/>
      </w:r>
      <w:r>
        <w:rPr>
          <w:rFonts w:ascii="Amiri" w:hAnsi="Amiri" w:eastAsia="Amiri" w:cs="Amiri"/>
          <w:color w:val="111111"/>
          <w:sz w:val="28"/>
          <w:sz w:val="28"/>
          <w:szCs w:val="28"/>
          <w:rtl w:val="true"/>
          <w:lang w:bidi="ar-SA"/>
        </w:rPr>
        <w:t>، ولأنّ ترتيب الغسل والوضوء عليه يشعر بأكبريّته، ولا معنى لكونه حدث أكبر إلّا ترتّب أمر زائد على ما يوجبه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النفاس كغسل الحيض؛ لأنّه حيض في المعنى، كما سيجيء إن شاء الله تعالى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غسل الاستحاضة، فيجب في الأوّلين إجماعاً محصّلاً ومنقولاً</w:t>
      </w:r>
      <w:r>
        <w:rPr>
          <w:rStyle w:val="FootnoteAnchor"/>
          <w:rtl w:val="true"/>
        </w:rPr>
        <w:footnoteReference w:id="158"/>
      </w:r>
      <w:r>
        <w:rPr>
          <w:rFonts w:ascii="IRNazanin" w:hAnsi="IRNazanin" w:eastAsia="IRNazanin"/>
          <w:color w:val="111111"/>
          <w:sz w:val="28"/>
          <w:sz w:val="28"/>
          <w:szCs w:val="28"/>
          <w:rtl w:val="true"/>
          <w:lang w:bidi="fa-IR"/>
        </w:rPr>
        <w:t>، وللأخبار</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فيما بعدهما أيضاً، للإجماع المنقول</w:t>
      </w:r>
      <w:r>
        <w:rPr>
          <w:rStyle w:val="FootnoteAnchor"/>
          <w:rtl w:val="true"/>
        </w:rPr>
        <w:footnoteReference w:id="160"/>
      </w:r>
      <w:r>
        <w:rPr>
          <w:rFonts w:ascii="Amiri" w:hAnsi="Amiri" w:eastAsia="Amiri" w:cs="Amiri"/>
          <w:color w:val="111111"/>
          <w:sz w:val="28"/>
          <w:sz w:val="28"/>
          <w:szCs w:val="28"/>
          <w:rtl w:val="true"/>
          <w:lang w:bidi="ar-SA"/>
        </w:rPr>
        <w:t>على مساواتها للحائض قبل الغسل، وأنّها بعد الغسل يكون حكمها 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w:t>
      </w:r>
      <w:r>
        <w:rPr>
          <w:rStyle w:val="FootnoteAnchor"/>
          <w:rtl w:val="true"/>
        </w:rPr>
        <w:footnoteReference w:id="161"/>
      </w:r>
      <w:r>
        <w:rPr>
          <w:rFonts w:ascii="Amiri" w:hAnsi="Amiri" w:eastAsia="Amiri" w:cs="Amiri"/>
          <w:color w:val="111111"/>
          <w:sz w:val="28"/>
          <w:sz w:val="28"/>
          <w:szCs w:val="28"/>
          <w:rtl w:val="true"/>
          <w:lang w:bidi="ar-SA"/>
        </w:rPr>
        <w:t>إلى عدم وجوبه للمسّ؛ لعدم ثبوت تحريم المسّ عليها قبل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w:t>
      </w:r>
      <w:r>
        <w:rPr>
          <w:rStyle w:val="FootnoteAnchor"/>
          <w:rtl w:val="true"/>
        </w:rPr>
        <w:footnoteReference w:id="162"/>
      </w:r>
      <w:r>
        <w:rPr>
          <w:rFonts w:ascii="Amiri" w:hAnsi="Amiri" w:eastAsia="Amiri" w:cs="Amiri"/>
          <w:color w:val="111111"/>
          <w:sz w:val="28"/>
          <w:sz w:val="28"/>
          <w:szCs w:val="28"/>
          <w:rtl w:val="true"/>
          <w:lang w:bidi="ar-SA"/>
        </w:rPr>
        <w:t>إلى عدم تحريم المساجد عليها؛ لعدم ثبوت ذلك قبلها، وكذا قراءة العزائم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ذكرناه، وهو الأحوط</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لمسّ الميّت بعد بَرْده لجميع الغايات المتقدّمة على الأظهر؛ بناءٌ على أنّ المسّ حدث أكبر؛ لإشعار ترتّب الغسل والوضوء عليه، وترتّبهما مشعر بأكبريّة حدثه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خلافاً لمن لم يوجب الغسل فيه أصلاً</w:t>
      </w:r>
      <w:r>
        <w:rPr>
          <w:rStyle w:val="FootnoteAnchor"/>
          <w:rtl w:val="true"/>
        </w:rPr>
        <w:footnoteReference w:id="163"/>
      </w:r>
      <w:r>
        <w:rPr>
          <w:rFonts w:ascii="Amiri" w:hAnsi="Amiri" w:eastAsia="Amiri" w:cs="Amiri"/>
          <w:color w:val="111111"/>
          <w:sz w:val="28"/>
          <w:sz w:val="28"/>
          <w:szCs w:val="28"/>
          <w:rtl w:val="true"/>
          <w:lang w:bidi="ar-SA"/>
        </w:rPr>
        <w:t>لأنّه مخالف للأخبار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لمن أوجبه تعبّداً </w:t>
      </w:r>
      <w:r>
        <w:rPr>
          <w:rStyle w:val="FootnoteAnchor"/>
          <w:rtl w:val="true"/>
        </w:rPr>
        <w:footnoteReference w:id="164"/>
      </w:r>
      <w:r>
        <w:rPr>
          <w:rFonts w:ascii="Amiri" w:hAnsi="Amiri" w:eastAsia="Amiri" w:cs="Amiri"/>
          <w:color w:val="111111"/>
          <w:sz w:val="28"/>
          <w:sz w:val="28"/>
          <w:szCs w:val="28"/>
          <w:rtl w:val="true"/>
          <w:lang w:bidi="ar-SA"/>
        </w:rPr>
        <w:t>لأنّه مخالف لما جاء في بعض الأخبار</w:t>
      </w:r>
      <w:r>
        <w:rPr>
          <w:rStyle w:val="FootnoteAnchor"/>
          <w:rtl w:val="true"/>
        </w:rPr>
        <w:footnoteReference w:id="165"/>
      </w:r>
      <w:r>
        <w:rPr>
          <w:rFonts w:ascii="Amiri" w:hAnsi="Amiri" w:eastAsia="Amiri" w:cs="Amiri"/>
          <w:color w:val="111111"/>
          <w:sz w:val="28"/>
          <w:sz w:val="28"/>
          <w:szCs w:val="28"/>
          <w:rtl w:val="true"/>
          <w:lang w:bidi="ar-SA"/>
        </w:rPr>
        <w:t>من إطلاق لفظ الطُّهْر عليه، ومن إيجاب الوضوء الذي لا يكون إلّا رافعاً في غير ما قام الدليل عليه، المؤيّدة بفتوى مشهور الأخيار</w:t>
      </w:r>
      <w:r>
        <w:rPr>
          <w:rStyle w:val="FootnoteAnchor"/>
          <w:rtl w:val="true"/>
        </w:rPr>
        <w:footnoteReference w:id="166"/>
      </w:r>
      <w:r>
        <w:rPr>
          <w:rFonts w:ascii="Amiri" w:hAnsi="Amiri" w:eastAsia="Amiri" w:cs="Amiri"/>
          <w:color w:val="111111"/>
          <w:sz w:val="28"/>
          <w:sz w:val="28"/>
          <w:szCs w:val="28"/>
          <w:rtl w:val="true"/>
          <w:lang w:bidi="ar-SA"/>
        </w:rPr>
        <w:t>، بل كاد أن يكون إجماعاً، وفي الفقه الرضوي</w:t>
      </w:r>
      <w:r>
        <w:rPr>
          <w:rStyle w:val="FootnoteAnchor"/>
          <w:rtl w:val="true"/>
        </w:rPr>
        <w:footnoteReference w:id="167"/>
      </w:r>
      <w:r>
        <w:rPr>
          <w:rFonts w:ascii="Amiri" w:hAnsi="Amiri" w:eastAsia="Amiri" w:cs="Amiri"/>
          <w:color w:val="111111"/>
          <w:sz w:val="28"/>
          <w:sz w:val="28"/>
          <w:szCs w:val="28"/>
          <w:rtl w:val="true"/>
          <w:lang w:bidi="ar-SA"/>
        </w:rPr>
        <w:t>ما يؤذن بذلك، والسيرة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لمن جعل المسّ حدثاً أصغر</w:t>
      </w:r>
      <w:r>
        <w:rPr>
          <w:rStyle w:val="FootnoteAnchor"/>
          <w:rtl w:val="true"/>
        </w:rPr>
        <w:footnoteReference w:id="168"/>
      </w:r>
      <w:r>
        <w:rPr>
          <w:rFonts w:ascii="Amiri" w:hAnsi="Amiri" w:eastAsia="Amiri" w:cs="Amiri"/>
          <w:color w:val="111111"/>
          <w:sz w:val="28"/>
          <w:sz w:val="28"/>
          <w:szCs w:val="28"/>
          <w:rtl w:val="true"/>
          <w:lang w:bidi="ar-SA"/>
        </w:rPr>
        <w:t>اقتصاراً على مورد اليقين من ناقضيّته، وعلى المتيقّن من الروايات؛ لأنّه منافٍ لما تشعر به الأخبار من ترتّب الغسل والوضوء 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الوضوء رافع لحدثيّته والغسل تعبّديّ ليس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ترتيب الطهارة الكبرى أنّه حدث أكبر يمنع غير ما يمنعه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فالخروج عن الأصل مشكل بمثل ما ذكرناه، 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غسل المسّ للصوم؛ للأصل، وظاهر الأصحاب، والسيرة القاضية بتغسيل الأموات نهاراً في أشهر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غيره للصوم الواجب، بل والمندوب؛ لأنّ الأصل الاشتراك في الحكم بين الواجب والمندوب إلا ما أخرجه الدليل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وجوب غسل الجنابة للصوم الواجب الإجماعُ المنقول</w:t>
      </w:r>
      <w:r>
        <w:rPr>
          <w:rStyle w:val="FootnoteAnchor"/>
          <w:rtl w:val="true"/>
        </w:rPr>
        <w:footnoteReference w:id="169"/>
      </w:r>
      <w:r>
        <w:rPr>
          <w:rFonts w:ascii="Amiri" w:hAnsi="Amiri" w:eastAsia="Amiri" w:cs="Amiri"/>
          <w:color w:val="111111"/>
          <w:sz w:val="28"/>
          <w:sz w:val="28"/>
          <w:szCs w:val="28"/>
          <w:rtl w:val="true"/>
          <w:lang w:bidi="ar-SA"/>
        </w:rPr>
        <w:t xml:space="preserve">بل المحصّل، والاحتياط، والسيرة القطعيّة، وأخبارُ القضاء والقضاء مع الكفّارة على مَنْ نام جنباً </w:t>
      </w:r>
      <w:r>
        <w:rPr>
          <w:rStyle w:val="FootnoteAnchor"/>
          <w:rtl w:val="true"/>
        </w:rPr>
        <w:footnoteReference w:id="170"/>
      </w:r>
      <w:r>
        <w:rPr>
          <w:rFonts w:ascii="Amiri" w:hAnsi="Amiri" w:eastAsia="Amiri" w:cs="Amiri"/>
          <w:color w:val="111111"/>
          <w:sz w:val="28"/>
          <w:sz w:val="28"/>
          <w:szCs w:val="28"/>
          <w:rtl w:val="true"/>
          <w:lang w:bidi="ar-SA"/>
        </w:rPr>
        <w:t>، فبدون النوم يثبت البطلان بالطريق الأولى، وخبر أبي بصير الموجب للكفّارة على مَنْ أصبح جنباً في شهر رمضان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عن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اشتراطه للصوم</w:t>
      </w:r>
      <w:r>
        <w:rPr>
          <w:rStyle w:val="FootnoteAnchor"/>
          <w:rtl w:val="true"/>
        </w:rPr>
        <w:footnoteReference w:id="172"/>
      </w:r>
      <w:r>
        <w:rPr>
          <w:rFonts w:ascii="Amiri" w:hAnsi="Amiri" w:eastAsia="Amiri" w:cs="Amiri"/>
          <w:color w:val="111111"/>
          <w:sz w:val="28"/>
          <w:sz w:val="28"/>
          <w:szCs w:val="28"/>
          <w:rtl w:val="true"/>
          <w:lang w:bidi="ar-SA"/>
        </w:rPr>
        <w:t>استناداً لرواياتٍ</w:t>
      </w:r>
      <w:r>
        <w:rPr>
          <w:rStyle w:val="FootnoteAnchor"/>
          <w:rtl w:val="true"/>
        </w:rPr>
        <w:footnoteReference w:id="173"/>
      </w:r>
      <w:r>
        <w:rPr>
          <w:rFonts w:ascii="IRNazanin" w:hAnsi="IRNazanin" w:eastAsia="IRNazanin"/>
          <w:color w:val="111111"/>
          <w:sz w:val="28"/>
          <w:sz w:val="28"/>
          <w:szCs w:val="28"/>
          <w:rtl w:val="true"/>
          <w:lang w:bidi="fa-IR"/>
        </w:rPr>
        <w:t>نافيةٍ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حكاية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الإصباح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جدّاً، وأخباره محمولة على التقيّة؛ لمنافاتها لمنصب النبوّة، وشذوذها بين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بصوم شهر رمضان قضاؤه وإن اختصّت الرواية به؛ لأصالة المشاركة بين الصومين، ولعدم القائل بالفرق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نفى شرطيّته جماعةٌ</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249:10</w:t>
      </w:r>
    </w:p>
    <w:p>
      <w:pPr>
        <w:pStyle w:val="BookText"/>
        <w:rPr/>
      </w:pPr>
      <w:r>
        <w:rPr>
          <w:rFonts w:ascii="Amiri" w:hAnsi="Amiri" w:eastAsia="Amiri" w:cs="Amiri"/>
          <w:color w:val="111111"/>
          <w:sz w:val="28"/>
          <w:sz w:val="28"/>
          <w:szCs w:val="28"/>
          <w:rtl w:val="true"/>
          <w:lang w:bidi="ar-SA"/>
        </w:rPr>
        <w:t>في الصوم المندوب، وهو لا يخلو من قوّةٍ، إلّا أنّ الاحتياط وأصالة المشاركة تقضي بالشرطيّة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وجوب غسل الحيض للصوم أيضاً الإجماعات المنقولة</w:t>
      </w:r>
      <w:r>
        <w:rPr>
          <w:rStyle w:val="FootnoteAnchor"/>
          <w:rtl w:val="true"/>
        </w:rPr>
        <w:footnoteReference w:id="175"/>
      </w:r>
      <w:r>
        <w:rPr>
          <w:rFonts w:ascii="Amiri" w:hAnsi="Amiri" w:eastAsia="Amiri" w:cs="Amiri"/>
          <w:color w:val="111111"/>
          <w:sz w:val="28"/>
          <w:sz w:val="28"/>
          <w:szCs w:val="28"/>
          <w:rtl w:val="true"/>
          <w:lang w:bidi="ar-SA"/>
        </w:rPr>
        <w:t>، والاحتياط، وكون حدثه أعظم من حدث الجنابة، ورواية أبي بصير الموجبة للقضاء على مَنْ نقت بليلها ولم تغتسل حتى أصبحت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والنفاس حكمه حكم الحيض؛ لأنّه حيض في المعنى، كما تدلّ عليه الأخبار</w:t>
      </w:r>
      <w:r>
        <w:rPr>
          <w:rStyle w:val="FootnoteAnchor"/>
          <w:rtl w:val="true"/>
        </w:rPr>
        <w:footnoteReference w:id="177"/>
      </w:r>
      <w:r>
        <w:rPr>
          <w:rFonts w:ascii="Amiri" w:hAnsi="Amiri" w:eastAsia="Amiri" w:cs="Amiri"/>
          <w:color w:val="111111"/>
          <w:sz w:val="28"/>
          <w:sz w:val="28"/>
          <w:szCs w:val="28"/>
          <w:rtl w:val="true"/>
          <w:lang w:bidi="ar-SA"/>
        </w:rPr>
        <w:t>،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الغسل في الصوم قبل دخول وقته قضى به الإجماع وظاهر الأمر بالمضيّق؛ فإنّ الأمر بالمضيّق إذا علم أنّ له مقدّمةً قبله يقضي بوجوبها وإن لم يتحقّق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بالمضيّق يفرض تقدّمه هاهنا على قدر زمن فعل المقدّمة وإن تأخّر زمن فعل المأمور به؛ جمعاً بين ما دلّ على عدم تقدّم الخطاب بالمقدمة على الخطاب بذيها، وبين ما دلّ على أنّ أوّل زمان الصوم هو الفجر، لكنّه على الوجه الأوّل لا يشترط في وجوبها بقاء قدر أدائها من آخر الوقت، بل تجب وجوباً موسّعاً من أوّل الليل، ولولا الإجماع لقلنا بوجوبها قبله بكثير ما لم تخرج عن كونها مقدّمةً عرفاً؛ فإنّ تقدّم المقدّمة على ذيها في الزمان الكثير ممّا يخرج بها عن سمة الربط والمقدّميّة على الأظهر، بخلاف الثاني فإنّها تجب إلّا أن </w:t>
      </w:r>
    </w:p>
    <w:p>
      <w:pPr>
        <w:pStyle w:val="BookText"/>
        <w:rPr/>
      </w:pPr>
      <w:r>
        <w:rPr>
          <w:rFonts w:ascii="Amiri" w:hAnsi="Amiri" w:eastAsia="Amiri" w:cs="Amiri"/>
          <w:color w:val="111111"/>
          <w:sz w:val="28"/>
          <w:sz w:val="28"/>
          <w:szCs w:val="28"/>
          <w:rtl w:val="true"/>
          <w:lang w:bidi="ar-SA"/>
        </w:rPr>
        <w:t>يبقى زمان بقدر أدائها؛ اقتصاراً على مورد اليقين من تقدّم الأمر على المأمور به؛ لخروجه عن ظاهر الخطاب واحتياجه إلى التكلّف؛ لأنّ ظاهر الخطاب مقارنة الأمر للمأمور به عند دخول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تكلّف الوجوب النفسي لهذا الغسل كما صنعه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فراراً من لزوم وجوب المقدّمة قبل وجوب ذيها، أو تكلّف تنزيل الواجب على التوطين على الغسل كما صنعه البهائي</w:t>
      </w:r>
      <w:r>
        <w:rPr>
          <w:rStyle w:val="FootnoteAnchor"/>
          <w:rtl w:val="true"/>
        </w:rPr>
        <w:footnoteReference w:id="179"/>
      </w:r>
      <w:r>
        <w:rPr>
          <w:rFonts w:ascii="Amiri" w:hAnsi="Amiri" w:eastAsia="Amiri" w:cs="Amiri"/>
          <w:color w:val="111111"/>
          <w:sz w:val="28"/>
          <w:sz w:val="28"/>
          <w:szCs w:val="28"/>
          <w:rtl w:val="true"/>
          <w:lang w:bidi="ar-SA"/>
        </w:rPr>
        <w:t>، فهُما ضعيفان؛ لأنّ الظاهر من إيجاب الفقهاء الغسل للصوم أنّه واجب غيريّ له لانفسي، والظاهر أنّ الواجب هو نفس الغسل لا التوطين للنفس عليه، على أنّ في وجوب التوطين منعاً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تركنا ما عليه الفقهاء من وجوب الغسل قبل وجوب الصوم جاز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مندوب وإن كان لا بدّ من جهة كونه مقدّمةً، لكنّه يتأدّى به الشرط؛ لأنّ الشرط وجوده وقد حصل، ويجزئ في المقدّمات غير المأمور به عن المأمور، كما يظهر من ابن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وجوب المشروط؛ لأنّ عدم وجوب المقدّمة لا ينافي وجوب ذيها، إنّما المنافي له المنع عنها، وتارك ذي المقدّمة لو تركه لجواز المقدّمة عوقب على تركه لا على تركها، وما بالاختيار لا ينافي الاختيار؛ ولذلك إنّ النافي لوجوب المقدّمة لا يرد عليه خروج الواجب عن كونه واجباً، كما تخيّل بعض، وجاز لنا أيضاً أن ننفي أصل وجوب المقدّمة وإن كان الغسل لا بدّ منه قضاءٌ لحقّ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في هذا الكلام كلّه إنّما تظهر على القول باشتراط نيّة الوجه، وأمّا مع القول بعدم اشتراطها فلاثمرة؛ لأنّ الغسل في الليل مندوب قطعاً، وهو مُجزٍ عن الواجب، ولا بدّ من الإتيان به على كلّ حال، فلا ثمرة حينئذٍ إلّا في نذر أو يمين، أو في عقاب وشبهه على القول بثبوت العقاب على ترك المقدّمات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غسل المستحاضة للصوم؛ للإجماع المنقول</w:t>
      </w:r>
      <w:r>
        <w:rPr>
          <w:rStyle w:val="FootnoteAnchor"/>
          <w:rtl w:val="true"/>
        </w:rPr>
        <w:footnoteReference w:id="181"/>
      </w:r>
      <w:r>
        <w:rPr>
          <w:rFonts w:ascii="Amiri" w:hAnsi="Amiri" w:eastAsia="Amiri" w:cs="Amiri"/>
          <w:color w:val="111111"/>
          <w:sz w:val="28"/>
          <w:sz w:val="28"/>
          <w:szCs w:val="28"/>
          <w:rtl w:val="true"/>
          <w:lang w:bidi="ar-SA"/>
        </w:rPr>
        <w:t>، وفتوى المشهور، ورواية عليّ بن مهزيار الآمرة بقضاء الصوم عند الإخلال بالغسل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40" w:name="pg18988_203194"/>
    </w:p>
    <w:p>
      <w:pPr>
        <w:pStyle w:val="Heading5"/>
        <w:numPr>
          <w:ilvl w:val="4"/>
          <w:numId w:val="1"/>
        </w:numPr>
        <w:rPr/>
      </w:pPr>
      <w:bookmarkStart w:id="141" w:name="__RefHeading___Toc13197447_1280447820"/>
      <w:bookmarkStart w:id="142" w:name="_Toc50"/>
      <w:bookmarkEnd w:id="140"/>
      <w:bookmarkEnd w:id="141"/>
      <w:r>
        <w:rPr>
          <w:rtl w:val="true"/>
        </w:rPr>
        <w:t>هل وجوب الغسل نفسیٌّ أو غیریٌّ؟</w:t>
      </w:r>
      <w:bookmarkEnd w:id="142"/>
    </w:p>
    <w:p>
      <w:pPr>
        <w:pStyle w:val="BookText"/>
        <w:rPr/>
      </w:pPr>
      <w:r>
        <w:rPr>
          <w:rFonts w:ascii="Amiri" w:hAnsi="Amiri" w:eastAsia="Amiri" w:cs="Amiri"/>
          <w:color w:val="111111"/>
          <w:sz w:val="28"/>
          <w:sz w:val="28"/>
          <w:szCs w:val="28"/>
          <w:rtl w:val="true"/>
          <w:lang w:bidi="ar-SA"/>
        </w:rPr>
        <w:t>وهل يتوقّف صوم كلّ يوم على أفعال نهاره خاصّة ؟ أو فجره خاصّة؟ أو ليلته اللاحقة خاصّة؟ أو السابقة خاصّة ؟ أو الليلتين معاً ؟ أو على أفعال نهاره وليلته السابقة إن لم تقدّم غسل الفجر ليلاً إذا جوّزنا الفصلَ بين الصلاة والغسل، فإن قدّمت غسل الفجر ليلاً توقّف على أغسال النهار فقط؛ لإجزاء غسل الفجر عنه ؟ وجوه، أقواها الأخير؛ لظاهر الرواية في توقّف الصوم على جميع الأغسال سوى الغسل المستقبل؛ لأنّ المستقبل إنّما وجب بعد مضيّ الصوم و انعقاده صحيحاً فلا يؤثّر فيما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إجزاء غسل الفجر بين أن يكون قبل الفجر أو بعده إذا وقع قبل صلاة الفجر، سواء تقدّم سببه على الفجر أم تأخّر؛ لأنّ الغسل لصلاة الفجر، وهو نفسه شرط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تقدّم سببه فانقطع الدم قبل الفجر كان الأحوط تقديمه على الفجر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بجواز تأخيره إلى إرادة الصلاة، فيجزئ الغسل لها عنه، مع احتمال أنّ غسل الانقطاع لو أوجبناه للصلاة لا نوجبه للصوم؛ لعدم ثبوت حدثيّة الانقطاع للصوم، وعدم ثبوت كونه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انقطع قبل الفجر جاز صومها وإن تركت الغسل للصلاة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الغسل لنفسه كما يجب لغيره، أم لا؟ المشهور في غير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بل كأنّه مجمع عليه، والأصل قاضٍ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غسل الجنابة قولان، أشهرهما وأقواهما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للأصل أيضاً، ولظاهر الآية الشريفة؛ حيث إنّ سياقها يقضي بالوجوب الغيري للصلاة للاهتمام به أكثر من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ولمكان عطف وَإِنْ كُنتُمْ جُنُباً فَاطَّهَّرُوا</w:t>
      </w:r>
      <w:r>
        <w:rPr>
          <w:rStyle w:val="FootnoteAnchor"/>
          <w:rtl w:val="true"/>
        </w:rPr>
        <w:footnoteReference w:id="183"/>
      </w:r>
      <w:r>
        <w:rPr>
          <w:rFonts w:ascii="Amiri" w:hAnsi="Amiri" w:eastAsia="Amiri" w:cs="Amiri"/>
          <w:color w:val="111111"/>
          <w:sz w:val="28"/>
          <w:sz w:val="28"/>
          <w:szCs w:val="28"/>
          <w:rtl w:val="true"/>
          <w:lang w:bidi="ar-SA"/>
        </w:rPr>
        <w:t>على جواب الشرط لقربه، أو على مقدّر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من حدث النوم وكنتم محدثين بالأصغر فاغسلوا، وإن كنتم جنباً من جهة الاحتلام فاغتسلوا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ويقرّبه تقديره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من النوم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حتّى ادّعي إجماع المفسّرين عليه، </w:t>
      </w:r>
    </w:p>
    <w:p>
      <w:pPr>
        <w:pStyle w:val="BookText"/>
        <w:rPr/>
      </w:pPr>
      <w:r>
        <w:rPr>
          <w:rFonts w:ascii="Amiri" w:hAnsi="Amiri" w:eastAsia="Amiri" w:cs="Amiri"/>
          <w:color w:val="111111"/>
          <w:sz w:val="28"/>
          <w:sz w:val="28"/>
          <w:szCs w:val="28"/>
          <w:rtl w:val="true"/>
          <w:lang w:bidi="ar-SA"/>
        </w:rPr>
        <w:t>وكونه أقرب للسياق، وعدم التكرير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 أَوْ لَا مَسْتُمُ النِّسَاءَ</w:t>
      </w:r>
      <w:r>
        <w:rPr>
          <w:rStyle w:val="FootnoteAnchor"/>
          <w:rtl w:val="true"/>
        </w:rPr>
        <w:footnoteReference w:id="185"/>
      </w:r>
      <w:r>
        <w:rPr>
          <w:rFonts w:ascii="Amiri" w:hAnsi="Amiri" w:eastAsia="Amiri" w:cs="Amiri"/>
          <w:color w:val="111111"/>
          <w:sz w:val="28"/>
          <w:sz w:val="28"/>
          <w:szCs w:val="28"/>
          <w:rtl w:val="true"/>
          <w:lang w:bidi="ar-SA"/>
        </w:rPr>
        <w:t>حيث إنّه يراد بهما ما قابل حدث النوم، ويكون وجوب الوضوء والغسل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ولذكر التيمّم مرتّباً عليهما عند فقد الماء وهو واجب لغيره، فيشعر السياق بوجوبهما لغيرهما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تغتسل عن الجنابة فجاءها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فإنّ إشعاره بالوجوب الغيري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بيان توسعة الغسل عند مجيء الحيض أو بيان إفساد الحيض للغسل، بعيدٌ عن ظاهر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جاءت أخبار</w:t>
      </w:r>
      <w:r>
        <w:rPr>
          <w:rStyle w:val="FootnoteAnchor"/>
          <w:rtl w:val="true"/>
        </w:rPr>
        <w:footnoteReference w:id="188"/>
      </w:r>
      <w:r>
        <w:rPr>
          <w:rFonts w:ascii="Amiri" w:hAnsi="Amiri" w:eastAsia="Amiri" w:cs="Amiri"/>
          <w:color w:val="111111"/>
          <w:sz w:val="28"/>
          <w:sz w:val="28"/>
          <w:szCs w:val="28"/>
          <w:rtl w:val="true"/>
          <w:lang w:bidi="ar-SA"/>
        </w:rPr>
        <w:t>أُخَر أيضاً دالّة على الأمر بتأخير غسل الجنابة عمّن جاءها الحيض، وهي مشعرة بالوجوب الغيري؛ إذ لو كان الغسل واجباً لنفسه لكان الراجح فعله؛ لرجحان البدار إلى الواجب الموسّع، وكان الأمر بتأخيره مستبعداً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تنزيل الأخبار على بيان بطلان غسل الجنابة بحدوث الحيض؛ لأنّه مانع من رفع الحدث فلا يصحّ معه الغسل، لا نقول به؛ لأنّا لا نمنع في الأحداث الكبريات من رفع أحدها وبقاء الأُخَر، والتداخل في الأغسال رخصة لا عزيمة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 به القائلون بالوجوب النفسي من إطلاق الأخبار الآمرة بغسل الجنابة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الختانان وجب الغسل</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دود بحملها على الوجوب الشرطي، كالأخبار الواردة في الوضوء</w:t>
      </w:r>
      <w:r>
        <w:rPr>
          <w:rStyle w:val="FootnoteAnchor"/>
          <w:rtl w:val="true"/>
        </w:rPr>
        <w:footnoteReference w:id="191"/>
      </w:r>
      <w:r>
        <w:rPr>
          <w:rFonts w:ascii="Amiri" w:hAnsi="Amiri" w:eastAsia="Amiri" w:cs="Amiri"/>
          <w:color w:val="111111"/>
          <w:sz w:val="28"/>
          <w:sz w:val="28"/>
          <w:szCs w:val="28"/>
          <w:rtl w:val="true"/>
          <w:lang w:bidi="ar-SA"/>
        </w:rPr>
        <w:t>وغَسْل الأخباث</w:t>
      </w:r>
      <w:r>
        <w:rPr>
          <w:rStyle w:val="FootnoteAnchor"/>
          <w:rtl w:val="true"/>
        </w:rPr>
        <w:footnoteReference w:id="192"/>
      </w:r>
      <w:r>
        <w:rPr>
          <w:rFonts w:ascii="Amiri" w:hAnsi="Amiri" w:eastAsia="Amiri" w:cs="Amiri"/>
          <w:color w:val="111111"/>
          <w:sz w:val="28"/>
          <w:sz w:val="28"/>
          <w:szCs w:val="28"/>
          <w:rtl w:val="true"/>
          <w:lang w:bidi="ar-SA"/>
        </w:rPr>
        <w:t xml:space="preserve">، بل الظاهر منها ذلك، ولو لم يكن </w:t>
      </w:r>
      <w:bookmarkStart w:id="143" w:name="pg18988_203196"/>
    </w:p>
    <w:p>
      <w:pPr>
        <w:pStyle w:val="BookText"/>
        <w:rPr/>
      </w:pPr>
      <w:bookmarkEnd w:id="143"/>
      <w:r>
        <w:rPr>
          <w:rFonts w:ascii="Amiri" w:hAnsi="Amiri" w:eastAsia="Amiri" w:cs="Amiri"/>
          <w:color w:val="111111"/>
          <w:sz w:val="28"/>
          <w:sz w:val="28"/>
          <w:szCs w:val="28"/>
          <w:rtl w:val="true"/>
          <w:lang w:bidi="ar-SA"/>
        </w:rPr>
        <w:t>إلّا فهم الأصحاب منها ذلك وإعراضُهم عن الأخذ بظاهرها، لكفى في توهينها، وعدم جواز الأخذ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اشتهار الوجوب النفسي وعدم عدّه من الواجبات والمحافظة عليه في الوصاية والنيابة عن الأموات دليل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استدلّوا به من الأمر في بعض الأخبار بالغسل بعد الجنابة </w:t>
      </w:r>
      <w:r>
        <w:rPr>
          <w:rStyle w:val="FootnoteAnchor"/>
          <w:rtl w:val="true"/>
        </w:rPr>
        <w:footnoteReference w:id="193"/>
      </w:r>
      <w:r>
        <w:rPr>
          <w:rFonts w:ascii="Amiri" w:hAnsi="Amiri" w:eastAsia="Amiri" w:cs="Amiri"/>
          <w:color w:val="111111"/>
          <w:sz w:val="28"/>
          <w:sz w:val="28"/>
          <w:szCs w:val="28"/>
          <w:rtl w:val="true"/>
          <w:lang w:bidi="ar-SA"/>
        </w:rPr>
        <w:t>وإن لم يكن وقت مشروط به ،وبالغسل قبل النوم كذلك، ومن الحثّ عليه خوف فواته بالموت</w:t>
      </w:r>
      <w:r>
        <w:rPr>
          <w:rStyle w:val="FootnoteAnchor"/>
          <w:rtl w:val="true"/>
        </w:rPr>
        <w:footnoteReference w:id="194"/>
      </w:r>
      <w:r>
        <w:rPr>
          <w:rFonts w:ascii="Amiri" w:hAnsi="Amiri" w:eastAsia="Amiri" w:cs="Amiri"/>
          <w:color w:val="111111"/>
          <w:sz w:val="28"/>
          <w:sz w:val="28"/>
          <w:szCs w:val="28"/>
          <w:rtl w:val="true"/>
          <w:lang w:bidi="ar-SA"/>
        </w:rPr>
        <w:t>، محمولٌ على الاستحباب لا الفرض والإيجاب؛ لأنّ الغسل للجنابة مستحبّ لنفسه، والكون على الطهارة منه مندوب كذلك، بل الظاهر أنّه مندوب لجملةٍ من غايات الوضوء المطلوب منها الطهارة، فتُحمل على ذلك الأخبارُ عن الهداة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3197449_1280447820"/>
      <w:bookmarkStart w:id="145" w:name="_Toc51"/>
      <w:bookmarkEnd w:id="144"/>
      <w:r>
        <w:rPr>
          <w:rtl w:val="true"/>
        </w:rPr>
        <w:t>بحث فیما یجب أو یندب له التیمّم</w:t>
      </w:r>
      <w:bookmarkEnd w:id="145"/>
    </w:p>
    <w:p>
      <w:pPr>
        <w:pStyle w:val="BookText"/>
        <w:rPr/>
      </w:pPr>
      <w:r>
        <w:rPr>
          <w:rFonts w:ascii="Amiri" w:hAnsi="Amiri" w:eastAsia="Amiri" w:cs="Amiri"/>
          <w:color w:val="111111"/>
          <w:sz w:val="28"/>
          <w:sz w:val="28"/>
          <w:szCs w:val="28"/>
          <w:rtl w:val="true"/>
          <w:lang w:bidi="ar-SA"/>
        </w:rPr>
        <w:t>ويجب التيمّم بدل المائيّة من وضوء وغسل عند عدم وجدان الماء، أو عدم إمكان استعماله للصلاة الواجبة عند ضيق وقتها في الأوّل مطلقاً، وفي الثاني إذا كان راجياً زوال العذر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للطواف الواجب على الأظهر، خلافاً لمن نفى بدليّته عن الغسل للطواف</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ولكلّ مشروط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أو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مضيّقاً ولم يكن هنالك ماء أو لم يمكن استعماله لعارض أو مرض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يندب لكلّ ما تندب له الطهارة المائيّة من غاية أو سبب، فيندب لغايات الوضوء عند عدم التمكّن من الماء إذا ندب لها ،حتّى الكون على الطهارة، والتجديد، والنوم، وجماع الحامل، والنوم للجنب، وجماع المجنب، و ذِكْر الحائض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لأسباب الوضوء المندوبة من خروج الودي والرعاف والضحك في الصلاة وما شابهها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ويندب لغايات الأغسال الرافعة والمبيحة، وغيرهما من أغسال الأوقات والأمكنة والأسباب المندوب لها الأغسال من الأفعال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لعموم المنزلة المفهوم من الأخبار،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طهور المسلم ولو إلى عشر حجج</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جعلهما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والصعيد</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استباحة وطء الحائض به</w:t>
      </w:r>
      <w:r>
        <w:rPr>
          <w:rStyle w:val="FootnoteAnchor"/>
          <w:rtl w:val="true"/>
        </w:rPr>
        <w:footnoteReference w:id="202"/>
      </w:r>
      <w:r>
        <w:rPr>
          <w:rFonts w:ascii="Amiri" w:hAnsi="Amiri" w:eastAsia="Amiri" w:cs="Amiri"/>
          <w:color w:val="111111"/>
          <w:sz w:val="28"/>
          <w:sz w:val="28"/>
          <w:szCs w:val="28"/>
          <w:rtl w:val="true"/>
          <w:lang w:bidi="ar-SA"/>
        </w:rPr>
        <w:t>، فغيره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لصلاة الجنازة ولو وجد الماء ولم يخف فوتها ؛ للأخبار المطلقة</w:t>
      </w:r>
      <w:r>
        <w:rPr>
          <w:rStyle w:val="FootnoteAnchor"/>
          <w:rtl w:val="true"/>
        </w:rPr>
        <w:footnoteReference w:id="203"/>
      </w:r>
      <w:r>
        <w:rPr>
          <w:rFonts w:ascii="IRNazanin" w:hAnsi="IRNazanin" w:eastAsia="IRNazanin"/>
          <w:color w:val="111111"/>
          <w:sz w:val="28"/>
          <w:sz w:val="28"/>
          <w:szCs w:val="28"/>
          <w:rtl w:val="true"/>
          <w:lang w:bidi="fa-IR"/>
        </w:rPr>
        <w:t>، وظاهر الإجماع المنقول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واشتراط 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للنوم وإن تمكّن من الماء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 جمع من أصحابنا</w:t>
      </w:r>
      <w:r>
        <w:rPr>
          <w:rStyle w:val="FootnoteAnchor"/>
          <w:rtl w:val="true"/>
        </w:rPr>
        <w:footnoteReference w:id="206"/>
      </w:r>
      <w:r>
        <w:rPr>
          <w:rFonts w:ascii="Amiri" w:hAnsi="Amiri" w:eastAsia="Amiri" w:cs="Amiri"/>
          <w:color w:val="111111"/>
          <w:sz w:val="28"/>
          <w:sz w:val="28"/>
          <w:szCs w:val="28"/>
          <w:rtl w:val="true"/>
          <w:lang w:bidi="ar-SA"/>
        </w:rPr>
        <w:t>وجوبَه للصوم بدلاً عن جميع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جمعٌ آخرَ </w:t>
      </w:r>
      <w:r>
        <w:rPr>
          <w:rStyle w:val="FootnoteAnchor"/>
          <w:rtl w:val="true"/>
        </w:rPr>
        <w:footnoteReference w:id="207"/>
      </w:r>
      <w:r>
        <w:rPr>
          <w:rFonts w:ascii="Amiri" w:hAnsi="Amiri" w:eastAsia="Amiri" w:cs="Amiri"/>
          <w:color w:val="111111"/>
          <w:sz w:val="28"/>
          <w:sz w:val="28"/>
          <w:szCs w:val="28"/>
          <w:rtl w:val="true"/>
          <w:lang w:bidi="ar-SA"/>
        </w:rPr>
        <w:t>من مشروعيّته لغير ما يشترط فيه الطهارة المائيّة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مشروعيّته بالبدلية عن الوضوء والغسل للصلاة والطواف، دون ما هي شرط فيه من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التجديد فيه والكون 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بدليّته عن الأغسال المندوبة أصالةً الغير المبيحة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بدليّته عن الوضوء المندوب لبعض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استباحة وطء الحائض به، إلى غير ذلك من كلامهم نصّاً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ذكرناه، والأحوط الاقتصار في بدليّته على الوضوءات والأغسال المبيحة لما هي شرط فيه من صلاة وطواف وصوم ومسّ كتابة لو وجبت بنذر أو شبهه، وكذا قراءة عزائم أو دخول مساجد لو 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التيمّم للخروج من المسجدين أم لا؟ الأظهر والأشهر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خلافاً لابن حمزة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نام فاحتلم أو أصابته جنابة فليتيمّم، ولا يمرّ في المسجد إلّا متيمّماً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ولأنّ الاجتياز للجنب محرّمٌ فيجب التيمّم لتحليله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ما يتيمّم به موجوداً، وإلّا وجب الخروج عليه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الماء ونقص الغسل عن زمن الخروج، وجب الغسل، وإن زاد وجب الخروج، وإن تساويا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التيمّم مبيح لجميع الغايات لو تبيّن فقدان الماء؛ لأنّه بعد حصوله مبيح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في إيجاب التيمّم بين أن تكون الجنابة باحتلام أو غيره، وبين أن تكون اختياراً أو اضطراراً، و بين أن تكون داخل المسجد أو خارج المسجد فدخل ساهياً أو مضطرّاً أو متعمّداً، وبين أن يقصر التيمّم عن زمن الخروج أو يزيد عليه أو يساويه؛ لتنقيح المناط وإلغاء الفارق؛ لعدم تعقّل خصوصيّة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ويلحق به حدث الحيض؛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الحائض إذا أصابها الحيض تفعل كذلك</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وهي وإن ضعف سندها إلّا أنّها مناسبة للمذهب، وموافقة للاعتبار من جهة التعظيم والاحترام، ولتحريم المرور عليها بغير التيمّم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في مَنْ نقت من حيضها ولم تغتسل، وأمّا ما لم تنقَ منه فالأحوط عليها التيمّم؛ لإطلاق المرفوعة، ولقربها من الطهارة وإن لم يكن تيمّمها طهارةً؛ لاستمرار الحيض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والنفاس حكمه حكم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الاستحاضة فالأظهر أنّها مع سيلان الدم حكمها حكم الجنب، وأمّا مع الانقطاع فالأحوط التيمّم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النصّ يعطي وجوب التيمّم للخروج مطلقاً، سواء زاد زمن التيمّم أو هو ومقدّماته على زمن الخروج، أو ساواه، أو نقص عنه، ولا بأس به؛ أخذاً بظاهر النصّ وترك التفصيل في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مورد النصّ من الاحتلام أو الجنابة مطلقاً، وأمّا في غير مورد النصّ فمشكل؛ لتعارض حرمة المرور جنباً مع حرمة زيادة المكث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بترجيح زيادة اللبث للمرور متيمّماً على الخروج بسرعةٍ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يقضي ظاهر النصّ بوجوب التيمّم على مَنْ تمكّن من الماء وعلى مَنْ لم يتمكّن؛ إمّا لعدم وجوده، أو لتأدية استعماله إلى تلويث المسجد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في الأوّل مشكل جدّاً؛ لأنّ التيمّم طهارة اضطراريّة، ويقتصر فيها على مورد اليقين، والفرد المتيقّن من الرواية والمنصرف إليه الإطلاق هو ما إذا لم يوجد الماء، أو لم يتمكّن من استعماله من جهة خوف التلويث وشبهه خصوصاً للمحتلم وشبهه، فيبقى مَنْ تمكّن من استعمال الماء جارياً على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المدارك من عدم تسليم اشتراط صحّة التيمّم بعدم وجود الماء في غير تيمّم الصلاة؛ لعدم دليل على ذلك</w:t>
      </w:r>
      <w:r>
        <w:rPr>
          <w:rStyle w:val="FootnoteAnchor"/>
          <w:rtl w:val="true"/>
        </w:rPr>
        <w:footnoteReference w:id="211"/>
      </w:r>
      <w:r>
        <w:rPr>
          <w:rFonts w:ascii="Amiri" w:hAnsi="Amiri" w:eastAsia="Amiri" w:cs="Amiri"/>
          <w:color w:val="111111"/>
          <w:sz w:val="28"/>
          <w:sz w:val="28"/>
          <w:szCs w:val="28"/>
          <w:rtl w:val="true"/>
          <w:lang w:bidi="ar-SA"/>
        </w:rPr>
        <w:t>، لا يُلتفت إليه من جهة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 الاحتياط يقضى بالتيمّم مطلقاً أيضاً لا عبرة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فمَنْ تمكّن من الغسل بزمنٍ ينقص زمن غسله أو غسله ومقدّماته عن زمن التيمّم أو التيمّم ومقدّماته، أو يساوي زمنه زمن التيمّم على نحو ما ذكرنا، وجب عليه تقديم الغسل على التيمّم رجوعاً للقواعد المائيّة؛ بل لو زاد زمن الغسل على زمن التيمّم بحيث إنّه ساوى زمن التيمّم والخروج، أو نقص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ساوى زمن الخروج أو زاد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الأقوى حينئذٍ وجوب الغسل، وإن ذكر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قائل به</w:t>
      </w:r>
      <w:r>
        <w:rPr>
          <w:rStyle w:val="FootnoteAnchor"/>
          <w:rtl w:val="true"/>
        </w:rPr>
        <w:footnoteReference w:id="212"/>
      </w:r>
      <w:r>
        <w:rPr>
          <w:rFonts w:ascii="Amiri" w:hAnsi="Amiri" w:eastAsia="Amiri" w:cs="Amiri"/>
          <w:color w:val="111111"/>
          <w:sz w:val="28"/>
          <w:sz w:val="28"/>
          <w:szCs w:val="28"/>
          <w:rtl w:val="true"/>
          <w:lang w:bidi="ar-SA"/>
        </w:rPr>
        <w:t>؛ لأنّ عدم القول به لا يقضي بالعدم</w:t>
      </w:r>
      <w:r>
        <w:rPr>
          <w:rFonts w:eastAsia="Amiri" w:cs="Amiri" w:ascii="Amiri" w:hAnsi="Amiri"/>
          <w:color w:val="111111"/>
          <w:sz w:val="28"/>
          <w:szCs w:val="28"/>
          <w:rtl w:val="true"/>
          <w:lang w:bidi="ar-SA"/>
        </w:rPr>
        <w:t xml:space="preserve">. </w:t>
      </w:r>
      <w:bookmarkStart w:id="146" w:name="pg18988_203200"/>
    </w:p>
    <w:p>
      <w:pPr>
        <w:pStyle w:val="BookText"/>
        <w:rPr/>
      </w:pPr>
      <w:bookmarkEnd w:id="146"/>
      <w:r>
        <w:rPr>
          <w:rFonts w:ascii="Amiri" w:hAnsi="Amiri" w:eastAsia="Amiri" w:cs="Amiri"/>
          <w:color w:val="111111"/>
          <w:sz w:val="28"/>
          <w:sz w:val="28"/>
          <w:szCs w:val="28"/>
          <w:rtl w:val="true"/>
          <w:lang w:bidi="ar-SA"/>
        </w:rPr>
        <w:t>نعم، لو زاد زمن الغسل على زمن التيمّم والخروج معاً قوي القول بوجوب التيمّم، فراراً من زيادة الكون جنباً في المسجد، والحال أنّ الخروج مأمور به، فيقدّم الخروج مع التيمّم على الغسل، كما أنّه يقوى القول بوجوب التيمّم للغسل إذا ساوى زمنه زمن الخروج، فيكون التيمّم مبيحاً للمكث زمن الغسل، كما أنّه يبيح الخروج والمرور</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3197451_1280447820"/>
      <w:bookmarkStart w:id="148" w:name="_Toc52"/>
      <w:bookmarkEnd w:id="147"/>
      <w:r>
        <w:rPr>
          <w:rtl w:val="true"/>
        </w:rPr>
        <w:t>بحث فیما لو نذر الطهارۀ</w:t>
      </w:r>
      <w:r>
        <w:rPr>
          <w:rtl w:val="true"/>
        </w:rPr>
        <w:t>:</w:t>
      </w:r>
      <w:bookmarkEnd w:id="148"/>
    </w:p>
    <w:p>
      <w:pPr>
        <w:pStyle w:val="BookText"/>
        <w:rPr/>
      </w:pPr>
      <w:r>
        <w:rPr>
          <w:rFonts w:ascii="Amiri" w:hAnsi="Amiri" w:eastAsia="Amiri" w:cs="Amiri"/>
          <w:color w:val="111111"/>
          <w:sz w:val="28"/>
          <w:sz w:val="28"/>
          <w:szCs w:val="28"/>
          <w:rtl w:val="true"/>
          <w:lang w:bidi="ar-SA"/>
        </w:rPr>
        <w:t>لو نذر الطهارة كفاه الإتيان بالمائيّة، وكذا الترابيّة على الأظهر؛ بناءٌ على شمول لفظ الطهارة لها شرعاً وعرفاً، ولكنّه لا يخلو من نوع توقّفٍ في انصراف قصد الناذر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يجزئ عن النذر الطهارة الواجبة للصلاة أو غيرها ممّا يجب له إذا قصد بها الوفاء؛ لأنّها طهارة فيصدق عليها المنذور ؟ أم لا يجزئ ؛ لأصالة عدم تداخل الأسباب، وظهور أنّ المنذور هو غير ما وجب عليه؟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ولو نذر أنواع الطهارة وجب النوع المنذور، ويجري عليه ما تقدّم، إلّا أنّه لا يجب فيها الإتيان بما هو مبيح؛ لصدق اسمها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الطهارة في وقتٍ فصادفه متطهّراً، وجب نقضها ثمّ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التيمّم في وقتٍ، فهل يجب عليه إراقة الماء فيه ثمّ التيمّم؟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لأنّه بمنزلة الواجب المشروط بفقد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 بانعقاد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التجديد لكلّ فريضةٍ، وجب ذلك حتّى تجديد التيمّم لو شرّعناه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اشتبهت القبلة فصلّى أربعاً أو نسي فريضةٌ، جدّد لكلّ واحدةٍ من المشتبهات ولكلّ واحدة من المأتيّ بها لتحصيل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التجديد هنا؛ لانصرافه إلى الفريضة الأصليّة وهي واحدة 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أوجبنا لناذر التجديدِ التجديدَ لأوّل فرائضه، وجب عليه الوضوء أوّلاً ثمّ التجديد ثانياً للأربع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والمنسيّات كذلك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نسي صلاتين من يومٍ، فإن أوجبنا الخمس يتيمّم خمس تيمّمات تجديداً لغير الأُولى، أو ستّ تيمّمات إن أوجبناه للأُولى أيضاً، وأربع إن أوجبنا الثلاث وأوجبناه للأُولى، وثلاث إن لم نوجبه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الاقتصار على اثنين، فيصلّي بالأوّل الفجر والظهرين والمغرب، وبالثاني الظهرين والعشاءين، فيخرج عن العهدة؛ لأنّه صلّى الظهر والعصر والمغرب مرّتين بتيمّمَيْن، فإن كانت الفائتة إحداها فقد أدّاها مرّتين بتيمّمين، وإن كانت الفائتتان الفجر والعشاء فقد أدّى الفجر بالتيمّم الأوّل، والعشاء بالثاني، وإن كانت إحداهما من الثلاث والأُخرى من الأخيرتين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نسي ثلاث صلوات من يوم تيمّم وصلّى الصبح والظهرين، ثمّ تيمّم وصلّى الظهر والعصر والمغرب، ثمّ تيمّم وصلّى العصر والمغرب والعشاء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في ترك ذلك؛ للشكّ في مشروعيّة الزيادة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8988_203203"/>
      <w:bookmarkStart w:id="150" w:name="pg18988_203203"/>
      <w:bookmarkEnd w:id="150"/>
    </w:p>
    <w:p>
      <w:pPr>
        <w:pStyle w:val="Heading3"/>
        <w:numPr>
          <w:ilvl w:val="2"/>
          <w:numId w:val="1"/>
        </w:numPr>
        <w:rPr/>
      </w:pPr>
      <w:bookmarkStart w:id="151" w:name="pg18988_203203"/>
      <w:bookmarkStart w:id="152" w:name="__RefHeading___Toc13197453_1280447820"/>
      <w:bookmarkStart w:id="153" w:name="_Toc53"/>
      <w:bookmarkEnd w:id="151"/>
      <w:bookmarkEnd w:id="152"/>
      <w:r>
        <w:rPr>
          <w:rtl w:val="true"/>
        </w:rPr>
        <w:t>أحكام المياه</w:t>
      </w:r>
      <w:bookmarkEnd w:id="153"/>
    </w:p>
    <w:p>
      <w:pPr>
        <w:pStyle w:val="Heading4"/>
        <w:numPr>
          <w:ilvl w:val="3"/>
          <w:numId w:val="1"/>
        </w:numPr>
        <w:rPr/>
      </w:pPr>
      <w:bookmarkStart w:id="154" w:name="__RefHeading___Toc13197455_1280447820"/>
      <w:bookmarkStart w:id="155" w:name="_Toc54"/>
      <w:bookmarkEnd w:id="154"/>
      <w:r>
        <w:rPr>
          <w:rtl w:val="true"/>
        </w:rPr>
        <w:t>بحث فی الماء المطلق</w:t>
      </w:r>
      <w:bookmarkEnd w:id="155"/>
    </w:p>
    <w:p>
      <w:pPr>
        <w:pStyle w:val="Heading5"/>
        <w:numPr>
          <w:ilvl w:val="4"/>
          <w:numId w:val="1"/>
        </w:numPr>
        <w:rPr/>
      </w:pPr>
      <w:bookmarkStart w:id="156" w:name="__RefHeading___Toc13197457_1280447820"/>
      <w:bookmarkStart w:id="157" w:name="_Toc5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الماء مطلق ومضاف، والمطلق ما تبادر من إطلاق اسم الماء الخالي عن قيدٍ عليه، والمضاف ما لم يتبادر أو ما صحّ سلب الماء الخالي عن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في المطلق بيان لأفراده، كماء البحر والنهر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المقيّد بيان لمفهومه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قرينة تجوّز في إطلاق اسم الماء عليه، وإمّا لكونه جزءاً من الاسم الموضوع، فيكون المجموع من المضاف والمضاف إليه موضوعاً بالوضع النوعي لأفراد المياه المضافة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الماء المطلق بالإطلاق ليس تمييزاً لمفهومه ولا تقييداً لمسمّاه، بل توضيحاً لما اقتضاه الإطلاق، فمعنى الماء المطلق هو الماء الخالي عن التقييد، وحينئذٍ فالماء بلا ذكر وصفٍ والماء المطلق ومطلق الماء كلّها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شمول الأخير للمياه المضافة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المطلق بعد العلم بإطلاقه والشكّ في تغييره بعروض القادح أو قدح العارض يُحكم عليه بالإطلاق ، جزماً قضاءٌ لحقّ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العلم بإطلاقه كأن حصل الشكّ في ماء مطروح هل هو مطلق أو مضاف؟ فلا يُحكم عليه بأحدهما، مع احتمال أصالة المياه المطلقة حتّى يثبت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المشكوك فيه كذلك لا يرفع حدثاً ولا يزيل خبثاً، ولكنّه لا يتنجّس إن كان كُرّاً ولا ينجّس أيضاً، فلا تجري عليه جميع أحكام المطلق ولا جميع أحكام المضاف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والمطلق بجميع أنواعه طاهر مطهِّر ، بالإجماع بقسميه</w:t>
      </w:r>
      <w:r>
        <w:rPr>
          <w:rStyle w:val="FootnoteAnchor"/>
          <w:rtl w:val="true"/>
        </w:rPr>
        <w:footnoteReference w:id="213"/>
      </w:r>
      <w:r>
        <w:rPr>
          <w:rFonts w:ascii="IRNazanin" w:hAnsi="IRNazanin" w:eastAsia="IRNazanin"/>
          <w:color w:val="111111"/>
          <w:sz w:val="28"/>
          <w:sz w:val="28"/>
          <w:szCs w:val="28"/>
          <w:rtl w:val="true"/>
          <w:lang w:bidi="fa-IR"/>
        </w:rPr>
        <w:t>، والأخبار</w:t>
      </w:r>
      <w:r>
        <w:rPr>
          <w:rStyle w:val="FootnoteAnchor"/>
          <w:rtl w:val="true"/>
        </w:rPr>
        <w:footnoteReference w:id="21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مَاءً طَهُوراً</w:t>
      </w:r>
      <w:r>
        <w:rPr>
          <w:rStyle w:val="FootnoteAnchor"/>
          <w:rtl w:val="true"/>
        </w:rPr>
        <w:footnoteReference w:id="215"/>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لِيُطَهِّرَكُمْ بِهِ</w:t>
      </w:r>
      <w:r>
        <w:rPr>
          <w:rStyle w:val="FootnoteAnchor"/>
          <w:rtl w:val="true"/>
        </w:rPr>
        <w:footnoteReference w:id="21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بالطهور في الكتاب والسنّة هو الطاهر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دلالتها على ماء السماء والدعوى أعمّ، ومن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الإثبات فلا تعمّ، ومن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فعل لازم فلا يتعدّى فيراد منه البالغ في طاهريّته، ووصف المطهرية لغيره أمر خارج عن مصداق اللفظ فلايُحكم عليه به،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القائل بالفصل، أو بأنّ الماء كلّه من السماء، كما دلّت عليه الأخبار</w:t>
      </w:r>
      <w:r>
        <w:rPr>
          <w:rStyle w:val="FootnoteAnchor"/>
          <w:rtl w:val="true"/>
        </w:rPr>
        <w:footnoteReference w:id="217"/>
      </w:r>
      <w:r>
        <w:rPr>
          <w:rFonts w:ascii="Amiri" w:hAnsi="Amiri" w:eastAsia="Amiri" w:cs="Amiri"/>
          <w:color w:val="111111"/>
          <w:sz w:val="28"/>
          <w:sz w:val="28"/>
          <w:szCs w:val="28"/>
          <w:rtl w:val="true"/>
          <w:lang w:bidi="ar-SA"/>
        </w:rPr>
        <w:t>في الأوّل، وبأنّ النكرة في سياق الإثبات والامتنان تفيد العموم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اسماً لما يتطهّر به، كالسحور، كما نصّ عليه أهل اللغة</w:t>
      </w:r>
      <w:r>
        <w:rPr>
          <w:rStyle w:val="FootnoteAnchor"/>
          <w:rtl w:val="true"/>
        </w:rPr>
        <w:footnoteReference w:id="218"/>
      </w:r>
      <w:r>
        <w:rPr>
          <w:rFonts w:ascii="Amiri" w:hAnsi="Amiri" w:eastAsia="Amiri" w:cs="Amiri"/>
          <w:color w:val="111111"/>
          <w:sz w:val="28"/>
          <w:sz w:val="28"/>
          <w:szCs w:val="28"/>
          <w:rtl w:val="true"/>
          <w:lang w:bidi="ar-SA"/>
        </w:rPr>
        <w:t>، وورد في كثير من الاستعمال، فإرادته بقرينة المقام أولى من إرادة غيره، ويكون بدلاً من الماء أو وصفاً على سبيل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بإرادة معنى الوصفيّة والمبالغة من لفظ الطهور، لكن لا على معنى المبالغة فى الطهارة؛ لعدم قبولها الشدّة والضعف، بل على معنى فعل التطهير، فيكون معنى الطهور هو الطاهر المطهِّر على وجه الحقيقة اللغويّة أو العرفيّة العامّة أو المجاز المشهور، كما نصّ على وروده كذلك أهل اللغة</w:t>
      </w:r>
      <w:r>
        <w:rPr>
          <w:rStyle w:val="FootnoteAnchor"/>
          <w:rtl w:val="true"/>
        </w:rPr>
        <w:footnoteReference w:id="219"/>
      </w:r>
      <w:r>
        <w:rPr>
          <w:rFonts w:ascii="Amiri" w:hAnsi="Amiri" w:eastAsia="Amiri" w:cs="Amiri"/>
          <w:color w:val="111111"/>
          <w:sz w:val="28"/>
          <w:sz w:val="28"/>
          <w:szCs w:val="28"/>
          <w:rtl w:val="true"/>
          <w:lang w:bidi="ar-SA"/>
        </w:rPr>
        <w:t>،وورد به الاستعمال الشائع حتّى ادّعى جماعة من اللغويّين والنحويّين أنّ معنى المبالغة هاهنا هي المطهرية وأن استعماله في البالغ في الطهارة نادر على غير القياس</w:t>
      </w:r>
      <w:r>
        <w:rPr>
          <w:rStyle w:val="FootnoteAnchor"/>
          <w:rtl w:val="true"/>
        </w:rPr>
        <w:footnoteReference w:id="220"/>
      </w:r>
      <w:r>
        <w:rPr>
          <w:rFonts w:ascii="Amiri" w:hAnsi="Amiri" w:eastAsia="Amiri" w:cs="Amiri"/>
          <w:color w:val="111111"/>
          <w:sz w:val="28"/>
          <w:sz w:val="28"/>
          <w:szCs w:val="28"/>
          <w:rtl w:val="true"/>
          <w:lang w:bidi="ar-SA"/>
        </w:rPr>
        <w:t>،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ريقهنّ طهور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إلى رجّح الأكفال هيفٍ خُصورها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الثنايا ريقهنّ طهور</w:t>
      </w:r>
    </w:p>
    <w:p>
      <w:pPr>
        <w:pStyle w:val="BookText"/>
        <w:rPr/>
      </w:pPr>
      <w:r>
        <w:rPr>
          <w:rFonts w:ascii="Amiri" w:hAnsi="Amiri" w:eastAsia="Amiri" w:cs="Amiri"/>
          <w:color w:val="111111"/>
          <w:sz w:val="28"/>
          <w:sz w:val="28"/>
          <w:szCs w:val="28"/>
          <w:rtl w:val="true"/>
          <w:lang w:bidi="ar-SA"/>
        </w:rPr>
        <w:t>مع احتمال إرادة الطاهر المطهِّر هاهنا مبالغة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إرادة أحد هذين المعنيَين تصفّح الأخبار عن الهداة الأبرار، وكون الآية في سياق الامتنان وهو ممّا يناسب إرادة هذين المعنيَيْن، وفهم الفقهاء والمفسّرين والعلماء والمتبحّرين </w:t>
      </w:r>
    </w:p>
    <w:p>
      <w:pPr>
        <w:pStyle w:val="BookText"/>
        <w:rPr/>
      </w:pPr>
      <w:r>
        <w:rPr>
          <w:rFonts w:ascii="Amiri" w:hAnsi="Amiri" w:eastAsia="Amiri" w:cs="Amiri"/>
          <w:color w:val="111111"/>
          <w:sz w:val="28"/>
          <w:sz w:val="28"/>
          <w:szCs w:val="28"/>
          <w:rtl w:val="true"/>
          <w:lang w:bidi="ar-SA"/>
        </w:rPr>
        <w:t>لذلك،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لِيُطَهِّرَكُمْ بِهِ</w:t>
      </w:r>
      <w:r>
        <w:rPr>
          <w:rStyle w:val="FootnoteAnchor"/>
          <w:rtl w:val="true"/>
        </w:rPr>
        <w:footnoteReference w:id="22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بنو إسرائيل إذا أصاب أحدهم قطرة بول قرضوا لحومهم بالمقاريض، وقد وسّع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والأرض وجعل لكم الماء طهوراً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اللغة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هذا المعنى أكثر المفسّرين</w:t>
      </w:r>
      <w:r>
        <w:rPr>
          <w:rStyle w:val="FootnoteAnchor"/>
          <w:rtl w:val="true"/>
        </w:rPr>
        <w:footnoteReference w:id="225"/>
      </w:r>
      <w:r>
        <w:rPr>
          <w:rFonts w:ascii="Amiri" w:hAnsi="Amiri" w:eastAsia="Amiri" w:cs="Amiri"/>
          <w:color w:val="111111"/>
          <w:sz w:val="28"/>
          <w:sz w:val="28"/>
          <w:szCs w:val="28"/>
          <w:rtl w:val="true"/>
          <w:lang w:bidi="ar-SA"/>
        </w:rPr>
        <w:t>وأهل اللغة، ونطق به العرف والاستعمال الشائع، فلا معنى لإنكاره كما نُسب</w:t>
      </w:r>
      <w:r>
        <w:rPr>
          <w:rStyle w:val="FootnoteAnchor"/>
          <w:rtl w:val="true"/>
        </w:rPr>
        <w:footnoteReference w:id="226"/>
      </w:r>
      <w:r>
        <w:rPr>
          <w:rFonts w:ascii="Amiri" w:hAnsi="Amiri" w:eastAsia="Amiri" w:cs="Amiri"/>
          <w:color w:val="111111"/>
          <w:sz w:val="28"/>
          <w:sz w:val="28"/>
          <w:szCs w:val="28"/>
          <w:rtl w:val="true"/>
          <w:lang w:bidi="ar-SA"/>
        </w:rPr>
        <w:t>لأبي حنيفة؛ زاعماً أنّ فعولاً للمبالغة لا تتعدىّ واسم فاعلها لازم، وأنّ طهوراً بمعنى طاهر مبالغة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خطاٌ مخالف لكلام أهل اللغة والنحو والاستعمال في خصوص هذه المادّة؛ لاتّفاق الكلّ على تعديتها وإن كان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متعدٍّ وإن أُخذ من فعل لازم</w:t>
      </w:r>
      <w:r>
        <w:rPr>
          <w:rStyle w:val="FootnoteAnchor"/>
          <w:rtl w:val="true"/>
        </w:rPr>
        <w:footnoteReference w:id="227"/>
      </w:r>
      <w:r>
        <w:rPr>
          <w:rFonts w:ascii="Amiri" w:hAnsi="Amiri" w:eastAsia="Amiri" w:cs="Amiri"/>
          <w:color w:val="111111"/>
          <w:sz w:val="28"/>
          <w:sz w:val="28"/>
          <w:szCs w:val="28"/>
          <w:rtl w:val="true"/>
          <w:lang w:bidi="ar-SA"/>
        </w:rPr>
        <w:t>، وهو من أكابر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أيضاً بعض صيغ المبالغة متعدّية و اسمُ فاعلها لازم في شعر العرب</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حتّى شناها كليل موهناً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باتت طراباً وبات الليل لم ينم</w:t>
      </w:r>
    </w:p>
    <w:p>
      <w:pPr>
        <w:pStyle w:val="BookText"/>
        <w:rPr/>
      </w:pPr>
      <w:r>
        <w:rPr>
          <w:rFonts w:ascii="Amiri" w:hAnsi="Amiri" w:eastAsia="Amiri" w:cs="Amiri"/>
          <w:color w:val="111111"/>
          <w:sz w:val="28"/>
          <w:sz w:val="28"/>
          <w:szCs w:val="28"/>
          <w:rtl w:val="true"/>
          <w:lang w:bidi="ar-SA"/>
        </w:rPr>
        <w:t xml:space="preserve">أورده الشيخ الطوسي في 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على أنّ طهور بمعنى طاهر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إرادة المطهّريّة من لفظ الطهور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المبالغة في الطهارة لا تعقل إلّا بهذا المعنى؛ لعدم تعقّل الزيادة والتكرار فيها، وليس هو من باب إثبات اللغة بالترجيح، بل هو من باب إثبات المعنى المراد بالأمارات العرفيّة، كالحمل على أقرب المجازات، والحمل على المعنى الظاهر، ونحو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لأنّ المصدر منه مضموم ومفتوح، ويراد بالمصدر هاهنا معنى المطهريّة بقرينة السياق والمقام والآيات الأُخَر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58" w:name="pg18988_203206"/>
    </w:p>
    <w:p>
      <w:pPr>
        <w:pStyle w:val="BookText"/>
        <w:rPr/>
      </w:pPr>
      <w:bookmarkEnd w:id="158"/>
      <w:r>
        <w:rPr>
          <w:rFonts w:ascii="Amiri" w:hAnsi="Amiri" w:eastAsia="Amiri" w:cs="Amiri"/>
          <w:color w:val="111111"/>
          <w:sz w:val="28"/>
          <w:sz w:val="28"/>
          <w:szCs w:val="28"/>
          <w:rtl w:val="true"/>
          <w:lang w:bidi="ar-SA"/>
        </w:rPr>
        <w:t>وهو أيضاً لا بأس به، إلّا أنّه معنى مجازيّ للّفظ غير مشهورٍ وغير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لفظ الطهارة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بالتزام كون لفظها حقيقةً في رفع الحدث والخبث معاً، وإمّا بالتزام كونه حقيقةً في الأوّل، ولا قائل بالفصل، وإمّا بالتزام كون رفع الخبث أولى بالامتنان، وإمّا بالتزام الملازمة بين رفع الحدث وإزالة الخبث، وإمّا بالتزام إرادة المعنى اللغوي، وهو شامل لهما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3197459_1280447820"/>
      <w:bookmarkStart w:id="160" w:name="_Toc56"/>
      <w:bookmarkEnd w:id="159"/>
      <w:r>
        <w:rPr>
          <w:rtl w:val="true"/>
        </w:rPr>
        <w:t>بحث فی أنّ طهوريّته الماء قضيّة مهملة أو مطلقۀ؟</w:t>
      </w:r>
      <w:bookmarkEnd w:id="160"/>
    </w:p>
    <w:p>
      <w:pPr>
        <w:pStyle w:val="BookText"/>
        <w:rPr/>
      </w:pPr>
      <w:r>
        <w:rPr>
          <w:rFonts w:ascii="Amiri" w:hAnsi="Amiri" w:eastAsia="Amiri" w:cs="Amiri"/>
          <w:color w:val="111111"/>
          <w:sz w:val="28"/>
          <w:sz w:val="28"/>
          <w:szCs w:val="28"/>
          <w:rtl w:val="true"/>
          <w:lang w:bidi="ar-SA"/>
        </w:rPr>
        <w:t xml:space="preserve">بعد القول بأنّ الماء طاهر مطهّر ، فهل طهوريّته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عليها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مهملة تفيد ثبوت المطهّريّة في الجملة ؟ فيتوقّف بيان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الاحتياج إلى العَصْر وعدمه، وعلوّ ماء الغسالة وعدمه، والاكتفاء بالاتّصال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بالمرّة أو الاحتياج إلى المرّتين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يدلّ على ذلك، فلا يُحكم على الماء بالطهوريّة للمتنجّس إلّا أن يدلّ دليل على كيفيّة التطهير به، أو أنّ قضيّتها قضيّة مطلقة بمنزلة العامّ، فتفيد المطهّريّة على أيّ نحوٍ كان، وعلى أيّ طريق لابَسَ المتنجّس، وبأيّ فردٍ كان، إلّا ما قام الدليل على احتياجه للامتزاج وعدم كفاية الاتّصال فيه واحتياجه للعَصْر، أو احتياجه للتعدّد أو غير ذلك؟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3197461_1280447820"/>
      <w:bookmarkStart w:id="162" w:name="_Toc57"/>
      <w:bookmarkEnd w:id="161"/>
      <w:r>
        <w:rPr>
          <w:rtl w:val="true"/>
        </w:rPr>
        <w:t>بحث فی إستواء جمیع أفراد الماء الطاهر فی طهوریّته</w:t>
      </w:r>
      <w:bookmarkEnd w:id="162"/>
    </w:p>
    <w:p>
      <w:pPr>
        <w:pStyle w:val="BookText"/>
        <w:rPr/>
      </w:pPr>
      <w:r>
        <w:rPr>
          <w:rFonts w:ascii="Amiri" w:hAnsi="Amiri" w:eastAsia="Amiri" w:cs="Amiri"/>
          <w:color w:val="111111"/>
          <w:sz w:val="28"/>
          <w:sz w:val="28"/>
          <w:szCs w:val="28"/>
          <w:rtl w:val="true"/>
          <w:lang w:bidi="ar-SA"/>
        </w:rPr>
        <w:t>يستوي في طهوريّة الماء جميع أفراده من النازل من السماء، والنابع من الأرض، والمتصاعد من الأبخرة، والمذاب من الثلج والبرد، والواقع على الأشجار والزرع من الطلّ، وماء البحر والنهر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ذلك الخالص والمخالط لأجسام طاهرة لا تسلبه الإطلاق، سواء تغيّر بها أم لا، من طين وأُشنان وملح، عارضة له أو كانت مصاحبة له ابتداءٌ، كالكبريت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ويستوي في ذلك المتغيّرُ بسبب كثرة البقاء في الأرض، أو المتغيّر بسبب كثرة الاستعمال والمزاولة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ككثير من ماء الحمامات وكثير من ماء الحفر التي تكون في أراضي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المتغيّر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ويستوي في المتغيّر تغيّر الطعم والريح واللون وغيرها، كلّ ذلك لعموم الأدلّة والإجماع بقسميه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63" w:name="pg18988_203207"/>
    </w:p>
    <w:p>
      <w:pPr>
        <w:pStyle w:val="Heading4"/>
        <w:numPr>
          <w:ilvl w:val="3"/>
          <w:numId w:val="1"/>
        </w:numPr>
        <w:rPr/>
      </w:pPr>
      <w:bookmarkStart w:id="164" w:name="__RefHeading___Toc13197463_1280447820"/>
      <w:bookmarkStart w:id="165" w:name="_Toc58"/>
      <w:bookmarkEnd w:id="163"/>
      <w:bookmarkEnd w:id="164"/>
      <w:r>
        <w:rPr>
          <w:rtl w:val="true"/>
        </w:rPr>
        <w:t>بحث في الماء الجاري</w:t>
      </w:r>
      <w:bookmarkEnd w:id="165"/>
    </w:p>
    <w:p>
      <w:pPr>
        <w:pStyle w:val="Heading5"/>
        <w:numPr>
          <w:ilvl w:val="4"/>
          <w:numId w:val="1"/>
        </w:numPr>
        <w:rPr/>
      </w:pPr>
      <w:bookmarkStart w:id="166" w:name="__RefHeading___Toc13197465_1280447820"/>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الماء جارٍ ومحقون، وماء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عُلِّقت على لفظ الجاري ولفظ البئر في الأخبار وكلام الأصحاب أحكام كثيرة سيجيء بيانها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الأخبار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يغاير المعنى اللغوي، فكأنّه حقيقة عرفيّة خاصّة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اتّصل بمادّةٍ في الأرض غير معلوم حصرها عرفاً، ولا يصدق على محلّه عرفاً أنّه بئر، فلو لم يتّصل بمادّةٍ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الجاري من غدير أو من حوض أو من السواقي والدوالي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اتّصل بمادّةٍ من علوّ كالمتّصل بماء المطر وإن شاركه في الحكم، وكذا ما لم يتّصل بمادّةٍ، كأن انقطعت من أصلها أو انقطع عنها في زمانٍ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اتّصل بمادّةٍ معلوم حصرها وعدم تجدّد الماء فيها بعد نقصانه، كماء الثمد</w:t>
      </w:r>
      <w:r>
        <w:rPr>
          <w:rStyle w:val="FootnoteAnchor"/>
          <w:rtl w:val="true"/>
        </w:rPr>
        <w:footnoteReference w:id="231"/>
      </w:r>
      <w:r>
        <w:rPr>
          <w:rFonts w:ascii="Amiri" w:hAnsi="Amiri" w:eastAsia="Amiri" w:cs="Amiri"/>
          <w:color w:val="111111"/>
          <w:sz w:val="28"/>
          <w:sz w:val="28"/>
          <w:szCs w:val="28"/>
          <w:rtl w:val="true"/>
          <w:lang w:bidi="ar-SA"/>
        </w:rPr>
        <w:t>وماء كثير من الأراضي بعد فيض الماء عليها عند زيادة الماء، إلّا في صورة ما إذا علم عدم نفوذ الماء من تلك المادّة في ذلك المحصور، بل كان بحيث كلّما نقصت المادّة تجدّد فيه الماء بقدرة الله تعالى، فإنّ ذلك يكون من الجاري، لكنّه نادر الوجود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في الجاري كلّ ما اتّصل بالمادّة اتّصالاً ظاهراً أو خفيّاً بجذب وجَرَيان، أو من دون جذب وجريان لتساوي السطوح، سواء اتّصل بها بينبوع أو رشح أو نزيز، إلّا إذا قلّ الرشح جدّاً بحيث كان كالعرق الخفي، فإنّ إدخاله في اسم الجاري وحكمه لا يخلو من إشكال</w:t>
      </w:r>
      <w:r>
        <w:rPr>
          <w:rFonts w:eastAsia="Amiri" w:cs="Amiri" w:ascii="Amiri" w:hAnsi="Amiri"/>
          <w:color w:val="111111"/>
          <w:sz w:val="28"/>
          <w:szCs w:val="28"/>
          <w:rtl w:val="true"/>
          <w:lang w:bidi="ar-SA"/>
        </w:rPr>
        <w:t xml:space="preserve">. </w:t>
      </w:r>
      <w:bookmarkStart w:id="168" w:name="pg18988_203208"/>
    </w:p>
    <w:p>
      <w:pPr>
        <w:pStyle w:val="BookText"/>
        <w:rPr/>
      </w:pPr>
      <w:bookmarkEnd w:id="168"/>
      <w:r>
        <w:rPr>
          <w:rFonts w:ascii="Amiri" w:hAnsi="Amiri" w:eastAsia="Amiri" w:cs="Amiri"/>
          <w:color w:val="111111"/>
          <w:sz w:val="28"/>
          <w:sz w:val="28"/>
          <w:szCs w:val="28"/>
          <w:rtl w:val="true"/>
          <w:lang w:bidi="ar-SA"/>
        </w:rPr>
        <w:t>ولو كان اتّصاله بالتقاطر، فإن كان متتالياً فهو من الجاري، وإن كان بينها فواصل معتدّ بها فهو في حال اتصال القطرة من الجاري وفي حال انفصالها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البئر هو كلّ ماء متّصل بمادّة يُسمّى محلّه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أحكامها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w:t>
      </w:r>
    </w:p>
    <w:p>
      <w:pPr>
        <w:pStyle w:val="Heading5"/>
        <w:numPr>
          <w:ilvl w:val="4"/>
          <w:numId w:val="1"/>
        </w:numPr>
        <w:rPr/>
      </w:pPr>
      <w:bookmarkStart w:id="169" w:name="__RefHeading___Toc13197467_1280447820"/>
      <w:bookmarkStart w:id="170" w:name="_Toc60"/>
      <w:bookmarkEnd w:id="169"/>
      <w:r>
        <w:rPr>
          <w:rtl w:val="true"/>
        </w:rPr>
        <w:t>الكلام في الجاري في مقامات</w:t>
      </w:r>
      <w:bookmarkEnd w:id="170"/>
    </w:p>
    <w:p>
      <w:pPr>
        <w:pStyle w:val="Heading5"/>
        <w:numPr>
          <w:ilvl w:val="4"/>
          <w:numId w:val="1"/>
        </w:numPr>
        <w:rPr/>
      </w:pPr>
      <w:bookmarkStart w:id="171" w:name="__RefHeading___Toc13197469_1280447820"/>
      <w:bookmarkStart w:id="172" w:name="_Toc61"/>
      <w:bookmarkEnd w:id="171"/>
      <w:r>
        <w:rPr>
          <w:rtl w:val="true"/>
        </w:rPr>
        <w:t>أحدها</w:t>
      </w:r>
      <w:r>
        <w:rPr>
          <w:rtl w:val="true"/>
        </w:rPr>
        <w:t xml:space="preserve">: </w:t>
      </w:r>
      <w:r>
        <w:rPr>
          <w:rtl w:val="true"/>
        </w:rPr>
        <w:t>لا ينجُس الجاري إلّا إذا تغيّر الماء عن طبيعته الخلقيّة بنجاسةٍ حلّت فيه</w:t>
      </w:r>
      <w:bookmarkEnd w:id="172"/>
    </w:p>
    <w:p>
      <w:pPr>
        <w:pStyle w:val="BookText"/>
        <w:rPr/>
      </w:pPr>
      <w:r>
        <w:rPr>
          <w:rFonts w:ascii="Amiri" w:hAnsi="Amiri" w:eastAsia="Amiri" w:cs="Amiri"/>
          <w:color w:val="111111"/>
          <w:sz w:val="28"/>
          <w:sz w:val="28"/>
          <w:szCs w:val="28"/>
          <w:rtl w:val="true"/>
          <w:lang w:bidi="ar-SA"/>
        </w:rPr>
        <w:t>لا ينجُس الجاري إلّا إذا تغيّر الماء عن طبيعته الخلقيّة بنجاسةٍ حلّت فيه تغيّراً لونيّاً أو طعميّاً أو ريحيّاً، وهو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لونه أو طعمه أو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الماء ريح له بل ولا لون، وطعمه ليس كسائر 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نجاسته بذلك الإجماعُ بقسميه، والأخبار</w:t>
      </w:r>
      <w:r>
        <w:rPr>
          <w:rStyle w:val="FootnoteAnchor"/>
          <w:rtl w:val="true"/>
        </w:rPr>
        <w:footnoteReference w:id="232"/>
      </w:r>
      <w:r>
        <w:rPr>
          <w:rFonts w:ascii="Amiri" w:hAnsi="Amiri" w:eastAsia="Amiri" w:cs="Amiri"/>
          <w:color w:val="111111"/>
          <w:sz w:val="28"/>
          <w:sz w:val="28"/>
          <w:szCs w:val="28"/>
          <w:rtl w:val="true"/>
          <w:lang w:bidi="ar-SA"/>
        </w:rPr>
        <w:t>العامّة والخاصّة المعتبرة والمنجبرة بفتاوى الأصحاب وعملهم من غير مخالف يُعتدّ به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3197471_1280447820"/>
      <w:bookmarkStart w:id="174" w:name="_Toc62"/>
      <w:bookmarkEnd w:id="173"/>
      <w:r>
        <w:rPr>
          <w:rtl w:val="true"/>
        </w:rPr>
        <w:t>ثانيها</w:t>
      </w:r>
      <w:r>
        <w:rPr>
          <w:rtl w:val="true"/>
        </w:rPr>
        <w:t xml:space="preserve">: </w:t>
      </w:r>
      <w:r>
        <w:rPr>
          <w:rtl w:val="true"/>
        </w:rPr>
        <w:t>عدم يشترط في تنجيسه بالتغيّر أن يكون التغيّر بنفس لون النجاسة أو طعمها أو ريحها وبین غیره</w:t>
      </w:r>
      <w:bookmarkEnd w:id="174"/>
    </w:p>
    <w:p>
      <w:pPr>
        <w:pStyle w:val="BookText"/>
        <w:rPr/>
      </w:pPr>
      <w:r>
        <w:rPr>
          <w:rFonts w:ascii="Amiri" w:hAnsi="Amiri" w:eastAsia="Amiri" w:cs="Amiri"/>
          <w:color w:val="111111"/>
          <w:sz w:val="28"/>
          <w:sz w:val="28"/>
          <w:szCs w:val="28"/>
          <w:rtl w:val="true"/>
          <w:lang w:bidi="ar-SA"/>
        </w:rPr>
        <w:t>لا يشترط في تنجيسه بالتغيّر أن يكون التغيّر بنفس لون النجاسة أو طعمها أو ريحها، بل لو أحدثت لوناً آخَر أو طعماً آخَر أو ريحاً آخَر، جرى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اجتمعت عدّة نجاسات ذوات ألوان فأحدثت لوناً آخَر، كان الماء من المتغيّر بالنجاسة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3197473_1280447820"/>
      <w:bookmarkStart w:id="176" w:name="_Toc63"/>
      <w:bookmarkEnd w:id="175"/>
      <w:r>
        <w:rPr>
          <w:rtl w:val="true"/>
        </w:rPr>
        <w:t>ثالثها</w:t>
      </w:r>
      <w:r>
        <w:rPr>
          <w:rtl w:val="true"/>
        </w:rPr>
        <w:t xml:space="preserve">: </w:t>
      </w:r>
      <w:r>
        <w:rPr>
          <w:rtl w:val="true"/>
        </w:rPr>
        <w:t>عدم الاعتبار بتغیّر الماء ببرودۀ وسخونۀ و خفّۀٍ و ثقل وغیر ذلک</w:t>
      </w:r>
      <w:bookmarkEnd w:id="176"/>
    </w:p>
    <w:p>
      <w:pPr>
        <w:pStyle w:val="BookText"/>
        <w:rPr/>
      </w:pPr>
      <w:r>
        <w:rPr>
          <w:rFonts w:ascii="Amiri" w:hAnsi="Amiri" w:eastAsia="Amiri" w:cs="Amiri"/>
          <w:color w:val="111111"/>
          <w:sz w:val="28"/>
          <w:sz w:val="28"/>
          <w:szCs w:val="28"/>
          <w:rtl w:val="true"/>
          <w:lang w:bidi="ar-SA"/>
        </w:rPr>
        <w:t>لا عبرة بتغيّر الماء بغير الثلاثة المتقدّمة من الأوصاف من برودة وسخونة وخفّة وثقل وغير ذلك؛ اقتصاراً على المتيقّن في الأخبار بعد إحراز أصل الطهارة، وحملاً لما دلّ على التنجيس بالتغيّر على ما دلّ على خصوص هذه مطلقاً أو على سبيل الحصر؛ حملاً للمطلق على المقيد والعامّ على الخاصّ</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3197475_1280447820"/>
      <w:bookmarkStart w:id="178" w:name="_Toc64"/>
      <w:bookmarkEnd w:id="177"/>
      <w:r>
        <w:rPr>
          <w:rtl w:val="true"/>
        </w:rPr>
        <w:t>رابعها</w:t>
      </w:r>
      <w:r>
        <w:rPr>
          <w:rtl w:val="true"/>
        </w:rPr>
        <w:t xml:space="preserve">: </w:t>
      </w:r>
      <w:r>
        <w:rPr>
          <w:rtl w:val="true"/>
        </w:rPr>
        <w:t>عدم الاعتبار بالتغيّر الناشئ من المجاورة</w:t>
      </w:r>
      <w:bookmarkEnd w:id="178"/>
    </w:p>
    <w:p>
      <w:pPr>
        <w:pStyle w:val="BookText"/>
        <w:rPr/>
      </w:pPr>
      <w:r>
        <w:rPr>
          <w:rFonts w:ascii="Amiri" w:hAnsi="Amiri" w:eastAsia="Amiri" w:cs="Amiri"/>
          <w:color w:val="111111"/>
          <w:sz w:val="28"/>
          <w:sz w:val="28"/>
          <w:szCs w:val="28"/>
          <w:rtl w:val="true"/>
          <w:lang w:bidi="ar-SA"/>
        </w:rPr>
        <w:t>لا عبرة بالتغيّر الناشئ من المجاورة؛ لظهور أخبار التغيّر في حلول المغيّر في الماء، وهو المقتضي للانفعال دون مجاورته له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3197477_1280447820"/>
      <w:bookmarkStart w:id="180" w:name="_Toc65"/>
      <w:bookmarkEnd w:id="179"/>
      <w:r>
        <w:rPr>
          <w:rtl w:val="true"/>
        </w:rPr>
        <w:t>خامسها</w:t>
      </w:r>
      <w:r>
        <w:rPr>
          <w:rtl w:val="true"/>
        </w:rPr>
        <w:t xml:space="preserve">: </w:t>
      </w:r>
      <w:r>
        <w:rPr>
          <w:rtl w:val="true"/>
        </w:rPr>
        <w:t>حکم وقوع نجسٍ لا وصف له فی الماء</w:t>
      </w:r>
      <w:bookmarkEnd w:id="180"/>
    </w:p>
    <w:p>
      <w:pPr>
        <w:pStyle w:val="BookText"/>
        <w:rPr/>
      </w:pPr>
      <w:r>
        <w:rPr>
          <w:rFonts w:ascii="Amiri" w:hAnsi="Amiri" w:eastAsia="Amiri" w:cs="Amiri"/>
          <w:color w:val="111111"/>
          <w:sz w:val="28"/>
          <w:sz w:val="28"/>
          <w:szCs w:val="28"/>
          <w:rtl w:val="true"/>
          <w:lang w:bidi="ar-SA"/>
        </w:rPr>
        <w:t>لو وقع في الماء نجس لا وصف له ولم يستهلك الماء ولا غيّره من الإطلاق إلى الإضافة، لم ينجس الماء ولو كان بحيث لو قُدّر له وصفٌ لغيّره؛ للإجماع المنقول</w:t>
      </w:r>
      <w:r>
        <w:rPr>
          <w:rStyle w:val="FootnoteAnchor"/>
          <w:rtl w:val="true"/>
        </w:rPr>
        <w:footnoteReference w:id="233"/>
      </w:r>
      <w:r>
        <w:rPr>
          <w:rFonts w:ascii="Amiri" w:hAnsi="Amiri" w:eastAsia="Amiri" w:cs="Amiri"/>
          <w:color w:val="111111"/>
          <w:sz w:val="28"/>
          <w:sz w:val="28"/>
          <w:szCs w:val="28"/>
          <w:rtl w:val="true"/>
          <w:lang w:bidi="ar-SA"/>
        </w:rPr>
        <w:t>، وللأصل السالم عن معارضة أخبار التغيّر؛ لظهورها في التغير الحسّي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والأقوى إلحاق مسلوب الوصف بعد أن وجده بما لا وصف له؛ لما قدّمناه من الأصل، </w:t>
      </w:r>
      <w:bookmarkStart w:id="181" w:name="pg18988_203209"/>
    </w:p>
    <w:p>
      <w:pPr>
        <w:pStyle w:val="BookText"/>
        <w:rPr/>
      </w:pPr>
      <w:bookmarkEnd w:id="181"/>
      <w:r>
        <w:rPr>
          <w:rFonts w:ascii="Amiri" w:hAnsi="Amiri" w:eastAsia="Amiri" w:cs="Amiri"/>
          <w:color w:val="111111"/>
          <w:sz w:val="28"/>
          <w:sz w:val="28"/>
          <w:szCs w:val="28"/>
          <w:rtl w:val="true"/>
          <w:lang w:bidi="ar-SA"/>
        </w:rPr>
        <w:t>واختصاص أخبار التغيّر بالتغيّر الحسّي، وللشكّ في قاهريّة النجس</w:t>
      </w:r>
      <w:r>
        <w:rPr>
          <w:rStyle w:val="FootnoteAnchor"/>
          <w:rtl w:val="true"/>
        </w:rPr>
        <w:footnoteReference w:id="234"/>
      </w:r>
      <w:r>
        <w:rPr>
          <w:rFonts w:ascii="Amiri" w:hAnsi="Amiri" w:eastAsia="Amiri" w:cs="Amiri"/>
          <w:color w:val="111111"/>
          <w:sz w:val="28"/>
          <w:sz w:val="28"/>
          <w:szCs w:val="28"/>
          <w:rtl w:val="true"/>
          <w:lang w:bidi="ar-SA"/>
        </w:rPr>
        <w:t>للماء ما دام خالٍ عن الوصف؛ لقوّة احتمال أنّ مقهوريّة الماء إنّما تدور مدار واجد الصفة دون فاقدها، فلا يلزم من مقهوريّة الماء بالنجس عند اتّصافه بوصفٍ فعلاً يخالف الماء مقهوريّته عند خلوّه من ذلك الوصف إذا كان بحيث لو اتّصف به لقهره، على أنّا لا نسلّم الملازمة بين مقهوريّة الماء وتنجيسه؛ لدوران التنجيس مدار الوصف دون المقهوريّة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الأخبار</w:t>
      </w:r>
      <w:r>
        <w:rPr>
          <w:rStyle w:val="FootnoteAnchor"/>
          <w:rtl w:val="true"/>
        </w:rPr>
        <w:footnoteReference w:id="235"/>
      </w:r>
      <w:r>
        <w:rPr>
          <w:rFonts w:ascii="Amiri" w:hAnsi="Amiri" w:eastAsia="Amiri" w:cs="Amiri"/>
          <w:color w:val="111111"/>
          <w:sz w:val="28"/>
          <w:sz w:val="28"/>
          <w:szCs w:val="28"/>
          <w:rtl w:val="true"/>
          <w:lang w:bidi="ar-SA"/>
        </w:rPr>
        <w:t>من اعتبار المقهوريّة منزّلٌ على المقهوريّة الخاصّة والغلبة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المقهوريّة والغلبة واقعيّان والوصف دليل عليهما، فلو قطع بحصول الوصف عند تقديره لحصلتا معاً، وهما المقتضيان للتنجيس، غير مسموعة بعدما قدّمنا من منع الصغرى والكبرى</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3197479_1280447820"/>
      <w:bookmarkStart w:id="183" w:name="_Toc66"/>
      <w:bookmarkEnd w:id="182"/>
      <w:r>
        <w:rPr>
          <w:rtl w:val="true"/>
        </w:rPr>
        <w:t>سادسها</w:t>
      </w:r>
      <w:r>
        <w:rPr>
          <w:rtl w:val="true"/>
        </w:rPr>
        <w:t xml:space="preserve">: </w:t>
      </w:r>
      <w:r>
        <w:rPr>
          <w:rtl w:val="true"/>
        </w:rPr>
        <w:t>فی مسلوب الصفة علی القول بالتقدیر هل یقدّر الوصف السابق أو الأشدّ أو الأضعف أو الوسط؟</w:t>
      </w:r>
      <w:bookmarkEnd w:id="183"/>
    </w:p>
    <w:p>
      <w:pPr>
        <w:pStyle w:val="BookText"/>
        <w:rPr/>
      </w:pPr>
      <w:r>
        <w:rPr>
          <w:rFonts w:ascii="Amiri" w:hAnsi="Amiri" w:eastAsia="Amiri" w:cs="Amiri"/>
          <w:color w:val="111111"/>
          <w:sz w:val="28"/>
          <w:sz w:val="28"/>
          <w:szCs w:val="28"/>
          <w:rtl w:val="true"/>
          <w:lang w:bidi="ar-SA"/>
        </w:rPr>
        <w:t>على القول بالتقدير في مسلوب الصفة، فهل يقدّر الوصف الذي عليه كان سابقاً، أو يقدّر الوصف الأشدّ؛ للاحتياط، أو الأضعف؛ للأصل، أو الوسط؛ لأغلبيّته ولانصراف التقدير إليه؟ وجوه،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فاقدها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إلى تقدير وصف الماء خفّةٌ وصفاءً وطعماً، وأضدادها ممّا يختلف باختلافه تأثير وصف النجاسة، أم لا يحتاج ؟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على ذلك التقدير</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3197481_1280447820"/>
      <w:bookmarkStart w:id="185" w:name="_Toc67"/>
      <w:bookmarkEnd w:id="184"/>
      <w:r>
        <w:rPr>
          <w:rtl w:val="true"/>
        </w:rPr>
        <w:t>سابعها</w:t>
      </w:r>
      <w:r>
        <w:rPr>
          <w:rtl w:val="true"/>
        </w:rPr>
        <w:t xml:space="preserve">: </w:t>
      </w:r>
      <w:r>
        <w:rPr>
          <w:rtl w:val="true"/>
        </w:rPr>
        <w:t>حکم ما لو تغیّر الماء بالمتغیّر بوصف النجاسۀ</w:t>
      </w:r>
      <w:bookmarkEnd w:id="185"/>
    </w:p>
    <w:p>
      <w:pPr>
        <w:pStyle w:val="BookText"/>
        <w:rPr/>
      </w:pPr>
      <w:r>
        <w:rPr>
          <w:rFonts w:ascii="Amiri" w:hAnsi="Amiri" w:eastAsia="Amiri" w:cs="Amiri"/>
          <w:color w:val="111111"/>
          <w:sz w:val="28"/>
          <w:sz w:val="28"/>
          <w:szCs w:val="28"/>
          <w:rtl w:val="true"/>
          <w:lang w:bidi="ar-SA"/>
        </w:rPr>
        <w:t>لو تغيّر الماء بوصف المتنجّس اللاحق له لذاته أو لطروء مغيّرٍ طاهر له، لم ينجس الماء؛ للأصل السالم عن معارضة ما يصلح أن يكون شاملاً لهذا التغيّر، لظهور أدلّة التغيّر في المتغيّر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استند التغيّر إليهما بحيث كان كلٌّ منهما جزء سببٍ في التغيّر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بحيث لو انفرد كان مغيّراً أو كان الماء على صفة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وقع فيه دم وكان أحمراً بصفته الأصليّة كبعض المياه الكبريتيّة، أو عارضيّة كالمخلوط بدبسٍ أو خلٍّ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لولا صفته لتغيّر بالنجاسة، فإنّه يحكم عليه بالتنجيس؛ لحصول التأثير بالنجاسة حسّاً وإن منع من ظهورها مانع</w:t>
      </w:r>
      <w:r>
        <w:rPr>
          <w:rFonts w:eastAsia="Amiri" w:cs="Amiri" w:ascii="Amiri" w:hAnsi="Amiri"/>
          <w:color w:val="111111"/>
          <w:sz w:val="28"/>
          <w:szCs w:val="28"/>
          <w:rtl w:val="true"/>
          <w:lang w:bidi="ar-SA"/>
        </w:rPr>
        <w:t xml:space="preserve">. </w:t>
      </w:r>
      <w:bookmarkStart w:id="186" w:name="pg18988_203210"/>
    </w:p>
    <w:p>
      <w:pPr>
        <w:pStyle w:val="Heading5"/>
        <w:numPr>
          <w:ilvl w:val="4"/>
          <w:numId w:val="1"/>
        </w:numPr>
        <w:rPr/>
      </w:pPr>
      <w:bookmarkStart w:id="187" w:name="__RefHeading___Toc13197483_1280447820"/>
      <w:bookmarkStart w:id="188" w:name="_Toc68"/>
      <w:bookmarkEnd w:id="186"/>
      <w:bookmarkEnd w:id="187"/>
      <w:r>
        <w:rPr>
          <w:rtl w:val="true"/>
        </w:rPr>
        <w:t>ثامنها</w:t>
      </w:r>
      <w:r>
        <w:rPr>
          <w:rtl w:val="true"/>
        </w:rPr>
        <w:t xml:space="preserve">: </w:t>
      </w:r>
      <w:r>
        <w:rPr>
          <w:rtl w:val="true"/>
        </w:rPr>
        <w:t>لو تغيّر الماء بالمتغيّر بوصف النجاسة</w:t>
      </w:r>
      <w:bookmarkEnd w:id="188"/>
    </w:p>
    <w:p>
      <w:pPr>
        <w:pStyle w:val="BookText"/>
        <w:rPr/>
      </w:pPr>
      <w:r>
        <w:rPr>
          <w:rFonts w:ascii="Amiri" w:hAnsi="Amiri" w:eastAsia="Amiri" w:cs="Amiri"/>
          <w:color w:val="111111"/>
          <w:sz w:val="28"/>
          <w:sz w:val="28"/>
          <w:szCs w:val="28"/>
          <w:rtl w:val="true"/>
          <w:lang w:bidi="ar-SA"/>
        </w:rPr>
        <w:t>لو تغيّر الماء بالمتغيّر بوصف النجاسة الواقعة فيه، فإن صاحَبَ المتغيّر نفس النجاسة نجس المتغيّر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تصاحبه نفس النجاسة احتُمل تنجّسه به؛ لإطلاق روايات التنجيس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كثير من الأصحاب الحكمَ بنجاسة المتغيّر بالمتغيّر، ولحكمهم بنجاسة البئر المتغيّرة بماء البالوعة المتغيّر بالنجاسة، ولحكمهم بتطهير المتغيّر بإلقاء كُرّ فكُرّ عليه دفعةً حتّى يزول تغيّره ، ولولا نجاسة المتغيّر بالمتغيّر لكفى الكُرّ الأوّل؛ لعدم انفعاله حينئذٍ وعدم تنجسّه وإن شاعت أجزاؤه في المتغيّر، فيطهر المتغيّر الأوّل بعد زوال تغيّره أيضاً؛ لعدم حلول النجاسة فيه وقد لاقاه كُرٌّ طاهر بعد زوال النجاسة والتغيّر منه بل وقبل زوال التغيّر؛ إذ من البعيد وجود ماء واحد طاهر ونجس في مكانٍ واحد مختلط، ولصدق أنّ الماء قد تغيّر بالنجاسة عليه، ولأنّ نجاسة المتغيّر بحلول النجاسة فيه إنّما هي بالمتغيّر الملاقي للنجاسة؛ لأنّ الجزء الملاقي للنجاسة غيّر الجزء الذي يليه، والذي يليه غيّر ما يليه ،وهكذا، فيلزم من ذلك تنجّس كلّ متغيّر بالمتغيّر،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عدمه وبقاؤه على الطهارة؛ للأصل والعمومات السالمة عن المعارض، سوى إطلاقات أدلّة انفعال الماء بالتغيّر، وهي ظاهرة بالتغيّر بعين النجاسة، لا بالمتنجّس بها وإن كان التغيّر بوصفها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إطلاق كلام الفقهاء أيضاً ينزّل على ذلك، سوى كلام مَنْ ذهب إلى أنّ التغيّر بالمتنجّس من جهة وصفه اللازم أو العارض له منجّس، فإنّه لا يمكن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ولكنپا لا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حكم الفقهاء بنجاسة البئر بالماء المتغيّر فالظاهر منه أنّه لحلول عين النجاسة فيه كما هو الغالب في البالوعة، ومع عدم حلولها فيه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حكمهم بتطهير المتغيّر بإلقاء كُرّ فكُرّ عليه حتّى يزول تغيّره فهو إمّا مبنيٌّ على حالة بقاء عين النجاسة في الماء المتغيّر أوّلاً، أو على أنّ أجزاء الأوّل عند شيوعها في الثاني زال حكم الطهوريّة منها ؛ قضاءً لحقُ الإشاعة، لا من جهة التغيّر بالمتغيّر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يمكن أن نقول ببقاء طهوريّته وبقاء نجاسة المتغيّر الأوّل حتّى يزول التغيّر عنهما، فيطهّر الأوّل ويكون المجموع طاهراً</w:t>
      </w:r>
      <w:r>
        <w:rPr>
          <w:rFonts w:eastAsia="Amiri" w:cs="Amiri" w:ascii="Amiri" w:hAnsi="Amiri"/>
          <w:color w:val="111111"/>
          <w:sz w:val="28"/>
          <w:szCs w:val="28"/>
          <w:rtl w:val="true"/>
          <w:lang w:bidi="ar-SA"/>
        </w:rPr>
        <w:t xml:space="preserve">. </w:t>
      </w:r>
      <w:bookmarkStart w:id="189" w:name="pg18988_203211"/>
    </w:p>
    <w:p>
      <w:pPr>
        <w:pStyle w:val="BookText"/>
        <w:rPr/>
      </w:pPr>
      <w:bookmarkEnd w:id="189"/>
      <w:r>
        <w:rPr>
          <w:rFonts w:ascii="Amiri" w:hAnsi="Amiri" w:eastAsia="Amiri" w:cs="Amiri"/>
          <w:color w:val="111111"/>
          <w:sz w:val="28"/>
          <w:sz w:val="28"/>
          <w:szCs w:val="28"/>
          <w:rtl w:val="true"/>
          <w:lang w:bidi="ar-SA"/>
        </w:rPr>
        <w:t>ويمكن أن نقول بتطهيره الأوّل أيضاً وإن بقي وصف التغيير إذا ارتفعت عين النجاسة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به؛ لما دلّ على أنّ الماء طهور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الحكم بصحّة إطلاق التغيّر بالنجاسة عليه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بتنجيس المتغيّر عند حلول النجاسة فيه من جهة تغيّره بالمتغيّر الملاقي، فإنّه ممنوع، وإنّما نحكم بتنجيسه من جهة أنّه ماء تغيّر بعين النجاسة الحالّة فيه، وكلّ ماء تغيّر بذلك فهو نجس من غير حاجةٍ إلى معرفة أنّ هذا التغيّر كان بنفس تلك النجاسة أو بالمتغيّر بها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3197485_1280447820"/>
      <w:bookmarkStart w:id="191" w:name="_Toc69"/>
      <w:bookmarkEnd w:id="190"/>
      <w:r>
        <w:rPr>
          <w:rtl w:val="true"/>
        </w:rPr>
        <w:t>تاسعها</w:t>
      </w:r>
      <w:r>
        <w:rPr>
          <w:rtl w:val="true"/>
        </w:rPr>
        <w:t xml:space="preserve">: </w:t>
      </w:r>
      <w:r>
        <w:rPr>
          <w:rtl w:val="true"/>
        </w:rPr>
        <w:t>لا يشترط في الجاري كُرّيّة نفسه ولا كُرّيّة مادته ولا كُرّيّتهما</w:t>
      </w:r>
      <w:bookmarkEnd w:id="191"/>
    </w:p>
    <w:p>
      <w:pPr>
        <w:pStyle w:val="BookText"/>
        <w:rPr/>
      </w:pPr>
      <w:r>
        <w:rPr>
          <w:rFonts w:ascii="Amiri" w:hAnsi="Amiri" w:eastAsia="Amiri" w:cs="Amiri"/>
          <w:color w:val="111111"/>
          <w:sz w:val="28"/>
          <w:sz w:val="28"/>
          <w:szCs w:val="28"/>
          <w:rtl w:val="true"/>
          <w:lang w:bidi="ar-SA"/>
        </w:rPr>
        <w:t>لا يشترط في الجاري كُرّيّة نفسه ولا كُرّيّة مادته ولا كُرّيّتهما على الأظهر الأشهر؛ للأخبار الدالّة على طهوريّة الماء مطلقاً</w:t>
      </w:r>
      <w:r>
        <w:rPr>
          <w:rStyle w:val="FootnoteAnchor"/>
          <w:rtl w:val="true"/>
        </w:rPr>
        <w:footnoteReference w:id="237"/>
      </w:r>
      <w:r>
        <w:rPr>
          <w:rFonts w:ascii="Amiri" w:hAnsi="Amiri" w:eastAsia="Amiri" w:cs="Amiri"/>
          <w:color w:val="111111"/>
          <w:sz w:val="28"/>
          <w:sz w:val="28"/>
          <w:szCs w:val="28"/>
          <w:rtl w:val="true"/>
          <w:lang w:bidi="ar-SA"/>
        </w:rPr>
        <w:t>، والدالّة على طهوريّته ما لم يتغيّر</w:t>
      </w:r>
      <w:r>
        <w:rPr>
          <w:rStyle w:val="FootnoteAnchor"/>
          <w:rtl w:val="true"/>
        </w:rPr>
        <w:footnoteReference w:id="238"/>
      </w:r>
      <w:r>
        <w:rPr>
          <w:rFonts w:ascii="Amiri" w:hAnsi="Amiri" w:eastAsia="Amiri" w:cs="Amiri"/>
          <w:color w:val="111111"/>
          <w:sz w:val="28"/>
          <w:sz w:val="28"/>
          <w:szCs w:val="28"/>
          <w:rtl w:val="true"/>
          <w:lang w:bidi="ar-SA"/>
        </w:rPr>
        <w:t>، والدالّة على طهوريّة الجاري خصوصاً</w:t>
      </w:r>
      <w:r>
        <w:rPr>
          <w:rStyle w:val="FootnoteAnchor"/>
          <w:rtl w:val="true"/>
        </w:rPr>
        <w:footnoteReference w:id="239"/>
      </w:r>
      <w:r>
        <w:rPr>
          <w:rFonts w:ascii="Amiri" w:hAnsi="Amiri" w:eastAsia="Amiri" w:cs="Amiri"/>
          <w:color w:val="111111"/>
          <w:sz w:val="28"/>
          <w:sz w:val="28"/>
          <w:szCs w:val="28"/>
          <w:rtl w:val="true"/>
          <w:lang w:bidi="ar-SA"/>
        </w:rPr>
        <w:t xml:space="preserve">، والدالّة على طهوريّة ذي المادّة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يفسده شيء لأنّ له مادّة</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طهوريّة ماء الحمّام لأنّه بمنزلة الجاري، ولأنّ له مادّة</w:t>
      </w:r>
      <w:r>
        <w:rPr>
          <w:rStyle w:val="FootnoteAnchor"/>
          <w:rtl w:val="true"/>
        </w:rPr>
        <w:footnoteReference w:id="241"/>
      </w:r>
      <w:r>
        <w:rPr>
          <w:rFonts w:ascii="Amiri" w:hAnsi="Amiri" w:eastAsia="Amiri" w:cs="Amiri"/>
          <w:color w:val="111111"/>
          <w:sz w:val="28"/>
          <w:sz w:val="28"/>
          <w:szCs w:val="28"/>
          <w:rtl w:val="true"/>
          <w:lang w:bidi="ar-SA"/>
        </w:rPr>
        <w:t>، والأخبار النافية للبأس عن الماء الجاري يبال فيه</w:t>
      </w:r>
      <w:r>
        <w:rPr>
          <w:rStyle w:val="FootnoteAnchor"/>
          <w:rtl w:val="true"/>
        </w:rPr>
        <w:footnoteReference w:id="242"/>
      </w:r>
      <w:r>
        <w:rPr>
          <w:rFonts w:ascii="IRNazanin" w:hAnsi="IRNazanin" w:eastAsia="IRNazanin"/>
          <w:color w:val="111111"/>
          <w:sz w:val="28"/>
          <w:sz w:val="28"/>
          <w:szCs w:val="28"/>
          <w:rtl w:val="true"/>
          <w:lang w:bidi="fa-IR"/>
        </w:rPr>
        <w:t>، وللإجماع المنقول</w:t>
      </w:r>
      <w:r>
        <w:rPr>
          <w:rStyle w:val="FootnoteAnchor"/>
          <w:rtl w:val="true"/>
        </w:rPr>
        <w:footnoteReference w:id="243"/>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انحصار المادّة وعدم كونها ممّا تتجدّد بنقصان الماء كان حكم هذا الماء حكم المحقون، فإن بلغ هو كُرّاً، أو هو ومادّته وكان بينهما اتّصالٌ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كاتّصال الرشح 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طهوراً، وإلّا كان كالماء القليل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العلّامة كُرّية الماء الجاري بنفسه، أو هو ومادّته إذا كان بينهما اتّصال عرفيّ</w:t>
      </w:r>
      <w:r>
        <w:rPr>
          <w:rStyle w:val="FootnoteAnchor"/>
          <w:rtl w:val="true"/>
        </w:rPr>
        <w:footnoteReference w:id="244"/>
      </w:r>
      <w:r>
        <w:rPr>
          <w:rFonts w:ascii="Amiri" w:hAnsi="Amiri" w:eastAsia="Amiri" w:cs="Amiri"/>
          <w:color w:val="111111"/>
          <w:sz w:val="28"/>
          <w:sz w:val="28"/>
          <w:szCs w:val="28"/>
          <w:rtl w:val="true"/>
          <w:lang w:bidi="ar-SA"/>
        </w:rPr>
        <w:t>لعموم الأدلّة الدالّة على انفعال ما لم يبلغ كُرّاً، والأدلّة الدالّة على انفعال الماء القليل بالملاقاة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العموم في أدلّة انفعال الماء القليل، سوى عموم المفهوم الناشئ </w:t>
      </w:r>
      <w:bookmarkStart w:id="192" w:name="pg18988_203212"/>
    </w:p>
    <w:p>
      <w:pPr>
        <w:pStyle w:val="BookText"/>
        <w:rPr/>
      </w:pPr>
      <w:bookmarkEnd w:id="192"/>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يحمل خبثاً</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لا يقاوم تلك الأدلّة، على أنّ في عمومه نظراً وتأمّلاً، سيّما في مثل هذا المقام الظاهر في عدم إرادة العموم؛ لابتنائه على جواب السؤال عن الماء الكائن في أراضي الحجاز، وهي في الأغلب غير جارية، بل إمّا مياه غدران، أو أواني، أو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وإن لم يخصّص الجواب لكنّه يوهن عمومَه في أمثال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عمومه وبين عموم أدلّة طهارة الماء مطلقاً عموماً مطلقاً، وشرط التخصيص المقاومة، وبينه وبين أدلّة الجاري عموم من وجه، ويجب الأخذ فيه بالراجح عند التعارض، ولا شكّ أنّ أدلّة الجاري أرجح لاعتضادها بما تقوى به عليه، وكذا بينها وبين ما دلّ على طهوريّة ذي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الرواية المعلّلة لعدم فساد الماء بكونه له مادّة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ليس له، بل لطيب الماء طعماً وريحاً، كالمناقشة في الأخبار النافية للبأس عن البول في الماء الجاري</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لرفع الكراهة لا لبيان الطهوريّة، ضعيفتان لا يُلتفت إليهما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3197487_1280447820"/>
      <w:bookmarkStart w:id="194" w:name="_Toc70"/>
      <w:bookmarkEnd w:id="193"/>
      <w:r>
        <w:rPr>
          <w:rtl w:val="true"/>
        </w:rPr>
        <w:t>عاشرها</w:t>
      </w:r>
      <w:r>
        <w:rPr>
          <w:rtl w:val="true"/>
        </w:rPr>
        <w:t xml:space="preserve">: </w:t>
      </w:r>
      <w:r>
        <w:rPr>
          <w:rtl w:val="true"/>
        </w:rPr>
        <w:t>لو جرى ماء البئر على وجه الأرض أو جَرَت الآبار بعضاً على بعض</w:t>
      </w:r>
      <w:bookmarkEnd w:id="194"/>
    </w:p>
    <w:p>
      <w:pPr>
        <w:pStyle w:val="BookText"/>
        <w:rPr/>
      </w:pPr>
      <w:r>
        <w:rPr>
          <w:rFonts w:ascii="Amiri" w:hAnsi="Amiri" w:eastAsia="Amiri" w:cs="Amiri"/>
          <w:color w:val="111111"/>
          <w:sz w:val="28"/>
          <w:sz w:val="28"/>
          <w:szCs w:val="28"/>
          <w:rtl w:val="true"/>
          <w:lang w:bidi="ar-SA"/>
        </w:rPr>
        <w:t>لو جرى ماء البئر على وجه الأرض أو جَرَت الآبار بعضاً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لها جاذب يجذبها من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الجاري، ولايلحقها حكم البئر على الأظهر</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3197489_1280447820"/>
      <w:bookmarkStart w:id="196" w:name="_Toc71"/>
      <w:bookmarkEnd w:id="195"/>
      <w:r>
        <w:rPr>
          <w:rtl w:val="true"/>
        </w:rPr>
        <w:t>حادي عشرها</w:t>
      </w:r>
      <w:r>
        <w:rPr>
          <w:rtl w:val="true"/>
        </w:rPr>
        <w:t xml:space="preserve">: </w:t>
      </w:r>
      <w:r>
        <w:rPr>
          <w:rtl w:val="true"/>
        </w:rPr>
        <w:t>إذا تغيّر بعض الماء الجاري دون بعض فله صور</w:t>
      </w:r>
      <w:r>
        <w:rPr>
          <w:rtl w:val="true"/>
        </w:rPr>
        <w:t>:</w:t>
      </w:r>
      <w:bookmarkEnd w:id="196"/>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سطوحه متساويةً، ولا يقطع التغيّر عمود الماء، فلا شكّ في نجاسة المتغيّر وطهارة غيره ولو كان دون الكُرّ على المختار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وكان التغيّر قاطعاً عمود الماء عرضاً وعمقاً، وكان المنحدر عن المتغيّر كُرّاً والمتّصل بالمادّة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أيضاً بنجاسة المتغيّر وطهارة الفوق والتحت، وكذا لو كان المتّصل بالمادّة دون الكُرّ على المختار، بل حتّى على كلام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على وجهٍ، وهو أنّ المتّصل بالمادّة أعلى بالقوّة، فلا ينفعل بما تحته من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 أنّ ما تحت الماء المتغيّر دون الكُرّ، والظاهر نجاسته، واتّصاله بالمتغيّر المتّصل بالمادّة غير مُجْدٍ ؛ لأنّ المتغيّر قد أسقط الشارع اعتباره، فلا يؤثّر بالاعتصام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بذلك بعضهم ؛ لصدق أنّه ماء متّصل بالمادّة فلا ينفعل ، ولا أقلّ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الطهارة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قليل لاقى نجساً ، فالأصل تنجّسه ما لم يقطع باعتصامه، ولا قطع عند قطع المتغيّر عمود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تختلف السطوح وكان الماء منحدراً وكان قدر الكُرّ مستوي السطوح، ولا يقطع التغيّر عمود الماء، ولا شكّ في طهارة غير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وكان ما وراء المتغيّر والمتغيّر أعلى ممّا اتصل بالمادّة، وهذا حكمه مبنيّ على صحّة اعتصام الأعلى بالأسفل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وكان ما وراء المتغيّر فقط أعلى ممّا تقدّم، والظاهر هنا طهارته إلّا على القول بانفعال الأعلى من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التغيّر عمود الماء والسطوح مختلفة، وكان المنحدر كُرّاً وما فوق المتغيّر كذلك، فلا شكّ في الطهارة إذا تساوت سطوح قدر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كان كلٌّ من المنحدر وما فوقه أقلّ من كُرّ، والظاهر هنا طهارة ما فوق، ونجاسة المنحدر</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كان المنحدر أعلى من النجاسة، وهذه مبنيّة على انفعال الأعلى بما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الكُرّ بنفسه غير متساوي السطوح، وهذه مبنيّة على أنّ تساوي السطوح شرط في اعتصام الكُرّ أو ليس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فإن بنينا على أنّ تساوي السطوح شرط يتنجّس الكُرّ الغير المستوى السطوح، وإلّا فلا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بالغير المتساوي هو كلّ منحدر من الماء؛ لاجتماع صفة الانحدار مع تساوي السطوح عرفاً، بل مع كونه أعلى، ولو كان كُلّ منحدر من الماء غير متساوي السطوح للزم </w:t>
      </w:r>
      <w:bookmarkStart w:id="197" w:name="pg18988_203214"/>
    </w:p>
    <w:p>
      <w:pPr>
        <w:pStyle w:val="BookText"/>
        <w:rPr/>
      </w:pPr>
      <w:bookmarkEnd w:id="197"/>
      <w:r>
        <w:rPr>
          <w:rFonts w:ascii="Amiri" w:hAnsi="Amiri" w:eastAsia="Amiri" w:cs="Amiri"/>
          <w:color w:val="111111"/>
          <w:sz w:val="28"/>
          <w:sz w:val="28"/>
          <w:szCs w:val="28"/>
          <w:rtl w:val="true"/>
          <w:lang w:bidi="ar-SA"/>
        </w:rPr>
        <w:t>تنجيس الأنهار الكبار والقَنَوات بملاقاة شيء من النجاسة في صدرها؛ لعدم اعتصامها بالمنحدر عنها، فكلّ ما ينحدر يكون نجساً حينئذٍ ما دامت النجاسة باقية في صدرها، بل وعند زوالها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في غير الجاري، وفي الجاري أيضاً على ما ذهب إليه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لعدم خروج كُرّ دفعةٌ يطهر ما بعده غالباً، بل كلّ ما يخرج يتنجّس بما بعده، وهكذا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3197491_1280447820"/>
      <w:bookmarkStart w:id="199" w:name="_Toc72"/>
      <w:bookmarkEnd w:id="198"/>
      <w:r>
        <w:rPr>
          <w:rtl w:val="true"/>
        </w:rPr>
        <w:t>ثاني عشرها</w:t>
      </w:r>
      <w:r>
        <w:rPr>
          <w:rtl w:val="true"/>
        </w:rPr>
        <w:t xml:space="preserve">: </w:t>
      </w:r>
      <w:r>
        <w:rPr>
          <w:rtl w:val="true"/>
        </w:rPr>
        <w:t>يطهر الجاري بزوال التغيّر عنه</w:t>
      </w:r>
      <w:bookmarkEnd w:id="199"/>
    </w:p>
    <w:p>
      <w:pPr>
        <w:pStyle w:val="BookText"/>
        <w:rPr/>
      </w:pPr>
      <w:r>
        <w:rPr>
          <w:rFonts w:ascii="Amiri" w:hAnsi="Amiri" w:eastAsia="Amiri" w:cs="Amiri"/>
          <w:color w:val="111111"/>
          <w:sz w:val="28"/>
          <w:sz w:val="28"/>
          <w:szCs w:val="28"/>
          <w:rtl w:val="true"/>
          <w:lang w:bidi="ar-SA"/>
        </w:rPr>
        <w:t>يطهر الجاري بزوال التغيّر عنه؛ لكفاية الاتّصال على الأظهر؛ لعموم أدلّة طهوريّة الماء، وخصوص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النهر يطهّر بعضه بعضاً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الاتّصال هاهنا بمعنى الامتزاج؛ لأنّ كلّ جزء من النجس يلاقي الطاهر إمّا أن نحكم بطهارته وهكذا فيثبت المطلوب، أو يبقى نجساً ولا معنى له؛ لامتزاجه بآخر جزء من الطاهر، والمفروض أنّ الامتزاج مطهر، أو ينجّس الطاهر ، وهو لا نقول به؛ لأنّ ما له مادّة ينجَّس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واشترط بعضهم</w:t>
      </w:r>
      <w:r>
        <w:rPr>
          <w:rStyle w:val="FootnoteAnchor"/>
          <w:rtl w:val="true"/>
        </w:rPr>
        <w:footnoteReference w:id="252"/>
      </w:r>
      <w:r>
        <w:rPr>
          <w:rFonts w:ascii="Amiri" w:hAnsi="Amiri" w:eastAsia="Amiri" w:cs="Amiri"/>
          <w:color w:val="111111"/>
          <w:sz w:val="28"/>
          <w:sz w:val="28"/>
          <w:szCs w:val="28"/>
          <w:rtl w:val="true"/>
          <w:lang w:bidi="ar-SA"/>
        </w:rPr>
        <w:t>الامتزاجَ إمّا لاشتراطه في التطهير مطلقاً، أو لاشتراطه هاهنا من جهة انخفاض المادّة؛ لأنّ الاتّصال كافٍ مع علوّ المادّة أو مساواتها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لمساواة ما علا من المادّة له، ولصدق الماء الواحد عرفاً عليه، ولأنّ الاتّصال كافٍ مطلقاً بعد صيرورة الماءين ماءً واحداً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ما ذهب إليه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الكُرّية</w:t>
      </w:r>
      <w:r>
        <w:rPr>
          <w:rStyle w:val="FootnoteAnchor"/>
          <w:rtl w:val="true"/>
        </w:rPr>
        <w:footnoteReference w:id="253"/>
      </w:r>
      <w:r>
        <w:rPr>
          <w:rFonts w:ascii="Amiri" w:hAnsi="Amiri" w:eastAsia="Amiri" w:cs="Amiri"/>
          <w:color w:val="111111"/>
          <w:sz w:val="28"/>
          <w:sz w:val="28"/>
          <w:szCs w:val="28"/>
          <w:rtl w:val="true"/>
          <w:lang w:bidi="ar-SA"/>
        </w:rPr>
        <w:t>لابدّ في تطهير الجاري عند زوال تغيّره من بقاء كُرٍّ طاهر غير متغيّرٍ ابتداءٌ يمازج ما تنجّس، أو من إلقاء كُرٍّ من خارج عليه فيمتزج معه، وبدون ذلك لا يطهر؛ لأنّ كلّ ما خرج من المادّة تدريجاً دون الكُرّ يتنجّس بالماء النجس وهكذا، فيبقى على النجاسة بدون أحد الأمرين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يشترط الامتزاج لا يشترط التدافع من المادّة عليه وأغلبيّته له؛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اتّصل ماء واقف بماء جاري اعتصم به، وإن كان نجساً غير متغيّرٍ طهَّره، ولا حاجة إلى الامتزاج إن كان الاتّصال على سبيل تساوي السطوح أو انحدار الواقف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الواقف أعلى، فإن عُدّا ماءً واحداً عرفاً فكذلك، وإلّا فالأظهر عدم اعتصامه به </w:t>
      </w:r>
      <w:bookmarkStart w:id="200" w:name="pg18988_203215"/>
    </w:p>
    <w:p>
      <w:pPr>
        <w:pStyle w:val="BookText"/>
        <w:rPr/>
      </w:pPr>
      <w:bookmarkEnd w:id="200"/>
      <w:r>
        <w:rPr>
          <w:rFonts w:ascii="Amiri" w:hAnsi="Amiri" w:eastAsia="Amiri" w:cs="Amiri"/>
          <w:color w:val="111111"/>
          <w:sz w:val="28"/>
          <w:sz w:val="28"/>
          <w:szCs w:val="28"/>
          <w:rtl w:val="true"/>
          <w:lang w:bidi="ar-SA"/>
        </w:rPr>
        <w:t>وعدم تطهيره به؛ لعموم أدلّة نجاسة الماء القليل في الأوّل، ولاستصحاب النجاسة في الثاني، كما أنّ العالي لا ينجّس بالسافل ولا ينفعل به؛ للأصل، والاستصحاب</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3197493_1280447820"/>
      <w:bookmarkStart w:id="202" w:name="_Toc73"/>
      <w:bookmarkEnd w:id="201"/>
      <w:r>
        <w:rPr>
          <w:rtl w:val="true"/>
        </w:rPr>
        <w:t>بحث فی أنّ ماء الحمّام سبيله سبيل الجاري إذا كان له مادّة</w:t>
      </w:r>
      <w:bookmarkEnd w:id="202"/>
    </w:p>
    <w:p>
      <w:pPr>
        <w:pStyle w:val="Heading6"/>
        <w:numPr>
          <w:ilvl w:val="5"/>
          <w:numId w:val="1"/>
        </w:numPr>
        <w:rPr/>
      </w:pPr>
      <w:bookmarkStart w:id="203" w:name="__RefHeading___Toc13197495_1280447820"/>
      <w:bookmarkStart w:id="204" w:name="_Toc74"/>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ورد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سبيله سبيل الجاري إذا كان له مادّة، وأنه لا بأس به إذا كانت له مادّة</w:t>
      </w:r>
      <w:r>
        <w:rPr>
          <w:rStyle w:val="FootnoteAnchor"/>
          <w:rtl w:val="true"/>
        </w:rPr>
        <w:footnoteReference w:id="254"/>
      </w:r>
      <w:r>
        <w:rPr>
          <w:rFonts w:ascii="Amiri" w:hAnsi="Amiri" w:eastAsia="Amiri" w:cs="Amiri"/>
          <w:color w:val="111111"/>
          <w:sz w:val="28"/>
          <w:sz w:val="28"/>
          <w:szCs w:val="28"/>
          <w:rtl w:val="true"/>
          <w:lang w:bidi="ar-SA"/>
        </w:rPr>
        <w:t>، وورد أنّه كماء النهر يطهّر بعضه بعضاً</w:t>
      </w:r>
      <w:r>
        <w:rPr>
          <w:rStyle w:val="FootnoteAnchor"/>
          <w:rtl w:val="true"/>
        </w:rPr>
        <w:footnoteReference w:id="255"/>
      </w:r>
      <w:r>
        <w:rPr>
          <w:rFonts w:ascii="Amiri" w:hAnsi="Amiri" w:eastAsia="Amiri" w:cs="Amiri"/>
          <w:color w:val="111111"/>
          <w:sz w:val="28"/>
          <w:sz w:val="28"/>
          <w:szCs w:val="28"/>
          <w:rtl w:val="true"/>
          <w:lang w:bidi="ar-SA"/>
        </w:rPr>
        <w:t>، وورد أنّه لا ينجّسه شيء</w:t>
      </w:r>
      <w:r>
        <w:rPr>
          <w:rStyle w:val="FootnoteAnchor"/>
          <w:rtl w:val="true"/>
        </w:rPr>
        <w:footnoteReference w:id="256"/>
      </w:r>
      <w:r>
        <w:rPr>
          <w:rFonts w:ascii="Amiri" w:hAnsi="Amiri" w:eastAsia="Amiri" w:cs="Amiri"/>
          <w:color w:val="111111"/>
          <w:sz w:val="28"/>
          <w:sz w:val="28"/>
          <w:szCs w:val="28"/>
          <w:rtl w:val="true"/>
          <w:lang w:bidi="ar-SA"/>
        </w:rPr>
        <w:t xml:space="preserve">، وورد أنّه طهور، بعد السؤال عن اغتسال مَنْ لا يُعرَف أنّه يهوديّ أو نصرانيّ به، والجنب من غير الجنب </w:t>
      </w:r>
      <w:r>
        <w:rPr>
          <w:rStyle w:val="FootnoteAnchor"/>
          <w:rtl w:val="true"/>
        </w:rPr>
        <w:footnoteReference w:id="257"/>
      </w:r>
      <w:r>
        <w:rPr>
          <w:rFonts w:ascii="Amiri" w:hAnsi="Amiri" w:eastAsia="Amiri" w:cs="Amiri"/>
          <w:color w:val="111111"/>
          <w:sz w:val="28"/>
          <w:sz w:val="28"/>
          <w:szCs w:val="28"/>
          <w:rtl w:val="true"/>
          <w:lang w:bidi="ar-SA"/>
        </w:rPr>
        <w:t>، وورد نفي البأس عن مائه بعد استعمال الجنب له ومساورته له واغتساله فيه</w:t>
      </w:r>
      <w:r>
        <w:rPr>
          <w:rStyle w:val="FootnoteAnchor"/>
          <w:rtl w:val="true"/>
        </w:rPr>
        <w:footnoteReference w:id="25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جملةٍ من كلام الأصحاب</w:t>
      </w:r>
      <w:r>
        <w:rPr>
          <w:rStyle w:val="FootnoteAnchor"/>
          <w:rtl w:val="true"/>
        </w:rPr>
        <w:footnoteReference w:id="25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كماء الجاري 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بالحمّام في الأخبار وفي كلام الأخيار هو ما يُسمّى حمّاماً عرفاً، سواء جمع جميع الأماكن المعلومة له من المسلخ والنورة خانه والحوض الكبير والبيت الداخل والبيوت الصغار والخزانة وبيتها والحياض الكبار المتوسّطة والحوض الصغير وغير ذلك، أو نقص عن ذلك إلى أن ينتهي إلى حوض الماء المسخّن والبيت المشتمل عليه للجلوس وإزالة الوسخ، وسواء كان مبنيّاً في دارٍ أو في محلّة، مستقلّ بنفسه أو كان محمولاً كما تحمله العظام من الأُمراء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النصّ إطلاقاً والفتوى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الكائن في الحياض الصغار، لا الماء المرشوش في الأرض، ولا ماء الغسالة المجتمع في الجِيّة، ولا الماء البارد الكائن في المِحْرز، ولا الماء الحارّ المستمدّ منه الماء إلى الحياض الصغار؛ لانصراف الإطلاق إلى ذلك، ولقضاء قرائن السؤال والجواب بذلك، وكذا التعليل بالمادّة وتشبيهه بالجاري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Style w:val="FootnoteAnchor"/>
          <w:rtl w:val="true"/>
        </w:rPr>
        <w:footnoteReference w:id="260"/>
      </w:r>
      <w:r>
        <w:rPr>
          <w:rFonts w:ascii="Amiri" w:hAnsi="Amiri" w:eastAsia="Amiri" w:cs="Amiri"/>
          <w:color w:val="111111"/>
          <w:sz w:val="28"/>
          <w:sz w:val="28"/>
          <w:szCs w:val="28"/>
          <w:rtl w:val="true"/>
          <w:lang w:bidi="ar-SA"/>
        </w:rPr>
        <w:t>دلالة على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تشعر به الأخبار من إرادة ماء أرضه أو الماء المتقاطر ممن اغتسل فيه أو غير ذلك لا يصلح المعارضة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بشموله للحوض الكبير، ويكون التساؤل عنه من جهة كثرة</w:t>
      </w:r>
      <w:r>
        <w:rPr>
          <w:rStyle w:val="FootnoteAnchor"/>
          <w:rtl w:val="true"/>
        </w:rPr>
        <w:footnoteReference w:id="261"/>
      </w:r>
      <w:r>
        <w:rPr>
          <w:rFonts w:ascii="Amiri" w:hAnsi="Amiri" w:eastAsia="Amiri" w:cs="Amiri"/>
          <w:color w:val="111111"/>
          <w:sz w:val="28"/>
          <w:sz w:val="28"/>
          <w:szCs w:val="28"/>
          <w:rtl w:val="true"/>
          <w:lang w:bidi="ar-SA"/>
        </w:rPr>
        <w:t>تردّد الناس إليه، وكثرة استعمال المجنبين له، وكثرة حلول الأوساخ فيه، وإن كان في الأغلب يبلغ كُرّاً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تعليله بالمادّة وتشبيهه بالجاري ممّا يُبعّد ذلك ؛ لانقطاع الحوض الكبير عن مادّته غالباً، كما نراه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التعليل بالمادة وتشبيهه بالجاري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بذلك مخصوص بحال اتّصال ماء الحياض الصغار بالمادّة، فلو انقطع عنها كان حكمه حكم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ذلك فهل يشترط في طهوريّة ماء الحياض عند اتصالها بالمادّة كُرّيّة المادّة، أو يكفي كُرّيّة المجموع، أو يكفي مسمّى المادّة وإن نقص المجموع منها ومن ماء الحياض عن الكُرّيّة؟ وعلى أيّ تقدير فهل يشترط استواء السطوح بين المادّة وبين ماء الحياض، أو لا يشترط ذلك، بل يكفي كونها أعلى تسريحيّاً أو تسنيميّاً بل وكونها أسفل؟ وجوه واحتمالات، وفي منها أقوال،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بلوغ المجموع كُراً إذا تساوت السطوح أو كانت المادّة أعلى تسنيميّاً أو تسريحيّاً؛ لعموم أدلّة طهوريّة الماء، وخصوص أدلّة طهوريّة ماء الحمّام، السالمة عن معارضة أدلّة انفعال ماء القليل مفهوماً ومنطوقاً؛ لضعفها أوّلاً عن مقاومتها بعد أن كان بينها عموم من وجه، ويجب فيه تقديم الراجح؛ ولعدم شمولها للبالغ كُرّاً عند اجتماعه مع المادّة؛ لصدق الكُرّيّة عليه عرفاً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عدم صدق الكُرّيّة عليه باعتبار تعدّد محلّه، وشرط الكُرّ في عدم الانفعال وحدة الماء، وعدم صدق أنّهما ماءان عرفاً ضعيف؛ لأنّه مع تساوي السطوح لا شبهة في كونه ماءً واحداً عرفاً، ومع علوّ المادّة فهو إمّا كذلك سيّما في التسريحي، أو أقوى من ذلك؛ لاعتصام السافل بالعالي وقوّة العالي عليه، فيشكّ في شمول أدلّة انفعال الماء القليل للمجتمع على ذلك النحو؛ لانصراف المفهوم في أخبار الكُرّ لغير المجتمع مطلقاً، وموردها أيضاً المياه المتفرّقة في الأواني والحياض الغير البالغة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الشكّ في اعتصام العالي بالسافل وفي قوّته به لقُلنا بعدم انفعال العالي إذا بلغ مع السافل كُرّاً، ولقلنا بعدم تنجيس العالي القليل إذا كان متّصلاً بالجاري وشبهه على نحو المساواة، أو على نحو علوّ الواقف عليه، بل ولقلنا بتطهير السافل للعالي المتنجّس إذا اتّصل به على أيّ نحوٍ من أنحاء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لا نقول ذلك؛ لأنّ السافل لا يعصم العالي، ولا ينفعل العالي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إلى كفاية الاتّصال بالمادّة في عدم الانفعال ولو لم يبلغ مجموع ماء المادّة والحياض كُرّاً؛ تمسّكاً بعموم أدلّة طهورية ماء الحمّام إذا كانت له مادّة، وبإطلاقات الأصحاب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بينها عموم من وجه والترجيح لجانب أدلّة انفعال القليل؛ لقوّتها بفتوى المشهور وعمل الجمهور، والاحتياط، وظهور ماء الحمّام في البالغ كُرّاً فما زاد؛ لندرة الناقص عن كُرٍّ إطلاقاً ومصداقاً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كثير من المتأخّرين اشتراط كُرّيّة المادة حين اتّصالها بالحياض الملاقية للنجاسة</w:t>
      </w:r>
      <w:r>
        <w:rPr>
          <w:rStyle w:val="FootnoteAnchor"/>
          <w:rtl w:val="true"/>
        </w:rPr>
        <w:footnoteReference w:id="263"/>
      </w:r>
      <w:r>
        <w:rPr>
          <w:rFonts w:ascii="Amiri" w:hAnsi="Amiri" w:eastAsia="Amiri" w:cs="Amiri"/>
          <w:color w:val="111111"/>
          <w:sz w:val="28"/>
          <w:sz w:val="28"/>
          <w:szCs w:val="28"/>
          <w:rtl w:val="true"/>
          <w:lang w:bidi="ar-SA"/>
        </w:rPr>
        <w:t>استناداً لعدم وحدة الماء وتعدّده، فلا يعتصم الحوض الصغير إلّا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مع تساوي السطوح لا معنى له؛ لاكتفاء جملة منهم في غير الحمّام لبلوغها كُرّاً باستواء سطوح المياه إذا تعدّدت محالّها، فإن لم يكن الحمّام أخفّ فلا يكون أشدّ، وفي مختلف السطوح بتسنّمٍ وانحدارٍ، وإن أمكن الميل إليه؛ لشبهة أنّهما ماءان عرفاً، لكنّا لا نرتضيه أيضاً؛ لأنّ الأقوى كونهما ماءٌ واحداً عرفاً، فيعتصم السافل بالعالي مطلقاً؛ لضعفه وقوّة العالي عليه، بل ويعتصم مطلقاً لولا ضعف السافل، فيقع الإشكال من جهته، ويحصل الشكّ فيما إذا تنجّس العالي في اعتصامه بالسافل للشكّ في دخوله تحت إطلاق الكُرّ المحكوم بطهارته؛ لعدم العموم المحقّق بأنّ كلّ كُرٍّ على أيّ نحوٍ من أنحاء الوضع وأنحاء الملاقاة لم يحمل خبثاً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كلام كثيرٍ منهم على خصوص العالي بتسنّمٍ، كما هو الغالب في ماء الحمّام، فيهون الأمر، أو يُحمل على اشتراط الكُرّيّة في الرفع عند نجاسة الحياض دون الدفع، أو يُحمل اشتراطها على المحافظة على عدم النقصان عن الكُرّ من المجموع منها ومن الحياض الصغار</w:t>
      </w:r>
      <w:r>
        <w:rPr>
          <w:rFonts w:eastAsia="Amiri" w:cs="Amiri" w:ascii="Amiri" w:hAnsi="Amiri"/>
          <w:color w:val="111111"/>
          <w:sz w:val="28"/>
          <w:szCs w:val="28"/>
          <w:rtl w:val="true"/>
          <w:lang w:bidi="ar-SA"/>
        </w:rPr>
        <w:t xml:space="preserve">. </w:t>
      </w:r>
      <w:bookmarkStart w:id="205" w:name="pg18988_203218"/>
    </w:p>
    <w:p>
      <w:pPr>
        <w:pStyle w:val="Heading6"/>
        <w:numPr>
          <w:ilvl w:val="5"/>
          <w:numId w:val="1"/>
        </w:numPr>
        <w:rPr/>
      </w:pPr>
      <w:bookmarkStart w:id="206" w:name="__RefHeading___Toc13197497_1280447820"/>
      <w:bookmarkStart w:id="207" w:name="_Toc75"/>
      <w:bookmarkEnd w:id="205"/>
      <w:bookmarkEnd w:id="206"/>
      <w:r>
        <w:rPr>
          <w:rtl w:val="true"/>
        </w:rPr>
        <w:t>فوائد</w:t>
      </w:r>
      <w:r>
        <w:rPr>
          <w:rtl w:val="true"/>
        </w:rPr>
        <w:t>:</w:t>
      </w:r>
      <w:bookmarkEnd w:id="207"/>
    </w:p>
    <w:p>
      <w:pPr>
        <w:pStyle w:val="Heading6"/>
        <w:numPr>
          <w:ilvl w:val="5"/>
          <w:numId w:val="1"/>
        </w:numPr>
        <w:rPr/>
      </w:pPr>
      <w:bookmarkStart w:id="208" w:name="__RefHeading___Toc13197499_1280447820"/>
      <w:bookmarkStart w:id="209" w:name="_Toc76"/>
      <w:bookmarkEnd w:id="208"/>
      <w:r>
        <w:rPr>
          <w:rtl w:val="true"/>
        </w:rPr>
        <w:t>الأُولى</w:t>
      </w:r>
      <w:r>
        <w:rPr>
          <w:rtl w:val="true"/>
        </w:rPr>
        <w:t xml:space="preserve">: </w:t>
      </w:r>
      <w:r>
        <w:rPr>
          <w:rtl w:val="true"/>
        </w:rPr>
        <w:t>لو شكّ ببلوغ مجموع ماء المادّة والحياض الكُرّيّة، أو شكّ في كُرّيّة المادّة</w:t>
      </w:r>
      <w:bookmarkEnd w:id="209"/>
    </w:p>
    <w:p>
      <w:pPr>
        <w:pStyle w:val="BookText"/>
        <w:rPr/>
      </w:pPr>
      <w:r>
        <w:rPr>
          <w:rFonts w:ascii="Amiri" w:hAnsi="Amiri" w:eastAsia="Amiri" w:cs="Amiri"/>
          <w:color w:val="111111"/>
          <w:sz w:val="28"/>
          <w:sz w:val="28"/>
          <w:szCs w:val="28"/>
          <w:rtl w:val="true"/>
          <w:lang w:bidi="ar-SA"/>
        </w:rPr>
        <w:t>لو شكّ ببلوغ مجموع ماء المادّة والحياض الكُرّيّة، أو شكّ في كُرّيّة المادّة بناءً على اشتراطها، فالأظهر أنّه إن علم الحالة المتقدّمة استصحبها، سواء قضت بتطهيرٍ أو تنجيسٍ، واستصحاب الموضوع حاكم على أصل الطهارة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حالته الأوّلية، فالأظهر الحكم هنا بالكُرّيّة؛ عملاً بالظاهر المعتضد بأصل الطهارة، وبعمل المسلمين؛ لاستعمالهم ذلك من غير سؤالٍ عن المادّة واختبارٍ لها من أحدٍ، ويكون الحمّام ممتازاً عن غيره بهذه الخصوصيّة؛ للزوم السؤالٍ في غيره تحكيماً لأصالة عدم الكُرّيّة حتّى في الماء المشكوك به ابتداءً، الغير المعلوم حاله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الخصوصيّة في الأخبار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الشكّ بالكُرّيّة حالة الاتصال بالمادّة، أو حالة الانقطاع وتنجيس الحوض الصغير؛ للسيرة، وعمل المسلمين</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3197501_1280447820"/>
      <w:bookmarkStart w:id="211" w:name="_Toc77"/>
      <w:bookmarkEnd w:id="210"/>
      <w:r>
        <w:rPr>
          <w:rtl w:val="true"/>
        </w:rPr>
        <w:t>الثانية</w:t>
      </w:r>
      <w:r>
        <w:rPr>
          <w:rtl w:val="true"/>
        </w:rPr>
        <w:t xml:space="preserve">: </w:t>
      </w:r>
      <w:r>
        <w:rPr>
          <w:rtl w:val="true"/>
        </w:rPr>
        <w:t>تثبت الكُرّيّة عند الشكّ بشاهدَيْن أو شاهدٍ واحد على الأظهر مع العدالة في الكلّ، وتثبت بقول صاحب الحمّام؛ لأنّه ذو يدٍ</w:t>
      </w:r>
      <w:r>
        <w:rPr>
          <w:rtl w:val="true"/>
        </w:rPr>
        <w:t>.</w:t>
      </w:r>
      <w:bookmarkEnd w:id="211"/>
    </w:p>
    <w:p>
      <w:pPr>
        <w:pStyle w:val="Heading6"/>
        <w:numPr>
          <w:ilvl w:val="5"/>
          <w:numId w:val="1"/>
        </w:numPr>
        <w:rPr/>
      </w:pPr>
      <w:bookmarkStart w:id="212" w:name="__RefHeading___Toc13197503_1280447820"/>
      <w:bookmarkStart w:id="213" w:name="_Toc78"/>
      <w:bookmarkEnd w:id="212"/>
      <w:r>
        <w:rPr>
          <w:rtl w:val="true"/>
        </w:rPr>
        <w:t>الثالثة</w:t>
      </w:r>
      <w:r>
        <w:rPr>
          <w:rtl w:val="true"/>
        </w:rPr>
        <w:t xml:space="preserve">: </w:t>
      </w:r>
      <w:r>
        <w:rPr>
          <w:rtl w:val="true"/>
        </w:rPr>
        <w:t>إذا تنجّس الحوض الصغير، كفى اتّصاله بالمادّة</w:t>
      </w:r>
      <w:bookmarkEnd w:id="213"/>
    </w:p>
    <w:p>
      <w:pPr>
        <w:pStyle w:val="BookText"/>
        <w:rPr/>
      </w:pPr>
      <w:r>
        <w:rPr>
          <w:rFonts w:ascii="Amiri" w:hAnsi="Amiri" w:eastAsia="Amiri" w:cs="Amiri"/>
          <w:color w:val="111111"/>
          <w:sz w:val="28"/>
          <w:sz w:val="28"/>
          <w:szCs w:val="28"/>
          <w:rtl w:val="true"/>
          <w:lang w:bidi="ar-SA"/>
        </w:rPr>
        <w:t>إذا تنجّس الحوض الصغير، كفى اتّصاله بالمادّة إذا كانت كُرّاً، أو كان مشكوكاً بكُرّيّتها مع العلم بها سابقاً، أو مطلقاً على الأظهر، وعليه عمل المسلمين في جميع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بعدم بلوغها الكُرّيّة لم تؤثّر تطهيراً</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3197505_1280447820"/>
      <w:bookmarkStart w:id="215" w:name="_Toc79"/>
      <w:bookmarkEnd w:id="214"/>
      <w:r>
        <w:rPr>
          <w:rtl w:val="true"/>
        </w:rPr>
        <w:t xml:space="preserve">الرابعة </w:t>
      </w:r>
      <w:r>
        <w:rPr>
          <w:rtl w:val="true"/>
        </w:rPr>
        <w:t xml:space="preserve">: </w:t>
      </w:r>
      <w:r>
        <w:rPr>
          <w:rtl w:val="true"/>
        </w:rPr>
        <w:t>يكفي في التطهير نفس الاتّصال</w:t>
      </w:r>
      <w:bookmarkEnd w:id="215"/>
    </w:p>
    <w:p>
      <w:pPr>
        <w:pStyle w:val="BookText"/>
        <w:rPr/>
      </w:pPr>
      <w:r>
        <w:rPr>
          <w:rFonts w:ascii="IRNazanin" w:hAnsi="IRNazanin" w:eastAsia="IRNazanin"/>
          <w:color w:val="111111"/>
          <w:sz w:val="28"/>
          <w:sz w:val="28"/>
          <w:szCs w:val="28"/>
          <w:rtl w:val="true"/>
          <w:lang w:bidi="fa-IR"/>
        </w:rPr>
        <w:t>يكفي في التطهير نفس الاتّصال ولا يشترط الممازجة ولا الإلقاء دفعةً، كما فی غير الحمّام من المياه عند تطهيرها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تخيّل بعضهم</w:t>
      </w:r>
      <w:r>
        <w:rPr>
          <w:rStyle w:val="FootnoteAnchor"/>
          <w:rtl w:val="true"/>
        </w:rPr>
        <w:footnoteReference w:id="264"/>
      </w:r>
      <w:r>
        <w:rPr>
          <w:rFonts w:ascii="Amiri" w:hAnsi="Amiri" w:eastAsia="Amiri" w:cs="Amiri"/>
          <w:color w:val="111111"/>
          <w:sz w:val="28"/>
          <w:sz w:val="28"/>
          <w:szCs w:val="28"/>
          <w:rtl w:val="true"/>
          <w:lang w:bidi="ar-SA"/>
        </w:rPr>
        <w:t>أنّ للحمّام هاهنا خصوصيّةً بعدم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3197507_1280447820"/>
      <w:bookmarkStart w:id="217" w:name="_Toc80"/>
      <w:bookmarkEnd w:id="216"/>
      <w:r>
        <w:rPr>
          <w:rtl w:val="true"/>
        </w:rPr>
        <w:t>الخامسة</w:t>
      </w:r>
      <w:r>
        <w:rPr>
          <w:rtl w:val="true"/>
        </w:rPr>
        <w:t xml:space="preserve">: </w:t>
      </w:r>
      <w:r>
        <w:rPr>
          <w:rtl w:val="true"/>
        </w:rPr>
        <w:t>لا يشترط زيادة المادّة على الكُرّ عند اتّصالها بالحياض في دفع النجاسة عند الملاقاة</w:t>
      </w:r>
      <w:bookmarkEnd w:id="2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زيادة المادّة على الكُرّ عند اتّصالها بالحياض في دفع النجاسة عند الملاقاة، ولا في رفعها للنجاسة بعد حصولها بملاقاة الحوض الصغير لها؛ لعموم طهوريّة الماء كتاباً وسنّةً، ولصيرورة الجميع ماءً واحداً، ولأنّ ممازج المتّصل لما اتّصل به وهكذا ما اتّصل به ممازجٌللذي بعده وهكذا</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فاشتراط بعضهم</w:t>
      </w:r>
      <w:r>
        <w:rPr>
          <w:rStyle w:val="FootnoteAnchor"/>
          <w:rtl w:val="true"/>
        </w:rPr>
        <w:footnoteReference w:id="265"/>
      </w:r>
      <w:r>
        <w:rPr>
          <w:rFonts w:ascii="Amiri" w:hAnsi="Amiri" w:eastAsia="Amiri" w:cs="Amiri"/>
          <w:color w:val="111111"/>
          <w:sz w:val="28"/>
          <w:sz w:val="28"/>
          <w:szCs w:val="28"/>
          <w:rtl w:val="true"/>
          <w:lang w:bidi="ar-SA"/>
        </w:rPr>
        <w:t>في الرفع زيادة المادّة على ما يحصل به الامتزاج مع ماء الحوض الصغير، أو زيادتها على ما يحصل به الاتّصال معه، أو زيادتها بمقدار ما في الساقية وما بعدها إلى أن يتّصل بالحوض ضعيفٌ مبنيٌّ على ضعيفٍ</w:t>
      </w:r>
      <w:r>
        <w:rPr>
          <w:rFonts w:eastAsia="Amiri" w:cs="Amiri" w:ascii="Amiri" w:hAnsi="Amiri"/>
          <w:color w:val="111111"/>
          <w:sz w:val="28"/>
          <w:szCs w:val="28"/>
          <w:rtl w:val="true"/>
          <w:lang w:bidi="ar-SA"/>
        </w:rPr>
        <w:t xml:space="preserve">. </w:t>
      </w:r>
      <w:bookmarkStart w:id="218" w:name="pg18988_203220"/>
    </w:p>
    <w:p>
      <w:pPr>
        <w:pStyle w:val="Heading4"/>
        <w:numPr>
          <w:ilvl w:val="3"/>
          <w:numId w:val="1"/>
        </w:numPr>
        <w:rPr/>
      </w:pPr>
      <w:bookmarkStart w:id="219" w:name="__RefHeading___Toc13197509_1280447820"/>
      <w:bookmarkStart w:id="220" w:name="_Toc81"/>
      <w:bookmarkEnd w:id="218"/>
      <w:bookmarkEnd w:id="219"/>
      <w:r>
        <w:rPr>
          <w:rtl w:val="true"/>
        </w:rPr>
        <w:t>بحث في أحكام الماء القليل</w:t>
      </w:r>
      <w:bookmarkEnd w:id="220"/>
    </w:p>
    <w:p>
      <w:pPr>
        <w:pStyle w:val="Heading5"/>
        <w:numPr>
          <w:ilvl w:val="4"/>
          <w:numId w:val="1"/>
        </w:numPr>
        <w:rPr/>
      </w:pPr>
      <w:bookmarkStart w:id="221" w:name="__RefHeading___Toc13197511_1280447820"/>
      <w:bookmarkStart w:id="222" w:name="_Toc82"/>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ينجس ما دون الكُرّ بملاقاة النجاسة؛ للإجماع المنقول</w:t>
      </w:r>
      <w:r>
        <w:rPr>
          <w:rStyle w:val="FootnoteAnchor"/>
          <w:rtl w:val="true"/>
        </w:rPr>
        <w:footnoteReference w:id="266"/>
      </w:r>
      <w:r>
        <w:rPr>
          <w:rFonts w:ascii="Amiri" w:hAnsi="Amiri" w:eastAsia="Amiri" w:cs="Amiri"/>
          <w:color w:val="111111"/>
          <w:sz w:val="28"/>
          <w:sz w:val="28"/>
          <w:szCs w:val="28"/>
          <w:rtl w:val="true"/>
          <w:lang w:bidi="ar-SA"/>
        </w:rPr>
        <w:t>والشهرة المحصّلة، بل ربما يدّعى الإجماع المحصّل، وخصوص الإجماع المنقول على نجاسة سؤر اليهودي والنصراني</w:t>
      </w:r>
      <w:r>
        <w:rPr>
          <w:rStyle w:val="FootnoteAnchor"/>
          <w:rtl w:val="true"/>
        </w:rPr>
        <w:footnoteReference w:id="267"/>
      </w:r>
      <w:r>
        <w:rPr>
          <w:rFonts w:ascii="IRNazanin" w:hAnsi="IRNazanin" w:eastAsia="IRNazanin"/>
          <w:color w:val="111111"/>
          <w:sz w:val="28"/>
          <w:sz w:val="28"/>
          <w:szCs w:val="28"/>
          <w:rtl w:val="true"/>
          <w:lang w:bidi="fa-IR"/>
        </w:rPr>
        <w:t xml:space="preserve">، والإجماع على غسل الإناء من الولوغ ثلاثاً </w:t>
      </w:r>
      <w:r>
        <w:rPr>
          <w:rStyle w:val="FootnoteAnchor"/>
          <w:rtl w:val="true"/>
        </w:rPr>
        <w:footnoteReference w:id="268"/>
      </w:r>
      <w:r>
        <w:rPr>
          <w:rFonts w:ascii="Amiri" w:hAnsi="Amiri" w:eastAsia="Amiri" w:cs="Amiri"/>
          <w:color w:val="111111"/>
          <w:sz w:val="28"/>
          <w:sz w:val="28"/>
          <w:szCs w:val="28"/>
          <w:rtl w:val="true"/>
          <w:lang w:bidi="ar-SA"/>
        </w:rPr>
        <w:t>فإنّهما بإطلاقهما شاملان لما إذا كان المائع ماءً أو غيره، والإجماع المنقول على نجاسة ما يغتسل به الجنب إذا كانت على بدنه نجاسة</w:t>
      </w:r>
      <w:r>
        <w:rPr>
          <w:rStyle w:val="FootnoteAnchor"/>
          <w:rtl w:val="true"/>
        </w:rPr>
        <w:footnoteReference w:id="269"/>
      </w:r>
      <w:r>
        <w:rPr>
          <w:rFonts w:ascii="Amiri" w:hAnsi="Amiri" w:eastAsia="Amiri" w:cs="Amiri"/>
          <w:color w:val="111111"/>
          <w:sz w:val="28"/>
          <w:sz w:val="28"/>
          <w:szCs w:val="28"/>
          <w:rtl w:val="true"/>
          <w:lang w:bidi="ar-SA"/>
        </w:rPr>
        <w:t>، والإجماع المنقول على سلب الطهوريّة عن الماء المزيل للنجاسة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المتواترة معنىً في الدلالة على التنجيس؛ لدلالة كلّ خبر منها على معنى يلزمه التنجيس لما يفهم شرعاً من لزوم وصف النجاسة لتلك الآثار ، كالنهي عن الوضوء منه، والأمر بغَسْل الإناء من سؤر الكلب، في روايةٍ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بغسله منه، في أُخرى</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بغسله لسبع فيما شرب منه الخنزير، في ثالثةٍ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ونهيه عن الوضوء من ماء قطرت فيه قطرة من رعاف، في رابعةٍ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وتقييده بما إذا كانت اليد نظيفة للأخذ من الماء القليل في الساقية، في خامسةٍ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البأس عن إدخال اليد في الإناء قبل غسلها إذا لم يصب يده شيء، في سادسةٍ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بكفئ الإناء إذا أُدخلت فيه اليد القذرة، في سابعةٍ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وتشبيه ماء الحمّام بالجاري، فيُفهم منه أنّ غير الجاري ينفعل، في ثامنةٍ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وتعليله بأنّ له مادّة فيُفهم منه أنّ ما لا مادّة له ينفعل بالملاقاة، في تاسعةٍ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عن سؤر اليهودي والنصراني، في عاشرةٍ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البأس عن إدخال اليد في الإناء إذا لم يصبها شيء من منيّ، في حادية عشر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عن الوضوء في ماء قد شرب منه طير في منقاره ،دم في ثانية عشر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بإعادة الوضوء وغَسْل الثياب لمن توضّأ بماء قد وقعت فيه فأرة فماتت ، في ثالثة عشر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بإهراق الماء لمن أدخل يده في إناء وفيها منيّ أو بول، في رابعة عشر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بالإهراق لمن أدخل إصبعه في رَكْوَةٍ وكانت قذرةً، في خامسة عشر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بإهراق الماء في ولوغ الكلب، في سادسة عشر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بصبّه، في سابعة عشر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بتنجيس الحبّ من النبيذ في ثامنة عشر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والأمر بإهراق الحبّ إذا قطرت فيه قطرة من مسكر، في تاسعة عشر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عدم صلاحيّة ماء الحبّ للشرب والوضوء إذا وقع فيه أوقية بول، في العشرين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بإهراق الماء والتيمّم عند سقوط قذر في أحد الإناءين، في الحادية والعشرين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المتضمّنة لحكم التنجيس بالملازمة الشرعيّة، ولا قائل بالفرق بين أنواع النجاسات؛ لأنّ العاصم للماء القليل عاصم له بجميع أنواعه من كلّ النجاسات، على أنّ في جملةٍ منها ترك الاستفصال وترك التفصيل في مقام البيان، وهو يفيد العموم، إلّا أنّ في شمولها للكيفيّة في التنجيس من ورود النجاسة على الماء أو وروده عليها محلّ بحثٍ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وللأخبار</w:t>
      </w:r>
      <w:r>
        <w:rPr>
          <w:rStyle w:val="FootnoteAnchor"/>
          <w:rtl w:val="true"/>
        </w:rPr>
        <w:footnoteReference w:id="292"/>
      </w:r>
      <w:r>
        <w:rPr>
          <w:rFonts w:ascii="Amiri" w:hAnsi="Amiri" w:eastAsia="Amiri" w:cs="Amiri"/>
          <w:color w:val="111111"/>
          <w:sz w:val="28"/>
          <w:sz w:val="28"/>
          <w:szCs w:val="28"/>
          <w:rtl w:val="true"/>
          <w:lang w:bidi="ar-SA"/>
        </w:rPr>
        <w:t>الدالّة على عدم انفعال الماء بالنجاسة والخبث إذا بلغ كُرّاً؛ فإنّها تقضي بمفهومها بنجاسة الأقلّ من الكُرّ وتحمّله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معتبرةٌ حتّى ادّعي تواترها، ومستفيضة قطعاً، و معمول عليها بين الطائفة، وموافقةٌ للاحتياط</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المفهوم مطلقاً، أو عدم حجّيّته إذا احتُملت فائدة أُخرى غيره، وهي هنا محتملة؛ لاحتمال أنّ التنصيص على الكُرّ لكونه أقوى في دفع القذارة من التغيّر بها ومن سلب الإطلاق عن مائه عند مخالطته لها، أو غير ذلك، أو عدم عموم المفهوم فيكفي فيه السلب الجزئي، أو عدم عمومه لعدم عموم منطوقه إمّا لعدم عموم السؤر فيه، أو عدم عموم الكُرّ فيه، أو لعدم عموم جواب الشرط بالنسبة إلى الخبث، أو لعدم عموم الخبث المقدّر المفهوم؛ لأنّه نقيض عموم المنطوق فيكفي فيه ثبوت طبيعة الخبث، أو عدم ثبوت إرادة المعنى الشرعي من لفظ النجاسة والخبث، فلعلّ المراد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جدّاً؛ لأنّ الظاهر من الأخبار ومن قرائن السؤال والجواب ضبط قاعدة كلّيّة فيما لا ينفعل من المياه؛ لأنّ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 عن قدر الماء الذي لا ينجّسه شيء، فأجاب بأنّه كُرٌّ</w:t>
      </w:r>
      <w:r>
        <w:rPr>
          <w:rStyle w:val="FootnoteAnchor"/>
          <w:rtl w:val="true"/>
        </w:rPr>
        <w:footnoteReference w:id="293"/>
      </w:r>
      <w:r>
        <w:rPr>
          <w:rFonts w:ascii="Amiri" w:hAnsi="Amiri" w:eastAsia="Amiri" w:cs="Amiri"/>
          <w:color w:val="111111"/>
          <w:sz w:val="28"/>
          <w:sz w:val="28"/>
          <w:szCs w:val="28"/>
          <w:rtl w:val="true"/>
          <w:lang w:bidi="ar-SA"/>
        </w:rPr>
        <w:t>، والمأتيّ به في مقام القاعدة والبيان يقضي بالعموم وإن كان من سور الإهمال على أنّ ترك التفصيل في جملة منها ممّا يقضي بالعموم أيضاً، و إلّا لزم الإغراء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حمل الماء على معيّنٍ ترجيحٌ من دون مرجّحٍ، وحمله على واحدٍ مّا يعود باللغو على كلام الحكيم، فليس إلّا الحمل على الطبيعة المفيدة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لفظ الماء للمسؤول عنه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كمياه الغدران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اللام للعهد، لا وجه لها لخلوّ أكثر الأخبار عن السؤال عن ذلك، ولظهور ما فيه السؤال بإرادة بيان ضبط قانون لأصل حكم الماء، لا للماء المسؤول عنه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فتفيد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الظاهر منهما المعنى الشرعي في لسان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 كون النجاسة حقيقةً شرعيّة في ذلك الزمان، وكون المحتاج إلى البيان هو الخبث الشرعي وهو النجاسة، دون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ولثبوت حجّيّة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احتمال الفائدة لا تسقطه عن الحجّيّة، وإلّا لبطل المفهوم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ظهورها مسقط، وهو هاهنا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ولثبوت عموم المفهوم عرفاً كما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ولثبوت عمومه على نحو عموم المنطوق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ولثبوت عموم الخبث بالمفهوم من جهة عدم القول بالفصل إلّا بالنسبة للفرق بين الورودين، كما يأتي إن شاء الله تعالى، أو من جهة فهم أنّ الكُرّ علّة في التطهير وجوداً وعدماً، أو من جهة فهم عموم لفظ الخبث فيه كما هو في المنطوق، للمقابلة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ضعف ما أُورد على الرواية مفهوماً ومنطوقاً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احتجّ به ابن أبي عقيل</w:t>
      </w:r>
      <w:r>
        <w:rPr>
          <w:rStyle w:val="FootnoteAnchor"/>
          <w:rtl w:val="true"/>
        </w:rPr>
        <w:footnoteReference w:id="294"/>
      </w:r>
      <w:r>
        <w:rPr>
          <w:rFonts w:ascii="Amiri" w:hAnsi="Amiri" w:eastAsia="Amiri" w:cs="Amiri"/>
          <w:color w:val="111111"/>
          <w:sz w:val="28"/>
          <w:sz w:val="28"/>
          <w:szCs w:val="28"/>
          <w:rtl w:val="true"/>
          <w:lang w:bidi="ar-SA"/>
        </w:rPr>
        <w:t>من عمومات أدلّة طهارة الماء كتاباً وسنّةً نبويّة وإماميّة،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مخصوصة بما ذكرناه؛ لقوّة الخاصّ، فيُحكم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الأُصول العقليّة،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باستصحاب شغل الذمّة في العبادات المشروطة بها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أنّه لو لم يحكم بطهارة الماء القليل لَما صحّ تطهير متنجس؛ لأن المتنجّسٍ، لا يطهّر المتنجّس،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الحكم بعدم الطهارة والحكم بعدم التطهير بعد ورود الدليل، أو أنّه يُحكم بطهارة هذا الفرد دون غيره للدليل، كما يُحكم بطهارة ماء الاستنجاء للدليل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أنّ اختلاف الأخبار في الكُرّ دليل الاستحباب، ومن أنّ غالب أحوال المسلمين عدم الاجتناب عن مساورة الصبيان والجوارِ ومَنْ لايعرف النجاسة في أوانيهم المشتملة على الماء القليل، ومن أنّ الحكم بالتنجيس يؤدّي للعسر والحرج والمشقّة، ويوصل للوسواس المنهيّ عنه، ومن أنّ حمل أخبار الكُرّ على الاستحباب أقرب لوجه الجمع بين الأخبار، وكذا حمل أخبار النهي على الكراهة والأمر على الاستحباب في الأخبار المستدلّ بها على التنجيس، ومن أنّ أخبار التنجيس مفهوميّة، وأخبار التطهير منطوقيّة، و الأوّل لا يعارض الثاني، ومن أنّ ما دلّ على النهي عن الوضوء محمول على إرادة التنزّه عن خصوص الوضوء؛ لأنّ ماءه ليس كباقي المياه، ففي جميع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أن يكون أمارة أو مؤيِّداً للدليل عند خلوّه عن المعارض القويّ، ومع المعارض الأقوى يصلح جميع ذلك لإثبات حكمٍ شرعيّ؛ لضعفه، وعدم سلامة أكثره، وبنائه على أُصول وقواعد لا نقول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لابن أبي عقيل الاستدلالُ بالأخبار المتضمّنة لجواز استعمال الغدير الواقع فيه الجيفة، في روايةٍ</w:t>
      </w:r>
      <w:r>
        <w:rPr>
          <w:rStyle w:val="FootnoteAnchor"/>
          <w:rtl w:val="true"/>
        </w:rPr>
        <w:footnoteReference w:id="295"/>
      </w:r>
      <w:r>
        <w:rPr>
          <w:rFonts w:ascii="Amiri" w:hAnsi="Amiri" w:eastAsia="Amiri" w:cs="Amiri"/>
          <w:color w:val="111111"/>
          <w:sz w:val="28"/>
          <w:sz w:val="28"/>
          <w:szCs w:val="28"/>
          <w:rtl w:val="true"/>
          <w:lang w:bidi="ar-SA"/>
        </w:rPr>
        <w:t>، واستعمال الماء يمرّ به الرجل وفيه الميتة والجيفة، في أُخرى</w:t>
      </w:r>
      <w:r>
        <w:rPr>
          <w:rStyle w:val="FootnoteAnchor"/>
          <w:rtl w:val="true"/>
        </w:rPr>
        <w:footnoteReference w:id="296"/>
      </w:r>
      <w:r>
        <w:rPr>
          <w:rFonts w:ascii="Amiri" w:hAnsi="Amiri" w:eastAsia="Amiri" w:cs="Amiri"/>
          <w:color w:val="111111"/>
          <w:sz w:val="28"/>
          <w:sz w:val="28"/>
          <w:szCs w:val="28"/>
          <w:rtl w:val="true"/>
          <w:lang w:bidi="ar-SA"/>
        </w:rPr>
        <w:t>، واستعمال الماء الذي يلغ فيه الكلب في ثالثةٍ</w:t>
      </w:r>
      <w:r>
        <w:rPr>
          <w:rStyle w:val="FootnoteAnchor"/>
          <w:rtl w:val="true"/>
        </w:rPr>
        <w:footnoteReference w:id="297"/>
      </w:r>
      <w:r>
        <w:rPr>
          <w:rFonts w:ascii="Amiri" w:hAnsi="Amiri" w:eastAsia="Amiri" w:cs="Amiri"/>
          <w:color w:val="111111"/>
          <w:sz w:val="28"/>
          <w:sz w:val="28"/>
          <w:szCs w:val="28"/>
          <w:rtl w:val="true"/>
          <w:lang w:bidi="ar-SA"/>
        </w:rPr>
        <w:t>، واستعمال الماء وفيه دابّة ميتة قد أنتنت إذا لم يغلب النتن على الماء، في رابعةٍ</w:t>
      </w:r>
      <w:r>
        <w:rPr>
          <w:rStyle w:val="FootnoteAnchor"/>
          <w:rtl w:val="true"/>
        </w:rPr>
        <w:footnoteReference w:id="298"/>
      </w:r>
      <w:r>
        <w:rPr>
          <w:rFonts w:ascii="Amiri" w:hAnsi="Amiri" w:eastAsia="Amiri" w:cs="Amiri"/>
          <w:color w:val="111111"/>
          <w:sz w:val="28"/>
          <w:sz w:val="28"/>
          <w:szCs w:val="28"/>
          <w:rtl w:val="true"/>
          <w:lang w:bidi="ar-SA"/>
        </w:rPr>
        <w:t>، والأمر بالوضوء من الناحية التي ليست فيها الميتة، في خامسةٍ</w:t>
      </w:r>
      <w:r>
        <w:rPr>
          <w:rStyle w:val="FootnoteAnchor"/>
          <w:rtl w:val="true"/>
        </w:rPr>
        <w:footnoteReference w:id="299"/>
      </w:r>
      <w:r>
        <w:rPr>
          <w:rFonts w:ascii="Amiri" w:hAnsi="Amiri" w:eastAsia="Amiri" w:cs="Amiri"/>
          <w:color w:val="111111"/>
          <w:sz w:val="28"/>
          <w:sz w:val="28"/>
          <w:szCs w:val="28"/>
          <w:rtl w:val="true"/>
          <w:lang w:bidi="ar-SA"/>
        </w:rPr>
        <w:t>، وجواز الوضوء من الغدير الذي يكون فيه العذرة ويبول فيه الصبّي والدابّة المعلَّل بأنّ الدين ليس بمضيّق، في سادسةٍ</w:t>
      </w:r>
      <w:r>
        <w:rPr>
          <w:rStyle w:val="FootnoteAnchor"/>
          <w:rtl w:val="true"/>
        </w:rPr>
        <w:footnoteReference w:id="300"/>
      </w:r>
      <w:r>
        <w:rPr>
          <w:rFonts w:ascii="IRNazanin" w:hAnsi="IRNazanin" w:eastAsia="IRNazanin"/>
          <w:color w:val="111111"/>
          <w:sz w:val="28"/>
          <w:sz w:val="28"/>
          <w:szCs w:val="28"/>
          <w:rtl w:val="true"/>
          <w:lang w:bidi="fa-IR"/>
        </w:rPr>
        <w:t>، ونفي البأس عن الحياض التي يبال فيها إذا لم يغلب البول الماء، فی سابعةٍ</w:t>
      </w:r>
      <w:r>
        <w:rPr>
          <w:rStyle w:val="FootnoteAnchor"/>
          <w:rtl w:val="true"/>
        </w:rPr>
        <w:footnoteReference w:id="301"/>
      </w:r>
      <w:r>
        <w:rPr>
          <w:rFonts w:ascii="Amiri" w:hAnsi="Amiri" w:eastAsia="Amiri" w:cs="Amiri"/>
          <w:color w:val="111111"/>
          <w:sz w:val="28"/>
          <w:sz w:val="28"/>
          <w:szCs w:val="28"/>
          <w:rtl w:val="true"/>
          <w:lang w:bidi="ar-SA"/>
        </w:rPr>
        <w:t>، ونفي البأس عمّن غمس يده في الماء وهي قذرة، في ثامنةٍ</w:t>
      </w:r>
      <w:r>
        <w:rPr>
          <w:rStyle w:val="FootnoteAnchor"/>
          <w:rtl w:val="true"/>
        </w:rPr>
        <w:footnoteReference w:id="302"/>
      </w:r>
      <w:r>
        <w:rPr>
          <w:rFonts w:ascii="IRNazanin" w:hAnsi="IRNazanin" w:eastAsia="IRNazanin"/>
          <w:color w:val="111111"/>
          <w:sz w:val="28"/>
          <w:sz w:val="28"/>
          <w:szCs w:val="28"/>
          <w:rtl w:val="true"/>
          <w:lang w:bidi="fa-IR"/>
        </w:rPr>
        <w:t xml:space="preserve">، وتجويز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استعمال الماء الوالغة فيه الكلاب، في تاسعةٍ</w:t>
      </w:r>
      <w:r>
        <w:rPr>
          <w:rStyle w:val="FootnoteAnchor"/>
          <w:rtl w:val="true"/>
        </w:rPr>
        <w:footnoteReference w:id="303"/>
      </w:r>
      <w:r>
        <w:rPr>
          <w:rFonts w:ascii="Amiri" w:hAnsi="Amiri" w:eastAsia="Amiri" w:cs="Amiri"/>
          <w:color w:val="111111"/>
          <w:sz w:val="28"/>
          <w:sz w:val="28"/>
          <w:szCs w:val="28"/>
          <w:rtl w:val="true"/>
          <w:lang w:bidi="ar-SA"/>
        </w:rPr>
        <w:t>، وغير ذلك من الأخبار الدالّة بإطلاقها على طهارة الماء الشامل للقليل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بالرواية الدالّة على طهارة الماء إذا لم يتغيّر بسقوط الفأرة والجرذ فيموتون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الرواية الدالّة على صلوحيّة الوضوء من ماء الإناء الذي أصابه دم من رعاف إذا لم يستبن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الدالّة على نفي البأس عن غسالة ماء الحمّام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الدالّة على تطهير العجين الواقع في مائه ميتة؛ لأنّ النّار أكلت ما فيه</w:t>
      </w:r>
      <w:r>
        <w:rPr>
          <w:rStyle w:val="FootnoteAnchor"/>
          <w:rtl w:val="true"/>
        </w:rPr>
        <w:footnoteReference w:id="307"/>
      </w:r>
      <w:r>
        <w:rPr>
          <w:rFonts w:ascii="Amiri" w:hAnsi="Amiri" w:eastAsia="Amiri" w:cs="Amiri"/>
          <w:color w:val="111111"/>
          <w:sz w:val="28"/>
          <w:sz w:val="28"/>
          <w:szCs w:val="28"/>
          <w:rtl w:val="true"/>
          <w:lang w:bidi="ar-SA"/>
        </w:rPr>
        <w:t>، وهو لا يصلح للتعليل، فليس إلّا لعدم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الدالّة على جواز استعمال الماء القليل بوصف القلّة، ويداه قذرتان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الدالّة على نفي البأس عن الاستقاء بجلد الخنزير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والأُخرى النافية للبأس عن الاستقاء بحبل شعر الخنزير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الدالّة على وضوء الإمام من دَلْوٍ خرجت فيه عذرة يابسة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الدالّة على طهارة ماء الراوية الواقعة فيها فأرة أو جرذ ولم يتفسّخا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الدالّة على نفي البأس عن ماء الإناء الواقع فيه ماء واقع من أرض يبال فيها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الدالّة على جواز استعمال الماء الملاقي للنجاسة عند الضرورة أو عند عدم غيره </w:t>
      </w:r>
      <w:r>
        <w:rPr>
          <w:rStyle w:val="FootnoteAnchor"/>
          <w:rtl w:val="true"/>
        </w:rPr>
        <w:footnoteReference w:id="314"/>
      </w:r>
      <w:r>
        <w:rPr>
          <w:rFonts w:ascii="Amiri" w:hAnsi="Amiri" w:eastAsia="Amiri" w:cs="Amiri"/>
          <w:color w:val="111111"/>
          <w:sz w:val="28"/>
          <w:sz w:val="28"/>
          <w:szCs w:val="28"/>
          <w:rtl w:val="true"/>
          <w:lang w:bidi="ar-SA"/>
        </w:rPr>
        <w:t>، ولو كان نجساً لما جاز استعماله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المعلّلة لطهارة ماء الاستنجاء بأنّ الماء أكثر من القذر ، ومقتضى العلّة تسرية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خلّينا وورود هذه الأخبار من دون معارض يقوى عليها للزم الأخذ بمضمونها؛ لتكثّرها وموافقتها لعموم الكتاب والسنّة، واعتضاد بعضها ببعض، ولكن لمّا عارضها ما هو أقوى منها سنداً، وأكثر عدداً، وأشهر فتوىً، وأبعد عن فتاوى العامّة، وأقرب لمذاق الخاصّة، وأنسب للاحتياط، وأوفق للإجماع المنقول، ولما عليه عمل القدماء الفحول، وجب تقديم المعارض عليها وإطّراحها أو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الماء القليل حكمه كما يقول ابن أبي عقيل لما خفي على أهل الشرع جيلاً بعد جيل، ولكان أمره واضح السبيل، ولجرت عليه سيرة الأُمّة وأصحاب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لتوفّر الدواعي إلى ذلك، وتكثّر الرغبات لما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ضممنا إلى ذلك المناقشةَ في سند الأخبار لوجدناها غير نقيّة، ولو دقّقنا في دلالتها لوجدناها ضعيفة غير قويّة؛ لأنّ كثيراً منها عمومه من ترك الاستفصال، وشرط عمومه عدم ظهور فردٍ ينصرف إليه الإطلاق، والمفروض أنّ الفرد الظاهر منها كون الماء المسؤول عنه كُرّاً و أزيد، وذلك كأخبار الغدران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تدلّ على الطهارة بلوازم غير مسلّمة، كرواية جلد الخنزير، ورواية العذرة، ومن المحتمل عدم إصابته وإصابتها الماء، مع عدم تحقّق إرادة العذرة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جلد الخنزير، ومن المحتمل أنّ السؤال عن جواز استعماله لا عن طهارة الماء، أو عن سقى الخضروات به والزرع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الإناء، ومن المحتمل وقوعها فيه لا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الرعاف، ومن المحتمل إرادة العلم بالوقوع من لفظ الاستبانة لا الرؤية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المركن، ومن المحتمل أن حكمه كحكم ماء الغسالة، وأنّ غسله في المرّة الأخيرة بماءٍ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العجين، ومن المحتمل طهره في النار أو تأخّر وقوع الميتة في العجين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23" w:name="pg18988_203227"/>
    </w:p>
    <w:p>
      <w:pPr>
        <w:pStyle w:val="BookText"/>
        <w:rPr/>
      </w:pPr>
      <w:bookmarkEnd w:id="223"/>
      <w:r>
        <w:rPr>
          <w:rFonts w:ascii="Amiri" w:hAnsi="Amiri" w:eastAsia="Amiri" w:cs="Amiri"/>
          <w:color w:val="111111"/>
          <w:sz w:val="28"/>
          <w:sz w:val="28"/>
          <w:szCs w:val="28"/>
          <w:rtl w:val="true"/>
          <w:lang w:bidi="ar-SA"/>
        </w:rPr>
        <w:t>وكرواية الحمّام، ومن المحتمل طهارة غسالته؛ لعدم العلم بنجاستها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وكروايات الضرورة، ومن المحتمل حملها على التقيّة، وكذا رواية الإذن مع عدم وجود غيره بل الظاهر ذلك إلى غير ذلك</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3197513_1280447820"/>
      <w:bookmarkStart w:id="225" w:name="_Toc83"/>
      <w:bookmarkEnd w:id="224"/>
      <w:r>
        <w:rPr>
          <w:rtl w:val="true"/>
        </w:rPr>
        <w:t>فوائد</w:t>
      </w:r>
      <w:r>
        <w:rPr>
          <w:rtl w:val="true"/>
        </w:rPr>
        <w:t>:</w:t>
      </w:r>
      <w:bookmarkEnd w:id="225"/>
    </w:p>
    <w:p>
      <w:pPr>
        <w:pStyle w:val="Heading5"/>
        <w:numPr>
          <w:ilvl w:val="4"/>
          <w:numId w:val="1"/>
        </w:numPr>
        <w:rPr/>
      </w:pPr>
      <w:bookmarkStart w:id="226" w:name="__RefHeading___Toc13197515_1280447820"/>
      <w:bookmarkStart w:id="227" w:name="_Toc84"/>
      <w:bookmarkEnd w:id="226"/>
      <w:r>
        <w:rPr>
          <w:rtl w:val="true"/>
        </w:rPr>
        <w:t>الأُولى</w:t>
      </w:r>
      <w:r>
        <w:rPr>
          <w:rtl w:val="true"/>
        </w:rPr>
        <w:t xml:space="preserve">: </w:t>
      </w:r>
      <w:r>
        <w:rPr>
          <w:rtl w:val="true"/>
        </w:rPr>
        <w:t>لا فرق في انفعال القليل بالنجاسة بين النجس والمتنجّس</w:t>
      </w:r>
      <w:bookmarkEnd w:id="227"/>
    </w:p>
    <w:p>
      <w:pPr>
        <w:pStyle w:val="BookText"/>
        <w:rPr/>
      </w:pPr>
      <w:r>
        <w:rPr>
          <w:rFonts w:ascii="Amiri" w:hAnsi="Amiri" w:eastAsia="Amiri" w:cs="Amiri"/>
          <w:color w:val="111111"/>
          <w:sz w:val="28"/>
          <w:sz w:val="28"/>
          <w:szCs w:val="28"/>
          <w:rtl w:val="true"/>
          <w:lang w:bidi="ar-SA"/>
        </w:rPr>
        <w:t>لا فرق في انفعال القليل بالنجاسة بين النجس والمتنجّس؛ لإطلاق مفاهيم الأخبار وترك الاستفصال في جملةٍ منها بين النجاسة والمتنجّس؛ لإطلاق الخبث والقذر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مخالفاً في ذلك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أيضاً بين كثير النجاسة وقليلها، وبين ما لا يدركه الطرف منها وما يدركه، وبين أن يكون ما لا يدركه الطرف دماً وبين أن يكون غيره، وبين أن يرد الماء على النجاسة وبين أن ترد عليه، وبين أن يكون الوارد للغَسل من الخبث وبين أن لا يكون كذلك، وفاقاً للمشهور؛ لعموم المفهوم في أخبار الكُرّ</w:t>
      </w:r>
      <w:r>
        <w:rPr>
          <w:rStyle w:val="FootnoteAnchor"/>
          <w:rtl w:val="true"/>
        </w:rPr>
        <w:footnoteReference w:id="315"/>
      </w:r>
      <w:r>
        <w:rPr>
          <w:rFonts w:ascii="Amiri" w:hAnsi="Amiri" w:eastAsia="Amiri" w:cs="Amiri"/>
          <w:color w:val="111111"/>
          <w:sz w:val="28"/>
          <w:sz w:val="28"/>
          <w:szCs w:val="28"/>
          <w:rtl w:val="true"/>
          <w:lang w:bidi="ar-SA"/>
        </w:rPr>
        <w:t>لعموم الماء في المفهوم، ولظهور إرادة التقسيم في المياه بين الكُرّ والأقلّ منه، سيّما في مقام البيان، فيقضى بحملان أنّ الخبث في القليل على أيّ نحو كان وبأيّ خبث كان؛ لعدم القائل بالفصل، إلّا فيما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ولترك الاستفصال في جملةٍ من الأخبار بين وقوع النجاسة فيه ووقوعه عليها؛ لأنّ وجودها في الماء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بنجاسة الماء الواقع فيه نجاسة</w:t>
      </w:r>
      <w:r>
        <w:rPr>
          <w:rStyle w:val="FootnoteAnchor"/>
          <w:rtl w:val="true"/>
        </w:rPr>
        <w:footnoteReference w:id="316"/>
      </w:r>
      <w:r>
        <w:rPr>
          <w:rFonts w:ascii="Amiri" w:hAnsi="Amiri" w:eastAsia="Amiri" w:cs="Amiri"/>
          <w:color w:val="111111"/>
          <w:sz w:val="28"/>
          <w:sz w:val="28"/>
          <w:szCs w:val="28"/>
          <w:rtl w:val="true"/>
          <w:lang w:bidi="ar-SA"/>
        </w:rPr>
        <w:t>، مع احتمال وقوعه عليها، والأصل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ولتنقيح المناط بين الورودين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علا الوارد نفسه المتّصل بالنجاسة طاهر لا يسري إليه الخبث، وإلّا لنجست كلّ الأواني عند غسلها لو سرت النجاسة من السافل إلى العالي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عدم نجاسة القليل بما لا يدركه الطرف من النجاسة مطلقاً، أو من نجاسة الدم بالخصوص</w:t>
      </w:r>
      <w:r>
        <w:rPr>
          <w:rStyle w:val="FootnoteAnchor"/>
          <w:rtl w:val="true"/>
        </w:rPr>
        <w:footnoteReference w:id="317"/>
      </w:r>
      <w:r>
        <w:rPr>
          <w:rFonts w:ascii="Amiri" w:hAnsi="Amiri" w:eastAsia="Amiri" w:cs="Amiri"/>
          <w:color w:val="111111"/>
          <w:sz w:val="28"/>
          <w:sz w:val="28"/>
          <w:szCs w:val="28"/>
          <w:rtl w:val="true"/>
          <w:lang w:bidi="ar-SA"/>
        </w:rPr>
        <w:t xml:space="preserve">استضعافاً لعموم الخبث في المفهوم، ولشمول أدلّة نجاسة ماء القليل </w:t>
      </w:r>
      <w:bookmarkStart w:id="228" w:name="pg18988_203228"/>
    </w:p>
    <w:p>
      <w:pPr>
        <w:pStyle w:val="BookText"/>
        <w:rPr/>
      </w:pPr>
      <w:bookmarkEnd w:id="228"/>
      <w:r>
        <w:rPr>
          <w:rFonts w:ascii="Amiri" w:hAnsi="Amiri" w:eastAsia="Amiri" w:cs="Amiri"/>
          <w:color w:val="111111"/>
          <w:sz w:val="28"/>
          <w:sz w:val="28"/>
          <w:szCs w:val="28"/>
          <w:rtl w:val="true"/>
          <w:lang w:bidi="ar-SA"/>
        </w:rPr>
        <w:t xml:space="preserve">لما لا يدركه الطرف؛ ولرواية </w:t>
      </w:r>
      <w:r>
        <w:rPr>
          <w:rStyle w:val="FootnoteAnchor"/>
          <w:rtl w:val="true"/>
        </w:rPr>
        <w:footnoteReference w:id="318"/>
      </w:r>
      <w:r>
        <w:rPr>
          <w:rFonts w:ascii="Amiri" w:hAnsi="Amiri" w:eastAsia="Amiri" w:cs="Amiri"/>
          <w:color w:val="111111"/>
          <w:sz w:val="28"/>
          <w:sz w:val="28"/>
          <w:szCs w:val="28"/>
          <w:rtl w:val="true"/>
          <w:lang w:bidi="ar-SA"/>
        </w:rPr>
        <w:t>على بن جعفر، الدالّة على طهارة الماء إذا لم يستبن فيه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الخبث وإن لم يكن عامّاً في نفسه لكنّه في مقام البيان والتفصيل ظاهر في العموم، وكثير من أدلّة نجاسة الماء القليل شامل للقليل من النجاسة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عليّ بن جعفر إن لم تكن ظاهرةً في إرادة العلم بالوقوع من الاستبانة فهي محتملة لذلك احتمالاً مساوياً يسقط معه 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عدم نجاسة الماء بوروده على النجاسة</w:t>
      </w:r>
      <w:r>
        <w:rPr>
          <w:rStyle w:val="FootnoteAnchor"/>
          <w:rtl w:val="true"/>
        </w:rPr>
        <w:footnoteReference w:id="319"/>
      </w:r>
      <w:r>
        <w:rPr>
          <w:rFonts w:ascii="Amiri" w:hAnsi="Amiri" w:eastAsia="Amiri" w:cs="Amiri"/>
          <w:color w:val="111111"/>
          <w:sz w:val="28"/>
          <w:sz w:val="28"/>
          <w:szCs w:val="28"/>
          <w:rtl w:val="true"/>
          <w:lang w:bidi="ar-SA"/>
        </w:rPr>
        <w:t>استناداً للأصل، مع الشكّ في شمول المفهوم للوارد من الماء، والشكّ في شمول الأدلّة الباقية له، ولرواية</w:t>
      </w:r>
      <w:r>
        <w:rPr>
          <w:rStyle w:val="FootnoteAnchor"/>
          <w:rtl w:val="true"/>
        </w:rPr>
        <w:footnoteReference w:id="320"/>
      </w:r>
      <w:r>
        <w:rPr>
          <w:rFonts w:ascii="Amiri" w:hAnsi="Amiri" w:eastAsia="Amiri" w:cs="Amiri"/>
          <w:color w:val="111111"/>
          <w:sz w:val="28"/>
          <w:sz w:val="28"/>
          <w:szCs w:val="28"/>
          <w:rtl w:val="true"/>
          <w:lang w:bidi="ar-SA"/>
        </w:rPr>
        <w:t>عمر بن يزيد، الدالّة على طهارة الماء الواقع على الأرض التي يبال فيها ويغتسل من الجنابة الواقع في الإناء؛ ولأنّه لو حكم بنجاسة الوارد لما طهّر الماء نجساً يرد عليه ما عدا المعتصم؛ لأنّ النجس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وإن لم يقض به اللفظ لكنّه يقضي به المقام، وكثير من أدلّة نجاسة الماء القليل شاملة لذلك؛ لترك الاستفصال فيها، والرواية ليست صريحةً في وقوع الماء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وقوعها في الإناء فقط أو كون الماء الواقع لم يباشر نفس موضع البول، بل الأرض المشتبهة، وما باشر المشتبه المحصور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بين التطهير والطهارة ممنوعة أوّلاً، أو نسلّمه لكن فيما تسبق نجاسة الماء لحالة التطهير ثانياً، أو القول بها للدليل من سيرةٍ أو إجماعٍ ثالثاً، أو الحكم باقتران التطهير للتنجيس آناً واحداً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رواية</w:t>
      </w:r>
      <w:r>
        <w:rPr>
          <w:rStyle w:val="FootnoteAnchor"/>
          <w:rtl w:val="true"/>
        </w:rPr>
        <w:footnoteReference w:id="321"/>
      </w:r>
      <w:r>
        <w:rPr>
          <w:rFonts w:ascii="Amiri" w:hAnsi="Amiri" w:eastAsia="Amiri" w:cs="Amiri"/>
          <w:color w:val="111111"/>
          <w:sz w:val="28"/>
          <w:sz w:val="28"/>
          <w:szCs w:val="28"/>
          <w:rtl w:val="true"/>
          <w:lang w:bidi="ar-SA"/>
        </w:rPr>
        <w:t>العيص دلالةً على انفعال ماء الغسالة</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3197517_1280447820"/>
      <w:bookmarkStart w:id="230" w:name="_Toc85"/>
      <w:bookmarkEnd w:id="229"/>
      <w:r>
        <w:rPr>
          <w:rtl w:val="true"/>
        </w:rPr>
        <w:t>الثانية</w:t>
      </w:r>
      <w:r>
        <w:rPr>
          <w:rtl w:val="true"/>
        </w:rPr>
        <w:t xml:space="preserve">: </w:t>
      </w:r>
      <w:r>
        <w:rPr>
          <w:rtl w:val="true"/>
        </w:rPr>
        <w:t>يطهر القليل النجس إذا لم يكن متغيّراً باتّصاله بالكثير</w:t>
      </w:r>
      <w:bookmarkEnd w:id="2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يطهر القليل النجس إذا لم يكن متغيّراً باتّصاله بالكثير، سواء كان متساوي السطوح مع الكثير أم كان أعلى، وسواء امتزج به أو لم يمتزج، وسواء أُلقي عليه الكثير إلقاءٌ من فوقٍ أو نزّ عليه من تحت وسواء كان الإلقاء دفعةً أو تدريجاً، كلّ ذلك لعموم </w:t>
      </w:r>
    </w:p>
    <w:p>
      <w:pPr>
        <w:pStyle w:val="BookText"/>
        <w:rPr/>
      </w:pPr>
      <w:r>
        <w:rPr>
          <w:rFonts w:ascii="Amiri" w:hAnsi="Amiri" w:eastAsia="Amiri" w:cs="Amiri"/>
          <w:color w:val="111111"/>
          <w:sz w:val="28"/>
          <w:sz w:val="28"/>
          <w:szCs w:val="28"/>
          <w:rtl w:val="true"/>
          <w:lang w:bidi="ar-SA"/>
        </w:rPr>
        <w:t>أدلّة طهوريّة الماء، وأصالة عدم اشتراط شيء آخَر من إلقاءٍ أو امتزاجٍ أو دفعة؛ لسريان الطهارة من كلّ جزء إلى الجزء الآخَر من الماء، ولصيرورتهما ماءً واحداً عرفاً، فلا يكون بعضه طاهراً وبعضه نجساً، كما هي القاعدة المأخوذة من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الكثير أسفل تسنيماً أو تسريحاً لم يؤثّر تطهيراً في الأعلى؛ لضعف السافل عن رفع نجاسة الأعلى، كما يضعف السافل عن سريان النجاسة منه إلى الأعلى في جميع المائعات؛ لأنّ السراية على خلاف الأصل، 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المتساوي المائع تتحقّق السراية؛ لصدق أنّه ماء لاقته النجاسة مع قابليّة كلّ جزءٍ منه لتنجيس الجزء الآخَر، مع قابليّته للانفعال دفعةً،بخلاف السافل مع العالي، وبخلاف الجامد من المائعات، كالشحم والعسل في الشتاء؛ فإنّه و 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جزءٍ منه لاقى جزءاً آخَر رطباً فينجّسه، لكنّه مشكوك بقابليّته للانفعال فيه، لمنع كلّيّة هذه المقدّمة في مفروض المسألة؛ لأنّ عمدة دليلها الإجماع، وهو غير متحقّقٍ في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فمشترط الدفعة، أو مشترط الإلقاء من فوقٍ، أو مشترط الامتزاج، أو مشترط الفوقيّة أو المساواة لإخراج النابع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يطهر القليل باتّصاله بالقليل وإن علا الطاهر عليه لانفعال كلّ ما يصل إليه من الماء القليل ؛ ولأنّ المتيقّن من تطهير الماء هو اتّصال ما لا ينفعل به من مادّةٍ وكُرٍّ وشبههما ، كما تشير إليه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القليل فلمّا كان شأن التطهير به نفوذ ماء الغسالة من المتطهّر به وكان ذلك غير ممكن في الماء، فلم يكن القليل حينئذٍ قابلاً لتطهير الماء، بل كان الغالب عليه النجاسة؛ لانفعاله وتنجّسه، فلا يحصل التطهّر به حتّى على القول بطهارة الماء القليل ؛ فإنّ القائل بطهارته لا يلتزم بلابدّيّة تطهيره للماء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يلتزم بوجود ماء بعضُه طاهر وبعضُه نجس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بعضٌ </w:t>
      </w:r>
      <w:r>
        <w:rPr>
          <w:rStyle w:val="FootnoteAnchor"/>
          <w:rtl w:val="true"/>
        </w:rPr>
        <w:footnoteReference w:id="322"/>
      </w:r>
      <w:r>
        <w:rPr>
          <w:rFonts w:ascii="Amiri" w:hAnsi="Amiri" w:eastAsia="Amiri" w:cs="Amiri"/>
          <w:color w:val="111111"/>
          <w:sz w:val="28"/>
          <w:sz w:val="28"/>
          <w:szCs w:val="28"/>
          <w:rtl w:val="true"/>
          <w:lang w:bidi="ar-SA"/>
        </w:rPr>
        <w:t xml:space="preserve">إلقاء الكُرّ دفعةً لتطهير الماء؛ لأنّه المتيقّن، ولروايةٍ مرسلة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w:t>
      </w:r>
      <w:r>
        <w:rPr>
          <w:rStyle w:val="FootnoteAnchor"/>
          <w:rtl w:val="true"/>
        </w:rPr>
        <w:footnoteReference w:id="324"/>
      </w:r>
      <w:r>
        <w:rPr>
          <w:rFonts w:ascii="Amiri" w:hAnsi="Amiri" w:eastAsia="Amiri" w:cs="Amiri"/>
          <w:color w:val="111111"/>
          <w:sz w:val="28"/>
          <w:sz w:val="28"/>
          <w:szCs w:val="28"/>
          <w:rtl w:val="true"/>
          <w:lang w:bidi="ar-SA"/>
        </w:rPr>
        <w:t>لمشهور المتأخرين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هُما ضعيفان لا يصلحان سنداً لمطلوبهم، سواء فُسّرت الدفعة بوقوع الماء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عرفيّة، بمعنى أنّه لا ينزل تدريجاً، أو فُسّرت بوقوع الماء على الماء متواصلاً حتّى يتمّ كُرّاً، بمعنى أنّه لا ينقطع في الأثناء بحيث يكون وقوعه دفعات؛ فإنّا لا نوجبها بكلا المعنيين؛ لكفاية الاتّصال بالكُرّ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أُلقي شيء من الكُرّ وعند نزول ذلك الشيء انقطع اتّصاله بالكُرّ قبل اتّصاله بالماء النجس، لم يكن مفيداً للتطهير، وكان نجساً عند وقوعه على الماء النجس؛ لأنّه ماء قليل لاقى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w:t>
      </w:r>
      <w:r>
        <w:rPr>
          <w:rStyle w:val="FootnoteAnchor"/>
          <w:rtl w:val="true"/>
        </w:rPr>
        <w:footnoteReference w:id="325"/>
      </w:r>
      <w:r>
        <w:rPr>
          <w:rFonts w:ascii="Amiri" w:hAnsi="Amiri" w:eastAsia="Amiri" w:cs="Amiri"/>
          <w:color w:val="111111"/>
          <w:sz w:val="28"/>
          <w:sz w:val="28"/>
          <w:szCs w:val="28"/>
          <w:rtl w:val="true"/>
          <w:lang w:bidi="ar-SA"/>
        </w:rPr>
        <w:t>وجوب الإلقاء من فوقٍ، فلا تكفي المساواة بين الماءين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أبعد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آخَرين</w:t>
      </w:r>
      <w:r>
        <w:rPr>
          <w:rStyle w:val="FootnoteAnchor"/>
          <w:rtl w:val="true"/>
        </w:rPr>
        <w:footnoteReference w:id="326"/>
      </w:r>
      <w:r>
        <w:rPr>
          <w:rFonts w:ascii="Amiri" w:hAnsi="Amiri" w:eastAsia="Amiri" w:cs="Amiri"/>
          <w:color w:val="111111"/>
          <w:sz w:val="28"/>
          <w:sz w:val="28"/>
          <w:szCs w:val="28"/>
          <w:rtl w:val="true"/>
          <w:lang w:bidi="ar-SA"/>
        </w:rPr>
        <w:t>وجوب المساواة أو الفوقيّة، فلا يكفي النبع من تحت، ولا يكفي</w:t>
      </w:r>
      <w:r>
        <w:rPr>
          <w:rStyle w:val="FootnoteAnchor"/>
          <w:rtl w:val="true"/>
        </w:rPr>
        <w:footnoteReference w:id="327"/>
      </w:r>
      <w:r>
        <w:rPr>
          <w:rFonts w:ascii="Amiri" w:hAnsi="Amiri" w:eastAsia="Amiri" w:cs="Amiri"/>
          <w:color w:val="111111"/>
          <w:sz w:val="28"/>
          <w:sz w:val="28"/>
          <w:szCs w:val="28"/>
          <w:rtl w:val="true"/>
          <w:lang w:bidi="ar-SA"/>
        </w:rPr>
        <w:t>الرشح وإن كان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بعض</w:t>
      </w:r>
      <w:r>
        <w:rPr>
          <w:rStyle w:val="FootnoteAnchor"/>
          <w:rtl w:val="true"/>
        </w:rPr>
        <w:footnoteReference w:id="328"/>
      </w:r>
      <w:r>
        <w:rPr>
          <w:rFonts w:ascii="Amiri" w:hAnsi="Amiri" w:eastAsia="Amiri" w:cs="Amiri"/>
          <w:color w:val="111111"/>
          <w:sz w:val="28"/>
          <w:sz w:val="28"/>
          <w:szCs w:val="28"/>
          <w:rtl w:val="true"/>
          <w:lang w:bidi="ar-SA"/>
        </w:rPr>
        <w:t>إلى اشتراط الامتزاج بين الماء الطاهر والماء النجس</w:t>
      </w:r>
      <w:r>
        <w:rPr>
          <w:rStyle w:val="FootnoteAnchor"/>
          <w:rtl w:val="true"/>
        </w:rPr>
        <w:footnoteReference w:id="329"/>
      </w:r>
      <w:r>
        <w:rPr>
          <w:rFonts w:ascii="Amiri" w:hAnsi="Amiri" w:eastAsia="Amiri" w:cs="Amiri"/>
          <w:color w:val="111111"/>
          <w:sz w:val="28"/>
          <w:sz w:val="28"/>
          <w:szCs w:val="28"/>
          <w:rtl w:val="true"/>
          <w:lang w:bidi="ar-SA"/>
        </w:rPr>
        <w:t>لأنّهما مع عدمه ماءان، فيلحق كلٌّ منهما حكمه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شأن التطهّر</w:t>
      </w:r>
      <w:r>
        <w:rPr>
          <w:rStyle w:val="FootnoteAnchor"/>
          <w:rtl w:val="true"/>
        </w:rPr>
        <w:footnoteReference w:id="330"/>
      </w:r>
      <w:r>
        <w:rPr>
          <w:rFonts w:ascii="Amiri" w:hAnsi="Amiri" w:eastAsia="Amiri" w:cs="Amiri"/>
          <w:color w:val="111111"/>
          <w:sz w:val="28"/>
          <w:sz w:val="28"/>
          <w:szCs w:val="28"/>
          <w:rtl w:val="true"/>
          <w:lang w:bidi="ar-SA"/>
        </w:rPr>
        <w:t>في الماء نفوذه فيما يطهّره، وليس هنا إلّا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سراية الطهارة من جزء إلى آخَر خلاف الأصل كسراية النجاسة، إلّا أنّه قام الدليل على أنّ النجاسة متى حلّت في ماءٍ قليل أو مضاف نجست جميعه، ولم يعلم أنّ ذلك من جهة السراية أو من جهة التعبّد، ولم يقم إجماع على أنّ طهارة البعض تسري إلى طهارة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مع عدم الامتزاج يجوز اتّصاف ماءٍ واحد بأنّ بعضه نجس وبعضه طاهر، ولا دليل على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عموم أدلّة طهوريّة الماء لجميع كيفيّات التطهير وأحواله حتّى أنّه ينقطع استصحاب النجاسة، كما أنّه لا عموم فيه لتطهير جميع أفراد المتنجّسات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وكونه في سياق الامتنان إنّما يقضي بعموم الماء لجميع أفراده من حيث قابليّته للتطهير، </w:t>
      </w:r>
    </w:p>
    <w:p>
      <w:pPr>
        <w:pStyle w:val="BookText"/>
        <w:rPr/>
      </w:pPr>
      <w:r>
        <w:rPr>
          <w:rFonts w:ascii="Amiri" w:hAnsi="Amiri" w:eastAsia="Amiri" w:cs="Amiri"/>
          <w:color w:val="111111"/>
          <w:sz w:val="28"/>
          <w:sz w:val="28"/>
          <w:szCs w:val="28"/>
          <w:rtl w:val="true"/>
          <w:lang w:bidi="ar-SA"/>
        </w:rPr>
        <w:t xml:space="preserve">ولا يقضي بعموم أفراد المتطهّر به وكيفيّات التطهير، ولم يقم دليل خاصّ على أنّ الماء يطهّر الماء، فكان بمقتضى القاعدة بقاؤه على النجاسة كغيره من المائعات، ولا يطهر إلّا بالاستهلاك ولكنّا خرجنا عن القاعدة مع الامتزاج للإجماع، فبدونه يبقى </w:t>
      </w:r>
      <w:r>
        <w:rPr>
          <w:rStyle w:val="FootnoteAnchor"/>
          <w:rtl w:val="true"/>
        </w:rPr>
        <w:footnoteReference w:id="331"/>
      </w:r>
      <w:r>
        <w:rPr>
          <w:rFonts w:ascii="Amiri" w:hAnsi="Amiri" w:eastAsia="Amiri" w:cs="Amiri"/>
          <w:color w:val="111111"/>
          <w:sz w:val="28"/>
          <w:sz w:val="28"/>
          <w:szCs w:val="28"/>
          <w:rtl w:val="true"/>
          <w:lang w:bidi="ar-SA"/>
        </w:rPr>
        <w:t>على القاعدة، ولأنّه ورد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خرج من ذلك مع الامتزاج وبقي غيره تحت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المذهب قويّ في النظر، إلّا أنّه لا يخلو عن نظر؛ لأنّ الناظر في أخبار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ماءه كالجاري يطهِّر بعضه بعضاً، وأنّه لا ينجّسه شيء لأنّ له مادّة</w:t>
      </w:r>
      <w:r>
        <w:rPr>
          <w:rStyle w:val="FootnoteAnchor"/>
          <w:rtl w:val="true"/>
        </w:rPr>
        <w:footnoteReference w:id="333"/>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للماء خصوصيّةً من دون باقي المائعات في التطهير، وأنّه يكفي فيه مجرد الاتّصال، وأنّه لا يفتقر إلى نزوله من فوق، أو إلى وقوع الكُرّ على الماء النجس دفعةً، وأنّ اتّصال أجزاء الماء بعضها ببعض قاضٍ بالتطهير دفعةً واحدة، كما تقضي بالتنجيس، بل هو امتزاج بالحقيقة؛ لامتزاج كلّ جزء بالجزء المتّصل به، وهكذا ، وأنّ اتّصاف ماءٍ واحد بأنّ بعضه طاهر وبعضه نجس في محلّ واحد غير ممكن؛ لأنّه إمّا أن يغلب الطاهر فيطهّر بعضه بعضاً، أو يغلب النجس فينجس الطاهر، كالماء القليل، ولا قائل بالثاني في الكثير، وأنّ اتّصال القليل بالكثير يصيّر هما ماءً واحداً عرفاً، فيدخل تحت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يحمل خبثاً، ولم ينجّسه شيء</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ولا يكون ماءً واحداً بعضُه طاهر وبعضه نجس، كما يشهد به الاستقراء لموارد الأخبار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فيطهّر الماء القليل باتّصاله بالكثير وإن لم يغلب طعم الكثير عليه ولم تخالطه أجزاء منه بيّنة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وضعه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كقارورة فيها ماء حلو توضع في كُرّ مالح بحيث لم يتغيّر طعم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وضع الكُرّ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زيادة المطهِّر على الكُرّ على جميع الأقوال المتقدّمة بناء على اعتصام السافل بالعالي وكونهما ماءً واحداً عرفاً</w:t>
      </w:r>
      <w:r>
        <w:rPr>
          <w:rFonts w:eastAsia="Amiri" w:cs="Amiri" w:ascii="Amiri" w:hAnsi="Amiri"/>
          <w:color w:val="111111"/>
          <w:sz w:val="28"/>
          <w:szCs w:val="28"/>
          <w:rtl w:val="true"/>
          <w:lang w:bidi="ar-SA"/>
        </w:rPr>
        <w:t xml:space="preserve">. </w:t>
      </w:r>
      <w:bookmarkStart w:id="231" w:name="pg18988_203232"/>
    </w:p>
    <w:p>
      <w:pPr>
        <w:pStyle w:val="BookText"/>
        <w:rPr/>
      </w:pPr>
      <w:bookmarkEnd w:id="231"/>
      <w:r>
        <w:rPr>
          <w:rFonts w:ascii="Amiri" w:hAnsi="Amiri" w:eastAsia="Amiri" w:cs="Amiri"/>
          <w:color w:val="111111"/>
          <w:sz w:val="28"/>
          <w:sz w:val="28"/>
          <w:szCs w:val="28"/>
          <w:rtl w:val="true"/>
          <w:lang w:bidi="ar-SA"/>
        </w:rPr>
        <w:t>نعم، على القول بعدم الاعتصام يلزم اشتراط الزيادة على الكُرّ بقدر ما يجري منه إلى الماء القليل إذا كان أسفل منه، أو كانا في محلّين متغايرين وقلنا بعدم اعتصام ما بينهما بالطاهر؛ لتعدّد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لا نقول بشيء من 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3197519_1280447820"/>
      <w:bookmarkStart w:id="233" w:name="_Toc86"/>
      <w:bookmarkEnd w:id="232"/>
      <w:r>
        <w:rPr>
          <w:rtl w:val="true"/>
        </w:rPr>
        <w:t>الثالثة</w:t>
      </w:r>
      <w:r>
        <w:rPr>
          <w:rtl w:val="true"/>
        </w:rPr>
        <w:t xml:space="preserve">: </w:t>
      </w:r>
      <w:r>
        <w:rPr>
          <w:rtl w:val="true"/>
        </w:rPr>
        <w:t>هل يطهر القليل بإتمامه كُرّاً من ماءٍ طاهر أو ماءٍ نجس؟</w:t>
      </w:r>
      <w:bookmarkEnd w:id="233"/>
    </w:p>
    <w:p>
      <w:pPr>
        <w:pStyle w:val="BookText"/>
        <w:rPr/>
      </w:pPr>
      <w:r>
        <w:rPr>
          <w:rFonts w:ascii="Amiri" w:hAnsi="Amiri" w:eastAsia="Amiri" w:cs="Amiri"/>
          <w:color w:val="111111"/>
          <w:sz w:val="28"/>
          <w:sz w:val="28"/>
          <w:szCs w:val="28"/>
          <w:rtl w:val="true"/>
          <w:lang w:bidi="ar-SA"/>
        </w:rPr>
        <w:t>لا يطهر القليل بإتمامه كُرّاً من ماءٍ طاهر أو ماءٍ نجس؛ للاستصحاب، والشكّ في كون بلوغ الكُرّيّة من المطهّرات وللأخبار الناهية عن غسالة ماء الحمّام</w:t>
      </w:r>
      <w:r>
        <w:rPr>
          <w:rStyle w:val="FootnoteAnchor"/>
          <w:rtl w:val="true"/>
        </w:rPr>
        <w:footnoteReference w:id="336"/>
      </w:r>
      <w:r>
        <w:rPr>
          <w:rFonts w:ascii="Amiri" w:hAnsi="Amiri" w:eastAsia="Amiri" w:cs="Amiri"/>
          <w:color w:val="111111"/>
          <w:sz w:val="28"/>
          <w:sz w:val="28"/>
          <w:szCs w:val="28"/>
          <w:rtl w:val="true"/>
          <w:lang w:bidi="ar-SA"/>
        </w:rPr>
        <w:t>، ولأنّ كل قليل ينجس عند ملاقاة النجس، فيحتاج للتطهير</w:t>
      </w:r>
      <w:r>
        <w:rPr>
          <w:rStyle w:val="FootnoteAnchor"/>
          <w:rtl w:val="true"/>
        </w:rPr>
        <w:footnoteReference w:id="337"/>
      </w:r>
      <w:r>
        <w:rPr>
          <w:rFonts w:ascii="Amiri" w:hAnsi="Amiri" w:eastAsia="Amiri" w:cs="Amiri"/>
          <w:color w:val="111111"/>
          <w:sz w:val="28"/>
          <w:sz w:val="28"/>
          <w:szCs w:val="28"/>
          <w:rtl w:val="true"/>
          <w:lang w:bidi="ar-SA"/>
        </w:rPr>
        <w:t>، فلا يؤثّر فيه إتمامه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w:t>
      </w:r>
      <w:r>
        <w:rPr>
          <w:rStyle w:val="FootnoteAnchor"/>
          <w:rtl w:val="true"/>
        </w:rPr>
        <w:footnoteReference w:id="338"/>
      </w:r>
      <w:r>
        <w:rPr>
          <w:rFonts w:ascii="Amiri" w:hAnsi="Amiri" w:eastAsia="Amiri" w:cs="Amiri"/>
          <w:color w:val="111111"/>
          <w:sz w:val="28"/>
          <w:sz w:val="28"/>
          <w:szCs w:val="28"/>
          <w:rtl w:val="true"/>
          <w:lang w:bidi="ar-SA"/>
        </w:rPr>
        <w:t>، إلى طهارته بإتمامه كُرّاً من ماءٍ طاهر، وآخَرون إلى طهارته بإتمامه مطلقاً</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عليه الإجماع</w:t>
      </w:r>
      <w:r>
        <w:rPr>
          <w:rStyle w:val="FootnoteAnchor"/>
          <w:rtl w:val="true"/>
        </w:rPr>
        <w:footnoteReference w:id="340"/>
      </w:r>
      <w:r>
        <w:rPr>
          <w:rFonts w:ascii="Amiri" w:hAnsi="Amiri" w:eastAsia="Amiri" w:cs="Amiri"/>
          <w:color w:val="111111"/>
          <w:sz w:val="28"/>
          <w:sz w:val="28"/>
          <w:szCs w:val="28"/>
          <w:rtl w:val="true"/>
          <w:lang w:bidi="ar-SA"/>
        </w:rPr>
        <w:t>، واستند 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وإلى أنّ الماء قد قوي بعد الاتّصاف بالكُرّيّة فيرفع عن نفسه ذلك، كما أنّه يدفعه، وإلى أنه لو لم يحكم بالطهارة لما حكم بطهارة ماءٍ وُجد فيه نجاسة؛ لاحتمال سبقها على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ممنوع؛ للانفراد بنقله، ومصير الأكثر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ظاهرة في الرفع بعد طهارته لا في الدفع بعد نجاسته،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يحمل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 على مضمونها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يثبت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الرفع على الدفع قياس مع الفارق؛ لنقصان قوّة الدفع عن الرفع بعد حصوله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بطهارة الماء الواقع فيه نجاسة عند الشكّ في وقوعها إنّما كان لأصالة الطهارة، لا لطهارة الماء المجتمع من النجس</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3197521_1280447820"/>
      <w:bookmarkStart w:id="235" w:name="_Toc87"/>
      <w:bookmarkEnd w:id="234"/>
      <w:r>
        <w:rPr>
          <w:rtl w:val="true"/>
        </w:rPr>
        <w:t>الرابعة</w:t>
      </w:r>
      <w:r>
        <w:rPr>
          <w:rtl w:val="true"/>
        </w:rPr>
        <w:t xml:space="preserve">: </w:t>
      </w:r>
      <w:r>
        <w:rPr>
          <w:rtl w:val="true"/>
        </w:rPr>
        <w:t>لا يطهر الكُرّ إذا كان نجساً إلّا باتّصاله بجارٍ أو ماء مطر أو كُرّ آخَر</w:t>
      </w:r>
      <w:bookmarkEnd w:id="23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يطهر الكُرّ إذا كان نجساً إلّا باتّصاله بجارٍ أو ماء مطر أو كُرّ آخَر، سواء وقع عليه، أو وقع هو عليه، أو اتّصلا فقط، وسواء كان الوقوع دفعةٌ أو تدريجاً، وسواء امتزج به أو لم يمتزج؛ لظاهر أخبار الحمّام الدالّة على أنّ المادّة رافعة لنجاسة الماء الذي </w:t>
      </w:r>
      <w:bookmarkStart w:id="236" w:name="pg18988_203233"/>
    </w:p>
    <w:p>
      <w:pPr>
        <w:pStyle w:val="BookText"/>
        <w:rPr/>
      </w:pPr>
      <w:bookmarkEnd w:id="236"/>
      <w:r>
        <w:rPr>
          <w:rFonts w:ascii="Amiri" w:hAnsi="Amiri" w:eastAsia="Amiri" w:cs="Amiri"/>
          <w:color w:val="111111"/>
          <w:sz w:val="28"/>
          <w:sz w:val="28"/>
          <w:szCs w:val="28"/>
          <w:rtl w:val="true"/>
          <w:lang w:bidi="ar-SA"/>
        </w:rPr>
        <w:t>تحتها ودافعةٌ لها مطلقاً، ولصيرورة الماءين ماءٌ واحداً ، والمفهوم من الاستقراء عدم اتّصاف ماء واحد بنجاسة بعضٍ وطهارة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الكُرّ الطاهر أسفل من الكُرّ النجس بتسنيم وكان الكُرّ النجس جارياً عليه، لم يؤثّر فيه تطهيراً؛ لعدم قوته وقاهريّته، وشرط المطهّر القوّة والقاهريّة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المتيقّن من الأخبار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 الماء ان ماءٌ واحداً، كما أنّ الكُرّ المجتمع من الماء الأعلى والأسفل إذا بلغ مقدار كُرّ لا يعصم نفسه إلّا إذا وقعت النجاسة في أسفله، فلو وقعت في أعلاه تنجّس الأعلى وإن سُمّي ماءً واحداً؛ لضعف اعتصامه بالسافل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يطهر الكُرّ النجس لنفسه عند زوال التغيّر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w:t>
      </w:r>
      <w:r>
        <w:rPr>
          <w:rStyle w:val="FootnoteAnchor"/>
          <w:rtl w:val="true"/>
        </w:rPr>
        <w:footnoteReference w:id="342"/>
      </w:r>
      <w:r>
        <w:rPr>
          <w:rFonts w:ascii="Amiri" w:hAnsi="Amiri" w:eastAsia="Amiri" w:cs="Amiri"/>
          <w:color w:val="111111"/>
          <w:sz w:val="28"/>
          <w:sz w:val="28"/>
          <w:szCs w:val="28"/>
          <w:rtl w:val="true"/>
          <w:lang w:bidi="ar-SA"/>
        </w:rPr>
        <w:t>؛ لعموم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ولقوّته في الرفع كقوّته في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ضعف الرواية سنداً ودلالةً على المطلوب، ومن أنّ قياس الرفع على الدفع قياس مع الفارق</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3197523_1280447820"/>
      <w:bookmarkStart w:id="238" w:name="_Toc88"/>
      <w:bookmarkEnd w:id="237"/>
      <w:r>
        <w:rPr>
          <w:rtl w:val="true"/>
        </w:rPr>
        <w:t>الخامسة</w:t>
      </w:r>
      <w:r>
        <w:rPr>
          <w:rtl w:val="true"/>
        </w:rPr>
        <w:t xml:space="preserve">: </w:t>
      </w:r>
      <w:r>
        <w:rPr>
          <w:rtl w:val="true"/>
        </w:rPr>
        <w:t>لو جمد الكُرّ، كان كسائر الجامدات ينفعل بالملاقاة، ولا تسري نجاسته إلى جميعه</w:t>
      </w:r>
      <w:bookmarkEnd w:id="238"/>
    </w:p>
    <w:p>
      <w:pPr>
        <w:pStyle w:val="BookText"/>
        <w:rPr/>
      </w:pPr>
      <w:r>
        <w:rPr>
          <w:rFonts w:ascii="Amiri" w:hAnsi="Amiri" w:eastAsia="Amiri" w:cs="Amiri"/>
          <w:color w:val="111111"/>
          <w:sz w:val="28"/>
          <w:sz w:val="28"/>
          <w:szCs w:val="28"/>
          <w:rtl w:val="true"/>
          <w:lang w:bidi="ar-SA"/>
        </w:rPr>
        <w:t>لو جمد الكُرّ، كان كسائر الجامدات ينفعل بالملاقاة، ولا تسري نجاسته إلى جميعه؛ لجموده، ولأصالة 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ذاب بعضه دون بعضٍ جرى على الذائب حكم الماء المنفرد من القلّة والكثرة، وعلى الجامد حكم 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يطهر الجامد بغَسله في الماء القليل أو لا يطهر؟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3197525_1280447820"/>
      <w:bookmarkStart w:id="240" w:name="_Toc89"/>
      <w:bookmarkEnd w:id="239"/>
      <w:r>
        <w:rPr>
          <w:rtl w:val="true"/>
        </w:rPr>
        <w:t>السادسة</w:t>
      </w:r>
      <w:r>
        <w:rPr>
          <w:rtl w:val="true"/>
        </w:rPr>
        <w:t xml:space="preserve">: </w:t>
      </w:r>
      <w:r>
        <w:rPr>
          <w:rtl w:val="true"/>
        </w:rPr>
        <w:t>لو وجد في الكُرّ نجاسة شكّ في زمن وقوعها أنّها بعد حصول الكُرّيّة أو قبلها</w:t>
      </w:r>
      <w:bookmarkEnd w:id="240"/>
    </w:p>
    <w:p>
      <w:pPr>
        <w:pStyle w:val="BookText"/>
        <w:rPr/>
      </w:pPr>
      <w:r>
        <w:rPr>
          <w:rFonts w:ascii="Amiri" w:hAnsi="Amiri" w:eastAsia="Amiri" w:cs="Amiri"/>
          <w:color w:val="111111"/>
          <w:sz w:val="28"/>
          <w:sz w:val="28"/>
          <w:szCs w:val="28"/>
          <w:rtl w:val="true"/>
          <w:lang w:bidi="ar-SA"/>
        </w:rPr>
        <w:t>لو وجد في الكُرّ نجاسة شكّ في زمن وقوعها أنّها بعد حصول الكُرّيّة أو قبلها، فالأصل طهارة الماء وإجراء أحكام الطاهر عليه؛ لتعارض أصلَي تأخّر كلٍّ من وصفي وقوع النجاسة وبلوغ الكُرّيّة عن الآخَر وتساقطهما، وبقاء أصل الطهارة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الحكم بالتنجيس؛ لأصالة انفعال الماء إلّا مع البلوغ كُرّاً، وهو مشكوك فيه، والأصل عدمه، ولأنّ الكُرّيّة شرط لعدم الانفعال، والأصل عدم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احتمالاً موافقاً للاحتياط أنّه إن علم تاريخ النجاسة حكم بتأخير بلوغ الكُرّيّة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فيُحكم بالنجاسة، وإلّا فيُحكم بالطهارة</w:t>
      </w:r>
      <w:r>
        <w:rPr>
          <w:rFonts w:eastAsia="Amiri" w:cs="Amiri" w:ascii="Amiri" w:hAnsi="Amiri"/>
          <w:color w:val="111111"/>
          <w:sz w:val="28"/>
          <w:szCs w:val="28"/>
          <w:rtl w:val="true"/>
          <w:lang w:bidi="ar-SA"/>
        </w:rPr>
        <w:t xml:space="preserve">. </w:t>
      </w:r>
      <w:bookmarkStart w:id="241" w:name="pg18988_203234"/>
    </w:p>
    <w:p>
      <w:pPr>
        <w:pStyle w:val="BookText"/>
        <w:rPr/>
      </w:pPr>
      <w:bookmarkEnd w:id="241"/>
      <w:r>
        <w:rPr>
          <w:rFonts w:ascii="Amiri" w:hAnsi="Amiri" w:eastAsia="Amiri" w:cs="Amiri"/>
          <w:color w:val="111111"/>
          <w:sz w:val="28"/>
          <w:sz w:val="28"/>
          <w:szCs w:val="28"/>
          <w:rtl w:val="true"/>
          <w:lang w:bidi="ar-SA"/>
        </w:rPr>
        <w:t>والأقوى الأوّل؛ لقوّة أصل الطهارة الشرعيّة والعقليّة، استصحاباً وبراءةً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وجدنا في ماءٍ نجاسةٌ و شُكّ في نقصانه عن الكُرّ بعد حصول وصف الكُرّيّة له، فلا شكّ في الحكم بطهارته؛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كُرّيّته ابتداءً، احتُمل الحكم بطهارته وإن كان الأصل عدم حصول وصف الكُرّيّة؛ لأصل الطهارة الشرعيّ والاستصحاب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الحكم بتنجيسه مطلقاً؛ لأنّ أصالة عدم الكُرّيّة أصل موضوعيّ، فهو حاكم على الأصل الحكميّ ومثبتٌ للوازمه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الحكم بتنجيسه بالنسبة لاستعماله في الطهارات، دون الأكل والشرب؛ لأصالة الشغل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الحكم بتنجيسه بالنسبة إليهما أيضاً، دون تنجيس ما باشره؛ لاستصحاب طهارة المباشر، فهو نجس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وجوب اختباره عند وجوب استعماله للتطهير أو الأكل أو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بنجاسته مطلقاً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3197527_1280447820"/>
      <w:bookmarkStart w:id="243" w:name="_Toc90"/>
      <w:bookmarkEnd w:id="242"/>
      <w:r>
        <w:rPr>
          <w:rtl w:val="true"/>
        </w:rPr>
        <w:t>السابعة</w:t>
      </w:r>
      <w:r>
        <w:rPr>
          <w:rtl w:val="true"/>
        </w:rPr>
        <w:t xml:space="preserve">: </w:t>
      </w:r>
      <w:r>
        <w:rPr>
          <w:rtl w:val="true"/>
        </w:rPr>
        <w:t>عدم انفعال الكُرّ شامل لكلّ ماء مطلق، بأيّ مكان كان</w:t>
      </w:r>
      <w:bookmarkEnd w:id="243"/>
    </w:p>
    <w:p>
      <w:pPr>
        <w:pStyle w:val="BookText"/>
        <w:rPr/>
      </w:pPr>
      <w:r>
        <w:rPr>
          <w:rFonts w:ascii="Amiri" w:hAnsi="Amiri" w:eastAsia="Amiri" w:cs="Amiri"/>
          <w:color w:val="111111"/>
          <w:sz w:val="28"/>
          <w:sz w:val="28"/>
          <w:szCs w:val="28"/>
          <w:rtl w:val="true"/>
          <w:lang w:bidi="ar-SA"/>
        </w:rPr>
        <w:t>عدم انفعال الكُرّ شامل لكلّ ماء مطلق، بأيّ مكان كان من غدير أو حوض أو آنية أو قِربة أو غير ذلك؛ لعموم أدلّة عدم الانفعال الناشئ من ترك الاستفصال في أكثر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بعض الأخبار</w:t>
      </w:r>
      <w:r>
        <w:rPr>
          <w:rStyle w:val="FootnoteAnchor"/>
          <w:rtl w:val="true"/>
        </w:rPr>
        <w:footnoteReference w:id="344"/>
      </w:r>
      <w:r>
        <w:rPr>
          <w:rFonts w:ascii="Amiri" w:hAnsi="Amiri" w:eastAsia="Amiri" w:cs="Amiri"/>
          <w:color w:val="111111"/>
          <w:sz w:val="28"/>
          <w:sz w:val="28"/>
          <w:szCs w:val="28"/>
          <w:rtl w:val="true"/>
          <w:lang w:bidi="ar-SA"/>
        </w:rPr>
        <w:t>من السؤال عن الغدران لا يخصِّص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 ما في الأخبار إلى مياه الغدران ونحوها دون الحياض والأواني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ماء الغدران أكثر وجوداً، والأكثريّة لا تستلزم انصراف الإطلاق إليها، على أنّ الأخبار خارجة مخرج القاعدة، فلا تنصرف إلى المسؤول عنه ولا إلى الأكثر وقوعاً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خصوص الحياض التي بين مكّة والمدينة رواية</w:t>
      </w:r>
      <w:r>
        <w:rPr>
          <w:rStyle w:val="FootnoteAnchor"/>
          <w:rtl w:val="true"/>
        </w:rPr>
        <w:footnoteReference w:id="345"/>
      </w:r>
      <w:r>
        <w:rPr>
          <w:rFonts w:ascii="Amiri" w:hAnsi="Amiri" w:eastAsia="Amiri" w:cs="Amiri"/>
          <w:color w:val="111111"/>
          <w:sz w:val="28"/>
          <w:sz w:val="28"/>
          <w:szCs w:val="28"/>
          <w:rtl w:val="true"/>
          <w:lang w:bidi="ar-SA"/>
        </w:rPr>
        <w:t>تقضي بأنّ حكم الحياض حكم غيرها، كما هو فتوى المشهور، وعليه عمل الجمهور، ولا قائل بالفصل بينها وبين الأواني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جمعٌ</w:t>
      </w:r>
      <w:r>
        <w:rPr>
          <w:rStyle w:val="FootnoteAnchor"/>
          <w:rtl w:val="true"/>
        </w:rPr>
        <w:footnoteReference w:id="346"/>
      </w:r>
      <w:r>
        <w:rPr>
          <w:rFonts w:ascii="Amiri" w:hAnsi="Amiri" w:eastAsia="Amiri" w:cs="Amiri"/>
          <w:color w:val="111111"/>
          <w:sz w:val="28"/>
          <w:sz w:val="28"/>
          <w:szCs w:val="28"/>
          <w:rtl w:val="true"/>
          <w:lang w:bidi="ar-SA"/>
        </w:rPr>
        <w:t>إلى نجاسة الكُرّ في الحياض والأواني، وكأنّه استند إلى ترك الاستفصال في الحكم بنجاسة ماء الأواني عند وقوع النجاسة فيها، كما ذكرنا ذلك في أدلّة نجاسة الماء القليل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لانصراف مياه الأواني في السؤال والجواب إلى الأقلّ من كُرّ، كما هو المعهود إطلاقاً ومصداقاً؛ لندرة بلوغ ماء الأواني كُرّاً وبلوغ نفس الآنية قدر كُرّ قطعاً</w:t>
      </w:r>
      <w:r>
        <w:rPr>
          <w:rFonts w:eastAsia="Amiri" w:cs="Amiri" w:ascii="Amiri" w:hAnsi="Amiri"/>
          <w:color w:val="111111"/>
          <w:sz w:val="28"/>
          <w:szCs w:val="28"/>
          <w:rtl w:val="true"/>
          <w:lang w:bidi="ar-SA"/>
        </w:rPr>
        <w:t xml:space="preserve">. </w:t>
      </w:r>
      <w:bookmarkStart w:id="244" w:name="pg18988_203236"/>
    </w:p>
    <w:p>
      <w:pPr>
        <w:pStyle w:val="Heading4"/>
        <w:numPr>
          <w:ilvl w:val="3"/>
          <w:numId w:val="1"/>
        </w:numPr>
        <w:rPr/>
      </w:pPr>
      <w:bookmarkStart w:id="245" w:name="__RefHeading___Toc13197529_1280447820"/>
      <w:bookmarkStart w:id="246" w:name="_Toc91"/>
      <w:bookmarkEnd w:id="244"/>
      <w:bookmarkEnd w:id="245"/>
      <w:r>
        <w:rPr>
          <w:rtl w:val="true"/>
        </w:rPr>
        <w:t>بحث في أحكام الماء الكرّ</w:t>
      </w:r>
      <w:bookmarkEnd w:id="246"/>
    </w:p>
    <w:p>
      <w:pPr>
        <w:pStyle w:val="Heading5"/>
        <w:numPr>
          <w:ilvl w:val="4"/>
          <w:numId w:val="1"/>
        </w:numPr>
        <w:rPr/>
      </w:pPr>
      <w:bookmarkStart w:id="247" w:name="__RefHeading___Toc13197531_1280447820"/>
      <w:bookmarkStart w:id="248" w:name="_Toc9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يدور اسم الكُرّ مدار وحدة الماء عرفاً، فكلّ ماءٍ صدق عليه أنّ قدره كُرٌّ كان رافعاً ودافعاً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يكفي في صدق الوحدة اتّصال الماء بعضه مع بعضٍ اتّصالاً ظاهراً أو خفيّاً، من بلبلة أو ساقية رفيعة أو أُنبوبة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تعدّد الإناءات وعدمه، فلو وصل بين إناءات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حبوب أو قِرَب أو غير ذلك، من صغار أو 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بواصلٍ ضيّق، كان كافياً في ثبوت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يتفاوت الحال بين استواء سطوح الماء وبين عدمه، ولا في العالي والسافل بين كون العلوّ تسريحيّاً أو تسنيميّاً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يقوى في النظر أنّه مع الحكم بالاتّحاد يشترط في اعتصام بعضه ببعضٍ قوّة المعتصم، بحيث يساويه في السطوح أو يعلو عليه أو يكون أسفل منه تسريحيّاً أو تسنيميّاً لكنّه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أصابت السافل أو المساوي نجاسة لم ينفعل الماء؛ لانقهاره بالعالي المتمّم له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أصابت العالي الجاري إلى السافل نجاسة، لم يعتصم بالسافل إذا كان السافل تسنيميّاً؛ لضعفه عن عصمة العالي؛ لانقهاره به كما أنّه في الرفع بعد حصول النجاسة لو تواصل الماءان كان العالى عند بلوغه كُرّاً رافعاً لنجاسة ما تحته وكذا المساوي والمنحدر، والسافل غير رافع لنجاسة ما فوقه إذا كان ما فوقه جارياً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فوقه ساكناً غير واقع عليه اعتصم به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كلّ سافلٍ يعتصم بالعالي في الدفع ويتقوّى به، ويتأثّر بالعالي في الرفع ويطهّر به إذا كان العالي معصوماً، والعالي إذا كان واقعاً على السافل لا يعتصم به في الدفع ولا يتأثّر به في الرفع</w:t>
      </w:r>
      <w:r>
        <w:rPr>
          <w:rFonts w:eastAsia="Amiri" w:cs="Amiri" w:ascii="Amiri" w:hAnsi="Amiri"/>
          <w:color w:val="111111"/>
          <w:sz w:val="28"/>
          <w:szCs w:val="28"/>
          <w:rtl w:val="true"/>
          <w:lang w:bidi="ar-SA"/>
        </w:rPr>
        <w:t xml:space="preserve">. </w:t>
      </w:r>
      <w:bookmarkStart w:id="249" w:name="pg18988_203237"/>
    </w:p>
    <w:p>
      <w:pPr>
        <w:pStyle w:val="BookText"/>
        <w:rPr/>
      </w:pPr>
      <w:bookmarkEnd w:id="249"/>
      <w:r>
        <w:rPr>
          <w:rFonts w:ascii="Amiri" w:hAnsi="Amiri" w:eastAsia="Amiri" w:cs="Amiri"/>
          <w:color w:val="111111"/>
          <w:sz w:val="28"/>
          <w:sz w:val="28"/>
          <w:szCs w:val="28"/>
          <w:rtl w:val="true"/>
          <w:lang w:bidi="ar-SA"/>
        </w:rPr>
        <w:t>ودعوى أنّ القول بوحدة الماء مستلزم لاعتصام كلٍّ منهما بكلٍّ منهما؛ لأنّه داخل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ومستلزم لتطهير كلٍّ منهما لكلٍّ منهما إذا كان المطهّر معصوماً؛ لاستحالة اتّصاف ماءٍ واحد بأنّ بعضه طاهر وبعضه ،نجس، فلا معنى للتفرقة،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أدلّة اعتصام الكُرّ بعضه ببعضٍ كونه متساوي السطوح أو مجتمعاً في مكانٍ واحد أو في مكانين لا يضعف أحدهما عن عصمة الآخَر، والسافل ضعيف عن عصمة العالي، كما أنّه في الرفع لا تكفي وحدة الماء فقط، بل لا بدّ من قوّة المطهّر وقاهريّته، والأسفل عند جريان الأعلى إليه يكون مقهوراً، فلا يؤثّر به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الماء الواحد لا يصير بعضه طاهراً وبعضه نجساً مسلَّم في المجتمع في مكانٍ واحد عرفاً،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جمعٍ من أصحابنا</w:t>
      </w:r>
      <w:r>
        <w:rPr>
          <w:rStyle w:val="FootnoteAnchor"/>
          <w:rtl w:val="true"/>
        </w:rPr>
        <w:footnoteReference w:id="348"/>
      </w:r>
      <w:r>
        <w:rPr>
          <w:rFonts w:ascii="Amiri" w:hAnsi="Amiri" w:eastAsia="Amiri" w:cs="Amiri"/>
          <w:color w:val="111111"/>
          <w:sz w:val="28"/>
          <w:sz w:val="28"/>
          <w:szCs w:val="28"/>
          <w:rtl w:val="true"/>
          <w:lang w:bidi="ar-SA"/>
        </w:rPr>
        <w:t>الحكم بتعدّد الماءين عند اختلاف السطوح بالتسنّم أو مطلقاً، فعلى ذلك لا يعتصم أحدهما بالآخَر في الدفع ولا يؤثّر فيه في الرفع إلّا إذا كان العالي معصوماً ووقع على السافل، فإنّه يعصمه ويرفع عنه النجاسة، لا لكونهما ماءٌ واحداً، بل لكون العالي مطهّراً وعاصماً إذا كان معصوماً؛ للدليل الدالّ على ذلك من أخبار الحمّام وشبهها المشتملة على التعليل بالمادّة، والمشبّهة بالجاري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3197533_1280447820"/>
      <w:bookmarkStart w:id="251" w:name="_Toc93"/>
      <w:bookmarkEnd w:id="250"/>
      <w:r>
        <w:rPr>
          <w:rtl w:val="true"/>
        </w:rPr>
        <w:t>بحث فی تقدیر الکرّ وزناً</w:t>
      </w:r>
      <w:bookmarkEnd w:id="25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 من الماء ما بلغ وزنه ألفاً ومائتي رطل، والخليط الغير المعتاد لا يحتسب من الوزن على الأقوى والأظهر؛ لفتوى المشهور، وعمل الجمهور، والخبر المعتبر</w:t>
      </w:r>
      <w:r>
        <w:rPr>
          <w:rStyle w:val="FootnoteAnchor"/>
          <w:rtl w:val="true"/>
        </w:rPr>
        <w:footnoteReference w:id="350"/>
      </w:r>
      <w:r>
        <w:rPr>
          <w:rFonts w:ascii="Amiri" w:hAnsi="Amiri" w:eastAsia="Amiri" w:cs="Amiri"/>
          <w:color w:val="111111"/>
          <w:sz w:val="28"/>
          <w:sz w:val="28"/>
          <w:szCs w:val="28"/>
          <w:rtl w:val="true"/>
          <w:lang w:bidi="ar-SA"/>
        </w:rPr>
        <w:t>المنزَّل منزلة الصحيح على المذهب الصحيح؛ لأنّ مراسيل ابن أبي عمير منزّلةٌ منزلةَ الصحاح إذا صحّ إليه السند، وللإجماع المنقول</w:t>
      </w:r>
      <w:r>
        <w:rPr>
          <w:rStyle w:val="FootnoteAnchor"/>
          <w:rtl w:val="true"/>
        </w:rPr>
        <w:footnoteReference w:id="351"/>
      </w:r>
      <w:r>
        <w:rPr>
          <w:rFonts w:ascii="Amiri" w:hAnsi="Amiri" w:eastAsia="Amiri" w:cs="Amiri"/>
          <w:color w:val="111111"/>
          <w:sz w:val="28"/>
          <w:sz w:val="28"/>
          <w:szCs w:val="28"/>
          <w:rtl w:val="true"/>
          <w:lang w:bidi="ar-SA"/>
        </w:rPr>
        <w:t xml:space="preserve">كما يظهر من الفحول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بالرطل الرطل العراقي، كما نُسب لفتوى المشهور</w:t>
      </w:r>
      <w:r>
        <w:rPr>
          <w:rStyle w:val="FootnoteAnchor"/>
          <w:rtl w:val="true"/>
        </w:rPr>
        <w:footnoteReference w:id="352"/>
      </w:r>
      <w:r>
        <w:rPr>
          <w:rFonts w:ascii="Amiri" w:hAnsi="Amiri" w:eastAsia="Amiri" w:cs="Amiri"/>
          <w:color w:val="111111"/>
          <w:sz w:val="28"/>
          <w:sz w:val="28"/>
          <w:szCs w:val="28"/>
          <w:rtl w:val="true"/>
          <w:lang w:bidi="ar-SA"/>
        </w:rPr>
        <w:t>، ونُقل عليه الإجماع</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الراوي عراقيّ، وكذا السائل، بقرينة رواية ابن أبي عمير عنه، وكونه من أصحابه، فيُحمل اللفظ على اصطلاحه؛ لأنّ الظاهر من حال المتكلّم العالم بتعدّد الاصطلاح المريد للبيان الجري على اصطلاح المخاطب للتفهيم، إلّا مع نصب قرينة على إرادة اصطلاحه، أو علمه بعلم المخاطب باصطلاحه، وحمل اللفظ من المخاطب عليه، وكلاهما الأصل عدمه؛ لأصالة عدم القرينة، وعدم علم المخاطب باصطلاح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الأصل في الكلام حمل اللفظ على اصطلاح المتكلّم؛ لأنّ استعماله في اصطلاح المخاطب مجاز لا يصار إليه، مسلّمة فيما إذا علم كلٌّ منهما باصطلاح الآخَر، وعلم كلٌّ منهما بعلم الآخَر بالتعدّد أو إذا لم يعلم المتكلّم بتعدّد الاصطلاح أصلاً، وممنوعة عند جهل المخاطب بالتعدّد؛ لأنّ وظيفة الشارع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استعمال اللفظ على اصطلاح المخاطب مجاز، ممنوعة أيضاً؛ لأنّ تنزيل المتكلّم نفسه منزلة المخاطب في الاصطلاح لا يصيّره مجازاً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المراد بالأرطال الأرطال العراقيّة ورود الصحيح بأنّه ستّمائة رطل</w:t>
      </w:r>
      <w:r>
        <w:rPr>
          <w:rStyle w:val="FootnoteAnchor"/>
          <w:rtl w:val="true"/>
        </w:rPr>
        <w:footnoteReference w:id="354"/>
      </w:r>
      <w:r>
        <w:rPr>
          <w:rFonts w:ascii="Amiri" w:hAnsi="Amiri" w:eastAsia="Amiri" w:cs="Amiri"/>
          <w:color w:val="111111"/>
          <w:sz w:val="28"/>
          <w:sz w:val="28"/>
          <w:szCs w:val="28"/>
          <w:rtl w:val="true"/>
          <w:lang w:bidi="ar-SA"/>
        </w:rPr>
        <w:t>، بحمله على المكّيّة؛ لأنّه ضِعْف العراقي، وهو خير من طرحها؛ ولما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 طائفيّ</w:t>
      </w:r>
      <w:r>
        <w:rPr>
          <w:rStyle w:val="FootnoteAnchor"/>
          <w:rtl w:val="true"/>
        </w:rPr>
        <w:footnoteReference w:id="355"/>
      </w:r>
      <w:r>
        <w:rPr>
          <w:rFonts w:ascii="Amiri" w:hAnsi="Amiri" w:eastAsia="Amiri" w:cs="Amiri"/>
          <w:color w:val="111111"/>
          <w:sz w:val="28"/>
          <w:sz w:val="28"/>
          <w:szCs w:val="28"/>
          <w:rtl w:val="true"/>
          <w:lang w:bidi="ar-SA"/>
        </w:rPr>
        <w:t>، وإشعار بعض الروايات</w:t>
      </w:r>
      <w:r>
        <w:rPr>
          <w:rStyle w:val="FootnoteAnchor"/>
          <w:rtl w:val="true"/>
        </w:rPr>
        <w:footnoteReference w:id="356"/>
      </w:r>
      <w:r>
        <w:rPr>
          <w:rFonts w:ascii="Amiri" w:hAnsi="Amiri" w:eastAsia="Amiri" w:cs="Amiri"/>
          <w:color w:val="111111"/>
          <w:sz w:val="28"/>
          <w:sz w:val="28"/>
          <w:szCs w:val="28"/>
          <w:rtl w:val="true"/>
          <w:lang w:bidi="ar-SA"/>
        </w:rPr>
        <w:t>بإرادة العراقي من الرطل في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وفهم المشهور أيضاً، فإنّ فهمهم معيِّن لأحد فردي المشترك؛ لوجوب اتّباع الظنّ في موضوعات الألفاظ، وعدم معلوميّة كون السؤال بالمدينة كي يرجّح الحمل على المدني، وأنّ الكُرّ في الأصل مكيال لأهل العراق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المرتضى</w:t>
      </w:r>
      <w:r>
        <w:rPr>
          <w:rStyle w:val="FootnoteAnchor"/>
          <w:rtl w:val="true"/>
        </w:rPr>
        <w:footnoteReference w:id="357"/>
      </w:r>
      <w:r>
        <w:rPr>
          <w:rFonts w:ascii="Amiri" w:hAnsi="Amiri" w:eastAsia="Amiri" w:cs="Amiri"/>
          <w:color w:val="111111"/>
          <w:sz w:val="28"/>
          <w:sz w:val="28"/>
          <w:szCs w:val="28"/>
          <w:rtl w:val="true"/>
          <w:lang w:bidi="ar-SA"/>
        </w:rPr>
        <w:t>وجمعٌ</w:t>
      </w:r>
      <w:r>
        <w:rPr>
          <w:rStyle w:val="FootnoteAnchor"/>
          <w:rtl w:val="true"/>
        </w:rPr>
        <w:footnoteReference w:id="358"/>
      </w:r>
      <w:r>
        <w:rPr>
          <w:rFonts w:ascii="Amiri" w:hAnsi="Amiri" w:eastAsia="Amiri" w:cs="Amiri"/>
          <w:color w:val="111111"/>
          <w:sz w:val="28"/>
          <w:sz w:val="28"/>
          <w:szCs w:val="28"/>
          <w:rtl w:val="true"/>
          <w:lang w:bidi="ar-SA"/>
        </w:rPr>
        <w:t xml:space="preserve">إلى أنّ الأرطال هي الأرطال المدنيّة، وهو رطل ونصف بالعراقي؛ </w:t>
      </w:r>
    </w:p>
    <w:p>
      <w:pPr>
        <w:pStyle w:val="BookText"/>
        <w:rPr/>
      </w:pPr>
      <w:r>
        <w:rPr>
          <w:rFonts w:ascii="Amiri" w:hAnsi="Amiri" w:eastAsia="Amiri" w:cs="Amiri"/>
          <w:color w:val="111111"/>
          <w:sz w:val="28"/>
          <w:sz w:val="28"/>
          <w:szCs w:val="28"/>
          <w:rtl w:val="true"/>
          <w:lang w:bidi="ar-SA"/>
        </w:rPr>
        <w:t>لأنّ المسؤول مدنيّ، والظاهر الحمل على اصطلاحه، وللاحتياط، وللإجماع المنقول</w:t>
      </w:r>
      <w:r>
        <w:rPr>
          <w:rStyle w:val="FootnoteAnchor"/>
          <w:rtl w:val="true"/>
        </w:rPr>
        <w:footnoteReference w:id="359"/>
      </w:r>
      <w:r>
        <w:rPr>
          <w:rFonts w:ascii="Amiri" w:hAnsi="Amiri" w:eastAsia="Amiri" w:cs="Amiri"/>
          <w:color w:val="111111"/>
          <w:sz w:val="28"/>
          <w:sz w:val="28"/>
          <w:szCs w:val="28"/>
          <w:rtl w:val="true"/>
          <w:lang w:bidi="ar-SA"/>
        </w:rPr>
        <w:t>منه، ولقربه لرواية</w:t>
      </w:r>
      <w:r>
        <w:rPr>
          <w:rStyle w:val="FootnoteAnchor"/>
          <w:rtl w:val="true"/>
        </w:rPr>
        <w:footnoteReference w:id="360"/>
      </w:r>
      <w:r>
        <w:rPr>
          <w:rFonts w:ascii="IRNazanin" w:hAnsi="IRNazanin" w:eastAsia="IRNazanin"/>
          <w:color w:val="111111"/>
          <w:sz w:val="28"/>
          <w:sz w:val="28"/>
          <w:szCs w:val="28"/>
          <w:rtl w:val="true"/>
          <w:lang w:bidi="fa-IR"/>
        </w:rPr>
        <w:t>الأشبار</w:t>
      </w:r>
      <w:r>
        <w:rPr>
          <w:rStyle w:val="FootnoteAnchor"/>
          <w:rtl w:val="true"/>
        </w:rPr>
        <w:footnoteReference w:id="361"/>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عرف السائل مقدّم هنا على عرف المسؤول؛ لما ذكرنا؛ والإجماع ممنوع؛ لمصير المشهور إلى خلافه، ومعارضته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معارض بمثله كذلك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وغاية ما خرج منه ما ليس بكُرٍّ قطعاً، فالمشكوك به على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يَخْلُ عن نظرٍ؛ لأنّ الأخبار</w:t>
      </w:r>
      <w:r>
        <w:rPr>
          <w:rStyle w:val="FootnoteAnchor"/>
          <w:rtl w:val="true"/>
        </w:rPr>
        <w:footnoteReference w:id="362"/>
      </w:r>
      <w:r>
        <w:rPr>
          <w:rFonts w:ascii="Amiri" w:hAnsi="Amiri" w:eastAsia="Amiri" w:cs="Amiri"/>
          <w:color w:val="111111"/>
          <w:sz w:val="28"/>
          <w:sz w:val="28"/>
          <w:szCs w:val="28"/>
          <w:rtl w:val="true"/>
          <w:lang w:bidi="ar-SA"/>
        </w:rPr>
        <w:t>دلّت على أن الكُرّ لا ينفعل والأقلّ منه ينفعل، فالمشكوك فيه ممّا يقضي الأصل بعدم كُرّيّته، فيُحكم عليه بالنجاسة، لكنّه يصلح أن يكون مؤيّداً، كما يصلح أن يكون مؤيّداً أصالة عدم زيادة الكُرّ و عدم سعته وكثرته، ولا يصلح أن يكون دليلاً؛ لأنّ الأصل لا يجري في معرفة الموضوعات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قربه من رواية الأشبار فهي وإن صلحت للتأييد لكنّها لا تعارض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والرطل عبارة عن مائة وثلاثين درهماً؛ وفاقاً للمشهور، والاحتياط، وعليه شهرة الفتوى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والدراهم كلّ عشرة سبع مثاقيل شرعيّة، والمثقال هو الذهب الصنمي الدينار، فالرطل واحد وتسعون مثقالاً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والخليط المعتاد في الوزن يحتسب في 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الرطل مائة وثمانية وعشرون درهماً وأربعة أسباع درهم</w:t>
      </w:r>
      <w:r>
        <w:rPr>
          <w:rStyle w:val="FootnoteAnchor"/>
          <w:rtl w:val="true"/>
        </w:rPr>
        <w:footnoteReference w:id="363"/>
      </w:r>
      <w:r>
        <w:rPr>
          <w:rFonts w:ascii="Amiri" w:hAnsi="Amiri" w:eastAsia="Amiri" w:cs="Amiri"/>
          <w:color w:val="111111"/>
          <w:sz w:val="28"/>
          <w:sz w:val="28"/>
          <w:szCs w:val="28"/>
          <w:rtl w:val="true"/>
          <w:lang w:bidi="ar-SA"/>
        </w:rPr>
        <w:t>، فيكون عبارة عن تسعين مثقالاً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أقوى ، لقوّة الأخذ بالمشهور في الموضوعات اللغويّة ؛ ولمكاتبة الهمداني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52" w:name="pg18988_203240"/>
    </w:p>
    <w:p>
      <w:pPr>
        <w:pStyle w:val="Heading5"/>
        <w:numPr>
          <w:ilvl w:val="4"/>
          <w:numId w:val="1"/>
        </w:numPr>
        <w:rPr/>
      </w:pPr>
      <w:bookmarkStart w:id="253" w:name="__RefHeading___Toc13197535_1280447820"/>
      <w:bookmarkStart w:id="254" w:name="_Toc94"/>
      <w:bookmarkEnd w:id="252"/>
      <w:bookmarkEnd w:id="253"/>
      <w:r>
        <w:rPr>
          <w:rtl w:val="true"/>
        </w:rPr>
        <w:t>بحث فی تحدید الکُرّ مساحۀً</w:t>
      </w:r>
      <w:bookmarkEnd w:id="254"/>
    </w:p>
    <w:p>
      <w:pPr>
        <w:pStyle w:val="BookText"/>
        <w:rPr/>
      </w:pPr>
      <w:r>
        <w:rPr>
          <w:rFonts w:ascii="Amiri" w:hAnsi="Amiri" w:eastAsia="Amiri" w:cs="Amiri"/>
          <w:color w:val="111111"/>
          <w:sz w:val="28"/>
          <w:sz w:val="28"/>
          <w:szCs w:val="28"/>
          <w:rtl w:val="true"/>
          <w:lang w:bidi="ar-SA"/>
        </w:rPr>
        <w:t>وللكُرّ حدّ بالمساحة، والأقوى فيها أنّه ما بلغ ثلاثة أشبار طولاً في مثلها عرضاً في مثلها عمقاً، فالمجموع من مساحته سبعة وعشرون شبراً، كما ذهب إليه القمّيّون</w:t>
      </w:r>
      <w:r>
        <w:rPr>
          <w:rStyle w:val="FootnoteAnchor"/>
          <w:rtl w:val="true"/>
        </w:rPr>
        <w:footnoteReference w:id="365"/>
      </w:r>
      <w:r>
        <w:rPr>
          <w:rFonts w:ascii="Amiri" w:hAnsi="Amiri" w:eastAsia="Amiri" w:cs="Amiri"/>
          <w:color w:val="111111"/>
          <w:sz w:val="28"/>
          <w:sz w:val="28"/>
          <w:szCs w:val="28"/>
          <w:rtl w:val="true"/>
          <w:lang w:bidi="ar-SA"/>
        </w:rPr>
        <w:t>لقربها من رواية الأرطال</w:t>
      </w:r>
      <w:r>
        <w:rPr>
          <w:rStyle w:val="FootnoteAnchor"/>
          <w:rtl w:val="true"/>
        </w:rPr>
        <w:footnoteReference w:id="366"/>
      </w:r>
      <w:r>
        <w:rPr>
          <w:rFonts w:ascii="Amiri" w:hAnsi="Amiri" w:eastAsia="Amiri" w:cs="Amiri"/>
          <w:color w:val="111111"/>
          <w:sz w:val="28"/>
          <w:sz w:val="28"/>
          <w:szCs w:val="28"/>
          <w:rtl w:val="true"/>
          <w:lang w:bidi="ar-SA"/>
        </w:rPr>
        <w:t>على المذهب المشهور ، وقربه من رواية الحبّ</w:t>
      </w:r>
      <w:r>
        <w:rPr>
          <w:rStyle w:val="FootnoteAnchor"/>
          <w:rtl w:val="true"/>
        </w:rPr>
        <w:footnoteReference w:id="367"/>
      </w:r>
      <w:r>
        <w:rPr>
          <w:rFonts w:ascii="Amiri" w:hAnsi="Amiri" w:eastAsia="Amiri" w:cs="Amiri"/>
          <w:color w:val="111111"/>
          <w:sz w:val="28"/>
          <w:sz w:val="28"/>
          <w:szCs w:val="28"/>
          <w:rtl w:val="true"/>
          <w:lang w:bidi="ar-SA"/>
        </w:rPr>
        <w:t xml:space="preserve">والقلّتين </w:t>
      </w:r>
      <w:r>
        <w:rPr>
          <w:rStyle w:val="FootnoteAnchor"/>
          <w:rtl w:val="true"/>
        </w:rPr>
        <w:footnoteReference w:id="368"/>
      </w:r>
      <w:r>
        <w:rPr>
          <w:rFonts w:ascii="Amiri" w:hAnsi="Amiri" w:eastAsia="Amiri" w:cs="Amiri"/>
          <w:color w:val="111111"/>
          <w:sz w:val="28"/>
          <w:sz w:val="28"/>
          <w:szCs w:val="28"/>
          <w:rtl w:val="true"/>
          <w:lang w:bidi="ar-SA"/>
        </w:rPr>
        <w:t>وأكثر راوية</w:t>
      </w:r>
      <w:r>
        <w:rPr>
          <w:rStyle w:val="FootnoteAnchor"/>
          <w:rtl w:val="true"/>
        </w:rPr>
        <w:footnoteReference w:id="369"/>
      </w:r>
      <w:r>
        <w:rPr>
          <w:rFonts w:ascii="Amiri" w:hAnsi="Amiri" w:eastAsia="Amiri" w:cs="Amiri"/>
          <w:color w:val="111111"/>
          <w:sz w:val="28"/>
          <w:sz w:val="28"/>
          <w:szCs w:val="28"/>
          <w:rtl w:val="true"/>
          <w:lang w:bidi="ar-SA"/>
        </w:rPr>
        <w:t>، وأقربيّنه للجمع بين الروايات بحمل الزائد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ولصحيحة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ثلاثة أشبار في ثلاثة أشبار</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الظاهرة في مخاطبات أهل العرف في إرادة بيان الأبعاد الثلاثة، وأنّ ترك البُعْد الثالث للاختصار، وقد ورد كثيراً مثله في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وورودها بطريقين في أحدهما محمّد بن سنان غير ضائر؛ لاشتمال الأُخرى على عبدالله ولا كلام فيه، ولوثاقة محمّد بن سنان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باشتباه عبد الله بمحمّد في الثانية ليس بأولى من القول باشتباه محمّد بعبد الله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وتوسّط كلٍّ منهما بين ابن خالد وابن جابر جائز؛ لاستوائهما في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المجالس</w:t>
      </w:r>
      <w:r>
        <w:rPr>
          <w:rStyle w:val="FootnoteAnchor"/>
          <w:rtl w:val="true"/>
        </w:rPr>
        <w:footnoteReference w:id="371"/>
      </w:r>
      <w:r>
        <w:rPr>
          <w:rFonts w:ascii="Amiri" w:hAnsi="Amiri" w:eastAsia="Amiri" w:cs="Amiri"/>
          <w:color w:val="111111"/>
          <w:sz w:val="28"/>
          <w:sz w:val="28"/>
          <w:szCs w:val="28"/>
          <w:rtl w:val="true"/>
          <w:lang w:bidi="ar-SA"/>
        </w:rPr>
        <w:t>، المصّرحة بما اخترناه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لصحيحة ابن جابر</w:t>
      </w:r>
      <w:r>
        <w:rPr>
          <w:rStyle w:val="FootnoteAnchor"/>
          <w:rtl w:val="true"/>
        </w:rPr>
        <w:footnoteReference w:id="372"/>
      </w:r>
      <w:r>
        <w:rPr>
          <w:rFonts w:ascii="Amiri" w:hAnsi="Amiri" w:eastAsia="Amiri" w:cs="Amiri"/>
          <w:color w:val="111111"/>
          <w:sz w:val="28"/>
          <w:sz w:val="28"/>
          <w:szCs w:val="28"/>
          <w:rtl w:val="true"/>
          <w:lang w:bidi="ar-SA"/>
        </w:rPr>
        <w:t>، الأُخرى المصرّحة بأنّ الكُرّ ذراعان عمقه في ذراع وشبر سعته؛ بناءً على أنّ الذراع شبران، كما يلوح من أخبار المواقيت</w:t>
      </w:r>
      <w:r>
        <w:rPr>
          <w:rStyle w:val="FootnoteAnchor"/>
          <w:rtl w:val="true"/>
        </w:rPr>
        <w:footnoteReference w:id="373"/>
      </w:r>
      <w:r>
        <w:rPr>
          <w:rFonts w:ascii="Amiri" w:hAnsi="Amiri" w:eastAsia="Amiri" w:cs="Amiri"/>
          <w:color w:val="111111"/>
          <w:sz w:val="28"/>
          <w:sz w:val="28"/>
          <w:szCs w:val="28"/>
          <w:rtl w:val="true"/>
          <w:lang w:bidi="ar-SA"/>
        </w:rPr>
        <w:t>، وبناءً على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قُطر المستدير، كما هو الظاهر من لفظ السعة، ومن أنّ المتعارف استدارة الكُرّ؛ لأنّه مكيال زمن الصدور لأهل العراق، فإذا ضرب نصف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أربعة ونصف؛ لأنّ كلّ قطر في المستدير ثلث المحيط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ستّة وثلاثة أرباع، فإذا ضربت في أربعة العمق حصل المكسّر سبعة وعشرون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ولقربه من رواية أبي بصير</w:t>
      </w:r>
      <w:r>
        <w:rPr>
          <w:rStyle w:val="FootnoteAnchor"/>
          <w:rtl w:val="true"/>
        </w:rPr>
        <w:footnoteReference w:id="374"/>
      </w:r>
      <w:r>
        <w:rPr>
          <w:rFonts w:ascii="Amiri" w:hAnsi="Amiri" w:eastAsia="Amiri" w:cs="Amiri"/>
          <w:color w:val="111111"/>
          <w:sz w:val="28"/>
          <w:sz w:val="28"/>
          <w:szCs w:val="28"/>
          <w:rtl w:val="true"/>
          <w:lang w:bidi="ar-SA"/>
        </w:rPr>
        <w:t>، الدالّة على القول المشهور عند حملها على خلاف ما ذهبوا إليه من بيان الأبعاد الثلاثة من إرادة بيان الشكل المستدير في الضرب، فيكون القطر ثلاثة ونصف، والعمق كذلك، ويكون الحاصل من ضرب نصف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 في ثلاثة ونصف ثلاثةً وثلاثين تقريباً لا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وإبقاء صحيحة إسماعيل ورواية أبي بصير على ما فهمه كثير من الأصحاب منهما يؤدّى إلى إرادة الستّة والثلاثين شبراً في الأُولى، واثنين وأربعين شبراً وسبعة أثمان في الثانية، ولا قائل بالأوّل، ولا مقاربة لسائر الأخبار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النقل المشهور</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الكُرّ ما بلغ مكسّره اثنين وأربعين شبراً وسبعة 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الأوفق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 في مثله ثلاثة أشبار ونصف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الحسن بن صالح الثوري في تحديد</w:t>
      </w:r>
      <w:r>
        <w:rPr>
          <w:rStyle w:val="FootnoteAnchor"/>
          <w:rtl w:val="true"/>
        </w:rPr>
        <w:footnoteReference w:id="378"/>
      </w:r>
      <w:r>
        <w:rPr>
          <w:rFonts w:ascii="Amiri" w:hAnsi="Amiri" w:eastAsia="Amiri" w:cs="Amiri"/>
          <w:color w:val="111111"/>
          <w:sz w:val="28"/>
          <w:sz w:val="28"/>
          <w:szCs w:val="28"/>
          <w:rtl w:val="true"/>
          <w:lang w:bidi="ar-SA"/>
        </w:rPr>
        <w:t>الكُرّ في البئر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ثلاثة أشبار ونصف عرضها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وتحصيل الشهرة المحقّقة لم يثبت، ومنقول الإجماع مع معارضة فتوى الأساطين لا يفيد الظنّ، والاحتياط يفيد الاستحباب لا الإيجاب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الأخيرة ظاهرة في الشكل المستدير كما هو في شكل البئر، والرواية الأُولى لا تخلو من ضعفٍ في السند والدلالة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فلاشتمالها على أحمد بن محمّد بن يحيى، وهو مجهول، وعثمان بن عيسى وهو واقفي، وأبي بصير، وهو مشترك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أمكن الجواب عنه بأنّ أحمد بن محمّد بن يحيى قد وقع في التهذيب</w:t>
      </w:r>
      <w:r>
        <w:rPr>
          <w:rStyle w:val="FootnoteAnchor"/>
          <w:rtl w:val="true"/>
        </w:rPr>
        <w:footnoteReference w:id="380"/>
      </w:r>
      <w:r>
        <w:rPr>
          <w:rFonts w:ascii="Amiri" w:hAnsi="Amiri" w:eastAsia="Amiri" w:cs="Amiri"/>
          <w:color w:val="111111"/>
          <w:sz w:val="28"/>
          <w:sz w:val="28"/>
          <w:szCs w:val="28"/>
          <w:rtl w:val="true"/>
          <w:lang w:bidi="ar-SA"/>
        </w:rPr>
        <w:t>كذلك، ولكنّه في الكافي</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والظاهر أنّه أحمد بن محمّد بن عيسى؛ لروايته عن عثمان بن عيسى مكرّراً، ورواية محمّد بن يحيى العطّار عنه كذلك، أو محمّد بن خالد؛ لروايته عنه أيضاً، وكلاهما ثقة، فتُحمل رواية التهذيب على التصحيف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عثمان بن عيسى فهو وإن كان واقفيّاً إلّا أنّه قد نقل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على العمل بروايته ورواية أمثاله</w:t>
      </w:r>
      <w:r>
        <w:rPr>
          <w:rStyle w:val="FootnoteAnchor"/>
          <w:rtl w:val="true"/>
        </w:rPr>
        <w:footnoteReference w:id="382"/>
      </w:r>
      <w:r>
        <w:rPr>
          <w:rFonts w:ascii="Amiri" w:hAnsi="Amiri" w:eastAsia="Amiri" w:cs="Amiri"/>
          <w:color w:val="111111"/>
          <w:sz w:val="28"/>
          <w:sz w:val="28"/>
          <w:szCs w:val="28"/>
          <w:rtl w:val="true"/>
          <w:lang w:bidi="ar-SA"/>
        </w:rPr>
        <w:t>، ونُقل عن الكشّي قولٌ بأنه من أهل الإجماع</w:t>
      </w:r>
      <w:r>
        <w:rPr>
          <w:rStyle w:val="FootnoteAnchor"/>
          <w:rtl w:val="true"/>
        </w:rPr>
        <w:footnoteReference w:id="383"/>
      </w:r>
      <w:r>
        <w:rPr>
          <w:rFonts w:ascii="Amiri" w:hAnsi="Amiri" w:eastAsia="Amiri" w:cs="Amiri"/>
          <w:color w:val="111111"/>
          <w:sz w:val="28"/>
          <w:sz w:val="28"/>
          <w:szCs w:val="28"/>
          <w:rtl w:val="true"/>
          <w:lang w:bidi="ar-SA"/>
        </w:rPr>
        <w:t>، فيكون خبره حجّةٌ، على أنّه مجبور بالشهرة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بصير فالظاهر أنّه ليث المرادي بقرينة رواية ابن مسكان عنه مكرّراً، والظاهر أنّه عبد الله، وهي قرينة في تعيين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ما نقل بعضهم من أنّ ابن مسكان قد نقل عن أبي بصير يحيى بن القاسم</w:t>
      </w:r>
      <w:r>
        <w:rPr>
          <w:rStyle w:val="FootnoteAnchor"/>
          <w:rtl w:val="true"/>
        </w:rPr>
        <w:footnoteReference w:id="384"/>
      </w:r>
      <w:r>
        <w:rPr>
          <w:rFonts w:ascii="Amiri" w:hAnsi="Amiri" w:eastAsia="Amiri" w:cs="Amiri"/>
          <w:color w:val="111111"/>
          <w:sz w:val="28"/>
          <w:sz w:val="28"/>
          <w:szCs w:val="28"/>
          <w:rtl w:val="true"/>
          <w:lang w:bidi="ar-SA"/>
        </w:rPr>
        <w:t>لأنّه لو سُلّم فهو من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مسكان من أهل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نقل بعض العلماء أنّ أبا بصير مشترك بين ثلاثة كلّهم ثقات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مع ذلك يؤثّر ضعفاً في الرواية عند التعارض والترجيح بين الأدلّة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الرواية في الدوري ؛ لعدم اشتمالها على البُعْد الثالث، وهو مشعر ببيان الشكل المستدير دون غيره ، كرواية الحسن بن صالح المتقدّمة</w:t>
      </w:r>
      <w:r>
        <w:rPr>
          <w:rStyle w:val="FootnoteAnchor"/>
          <w:rtl w:val="true"/>
        </w:rPr>
        <w:footnoteReference w:id="386"/>
      </w:r>
      <w:r>
        <w:rPr>
          <w:rFonts w:ascii="Amiri" w:hAnsi="Amiri" w:eastAsia="Amiri" w:cs="Amiri"/>
          <w:color w:val="111111"/>
          <w:sz w:val="28"/>
          <w:sz w:val="28"/>
          <w:szCs w:val="28"/>
          <w:rtl w:val="true"/>
          <w:lang w:bidi="ar-SA"/>
        </w:rPr>
        <w:t>، فيكون الحاصل من ضرب نصف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ثلث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المحيط والمجموع في العمق اثنين وثلاثين وثمن وربع 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تكلّفه بعضهم من أنّ الرواية قد اشتملت على الأبعاد الثلاثة؛ لظهور مثل هذا الخطاب في بيان الثلاث وإن ترك الثالث</w:t>
      </w:r>
      <w:r>
        <w:rPr>
          <w:rStyle w:val="FootnoteAnchor"/>
          <w:rtl w:val="true"/>
        </w:rPr>
        <w:footnoteReference w:id="387"/>
      </w:r>
      <w:r>
        <w:rPr>
          <w:rFonts w:ascii="Amiri" w:hAnsi="Amiri" w:eastAsia="Amiri" w:cs="Amiri"/>
          <w:color w:val="111111"/>
          <w:sz w:val="28"/>
          <w:sz w:val="28"/>
          <w:szCs w:val="28"/>
          <w:rtl w:val="true"/>
          <w:lang w:bidi="ar-SA"/>
        </w:rPr>
        <w:t>، مدفوع بأنّ ذلك في الضرب المجرّد عن ذكر بعض الأبعاد كثلاثة في ثلاثة لا الضرب المشتمل على أحدها،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اشتماله على بُعْدين،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الطول أو العرض، فيكون مجملاً، ويسقط معه الاستدلال، أو واحد يقوم مقامهما وهو القطر، وهو الأقرب في أمثال هذه المقامات فلا يصلح أن يكون دليلاً لهم، بل هو قريب لقولنا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تكلّفه آخَرون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في 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بيان أنّه مشتمل على الأبعاد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تأدية الطول والعرض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وتأدية العمق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ومن أنّ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المقدار، فيكون المعنى في عمق ذلك المقدار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قدر الأبعاد الثلاثة، كلاهما بعيد عن سوق الخطاب وصوغ الكلام، فلا يُلتفت إليهما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فهذا القول وإن كان قويّاً جدّاً بفتوى المشهور وموافقة الاحتياط، إلّا أنّ الأوّل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لابن الجنيد أنّ الكُرّ ما بلغ مكسّره مائة شبر</w:t>
      </w:r>
      <w:r>
        <w:rPr>
          <w:rStyle w:val="FootnoteAnchor"/>
          <w:rtl w:val="true"/>
        </w:rPr>
        <w:footnoteReference w:id="388"/>
      </w:r>
      <w:r>
        <w:rPr>
          <w:rFonts w:ascii="Amiri" w:hAnsi="Amiri" w:eastAsia="Amiri" w:cs="Amiri"/>
          <w:color w:val="111111"/>
          <w:sz w:val="28"/>
          <w:sz w:val="28"/>
          <w:szCs w:val="28"/>
          <w:rtl w:val="true"/>
          <w:lang w:bidi="ar-SA"/>
        </w:rPr>
        <w:t>، وهو ضعيف لا يُركن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وللقطب الراوندي أنّه ما بلغت أبعاده الثلاثة عشرة ونصف</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محتمل لإرادة الضرب فيها، فيؤول إلى المشهور وهو ما بلغ مكسّره اثنين وأربعين شبراً وسبعة أثمان ودليله دليلهم على إرادة معنى الجمع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الضرب، ومحتمل لإرادة ما يقرب منه كما لو فرض طوله ثلاثة وعرضه كذلك وعمقه أربعة ونصف، ومحتمل لإرادة ما يبعد عنه جد جدّاً، كما لو فرض طوله ستّة وعرضه أربعة وعمقه نصف شبر، فإنّ مساحته تكون اثني عشر شبراً، وكذا لو فرض أنّ كلّاً من طوله وعرضه شبر وعمقه عشرة أشبار ونصف، فإنّه يكون عشرة أشبار ونصف أو اثني عشر ونصف، أو أنّ طوله تسعة أشبار و عرضه شبر وعمقه نصف شبر، فإنّ مساحته تكون أربعة أشبار ونصف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 ضعيف مخالف للمشهور بل المجمع عليه، وخالٍ عن المستند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بكلّ ما روي على سبيل التخيير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رجوع لمذهب القمّيّين، وحمل ما زاد على الندب، أو على أنّ الكُرّ متواطئ بين أفراد كثيرة ناقصة وزائدة، فهو مكيال مختلف، وهو يرجع إلى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المعتبر من أنّه ما بلغ مكسّره ستّة وثلاثين شبراً</w:t>
      </w:r>
      <w:r>
        <w:rPr>
          <w:rStyle w:val="FootnoteAnchor"/>
          <w:rtl w:val="true"/>
        </w:rPr>
        <w:footnoteReference w:id="391"/>
      </w:r>
      <w:r>
        <w:rPr>
          <w:rFonts w:ascii="Amiri" w:hAnsi="Amiri" w:eastAsia="Amiri" w:cs="Amiri"/>
          <w:color w:val="111111"/>
          <w:sz w:val="28"/>
          <w:sz w:val="28"/>
          <w:szCs w:val="28"/>
          <w:rtl w:val="true"/>
          <w:lang w:bidi="ar-SA"/>
        </w:rPr>
        <w:t xml:space="preserve">استناداً للصحيحة الدالّة على أنّه ذراعان عمق وذراع وشبر سعة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لظهورها في المستدير أوّلاً، ولعدم القائل بها ثانياً، ولإجمال الذراع فيها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الكُرّ إن علم بلوغه الوزن كفى عن تقديره بالمساحة، وإن عُلم بلوغه المساحة كفى عن تقديره بالوزن، فيكتفى بالسابق منهما، ولا يفتقر إلى اجتماعهما اتّفاقاً، حتّى لو عُلم اختلافهما بحيث عُلم تحقّق أحدهما دون الآخَر كفى، وذلك ظاهر من الأخبار وكلام الأخيار، وتكون فائدة التحديد له بالحدّين هي التسهيل في معرفة قدر الماء الذي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 مكيال خاصّ، فإمّا أن يلاحظ قدره من الوزن، فيراعى الوزن، ولا معنى للمساحة حينئذٍ، وإمّا أن يلاحظ المساحة فلا معنى للوزن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قدر من الماء لا ينجّسه شيء، معلوم عند الشارع، معيّن في نفسه، وله علامتان يحصل بهما،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والأُخرى المساحة، فأيّتهما حصلت حصل ذلك المعيّن، أو أنّ الكُرّ قدر معلوم مشترك بين ما يبلغ وزنه الوزن المعلوم، وبين ما يبلغ قدره القدر المعلوم، وأيّهما بلغ</w:t>
      </w:r>
      <w:r>
        <w:rPr>
          <w:rStyle w:val="FootnoteAnchor"/>
          <w:rtl w:val="true"/>
        </w:rPr>
        <w:footnoteReference w:id="393"/>
      </w:r>
      <w:r>
        <w:rPr>
          <w:rFonts w:ascii="Amiri" w:hAnsi="Amiri" w:eastAsia="Amiri" w:cs="Amiri"/>
          <w:color w:val="111111"/>
          <w:sz w:val="28"/>
          <w:sz w:val="28"/>
          <w:szCs w:val="28"/>
          <w:rtl w:val="true"/>
          <w:lang w:bidi="ar-SA"/>
        </w:rPr>
        <w:t>، يكتفى به؛ لأنّ الحكم معلّق على الاسم، أو أنّ الكُرّ مكيال أصله المساحة، ولكنّ الشارع جعل الوزن مثله في الحكم وأطلق عليه الاسم مجازاً؛ للمقاربة والمشارفة، أو أنّ أصله الوزن، والكيل علامة له، فالكرّ وزن للماء معلوم، والكيل قائم مقامه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فالثمرة قليلة، بل لا ثمرة بعد بيان الحكم وأنّه يكتفى بالسابق من الأمرين في عدم الانفعال</w:t>
      </w:r>
      <w:r>
        <w:rPr>
          <w:rFonts w:eastAsia="Amiri" w:cs="Amiri" w:ascii="Amiri" w:hAnsi="Amiri"/>
          <w:color w:val="111111"/>
          <w:sz w:val="28"/>
          <w:szCs w:val="28"/>
          <w:rtl w:val="true"/>
          <w:lang w:bidi="ar-SA"/>
        </w:rPr>
        <w:t xml:space="preserve">. </w:t>
      </w:r>
      <w:bookmarkStart w:id="255" w:name="pg18988_203245"/>
    </w:p>
    <w:p>
      <w:pPr>
        <w:pStyle w:val="Heading4"/>
        <w:numPr>
          <w:ilvl w:val="3"/>
          <w:numId w:val="1"/>
        </w:numPr>
        <w:rPr/>
      </w:pPr>
      <w:bookmarkStart w:id="256" w:name="__RefHeading___Toc13197537_1280447820"/>
      <w:bookmarkStart w:id="257" w:name="_Toc95"/>
      <w:bookmarkEnd w:id="255"/>
      <w:bookmarkEnd w:id="256"/>
      <w:r>
        <w:rPr>
          <w:rtl w:val="true"/>
        </w:rPr>
        <w:t>بحث في ماء البئر</w:t>
      </w:r>
      <w:bookmarkEnd w:id="257"/>
    </w:p>
    <w:p>
      <w:pPr>
        <w:pStyle w:val="Heading5"/>
        <w:numPr>
          <w:ilvl w:val="4"/>
          <w:numId w:val="1"/>
        </w:numPr>
        <w:rPr/>
      </w:pPr>
      <w:bookmarkStart w:id="258" w:name="__RefHeading___Toc13197539_1280447820"/>
      <w:bookmarkStart w:id="259" w:name="_Toc96"/>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البئر مجمع ماءٍ نابعٍ من الأرض لا يتعدّاها غالباً ولا يخرج عن مسماها عرفاً، فيشترط في صدقها أن تكون مجمع ماء، والمراد به المطلق، فلو كانت مجمع غير ماء مطلق من المائعات أو المياه المضافة لم تكن بئراً، أو أن يكون ذلك الماء نابعاً غير محقون، أو ماء مطر، أو جارٍ انحبس في مكان عميق لا على نحو شكل البئر، فما لم يكن نابعاً لم يكن ماء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النابع هنا شامل للخارج من ينبوع ومن غيره كالرشح والنضح والنزّ؛ لحكم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خروجه مثل العرق بحيث لا يبين للحسّ إبانة ظاهرة، يشكل إدخاله في حكم البئر، بل إلحاقه بالمحقون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الماء لا يتعدّاها في أغلب الأوقات بمعنى أنّه غالباً غير متعدٍّ، ومع التعدّي نادراً لا يخلّ بصدق البئر ولو في حال التعدّي؛ لصدق عدم التعدّي غالباً عليها زمن التعدّي نادراً، مع احتمال خروجها عن مسمّى البئر عرفاً عند التعدّي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بعدم التعدّي غالباً نفي غلبة التعدّي حتّى يكون المتساوي في التعدّي وعدمه داخلاً في البئر، فالمراد تقييده للنفي لا للمنفيّ، كما يراد بالغلبةِ الغلبةُ بالزمان لا بالأفراد حتّى يكون النادر من الأفراد لو تعدّى غالباً داخلاً في البئر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يكون مجمع الماء غير خارجٍ عن مسمّاها عرفاً بمعنى عن مسمّاها عرفاً بمعنى أنّه يصدق عليه اسم البئر عرفاً، فلو لم يصدق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كالمحفور هيئة نهر طويل كبير، أو هيئة البِركة العظيمة المسّرحة الحواشي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بتراً</w:t>
      </w:r>
      <w:r>
        <w:rPr>
          <w:rFonts w:eastAsia="Amiri" w:cs="Amiri" w:ascii="Amiri" w:hAnsi="Amiri"/>
          <w:color w:val="111111"/>
          <w:sz w:val="28"/>
          <w:szCs w:val="28"/>
          <w:rtl w:val="true"/>
          <w:lang w:bidi="ar-SA"/>
        </w:rPr>
        <w:t xml:space="preserve">. </w:t>
      </w:r>
      <w:bookmarkStart w:id="260" w:name="pg18988_203246"/>
    </w:p>
    <w:p>
      <w:pPr>
        <w:pStyle w:val="BookText"/>
        <w:rPr/>
      </w:pPr>
      <w:bookmarkEnd w:id="260"/>
      <w:r>
        <w:rPr>
          <w:rFonts w:ascii="Amiri" w:hAnsi="Amiri" w:eastAsia="Amiri" w:cs="Amiri"/>
          <w:color w:val="111111"/>
          <w:sz w:val="28"/>
          <w:sz w:val="28"/>
          <w:szCs w:val="28"/>
          <w:rtl w:val="true"/>
          <w:lang w:bidi="ar-SA"/>
        </w:rPr>
        <w:t>و بيان ذلك أنّ البئر ليس لها حقيقة شرعيّة، بل يرجع فيها إلى العرف واللغة، واللغة تستكشف بالعرف؛ لأصالة عدم النقل، فما عُلم صدق لفظ البئر عليه عرفاً وشُكّ في صدقه لغةٌ حكمنا أنّه كذلك لغةٌ، وما عُلم عدم صدق البئر عليه عرفاً أو صدقها عليه عرفاً ولكن قطعنا بعدم صدقها عليه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كآبار النجف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نحكم بجريان حكم البئر عليها زمن الصدور؛ للقطع بأنّ البئر زمن الصدور هي النابعة من الأرض لا الجارية تحت الأرض من عينٍ أو شبهها أو بئرٍ أُخرى كآبار النجف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هنا معلّق على الاسم، فيدور مداره وإن اختلف العرف ، كالمأكول والمشروب والمكيل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ظاهرٌ بين تعليق الحكم على وصفٍ فيختلف الموصوف لاختلاف الزمان، كالمكيل والموزون، فإنّه لا يتبدّل الحكم به، وبين تعليقه على ذاتٍ قد وضع لها اللفظ زمن الصدور فيتبدّل الوضع في زمنٍ آخر لذاتٍ أُخرى، فإنّ الحكم هنا لا يتبع الاسم؛ ضرورة أنّ الأحكام لا تتبع المنقولات الحادثة، والبئر من هذا الأخير 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البئر الآن تطلق على النابع والجاري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كآبار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على وجه الاشتراك المعنوي، فتكون كذلك لغةً؛ لأصالة عدم النقل، دعوى بعيدة؛ لأنّ المفهوم منها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العامّ هو ما كان ماؤها نابعاً، لا ما كان جارياً</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3197541_1280447820"/>
      <w:bookmarkStart w:id="262" w:name="_Toc97"/>
      <w:bookmarkEnd w:id="261"/>
      <w:r>
        <w:rPr>
          <w:rtl w:val="true"/>
        </w:rPr>
        <w:t>بحث فی انّه هل ینفعل ماء البئر بالإنفعال مطلقاً ،أو عدمه مطلقاً أو ینفعل مع عدم البلوغ کرّاً؟</w:t>
      </w:r>
      <w:bookmarkEnd w:id="262"/>
    </w:p>
    <w:p>
      <w:pPr>
        <w:pStyle w:val="BookText"/>
        <w:rPr/>
      </w:pPr>
      <w:r>
        <w:rPr>
          <w:rFonts w:ascii="Amiri" w:hAnsi="Amiri" w:eastAsia="Amiri" w:cs="Amiri"/>
          <w:color w:val="111111"/>
          <w:sz w:val="28"/>
          <w:sz w:val="28"/>
          <w:szCs w:val="28"/>
          <w:rtl w:val="true"/>
          <w:lang w:bidi="ar-SA"/>
        </w:rPr>
        <w:t>أحكام البئر مخالفة للأصل، فيقتصر فيها على المتيقّن الإرادة من إطلاق لفظ البئر في الأخبار وكلام الأصحاب، وحينئذٍ فلو اتّصل بها ماءُ جارٍ أو ماء مطرٍ أو كُرٍّ، أو تواصلت الآبار فجرى بعضها على بعضٍ، أو خرجت البئر عن هيئتها عرفاً إلى اسمٍ آخَر، لم يَجْرِ عليها أحكام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لحوق أحكام البئر لها من اتّصال النبع عادة بها، قطعاً أو ظنّاً بعد العلم بتواصله؛ لحجّيّة الاستصحاب، وما لم يعلم بتواصله في آنٍ من الآنات المتقدّمة، فإنّه يحكم عليه بالانفعال إذا لم يبلغ كُرّاً قطعاً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ينفعل ماء البئر بالانفعال مطلقاً، أم لا ينفعل مطلقاً ؟ أم ينفعل مع عدم البلوغ كُرّاً ولا ينفعل مع البلوغ؟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مطلقاً؛ استناداً للإجماعات المنقولة</w:t>
      </w:r>
      <w:r>
        <w:rPr>
          <w:rStyle w:val="FootnoteAnchor"/>
          <w:rtl w:val="true"/>
        </w:rPr>
        <w:footnoteReference w:id="394"/>
      </w:r>
      <w:r>
        <w:rPr>
          <w:rFonts w:ascii="Amiri" w:hAnsi="Amiri" w:eastAsia="Amiri" w:cs="Amiri"/>
          <w:color w:val="111111"/>
          <w:sz w:val="28"/>
          <w:sz w:val="28"/>
          <w:szCs w:val="28"/>
          <w:rtl w:val="true"/>
          <w:lang w:bidi="ar-SA"/>
        </w:rPr>
        <w:t>، وللعمومات الدالّة على نجاسة الماء بوقوع أحد النجاسات إلّا ما أخرجه الدليل، وللشهرة المحكيّة عن قدماء الأصحاب</w:t>
      </w:r>
      <w:r>
        <w:rPr>
          <w:rStyle w:val="FootnoteAnchor"/>
          <w:rtl w:val="true"/>
        </w:rPr>
        <w:footnoteReference w:id="395"/>
      </w:r>
      <w:r>
        <w:rPr>
          <w:rFonts w:ascii="Amiri" w:hAnsi="Amiri" w:eastAsia="Amiri" w:cs="Amiri"/>
          <w:color w:val="111111"/>
          <w:sz w:val="28"/>
          <w:sz w:val="28"/>
          <w:szCs w:val="28"/>
          <w:rtl w:val="true"/>
          <w:lang w:bidi="ar-SA"/>
        </w:rPr>
        <w:t>، ولروايات النزح</w:t>
      </w:r>
      <w:r>
        <w:rPr>
          <w:rStyle w:val="FootnoteAnchor"/>
          <w:rtl w:val="true"/>
        </w:rPr>
        <w:footnoteReference w:id="396"/>
      </w:r>
      <w:r>
        <w:rPr>
          <w:rFonts w:ascii="Amiri" w:hAnsi="Amiri" w:eastAsia="Amiri" w:cs="Amiri"/>
          <w:color w:val="111111"/>
          <w:sz w:val="28"/>
          <w:sz w:val="28"/>
          <w:szCs w:val="28"/>
          <w:rtl w:val="true"/>
          <w:lang w:bidi="ar-SA"/>
        </w:rPr>
        <w:t>الذي من لوازم التطهير الذي هو من لوازم التنجيس، كالأوامر في الغسل الدالّة على التنجيس، وللأخبار</w:t>
      </w:r>
      <w:r>
        <w:rPr>
          <w:rStyle w:val="FootnoteAnchor"/>
          <w:rtl w:val="true"/>
        </w:rPr>
        <w:footnoteReference w:id="397"/>
      </w:r>
      <w:r>
        <w:rPr>
          <w:rFonts w:ascii="Amiri" w:hAnsi="Amiri" w:eastAsia="Amiri" w:cs="Amiri"/>
          <w:color w:val="111111"/>
          <w:sz w:val="28"/>
          <w:sz w:val="28"/>
          <w:szCs w:val="28"/>
          <w:rtl w:val="true"/>
          <w:lang w:bidi="ar-SA"/>
        </w:rPr>
        <w:t>الدالّة على انفعال الماء القليل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الدالّ على أنّ نزح بعض الدلاء يطهّر البئر</w:t>
      </w:r>
      <w:r>
        <w:rPr>
          <w:rStyle w:val="FootnoteAnchor"/>
          <w:rtl w:val="true"/>
        </w:rPr>
        <w:footnoteReference w:id="398"/>
      </w:r>
      <w:r>
        <w:rPr>
          <w:rFonts w:ascii="Amiri" w:hAnsi="Amiri" w:eastAsia="Amiri" w:cs="Amiri"/>
          <w:color w:val="111111"/>
          <w:sz w:val="28"/>
          <w:sz w:val="28"/>
          <w:szCs w:val="28"/>
          <w:rtl w:val="true"/>
          <w:lang w:bidi="ar-SA"/>
        </w:rPr>
        <w:t>، والظاهر من الطهارة ضدّ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الدالّ على نهي الجنب عن الوقوع في البئر وإيجاب التيمّم حذراً من إفسادها</w:t>
      </w:r>
      <w:r>
        <w:rPr>
          <w:rStyle w:val="FootnoteAnchor"/>
          <w:rtl w:val="true"/>
        </w:rPr>
        <w:footnoteReference w:id="399"/>
      </w:r>
      <w:r>
        <w:rPr>
          <w:rFonts w:ascii="Amiri" w:hAnsi="Amiri" w:eastAsia="Amiri" w:cs="Amiri"/>
          <w:color w:val="111111"/>
          <w:sz w:val="28"/>
          <w:sz w:val="28"/>
          <w:szCs w:val="28"/>
          <w:rtl w:val="true"/>
          <w:lang w:bidi="ar-SA"/>
        </w:rPr>
        <w:t>، مع أنّ جواز التيمّم مشروط بفقد الماء الطاهر، والظاهر من الإفساد هو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وللمكاتبة المسؤول فيها عن الذي يطهّر البئر بعد أن يقطر فيها بول أو دم أو يسقط فيها عذرة،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زرارة المسؤول فيها عن بئر يجري البول تحتها أينجّسها؟ المجاب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البئر إن كانت فوق الوادي والبول تحتها وبينهما ثلاثة أذرع، أو كانت البئر في الأسفل وكان يمرّ عليها البول وبينهما تسعة أذرع فلا تنجس البئر، وإلّا فتنجس</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الأدلّة ضعف؛ لضعف الإجماع المنقول بإطباق المتأخرّين على مخالفته، وبموافقته للتقيّة، وبمعارضته لما هو أقوى منه من الأخبار، وبمخالفة كثير من الفحول له من القدماء والمتأخّرين</w:t>
      </w:r>
      <w:r>
        <w:rPr>
          <w:rStyle w:val="FootnoteAnchor"/>
          <w:rtl w:val="true"/>
        </w:rPr>
        <w:footnoteReference w:id="402"/>
      </w:r>
      <w:r>
        <w:rPr>
          <w:rFonts w:ascii="Amiri" w:hAnsi="Amiri" w:eastAsia="Amiri" w:cs="Amiri"/>
          <w:color w:val="111111"/>
          <w:sz w:val="28"/>
          <w:sz w:val="28"/>
          <w:szCs w:val="28"/>
          <w:rtl w:val="true"/>
          <w:lang w:bidi="ar-SA"/>
        </w:rPr>
        <w:t>، وبمخالفته لأدلّة نفي العسر والحرج</w:t>
      </w:r>
      <w:r>
        <w:rPr>
          <w:rStyle w:val="FootnoteAnchor"/>
          <w:rtl w:val="true"/>
        </w:rPr>
        <w:footnoteReference w:id="403"/>
      </w:r>
      <w:r>
        <w:rPr>
          <w:rFonts w:ascii="Amiri" w:hAnsi="Amiri" w:eastAsia="Amiri" w:cs="Amiri"/>
          <w:color w:val="111111"/>
          <w:sz w:val="28"/>
          <w:sz w:val="28"/>
          <w:szCs w:val="28"/>
          <w:rtl w:val="true"/>
          <w:lang w:bidi="ar-SA"/>
        </w:rPr>
        <w:t>، وبمنافاته للسيرة القاطعة على استعمال الآبار في سائر الأعصار وسائر الأمصار ممّن يقطع بنجاستهم وتنجيسهم وعدم تجنّب الناس عن استعمالها، وعدم إنكار أهل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موهونة بمثلها من المتأخّرين على أن تحققّها غير معلومٍ، حتّى أنّ العلّامة</w:t>
      </w:r>
      <w:r>
        <w:rPr>
          <w:rStyle w:val="FootnoteAnchor"/>
          <w:rtl w:val="true"/>
        </w:rPr>
        <w:footnoteReference w:id="404"/>
      </w:r>
      <w:r>
        <w:rPr>
          <w:rFonts w:ascii="Amiri" w:hAnsi="Amiri" w:eastAsia="Amiri" w:cs="Amiri"/>
          <w:color w:val="111111"/>
          <w:sz w:val="28"/>
          <w:sz w:val="28"/>
          <w:szCs w:val="28"/>
          <w:rtl w:val="true"/>
          <w:lang w:bidi="ar-SA"/>
        </w:rPr>
        <w:t>ناقش في نسبة القول بالتنجيس للأكثر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أخبار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التنجيس، وليس من لوازمه؛ للأمر به فيما ليس منجّساً عند وقوعه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النزح كالغسل عرفاً وشرعاً، فليُحمل النزح على الوجوب التعبّدي الأصلي، أو على الندب للتنزيه ورفع القذارة، أو على الوجوب الشرطي في استعمال مائها للتطهير عن الحدث، أو هو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عمومات أدلّة تنجيس النجاسات وأدلّة انفعال الماء القليل، فممنوعة أوّلاً، وغير شاملة لنحو ماء البئر ثانياً؛ لانصرافه لغيره بديهةً من مياه الأواني والمائعات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محمولة على إرادة النزاهة والنظافة من لفظ التطهير ، أو إرادة ارتفاع الكراهة الحاصلة في الماء من وقوع تلك الأشياء فيها تجوّزاً لمشابهة المعنى المؤدّي للكراهة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على إرادة إظهار الرائحة الكامنة</w:t>
      </w:r>
      <w:r>
        <w:rPr>
          <w:rStyle w:val="FootnoteAnchor"/>
          <w:rtl w:val="true"/>
        </w:rPr>
        <w:footnoteReference w:id="406"/>
      </w:r>
      <w:r>
        <w:rPr>
          <w:rFonts w:ascii="Amiri" w:hAnsi="Amiri" w:eastAsia="Amiri" w:cs="Amiri"/>
          <w:color w:val="111111"/>
          <w:sz w:val="28"/>
          <w:sz w:val="28"/>
          <w:szCs w:val="28"/>
          <w:rtl w:val="true"/>
          <w:lang w:bidi="ar-SA"/>
        </w:rPr>
        <w:t>فيها والقذرات الحاصلة منها بالوقوع بها من لفظ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إرادة الشارع التجنّب عن ذلك؛ لأنهّا للمسلمين كافّة، والحاجة منهم ماسّة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تحريم إفسادها عليهم؛ ولذلك شرّع له التيمّم حرصاً على عدم الإفساد، وليس مشروعيّة التيمّم مخصوصة بفقدان الماء الطاهر، بل يمكن أن يكون لخوف الفساد، أو لخوف الهلاك عند وقوعه بها، أو للمشقّة،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محمولة على ما ذكرناه في الأُولى، مضافاً إلى أنّ لفظ التطهير مذكور في كلام الراوي، ومن المحتمل أنّ الجواب لا يقدّر فيه أنّ النزح يطهّرها، بل إنّ النزح مشروع لها، ويكون مفادها مفاد الروايات الدالّة على النزح ، ويكون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أضرب عن جوابه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أو لغرضٍ آخَر، على أنّ راوي هذه الرواية قد روى رواية التطهير، الآتية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 مسوقة مساق الروايات الدالّة على التباعد بين البئر والبالوعة، وسيجيء إن شاء الله تعالى الكلام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مطلقاً ما دام ماؤها متّصلاً بمادّتها؛ للأصل، والعمومات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طهوريّة ما له مادّة، وعمومات طهارة الكُرّ من الماء، ولعمومات نفي العسر والحرج</w:t>
      </w:r>
      <w:r>
        <w:rPr>
          <w:rStyle w:val="FootnoteAnchor"/>
          <w:rtl w:val="true"/>
        </w:rPr>
        <w:footnoteReference w:id="407"/>
      </w:r>
      <w:r>
        <w:rPr>
          <w:rFonts w:ascii="Amiri" w:hAnsi="Amiri" w:eastAsia="Amiri" w:cs="Amiri"/>
          <w:color w:val="111111"/>
          <w:sz w:val="28"/>
          <w:sz w:val="28"/>
          <w:szCs w:val="28"/>
          <w:rtl w:val="true"/>
          <w:lang w:bidi="ar-SA"/>
        </w:rPr>
        <w:t>وسهولة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ولاستبعاد الحكم بطهارة الكُرّ إذا خرج عنها ونجاسة ألف كُرّ ما دام فيها، واستبعادِ طهارة الكُرّ عند ملاقاته إذا كان خارجاً عنها، فإذا وقع فيها نجّسها، واستبعادِ أنّها إن سدّت ينابيعها لم تنفعل، وإن فتحت انفعلت بالملاقاة، والحكم بانفعالها ما دامت على هيئتها، وعدمه عند تبدّلها بهيئة أُخرى بحيث يصدق عليها اسم آخّر، واستبعادِ تطهير الدلو والحبل والحواشي بعد نجاستها بالتبعيّة من غير دليلٍ على ذلك، وكذا يد النازح وثيابه، وكذا ما يتقاطر من الدلو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طهارة كلّ ذلك من الأخبار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ولموافقة أخبار النزح للتقيّة، ولضعفها باختلاف مقاديرها وعدم تحديد الدلو فيها، والتخيير بين الأقلّ والأكثر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ليس شعائر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ولورود الأمر بالنزح لما لا يوجب تنجيساً من الأُمور الطاهرة ، ولإشعارها بالتسامح في أمر النزح الظاهر في الندب، ولترك بيان حكم الماء الخارج منها بالنزح، والدواعي تتوفّر لبيانه لو 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الخاصّة المتكثّرة الدالّة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ويطيب طعمه ؛ لأنّ له مادّة</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فإنّ حكمه بالسعة ونفي الفساد عنه على وجه العموم، واستثناءه لحالة التغيير فقط في مقام البيان، واكتفاءه في التطهير بالنزح المُذهِب للتغيّر وتعليله 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طهارة ماء البئر قطعاً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والطعن فيها بأنّها مكاتبة، أو بأنّ ما دلّ على تنجّس البئر بالأشياء المخصوصة خاصّ، و ما دلّت عليه عامّ، والخاصّ مقدّم على العامّ، أو بأنّ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إفساداً لا يجوز الانتفاع بشيء منه إلّا إذا تغيّر وعند عدم التغيّر يفسد في الجملة، لجواز الانتفاع </w:t>
      </w:r>
    </w:p>
    <w:p>
      <w:pPr>
        <w:pStyle w:val="BookText"/>
        <w:rPr/>
      </w:pPr>
      <w:r>
        <w:rPr>
          <w:rFonts w:ascii="Amiri" w:hAnsi="Amiri" w:eastAsia="Amiri" w:cs="Amiri"/>
          <w:color w:val="111111"/>
          <w:sz w:val="28"/>
          <w:sz w:val="28"/>
          <w:szCs w:val="28"/>
          <w:rtl w:val="true"/>
          <w:lang w:bidi="ar-SA"/>
        </w:rPr>
        <w:t>به بعد نزح المقدّر، ضعيف؛ لحجّيّة المكاتبة، ولأنّها مرويّة بطريقين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رجل أسأله أن يسأل أبا الحسن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فقد يكون هذا الراوي سمع تارة مشافهةً وأُخرى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كون أخبار النزح خاصّةً ممنوع؛ لعدم دلالة النزح على النجاسة، على أنّ أخبار النزح قد أُخذت دليلاً على أصل التنجيس، فالمعارضة بينهما التباين لا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احتمال تنزيل الإفساد على ذلك المعنى تأويل من غير دليل يشبه الألغاز والمعمّيات، على أنّ ما وجب له نزح الجميع من الأشياء الواقعة فيها يقضي بعدم الانتفاع مطلقاً أيضاً، فلا معنى للتعميم والتخصيص، وأنّ التغيّر قد لا يوجب فساداً لا ينتفع به إلّا بنزح الجميع؛</w:t>
      </w:r>
    </w:p>
    <w:p>
      <w:pPr>
        <w:pStyle w:val="BookText"/>
        <w:rPr/>
      </w:pPr>
      <w:r>
        <w:rPr>
          <w:rFonts w:ascii="Amiri" w:hAnsi="Amiri" w:eastAsia="Amiri" w:cs="Amiri"/>
          <w:color w:val="111111"/>
          <w:sz w:val="28"/>
          <w:sz w:val="28"/>
          <w:szCs w:val="28"/>
          <w:rtl w:val="true"/>
          <w:lang w:bidi="ar-SA"/>
        </w:rPr>
        <w:t>لإمكان زواله بنزح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ماءٍ وقع فيها زنبيل عذرة رطبة أو يابسة، أو زنبيل من سرقين، أيصلح الوضوء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والطعن فيها بأنّ السرقين والعذرة أعمّ من النجس، وبأنّ وقوع الزنبيل لا يقضي بوقوعهما؛ لأصالة الطهارة، وبأنّ نفي البأس لعلّه يراد بعد نزح الخمسين، ضعيف مخالف للظاهر من أنّ العذرة فضلة الإنسان عرفاً ولغةٌ</w:t>
      </w:r>
      <w:r>
        <w:rPr>
          <w:rStyle w:val="FootnoteAnchor"/>
          <w:rtl w:val="true"/>
        </w:rPr>
        <w:footnoteReference w:id="411"/>
      </w:r>
      <w:r>
        <w:rPr>
          <w:rFonts w:ascii="Amiri" w:hAnsi="Amiri" w:eastAsia="Amiri" w:cs="Amiri"/>
          <w:color w:val="111111"/>
          <w:sz w:val="28"/>
          <w:sz w:val="28"/>
          <w:szCs w:val="28"/>
          <w:rtl w:val="true"/>
          <w:lang w:bidi="ar-SA"/>
        </w:rPr>
        <w:t>، ومن أنّ الظاهر مماسّتها للماء عند وقوع الزنبيل عادة، ومن أنّ تقييد نفي البأس بما بعد الخمسين من باب تأخير البيان عن وقت الخطاب أو الحاجة، وأحدهما بعيد، والآخَر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ولا تعاد الصلاة ممّا وقع في البئر إلّا أن ينتن، فإن أنتن غسل الثوب وأعاد الصلاة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والطعن فيها بحمّاد، وبصدق لفظ البئر على النابعة والمحقونة، فلعلّ السؤال عن الثانية ضعيف؛ لظهور حمّاد في حمّاد بن عيسى؛ لرواية الحسين بن سعيد عنه، وروايته عن معاوية بن عمّار، ولتبادر البئر النابعة من لفظ البئر، على أنّ تنجيس المحقونة أولى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الرابع في الفأرة تقع في البئر، فيتوضّأ الرجل منها ويصلّي وهو لا يعلم، أيعيد </w:t>
      </w:r>
    </w:p>
    <w:p>
      <w:pPr>
        <w:pStyle w:val="BookText"/>
        <w:rPr/>
      </w:pPr>
      <w:r>
        <w:rPr>
          <w:rFonts w:ascii="Amiri" w:hAnsi="Amiri" w:eastAsia="Amiri" w:cs="Amiri"/>
          <w:color w:val="111111"/>
          <w:sz w:val="28"/>
          <w:sz w:val="28"/>
          <w:szCs w:val="28"/>
          <w:rtl w:val="true"/>
          <w:lang w:bidi="ar-SA"/>
        </w:rPr>
        <w:t>الصلاة ويغسل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ولا يغسل ثوبه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وهو ظاهر في كون الفأرة ميتة، وفي أنّ الاستعمال وقع بعد العلم بكونها ميتة في البئر، كما يشعر به السؤال والجواب، فالطعن فيها بعدم ثبوت أنّ الاستعمال كان بعد ثبوت الموت فيها والأصل الطهارة،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ريح يُنزح عشرون دلواً</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بالمفهوم على عدم وجوب النزح عند عدم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السادس، أو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لا يعلم بها إلّا بعد أن يتوضّأ منها، أيعاد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وهو ظاهر في سبقها على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والموثق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يستقى منها ويتوضّأ به وغسل منها الثياب وعجن به، ثمّ علم أنّه كان فيها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يغسل الثوب ولا تعاد الصلاة</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وهو ظاهر في أنه علم بوقوع الميت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فلا يعلم أحد إلّا بعدما يتوضّأ منها، أيعيد الوضوء وصلاته ويغسل ما أصابه؟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فقد استقى أهل الدار ورشّوا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المتكثّرة الدالّة على الطهارة من الحسن والضعيف والموثّق، المجبورة بفتوى المتأخّرين حتّى كاد أن يكون إجماعاً، وبمخالفة العامّة، وبالأُصول والقواعد المحكّمة القاضية بالطهارة، فالترجيح لهذه دون تلك، والعمل على الراجح لازم قطعاً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إذا بلغ ماؤها كُرّاً، والانفعال مع عدمه؛ استناداً لروايات الكُرّ</w:t>
      </w:r>
      <w:r>
        <w:rPr>
          <w:rStyle w:val="FootnoteAnchor"/>
          <w:rtl w:val="true"/>
        </w:rPr>
        <w:footnoteReference w:id="418"/>
      </w:r>
      <w:r>
        <w:rPr>
          <w:rFonts w:ascii="Amiri" w:hAnsi="Amiri" w:eastAsia="Amiri" w:cs="Amiri"/>
          <w:color w:val="111111"/>
          <w:sz w:val="28"/>
          <w:sz w:val="28"/>
          <w:szCs w:val="28"/>
          <w:rtl w:val="true"/>
          <w:lang w:bidi="ar-SA"/>
        </w:rPr>
        <w:t>في الأوّل، ولخصوص ما دلّ على أنّ الماء إذا كان في الركيّ كُرّاً لم ينجّسه شيء</w:t>
      </w:r>
      <w:r>
        <w:rPr>
          <w:rStyle w:val="FootnoteAnchor"/>
          <w:rtl w:val="true"/>
        </w:rPr>
        <w:footnoteReference w:id="419"/>
      </w:r>
      <w:r>
        <w:rPr>
          <w:rFonts w:ascii="Amiri" w:hAnsi="Amiri" w:eastAsia="Amiri" w:cs="Amiri"/>
          <w:color w:val="111111"/>
          <w:sz w:val="28"/>
          <w:sz w:val="28"/>
          <w:szCs w:val="28"/>
          <w:rtl w:val="true"/>
          <w:lang w:bidi="ar-SA"/>
        </w:rPr>
        <w:t>، ولروايات انفعال الماء القليل</w:t>
      </w:r>
      <w:r>
        <w:rPr>
          <w:rStyle w:val="FootnoteAnchor"/>
          <w:rtl w:val="true"/>
        </w:rPr>
        <w:footnoteReference w:id="420"/>
      </w:r>
      <w:r>
        <w:rPr>
          <w:rFonts w:ascii="Amiri" w:hAnsi="Amiri" w:eastAsia="Amiri" w:cs="Amiri"/>
          <w:color w:val="111111"/>
          <w:sz w:val="28"/>
          <w:sz w:val="28"/>
          <w:szCs w:val="28"/>
          <w:rtl w:val="true"/>
          <w:lang w:bidi="ar-SA"/>
        </w:rPr>
        <w:t>، ومفهوم الرواية المتقدّمة</w:t>
      </w:r>
      <w:r>
        <w:rPr>
          <w:rStyle w:val="FootnoteAnchor"/>
          <w:rtl w:val="true"/>
        </w:rPr>
        <w:footnoteReference w:id="421"/>
      </w:r>
      <w:r>
        <w:rPr>
          <w:rFonts w:ascii="Amiri" w:hAnsi="Amiri" w:eastAsia="Amiri" w:cs="Amiri"/>
          <w:color w:val="111111"/>
          <w:sz w:val="28"/>
          <w:sz w:val="28"/>
          <w:szCs w:val="28"/>
          <w:rtl w:val="true"/>
          <w:lang w:bidi="ar-SA"/>
        </w:rPr>
        <w:t>، ولروايات النزح</w:t>
      </w:r>
      <w:r>
        <w:rPr>
          <w:rStyle w:val="FootnoteAnchor"/>
          <w:rtl w:val="true"/>
        </w:rPr>
        <w:footnoteReference w:id="422"/>
      </w:r>
      <w:r>
        <w:rPr>
          <w:rFonts w:ascii="Amiri" w:hAnsi="Amiri" w:eastAsia="Amiri" w:cs="Amiri"/>
          <w:color w:val="111111"/>
          <w:sz w:val="28"/>
          <w:sz w:val="28"/>
          <w:szCs w:val="28"/>
          <w:rtl w:val="true"/>
          <w:lang w:bidi="ar-SA"/>
        </w:rPr>
        <w:t>القاضية بالتنجيس في الثاني</w:t>
      </w:r>
      <w:r>
        <w:rPr>
          <w:rFonts w:eastAsia="Amiri" w:cs="Amiri" w:ascii="Amiri" w:hAnsi="Amiri"/>
          <w:color w:val="111111"/>
          <w:sz w:val="28"/>
          <w:szCs w:val="28"/>
          <w:rtl w:val="true"/>
          <w:lang w:bidi="ar-SA"/>
        </w:rPr>
        <w:t xml:space="preserve">. </w:t>
      </w:r>
      <w:bookmarkStart w:id="263" w:name="pg18988_203252"/>
    </w:p>
    <w:p>
      <w:pPr>
        <w:pStyle w:val="BookText"/>
        <w:rPr/>
      </w:pPr>
      <w:bookmarkEnd w:id="263"/>
      <w:r>
        <w:rPr>
          <w:rFonts w:ascii="Amiri" w:hAnsi="Amiri" w:eastAsia="Amiri" w:cs="Amiri"/>
          <w:color w:val="111111"/>
          <w:sz w:val="28"/>
          <w:sz w:val="28"/>
          <w:szCs w:val="28"/>
          <w:rtl w:val="true"/>
          <w:lang w:bidi="ar-SA"/>
        </w:rPr>
        <w:t>ولايخفى ضعفه؛ لعدم معارضته لما ذكرناه من عدم الانفعال مطلقاً، ولمنع العموم في أدلّة الماء القليل، ولضعف الرواية الخاصّة منطوقاً ومفهوماً ، ولعدم دلالة وجوب</w:t>
      </w:r>
      <w:r>
        <w:rPr>
          <w:rStyle w:val="FootnoteAnchor"/>
          <w:rtl w:val="true"/>
        </w:rPr>
        <w:footnoteReference w:id="423"/>
      </w:r>
      <w:r>
        <w:rPr>
          <w:rFonts w:ascii="Amiri" w:hAnsi="Amiri" w:eastAsia="Amiri" w:cs="Amiri"/>
          <w:color w:val="111111"/>
          <w:sz w:val="28"/>
          <w:sz w:val="28"/>
          <w:szCs w:val="28"/>
          <w:rtl w:val="true"/>
          <w:lang w:bidi="ar-SA"/>
        </w:rPr>
        <w:t>النزح على التنجيس</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3197543_1280447820"/>
      <w:bookmarkStart w:id="265" w:name="_Toc98"/>
      <w:bookmarkEnd w:id="264"/>
      <w:r>
        <w:rPr>
          <w:rtl w:val="true"/>
        </w:rPr>
        <w:t>فوائد في منزوحات البئر</w:t>
      </w:r>
      <w:bookmarkEnd w:id="265"/>
    </w:p>
    <w:p>
      <w:pPr>
        <w:pStyle w:val="Heading5"/>
        <w:numPr>
          <w:ilvl w:val="4"/>
          <w:numId w:val="1"/>
        </w:numPr>
        <w:rPr/>
      </w:pPr>
      <w:bookmarkStart w:id="266" w:name="__RefHeading___Toc13197545_1280447820"/>
      <w:bookmarkStart w:id="267" w:name="_Toc99"/>
      <w:bookmarkEnd w:id="266"/>
      <w:r>
        <w:rPr>
          <w:rtl w:val="true"/>
        </w:rPr>
        <w:t>الأُولى</w:t>
      </w:r>
      <w:r>
        <w:rPr>
          <w:rtl w:val="true"/>
        </w:rPr>
        <w:t xml:space="preserve">: </w:t>
      </w:r>
      <w:r>
        <w:rPr>
          <w:rtl w:val="true"/>
        </w:rPr>
        <w:t>هل النزح واجب تعبّديّ لنفسه، أو تعبّديّ من جهة الاستعمال</w:t>
      </w:r>
      <w:r>
        <w:rPr>
          <w:rtl w:val="true"/>
        </w:rPr>
        <w:t>?</w:t>
      </w:r>
      <w:bookmarkEnd w:id="267"/>
    </w:p>
    <w:p>
      <w:pPr>
        <w:pStyle w:val="BookText"/>
        <w:rPr/>
      </w:pPr>
      <w:r>
        <w:rPr>
          <w:rFonts w:ascii="Amiri" w:hAnsi="Amiri" w:eastAsia="Amiri" w:cs="Amiri"/>
          <w:color w:val="111111"/>
          <w:sz w:val="28"/>
          <w:sz w:val="28"/>
          <w:szCs w:val="28"/>
          <w:rtl w:val="true"/>
          <w:lang w:bidi="ar-SA"/>
        </w:rPr>
        <w:t>إنّه على المختار من الطهارة، فهل النزح واجب تعبّديّ لنفسه، أو تعبّديّ من جهة الاستعمال، وعليهما فيكون وجوب الإزالة كوجوب إزالة النجاسة عن المسجد، أو واجب شرطيّ للتطهير من الحدث والخبث فالماء طاهر لا يطهّر، أو للحدث فقط، أو شرطيّ للاستعمال مطلقاً، أو مندوب تعبّديّ على الوجهين السابقين، أو مندوب لغيره من الاستعمال مطلقاً، أو للتطهير الحدث والخبث أو الحدث فقط ؟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مندوباً لغيره من سائر الاستعمالات المترتّبة على الماء لدفع قذارته والنفرة الحاصلة من وقوع تلك الأشياء فيه؛ للأصل، وظاهر بعض الروايات السابقة</w:t>
      </w:r>
      <w:r>
        <w:rPr>
          <w:rStyle w:val="FootnoteAnchor"/>
          <w:rtl w:val="true"/>
        </w:rPr>
        <w:footnoteReference w:id="424"/>
      </w:r>
      <w:r>
        <w:rPr>
          <w:rFonts w:ascii="Amiri" w:hAnsi="Amiri" w:eastAsia="Amiri" w:cs="Amiri"/>
          <w:color w:val="111111"/>
          <w:sz w:val="28"/>
          <w:sz w:val="28"/>
          <w:szCs w:val="28"/>
          <w:rtl w:val="true"/>
          <w:lang w:bidi="ar-SA"/>
        </w:rPr>
        <w:t>النافية للفساد ،والآمرة بعدم إعادة الوضوء والصلاة</w:t>
      </w:r>
      <w:r>
        <w:rPr>
          <w:rStyle w:val="FootnoteAnchor"/>
          <w:rtl w:val="true"/>
        </w:rPr>
        <w:footnoteReference w:id="425"/>
      </w:r>
      <w:r>
        <w:rPr>
          <w:rFonts w:ascii="Amiri" w:hAnsi="Amiri" w:eastAsia="Amiri" w:cs="Amiri"/>
          <w:color w:val="111111"/>
          <w:sz w:val="28"/>
          <w:sz w:val="28"/>
          <w:szCs w:val="28"/>
          <w:rtl w:val="true"/>
          <w:lang w:bidi="ar-SA"/>
        </w:rPr>
        <w:t>، والآمرة بالنزح إلى أن يذهب التغيير</w:t>
      </w:r>
      <w:r>
        <w:rPr>
          <w:rStyle w:val="FootnoteAnchor"/>
          <w:rtl w:val="true"/>
        </w:rPr>
        <w:footnoteReference w:id="426"/>
      </w:r>
      <w:r>
        <w:rPr>
          <w:rFonts w:ascii="Amiri" w:hAnsi="Amiri" w:eastAsia="Amiri" w:cs="Amiri"/>
          <w:color w:val="111111"/>
          <w:sz w:val="28"/>
          <w:sz w:val="28"/>
          <w:szCs w:val="28"/>
          <w:rtl w:val="true"/>
          <w:lang w:bidi="ar-SA"/>
        </w:rPr>
        <w:t>من دون أمرٍ آخَر في مقام البيان، وإطلاق الدلاء في كثير من الأخبار</w:t>
      </w:r>
      <w:r>
        <w:rPr>
          <w:rStyle w:val="FootnoteAnchor"/>
          <w:rtl w:val="true"/>
        </w:rPr>
        <w:footnoteReference w:id="427"/>
      </w:r>
      <w:r>
        <w:rPr>
          <w:rFonts w:ascii="Amiri" w:hAnsi="Amiri" w:eastAsia="Amiri" w:cs="Amiri"/>
          <w:color w:val="111111"/>
          <w:sz w:val="28"/>
          <w:sz w:val="28"/>
          <w:szCs w:val="28"/>
          <w:rtl w:val="true"/>
          <w:lang w:bidi="ar-SA"/>
        </w:rPr>
        <w:t>من دون تعيينٍ، والجمع بين المختلفات والتفريق بين المتماثلات والتخيير بين عدد وغيره أزيد أو أنقص في كثير من النجاسات، والأمر بالنزح لكثير من الأشياء الطاهرة كالجنب والعقرب</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الأبواب،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وشدّة التعارض والاختلاف في أخبار النزح ولندرة القائل لوجوب التعبّدي، بل قد يدّعى أنّه خرقٌ للإجماع المركّب أو مخالف للشهرة المركّبة، وهذه وإن لم يكن كلّ واحدٍ منهما قرينة مستقلّة على الاستحباب فالمجموع صالح لكونه قرينةً صارفةً عن الوجوب، سيّما وأنّ المندوب في أخبار أهل البيت في مثل هذه المقامات ممّا يقوى الظنّ بإرادته من الخطابات،</w:t>
      </w:r>
      <w:bookmarkStart w:id="268" w:name="pg18988_203253"/>
    </w:p>
    <w:p>
      <w:pPr>
        <w:pStyle w:val="BookText"/>
        <w:rPr/>
      </w:pPr>
      <w:bookmarkEnd w:id="268"/>
      <w:r>
        <w:rPr>
          <w:rFonts w:ascii="Amiri" w:hAnsi="Amiri" w:eastAsia="Amiri" w:cs="Amiri"/>
          <w:color w:val="111111"/>
          <w:sz w:val="28"/>
          <w:sz w:val="28"/>
          <w:szCs w:val="28"/>
          <w:rtl w:val="true"/>
          <w:lang w:bidi="ar-SA"/>
        </w:rPr>
        <w:t xml:space="preserve">على أنّ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 مجاز، واستعماله في الوجوب الشرطي أو الغيري مجاز أيضاً، والترجيح لإرادة الندب؛ لحصول الظنّ به ممّا ذكرناه، وحملها على الوجوب التعبّدي الصرف الذي هو حقيقة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3197547_1280447820"/>
      <w:bookmarkStart w:id="270" w:name="_Toc100"/>
      <w:bookmarkEnd w:id="269"/>
      <w:r>
        <w:rPr>
          <w:rtl w:val="true"/>
        </w:rPr>
        <w:t xml:space="preserve">الثانية </w:t>
      </w:r>
      <w:r>
        <w:rPr>
          <w:rtl w:val="true"/>
        </w:rPr>
        <w:t>:</w:t>
      </w:r>
      <w:r>
        <w:rPr>
          <w:rtl w:val="true"/>
        </w:rPr>
        <w:t>عدم انحصار المطهّر لبئر بالنزح</w:t>
      </w:r>
      <w:bookmarkEnd w:id="270"/>
    </w:p>
    <w:p>
      <w:pPr>
        <w:pStyle w:val="BookText"/>
        <w:rPr/>
      </w:pPr>
      <w:r>
        <w:rPr>
          <w:rFonts w:ascii="Amiri" w:hAnsi="Amiri" w:eastAsia="Amiri" w:cs="Amiri"/>
          <w:color w:val="111111"/>
          <w:sz w:val="28"/>
          <w:sz w:val="28"/>
          <w:szCs w:val="28"/>
          <w:rtl w:val="true"/>
          <w:lang w:bidi="ar-SA"/>
        </w:rPr>
        <w:t>الأظهر على القول بالتنجيس عدم انحصار المطهّر بالنزح وإن ظهر ذلك من الأخبار وكلام الأصحاب ؛ لتنزيل كلام الأصحاب على بيان الطريق الأسهل في التطهير ، وإلّا فيجوز تطهيرها بإلقاء كُرٍّ دفعةً أو متواصلاً عليها، أو اتّصال ماء جارٍ أو ماء مطر؛ لعموم أدلّة تطهيرها، وعدم إمكان اجتماع ماء واحد طاهر ونجس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أُلقي في بئر قدر كُرٍّ من ماء ولم يستهلك في ماء البئر، قوي القول باعتصام مائها به، ولا يجب النزح ولا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تطهر البئر بانسداد ينابيعها ونشف مائها، أو غور مائها وعوده، أو شرب دابّةٍ له دفعةً، أو جريان مائها متدافعاً على أرضٍ أُخرى أو بئر أُخرى، أم لا تطهر ولا يرتفع حكم كراهة الاستعمال قبل النزح؟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على القول بالنجاسة، وارتفاع الكراهة على القول بالطهارة؛ لحصول الغرض من النزح بإخراج الماء منها بما هو مثله أو أقوى منه؛ لخلوّه عن التقاطر ورجوع شيء من المنزوح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غور بعض من الماء أو شرب دابّةٍ له بحيث يساوي المقدّر من الدلاء كالسبع والثلاث وشبههما فلا يخلو من إشكالٍ؛ لاحتمال أنّ في النزح خصوصيّةً لتطهير الباقي، ولاحتمال أنّ الغرض ذهاب بعض الماء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غار جميع ماء البئر فعاد فإن علم أنّه الأوّل جرى عليه حكم النزح، وإلّا فالأقوى طهارته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وجوب نزح الجميع له، واحتُمل وجوب نزح المقدّر إن كان، وإلّا فالجميع ، و إلّا فالتراوح</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3197549_1280447820"/>
      <w:bookmarkStart w:id="272" w:name="_Toc101"/>
      <w:bookmarkEnd w:id="271"/>
      <w:r>
        <w:rPr>
          <w:rtl w:val="true"/>
        </w:rPr>
        <w:t>الثالثة</w:t>
      </w:r>
      <w:r>
        <w:rPr>
          <w:rtl w:val="true"/>
        </w:rPr>
        <w:t xml:space="preserve">: </w:t>
      </w:r>
      <w:r>
        <w:rPr>
          <w:rtl w:val="true"/>
        </w:rPr>
        <w:t>طهارة الدلو والرشا وحواشي البئر بالنزح</w:t>
      </w:r>
      <w:bookmarkEnd w:id="2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على القول بالتنجيس والطهارة بالنزح طهارة الدلو والرشا وحواشي البئر، بل ويد النازح وثيابه والآلات المتوقّف عليها النزح عند طهارة البئر بالتبعيّة؛ للزوم العسر والحرج مع عدم الطهارة، ولخلوّ الأخبار عن بيان حكمه مع بيان حكم النزح، فيُفهم منه أن </w:t>
      </w:r>
      <w:bookmarkStart w:id="273" w:name="pg18988_203254"/>
    </w:p>
    <w:p>
      <w:pPr>
        <w:pStyle w:val="BookText"/>
        <w:rPr/>
      </w:pPr>
      <w:bookmarkEnd w:id="273"/>
      <w:r>
        <w:rPr>
          <w:rFonts w:ascii="IRNazanin" w:hAnsi="IRNazanin" w:eastAsia="IRNazanin"/>
          <w:color w:val="111111"/>
          <w:sz w:val="28"/>
          <w:sz w:val="28"/>
          <w:szCs w:val="28"/>
          <w:rtl w:val="true"/>
          <w:lang w:bidi="fa-IR"/>
        </w:rPr>
        <w:t>لا شيء بعد النزح لازم في تطهير البئر، ولا فيما يتبعها، وللسكوت عن حكم الدلو النازح مع کونه هو المستقى في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القطرات الواقعة فيها من الدلو وشبهه؛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فيها غير المعتاد، كان كما لو وقع في البئر شيء من الماء المنزوح من بئرٍ أُخرى، فيحتمل وجوب نزح المقدّر ممّا نزح له؛ إذ لا يزيد الفرع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وجوب نزح الجميع؛ لعدم التقدير شرعاً، فيرجع للمتيقّن من التطهير وهو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نزح مقدار ما يزيل التغيّر لو كان متغيراً بها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الأقلّ من المقدّرات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من الدلو ما لا يعتاد، فهل يجب أن يكمّل بقدره، أو يعاد، أو يزاد شيء على العدد، أو ينزح الكلّ، أو ينزح المقدّر لتلك النجاسة، أو ينزح أقلّ عددٍ وجب نزحه لأيّ نجاسةٍ، أو ينزح قدر المتغيّر تقديراً؟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3197551_1280447820"/>
      <w:bookmarkStart w:id="275" w:name="_Toc102"/>
      <w:bookmarkEnd w:id="274"/>
      <w:r>
        <w:rPr>
          <w:rtl w:val="true"/>
        </w:rPr>
        <w:t>الرابعة</w:t>
      </w:r>
      <w:r>
        <w:rPr>
          <w:rtl w:val="true"/>
        </w:rPr>
        <w:t>:</w:t>
      </w:r>
      <w:r>
        <w:rPr>
          <w:rtl w:val="true"/>
        </w:rPr>
        <w:t>كفاية الرجوع بالدلو إلى العرف زمن الصدور</w:t>
      </w:r>
      <w:bookmarkEnd w:id="275"/>
    </w:p>
    <w:p>
      <w:pPr>
        <w:pStyle w:val="BookText"/>
        <w:rPr/>
      </w:pPr>
      <w:r>
        <w:rPr>
          <w:rFonts w:ascii="Amiri" w:hAnsi="Amiri" w:eastAsia="Amiri" w:cs="Amiri"/>
          <w:color w:val="111111"/>
          <w:sz w:val="28"/>
          <w:sz w:val="28"/>
          <w:szCs w:val="28"/>
          <w:rtl w:val="true"/>
          <w:lang w:bidi="ar-SA"/>
        </w:rPr>
        <w:t>الأظهر على القول بالتنجيس وعلى التعبّد كفاية الرجوع بالدلو إلى العرف زمن الصدور، ويكفي عند الشكّ الأخذ بالمعتاد من الدلو لتلك البئر في تلك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المعتاد أُخذ بالأغلب، وإن تكثّر الأغلب تخيّر بين الدلاء، وكفاية الدلو الكبير، فيقوم واحد مقام الكثير إذا كان بقدره، وكفاية أخذ الماء إلى مكانٍ آخَر بقدر الدلاء، وكفاية أخذ آنيةٍ صغيرة ولو بكفّ قدر المقدّر من الدلاء</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3197553_1280447820"/>
      <w:bookmarkStart w:id="277" w:name="_Toc103"/>
      <w:bookmarkEnd w:id="276"/>
      <w:r>
        <w:rPr>
          <w:rtl w:val="true"/>
        </w:rPr>
        <w:t>الخامسة</w:t>
      </w:r>
      <w:r>
        <w:rPr>
          <w:rtl w:val="true"/>
        </w:rPr>
        <w:t xml:space="preserve">: </w:t>
      </w:r>
      <w:r>
        <w:rPr>
          <w:rtl w:val="true"/>
        </w:rPr>
        <w:t>فی انّه لایُنزح لغیر المقّدر</w:t>
      </w:r>
      <w:bookmarkEnd w:id="277"/>
    </w:p>
    <w:p>
      <w:pPr>
        <w:pStyle w:val="BookText"/>
        <w:rPr/>
      </w:pPr>
      <w:r>
        <w:rPr>
          <w:rFonts w:ascii="Amiri" w:hAnsi="Amiri" w:eastAsia="Amiri" w:cs="Amiri"/>
          <w:color w:val="111111"/>
          <w:sz w:val="28"/>
          <w:sz w:val="28"/>
          <w:szCs w:val="28"/>
          <w:rtl w:val="true"/>
          <w:lang w:bidi="ar-SA"/>
        </w:rPr>
        <w:t>لا نزح لغير المقدّر على القول بالطهارة واستحباب النزح، وكذا على القول بوجوبه؛ لعدم الدليل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بالنجاسة فهل يجب نزح الكلّ ؛ لاستصحاب النجاسة ويقين التطهير به دون غيره؟ وهو الأقوى؛ لأنّ التقدير حاصل واقعاً غير معيّنٍ عندنا، فيجب من باب الاحتياط نزح المقطوع بتطهيره وهو الكلّ، أو الأربعين؛ لروايةٍ </w:t>
      </w:r>
      <w:r>
        <w:rPr>
          <w:rStyle w:val="FootnoteAnchor"/>
          <w:rtl w:val="true"/>
        </w:rPr>
        <w:footnoteReference w:id="429"/>
      </w:r>
      <w:r>
        <w:rPr>
          <w:rFonts w:ascii="Amiri" w:hAnsi="Amiri" w:eastAsia="Amiri" w:cs="Amiri"/>
          <w:color w:val="111111"/>
          <w:sz w:val="28"/>
          <w:sz w:val="28"/>
          <w:szCs w:val="28"/>
          <w:rtl w:val="true"/>
          <w:lang w:bidi="ar-SA"/>
        </w:rPr>
        <w:t>ضعيفةٍ سنداً ودلالة، أو الثلاثين؛ لروايةٍ</w:t>
      </w:r>
      <w:r>
        <w:rPr>
          <w:rStyle w:val="FootnoteAnchor"/>
          <w:rtl w:val="true"/>
        </w:rPr>
        <w:footnoteReference w:id="430"/>
      </w:r>
      <w:r>
        <w:rPr>
          <w:rFonts w:ascii="Amiri" w:hAnsi="Amiri" w:eastAsia="Amiri" w:cs="Amiri"/>
          <w:color w:val="111111"/>
          <w:sz w:val="28"/>
          <w:sz w:val="28"/>
          <w:szCs w:val="28"/>
          <w:rtl w:val="true"/>
          <w:lang w:bidi="ar-SA"/>
        </w:rPr>
        <w:t xml:space="preserve">كذلك، أو قدر ما يزيل به التغيّر لو كان؛ لكفاية ذلك في الصحيح مع حصول التغيّر بالفعل فمع عدمه أولى؟ </w:t>
      </w:r>
      <w:bookmarkStart w:id="278" w:name="pg18988_203255"/>
    </w:p>
    <w:p>
      <w:pPr>
        <w:pStyle w:val="BookText"/>
        <w:rPr/>
      </w:pPr>
      <w:bookmarkEnd w:id="278"/>
      <w:r>
        <w:rPr>
          <w:rFonts w:ascii="IRNazanin" w:hAnsi="IRNazanin" w:eastAsia="IRNazanin"/>
          <w:color w:val="111111"/>
          <w:sz w:val="28"/>
          <w:sz w:val="28"/>
          <w:szCs w:val="28"/>
          <w:rtl w:val="true"/>
          <w:lang w:bidi="fa-IR"/>
        </w:rPr>
        <w:t>واحتُمل عدم وجوب النزح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وجوب الأقلّ مما يزول به التغيّر التقديري ومن الأربعين أو الأقلّ منه أو من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وجوب الأكثر ممّا يزول به التغيّر، والأربعين، أو الأكثر منه ومن الثلاثين</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3197555_1280447820"/>
      <w:bookmarkStart w:id="280" w:name="_Toc104"/>
      <w:bookmarkEnd w:id="279"/>
      <w:r>
        <w:rPr>
          <w:rtl w:val="true"/>
        </w:rPr>
        <w:t>السادسة</w:t>
      </w:r>
      <w:r>
        <w:rPr>
          <w:rtl w:val="true"/>
        </w:rPr>
        <w:t xml:space="preserve">: </w:t>
      </w:r>
      <w:r>
        <w:rPr>
          <w:rtl w:val="true"/>
        </w:rPr>
        <w:t>حکم ما لو تكثّرت النجاسة الواقعة في البئر وكان فيها المقدّر بنزح الجميع، أو غير المقدّر</w:t>
      </w:r>
      <w:bookmarkEnd w:id="280"/>
    </w:p>
    <w:p>
      <w:pPr>
        <w:pStyle w:val="BookText"/>
        <w:rPr/>
      </w:pPr>
      <w:r>
        <w:rPr>
          <w:rFonts w:ascii="Amiri" w:hAnsi="Amiri" w:eastAsia="Amiri" w:cs="Amiri"/>
          <w:color w:val="111111"/>
          <w:sz w:val="28"/>
          <w:sz w:val="28"/>
          <w:szCs w:val="28"/>
          <w:rtl w:val="true"/>
          <w:lang w:bidi="ar-SA"/>
        </w:rPr>
        <w:t>لو تكثّرت النجاسة الواقعة في البئر وكان فيها المقدّر بنزح الجميع، أو غير المقدّر، وجب نزح الجميع إن وقع غير المقدّر أوّلاً، أو ما قدّر له الجميع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بعد ما وقع ما له مقدّر، احتُمل وجوب نزح الجميع لوقوع ما لا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الاكتفاء بنزح المقدّر للواقع أوّلاً؛ لتنجّس البئر به، ولا معنى للنجاسة بعد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فيها نجاسات مقدّرة، دخل الأقلّ في الأكثر، والمتعدّد في المتّحد، سواء كان جنساً واحداً يقال على كثيره وقليله كالدم، أو لا يقال كالكلب، أو كانا جنسين مختلفين على الأظهر؛ لأنّ المراد مجرّد حصول النزح وقد 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وجوب تعدّد النزح بتعدّد أسبابه،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الفرق بين النجاسات المتعدّدة المتماثلة وبين المختلفة، فيُحكم بتداخل المتماثلة دون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تعدّد الوقوع واتّحاد الواقع فيكفي التداخل، وبين تعدّد الواقع وإن اتّحد الوقوع، فيجب أخذ كلٍّ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الفرق بين الداخل تحت مصداق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كالكثير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حكمه، وبين غيره فلا يتداخل</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3197557_1280447820"/>
      <w:bookmarkStart w:id="282" w:name="_Toc105"/>
      <w:bookmarkEnd w:id="281"/>
      <w:r>
        <w:rPr>
          <w:rtl w:val="true"/>
        </w:rPr>
        <w:t>السابعة</w:t>
      </w:r>
      <w:r>
        <w:rPr>
          <w:rtl w:val="true"/>
        </w:rPr>
        <w:t xml:space="preserve">: </w:t>
      </w:r>
      <w:r>
        <w:rPr>
          <w:rtl w:val="true"/>
        </w:rPr>
        <w:t>عدم الاحتیاج في النزح إلى نيّةٍ و قصدٍ</w:t>
      </w:r>
      <w:bookmarkEnd w:id="282"/>
    </w:p>
    <w:p>
      <w:pPr>
        <w:pStyle w:val="BookText"/>
        <w:rPr/>
      </w:pPr>
      <w:r>
        <w:rPr>
          <w:rFonts w:ascii="Amiri" w:hAnsi="Amiri" w:eastAsia="Amiri" w:cs="Amiri"/>
          <w:color w:val="111111"/>
          <w:sz w:val="28"/>
          <w:sz w:val="28"/>
          <w:szCs w:val="28"/>
          <w:rtl w:val="true"/>
          <w:lang w:bidi="ar-SA"/>
        </w:rPr>
        <w:t>لا حاجة في النزح إلى نيّةٍ ولا إلى قصدٍ، فلو أخرج الدلوَ المجنونُ أو الحيوانُ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حلّيّة النزح ولا آلة النزح من دلو وغيره؛ كلّ ذلك لظاهر الأخبار وكلام الأخيار</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197559_1280447820"/>
      <w:bookmarkStart w:id="284" w:name="_Toc106"/>
      <w:bookmarkEnd w:id="283"/>
      <w:r>
        <w:rPr>
          <w:rtl w:val="true"/>
        </w:rPr>
        <w:t xml:space="preserve">الثامنة </w:t>
      </w:r>
      <w:r>
        <w:rPr>
          <w:rtl w:val="true"/>
        </w:rPr>
        <w:t xml:space="preserve">: </w:t>
      </w:r>
      <w:r>
        <w:rPr>
          <w:rtl w:val="true"/>
        </w:rPr>
        <w:t>فی انّه لا يكتفى في النزح المقدّر إلّا بعد إخراج النجاسة</w:t>
      </w:r>
      <w:bookmarkEnd w:id="284"/>
    </w:p>
    <w:p>
      <w:pPr>
        <w:pStyle w:val="BookText"/>
        <w:rPr/>
      </w:pPr>
      <w:r>
        <w:rPr>
          <w:rFonts w:ascii="Amiri" w:hAnsi="Amiri" w:eastAsia="Amiri" w:cs="Amiri"/>
          <w:color w:val="111111"/>
          <w:sz w:val="28"/>
          <w:sz w:val="28"/>
          <w:szCs w:val="28"/>
          <w:rtl w:val="true"/>
          <w:lang w:bidi="ar-SA"/>
        </w:rPr>
        <w:t>لا يكتفى في النزح المقدّر إلّا بعد إخراج النجاسة ؛ فلا يحتسب ما خرج والنجاسة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الدلو الأوّل المخرج للنجاسة فلا يبعد احتسابه، لكنّ الأحوط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صاحب جميع الدلاء أو أكثرها عين النجاسة المنزوح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أو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احتُمل احتساب تلك من النزح المفيد تطهيراً؛ لإطلاق الأخبار، ولكونه كالغسل المزيل للعين فإنّه كافٍ في التطهير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عدمه؛ فإنّ النزح للتطهير عن الواقع فلا يمكن إلّا بعد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 xml:space="preserve">. </w:t>
      </w:r>
      <w:bookmarkStart w:id="285" w:name="pg18988_203256"/>
    </w:p>
    <w:p>
      <w:pPr>
        <w:pStyle w:val="Heading5"/>
        <w:numPr>
          <w:ilvl w:val="4"/>
          <w:numId w:val="1"/>
        </w:numPr>
        <w:rPr/>
      </w:pPr>
      <w:bookmarkStart w:id="286" w:name="__RefHeading___Toc13197561_1280447820"/>
      <w:bookmarkStart w:id="287" w:name="_Toc107"/>
      <w:bookmarkEnd w:id="285"/>
      <w:bookmarkEnd w:id="286"/>
      <w:r>
        <w:rPr>
          <w:rtl w:val="true"/>
        </w:rPr>
        <w:t>التاسعة</w:t>
      </w:r>
      <w:r>
        <w:rPr>
          <w:rtl w:val="true"/>
        </w:rPr>
        <w:t xml:space="preserve">: </w:t>
      </w:r>
      <w:r>
        <w:rPr>
          <w:rtl w:val="true"/>
        </w:rPr>
        <w:t>فیما لو تغيّرت البئر بالنجاسة فهل يكفي على القول بنجاستها نزح ما يزول به التغيّر مطلقاً</w:t>
      </w:r>
      <w:bookmarkEnd w:id="287"/>
    </w:p>
    <w:p>
      <w:pPr>
        <w:pStyle w:val="BookText"/>
        <w:rPr/>
      </w:pPr>
      <w:r>
        <w:rPr>
          <w:rFonts w:ascii="Amiri" w:hAnsi="Amiri" w:eastAsia="Amiri" w:cs="Amiri"/>
          <w:color w:val="111111"/>
          <w:sz w:val="28"/>
          <w:sz w:val="28"/>
          <w:szCs w:val="28"/>
          <w:rtl w:val="true"/>
          <w:lang w:bidi="ar-SA"/>
        </w:rPr>
        <w:t>لو تغيّرت البئر بالنجاسة فهل يكفي على القول بنجاستها نزح ما يزول به التغيّر مطلقاً، أو لا بدّ من نزح الجميع مطلقاً إن أمكن، وإلّا فالتراوح، أو لا بدّ من نزح الجميع في غير المقدّر، وإلّا فالتراوح، وأمّا في المقدّر فلا بدّ من نزح الأكثر ممّا يزول التغيّر به ومن المقدّر، أو لا بدّ من نزح المقدّر بعد نزح ما يزول به التغيّر في المقدّر ونزح الكلّ فيما لا تقدير فيه، أو التراوح، أو لا بدّ من نزح الجميع مع الإمكان، و إلّا كفى ما يزول به التغيّر، أو لا بدّ من نزح الجميع، و إلّا كفى نزح المقدّر إذا زال به التغيّر، و إلّا فأكثر الأمرين؟ وجوه وأقوال،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نزح أكثر الأمرين في المقدّر من المقدّر وممّا يزول به التغيّر؛ لدلالة الأخبار على حصول التطهير بذهاب التغيّر مطلقاً، ودلالتها على حصول التطهير بنزح المقدّر، وبين الأدلّة عموم من وجه، ولا يمكن تخصيص كلٍّ منهما بالآخَر، ولا طرح أحدهما بعينه؛ للزوم الترجيح من غير مرجّحٍ، فليس إلّا الأخذ بهما معاً في غير محلّ التنافي، وهو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في المقدّر ولو بنزح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المقدّر فيجب له نزح الجميع؛ لاستصحاب النجاسة، وعدم تيقّن التطهير بغيره، ولقوّة احتمال أنّ ما لا نصّ فيه لا يخلو من تقديرٍ، وهو مجهول، فينزح له الكلّ من باب المقدّمة، كما قدّر له نزح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كفاية ما يزول به التغيّر قويّ هنا؛ للأخبار الدالّة على أنّ زوال التغيّر مطهّر مطلقاً</w:t>
      </w:r>
      <w:r>
        <w:rPr>
          <w:rStyle w:val="FootnoteAnchor"/>
          <w:rtl w:val="true"/>
        </w:rPr>
        <w:footnoteReference w:id="431"/>
      </w:r>
      <w:r>
        <w:rPr>
          <w:rFonts w:ascii="Amiri" w:hAnsi="Amiri" w:eastAsia="Amiri" w:cs="Amiri"/>
          <w:color w:val="111111"/>
          <w:sz w:val="28"/>
          <w:sz w:val="28"/>
          <w:szCs w:val="28"/>
          <w:rtl w:val="true"/>
          <w:lang w:bidi="ar-SA"/>
        </w:rPr>
        <w:t>، بل يقوى القول بكفاية ذلك مطلقاً؛ للأخبار الدالّة على ذلك، وفيها ما اشتمل على ذكر المقدّر من النجاسات</w:t>
      </w:r>
      <w:r>
        <w:rPr>
          <w:rStyle w:val="FootnoteAnchor"/>
          <w:rtl w:val="true"/>
        </w:rPr>
        <w:footnoteReference w:id="432"/>
      </w:r>
      <w:r>
        <w:rPr>
          <w:rFonts w:ascii="Amiri" w:hAnsi="Amiri" w:eastAsia="Amiri" w:cs="Amiri"/>
          <w:color w:val="111111"/>
          <w:sz w:val="28"/>
          <w:sz w:val="28"/>
          <w:szCs w:val="28"/>
          <w:rtl w:val="true"/>
          <w:lang w:bidi="ar-SA"/>
        </w:rPr>
        <w:t>ولم يتعرّض لتقديره في المتغيّر، فتُحمل أخبار التقدير على غير صورة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أولويّة المتغيّر للتقدير على غيره ممّا ليس بمتغيّرٍ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تُسلّم الأولويّة فيما تقديره نزح الجميع من دون تغيّر،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نزح جميعه مع التغيّر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ببعض الأخبار الدالّة على نزح الجميع مع التغيّر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يرجع إلى التقدير ونحن قلنا بلزوم الأخذ به لو زاد على التقدير بزوال التغيّر</w:t>
      </w:r>
      <w:r>
        <w:rPr>
          <w:rFonts w:eastAsia="Amiri" w:cs="Amiri" w:ascii="Amiri" w:hAnsi="Amiri"/>
          <w:color w:val="111111"/>
          <w:sz w:val="28"/>
          <w:szCs w:val="28"/>
          <w:rtl w:val="true"/>
          <w:lang w:bidi="ar-SA"/>
        </w:rPr>
        <w:t xml:space="preserve">. </w:t>
      </w:r>
      <w:bookmarkStart w:id="288" w:name="pg18988_203257"/>
    </w:p>
    <w:p>
      <w:pPr>
        <w:pStyle w:val="BookText"/>
        <w:rPr/>
      </w:pPr>
      <w:bookmarkEnd w:id="288"/>
      <w:r>
        <w:rPr>
          <w:rFonts w:ascii="Amiri" w:hAnsi="Amiri" w:eastAsia="Amiri" w:cs="Amiri"/>
          <w:color w:val="111111"/>
          <w:sz w:val="28"/>
          <w:sz w:val="28"/>
          <w:szCs w:val="28"/>
          <w:rtl w:val="true"/>
          <w:lang w:bidi="ar-SA"/>
        </w:rPr>
        <w:t>وعلى كلّ حال فالأخذ بأخبار التقدير مطلقاً والتغيّر مطلقاً أوجَه؛ لأنّ فيه جمعاً بين الأخبار في محلّ إمكان الاجتماع ، وطرحاً لمحلّ التنافي بينهما ؛ لعدم جواز ترجيح أحدهما على الآخَر من دون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قوّة أخبار التغيّر فيجب تقديمها، أو قوّة أخبار التقدير فيجب الأخذ بها بعد زوال التغيّر ، أو قوّة أخبار نزح الجميع للمتغيّر مطلقاً، أو مع عدم الإمكان يُرجع إلى أخبار التقدير أو يُرجع إلى أخبار التطهير بزوال التغيّر ، دعوى ضعيفة بالنسبة إلى ما ذُكر</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3197563_1280447820"/>
      <w:bookmarkStart w:id="290" w:name="_Toc108"/>
      <w:bookmarkEnd w:id="289"/>
      <w:r>
        <w:rPr>
          <w:rtl w:val="true"/>
        </w:rPr>
        <w:t>العاشرة</w:t>
      </w:r>
      <w:r>
        <w:rPr>
          <w:rtl w:val="true"/>
        </w:rPr>
        <w:t>:</w:t>
      </w:r>
      <w:r>
        <w:rPr>
          <w:rtl w:val="true"/>
        </w:rPr>
        <w:t>حکم ما لو وقع في البئر متنجّس بأحد النجاسات المقدّر لها النزح</w:t>
      </w:r>
      <w:bookmarkEnd w:id="290"/>
    </w:p>
    <w:p>
      <w:pPr>
        <w:pStyle w:val="BookText"/>
        <w:rPr/>
      </w:pPr>
      <w:r>
        <w:rPr>
          <w:rFonts w:ascii="IRNazanin" w:hAnsi="IRNazanin" w:eastAsia="IRNazanin"/>
          <w:color w:val="111111"/>
          <w:sz w:val="28"/>
          <w:sz w:val="28"/>
          <w:szCs w:val="28"/>
          <w:rtl w:val="true"/>
          <w:lang w:bidi="fa-IR"/>
        </w:rPr>
        <w:t>حکم ما لو وقع في البئر متنجّس بأحد النجاسات المقدّر لها النزح، قوي القول بوجوب نزح المقدّر؛ لعدم زيادة الفرع على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وجوب نزح الجميع؛ بناءً على وجوبه فيما لا تقدير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تقديره مغيّراً فينزح حتّى يذهب التغيّر التقديري</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3197565_1280447820"/>
      <w:bookmarkStart w:id="292" w:name="_Toc109"/>
      <w:bookmarkEnd w:id="291"/>
      <w:r>
        <w:rPr>
          <w:rtl w:val="true"/>
        </w:rPr>
        <w:t>الحادية عشر</w:t>
      </w:r>
      <w:r>
        <w:rPr>
          <w:rtl w:val="true"/>
        </w:rPr>
        <w:t>:</w:t>
      </w:r>
      <w:r>
        <w:rPr>
          <w:rtl w:val="true"/>
        </w:rPr>
        <w:t>حکم ما لو نقص ماء البئر عن النزح المقدّر</w:t>
      </w:r>
      <w:bookmarkEnd w:id="292"/>
    </w:p>
    <w:p>
      <w:pPr>
        <w:pStyle w:val="BookText"/>
        <w:rPr/>
      </w:pPr>
      <w:r>
        <w:rPr>
          <w:rFonts w:ascii="IRNazanin" w:hAnsi="IRNazanin" w:eastAsia="IRNazanin"/>
          <w:color w:val="111111"/>
          <w:sz w:val="28"/>
          <w:sz w:val="28"/>
          <w:szCs w:val="28"/>
          <w:rtl w:val="true"/>
          <w:lang w:bidi="fa-IR"/>
        </w:rPr>
        <w:t>حکم ما لو نقص ماء البئر عن النزح المقدّر قوي القول بالاكتفاء بنزح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تتميم المقدّر بما يخرج من الماء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في البئر النجاسة المقدّرة وماء النزح، فالأقوى الاكتفاء بمقدّر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الحكم بنزح الجميع لأنّ الماء لا مقدّر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نزح ما يزول به التغيّر تقديراً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3197567_1280447820"/>
      <w:bookmarkStart w:id="294" w:name="_Toc110"/>
      <w:bookmarkEnd w:id="293"/>
      <w:r>
        <w:rPr>
          <w:rtl w:val="true"/>
        </w:rPr>
        <w:t>الثانية عشر</w:t>
      </w:r>
      <w:r>
        <w:rPr>
          <w:rtl w:val="true"/>
        </w:rPr>
        <w:t xml:space="preserve">: </w:t>
      </w:r>
      <w:r>
        <w:rPr>
          <w:rtl w:val="true"/>
        </w:rPr>
        <w:t>فیما ينزح ماء البئر كلّه</w:t>
      </w:r>
      <w:bookmarkEnd w:id="294"/>
    </w:p>
    <w:p>
      <w:pPr>
        <w:pStyle w:val="BookText"/>
        <w:rPr/>
      </w:pPr>
      <w:r>
        <w:rPr>
          <w:rFonts w:ascii="Amiri" w:hAnsi="Amiri" w:eastAsia="Amiri" w:cs="Amiri"/>
          <w:color w:val="111111"/>
          <w:sz w:val="28"/>
          <w:sz w:val="28"/>
          <w:szCs w:val="28"/>
          <w:rtl w:val="true"/>
          <w:lang w:bidi="ar-SA"/>
        </w:rPr>
        <w:t xml:space="preserve">ينزح ماء البئر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الرطوبة المتعارف عدم إمكان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 فيها خمر؛ للأخبار</w:t>
      </w:r>
      <w:r>
        <w:rPr>
          <w:rStyle w:val="FootnoteAnchor"/>
          <w:rtl w:val="true"/>
        </w:rPr>
        <w:footnoteReference w:id="434"/>
      </w:r>
      <w:r>
        <w:rPr>
          <w:rFonts w:ascii="IRNazanin" w:hAnsi="IRNazanin" w:eastAsia="IRNazanin"/>
          <w:color w:val="111111"/>
          <w:sz w:val="28"/>
          <w:sz w:val="28"/>
          <w:szCs w:val="28"/>
          <w:rtl w:val="true"/>
          <w:lang w:bidi="fa-IR"/>
        </w:rPr>
        <w:t>،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الصبّ الوقوع مطلقاً؛ لإطلاق الصبّ عليه، ولإلغاء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القليل والكثير؛ للإجماع المنقول</w:t>
      </w:r>
      <w:r>
        <w:rPr>
          <w:rStyle w:val="FootnoteAnchor"/>
          <w:rtl w:val="true"/>
        </w:rPr>
        <w:footnoteReference w:id="435"/>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ذهب إليه الصدوق من إيجاب قطرة الخمر لعشرين دلواً</w:t>
      </w:r>
      <w:r>
        <w:rPr>
          <w:rStyle w:val="FootnoteAnchor"/>
          <w:rtl w:val="true"/>
        </w:rPr>
        <w:footnoteReference w:id="436"/>
      </w:r>
      <w:r>
        <w:rPr>
          <w:rFonts w:ascii="Amiri" w:hAnsi="Amiri" w:eastAsia="Amiri" w:cs="Amiri"/>
          <w:color w:val="111111"/>
          <w:sz w:val="28"/>
          <w:sz w:val="28"/>
          <w:szCs w:val="28"/>
          <w:rtl w:val="true"/>
          <w:lang w:bidi="ar-SA"/>
        </w:rPr>
        <w:t>استناداً لروايةٍ</w:t>
      </w:r>
      <w:r>
        <w:rPr>
          <w:rStyle w:val="FootnoteAnchor"/>
          <w:rtl w:val="true"/>
        </w:rPr>
        <w:footnoteReference w:id="437"/>
      </w:r>
      <w:r>
        <w:rPr>
          <w:rFonts w:ascii="Amiri" w:hAnsi="Amiri" w:eastAsia="Amiri" w:cs="Amiri"/>
          <w:color w:val="111111"/>
          <w:sz w:val="28"/>
          <w:sz w:val="28"/>
          <w:szCs w:val="28"/>
          <w:rtl w:val="true"/>
          <w:lang w:bidi="ar-SA"/>
        </w:rPr>
        <w:t>ضعيفةٍ سنداً ومتناً؛ لاشتمالها على ما لا يقولون به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ورد من إيجابها ثلاثين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ويلحق بالخمر كلّ مسكر إمّا لدخوله فيه اسماً؛ لأنّه اسم لكلّ ما يخمّر العقل، أو حكماً؛ لما ورد أنّ كلّ مسكر خمر</w:t>
      </w:r>
      <w:r>
        <w:rPr>
          <w:rStyle w:val="FootnoteAnchor"/>
          <w:rtl w:val="true"/>
        </w:rPr>
        <w:footnoteReference w:id="439"/>
      </w:r>
      <w:r>
        <w:rPr>
          <w:rFonts w:ascii="Amiri" w:hAnsi="Amiri" w:eastAsia="Amiri" w:cs="Amiri"/>
          <w:color w:val="111111"/>
          <w:sz w:val="28"/>
          <w:sz w:val="28"/>
          <w:szCs w:val="28"/>
          <w:rtl w:val="true"/>
          <w:lang w:bidi="ar-SA"/>
        </w:rPr>
        <w:t>، والتشبيه يقضي بإعطاء جميع أحكام المشبّه به للمشبّه، وإمّا للإجماع المنقول</w:t>
      </w:r>
      <w:r>
        <w:rPr>
          <w:rStyle w:val="FootnoteAnchor"/>
          <w:rtl w:val="true"/>
        </w:rPr>
        <w:footnoteReference w:id="440"/>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ويُنزح كلّه للفقّاع أيضاً؛ للإجماع المنقول</w:t>
      </w:r>
      <w:r>
        <w:rPr>
          <w:rStyle w:val="FootnoteAnchor"/>
          <w:rtl w:val="true"/>
        </w:rPr>
        <w:footnoteReference w:id="441"/>
      </w:r>
      <w:r>
        <w:rPr>
          <w:rFonts w:ascii="Amiri" w:hAnsi="Amiri" w:eastAsia="Amiri" w:cs="Amiri"/>
          <w:color w:val="111111"/>
          <w:sz w:val="28"/>
          <w:sz w:val="28"/>
          <w:szCs w:val="28"/>
          <w:rtl w:val="true"/>
          <w:lang w:bidi="ar-SA"/>
        </w:rPr>
        <w:t>وفتوى المشهور، ولدخوله في الاسم أو الحكم؛ لورود أنّه خمر استصغره الناس</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العصير العنبي فممّا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للمنيّ أيضاً من كلّ ذي نفس سائلة؛ للإجماع المنقول</w:t>
      </w:r>
      <w:r>
        <w:rPr>
          <w:rStyle w:val="FootnoteAnchor"/>
          <w:rtl w:val="true"/>
        </w:rPr>
        <w:footnoteReference w:id="443"/>
      </w:r>
      <w:r>
        <w:rPr>
          <w:rFonts w:ascii="Amiri" w:hAnsi="Amiri" w:eastAsia="Amiri" w:cs="Amiri"/>
          <w:color w:val="111111"/>
          <w:sz w:val="28"/>
          <w:sz w:val="28"/>
          <w:szCs w:val="28"/>
          <w:rtl w:val="true"/>
          <w:lang w:bidi="ar-SA"/>
        </w:rPr>
        <w:t>وفتوى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بمنيّ الإنسان؛ لتبادره منه كما قيل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ويُنزح لأحد الدماء الثلاثة أيضاً؛ لفتوى المشهور والإجماع المنقول</w:t>
      </w:r>
      <w:r>
        <w:rPr>
          <w:rStyle w:val="FootnoteAnchor"/>
          <w:rtl w:val="true"/>
        </w:rPr>
        <w:footnoteReference w:id="445"/>
      </w:r>
      <w:r>
        <w:rPr>
          <w:rFonts w:ascii="Amiri" w:hAnsi="Amiri" w:eastAsia="Amiri" w:cs="Amiri"/>
          <w:color w:val="111111"/>
          <w:sz w:val="28"/>
          <w:sz w:val="28"/>
          <w:szCs w:val="28"/>
          <w:rtl w:val="true"/>
          <w:lang w:bidi="ar-SA"/>
        </w:rPr>
        <w:t>، أو لأنّه لا نصّ فيه، وما جاء في الدم منه ما هو خاصّ بدم شاة أو شبهها، ومنه ما هو مطلق ينصرف لغير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لموت البعير فيها أو وقوعه ميّتاً؛ لفتوى المشهور والإجماع المنقول</w:t>
      </w:r>
      <w:r>
        <w:rPr>
          <w:rStyle w:val="FootnoteAnchor"/>
          <w:rtl w:val="true"/>
        </w:rPr>
        <w:footnoteReference w:id="446"/>
      </w:r>
      <w:r>
        <w:rPr>
          <w:rFonts w:ascii="Amiri" w:hAnsi="Amiri" w:eastAsia="Amiri" w:cs="Amiri"/>
          <w:color w:val="111111"/>
          <w:sz w:val="28"/>
          <w:sz w:val="28"/>
          <w:szCs w:val="28"/>
          <w:rtl w:val="true"/>
          <w:lang w:bidi="ar-SA"/>
        </w:rPr>
        <w:t>، والصحيح الدال على ذلك</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البعير كالإنسان يشمل الذكر والأُنثى، كما نُقل</w:t>
      </w:r>
      <w:r>
        <w:rPr>
          <w:rStyle w:val="FootnoteAnchor"/>
          <w:rtl w:val="true"/>
        </w:rPr>
        <w:footnoteReference w:id="448"/>
      </w:r>
      <w:r>
        <w:rPr>
          <w:rFonts w:ascii="Amiri" w:hAnsi="Amiri" w:eastAsia="Amiri" w:cs="Amiri"/>
          <w:color w:val="111111"/>
          <w:sz w:val="28"/>
          <w:sz w:val="28"/>
          <w:szCs w:val="28"/>
          <w:rtl w:val="true"/>
          <w:lang w:bidi="ar-SA"/>
        </w:rPr>
        <w:t>عليه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العرف بخلافه ممنوعة؛ لاشتباه العرف، كما أنّ الظاهر شموله للصغير والكبير، كما حكم به جمع من أصحابنا</w:t>
      </w:r>
      <w:r>
        <w:rPr>
          <w:rStyle w:val="FootnoteAnchor"/>
          <w:rtl w:val="true"/>
        </w:rPr>
        <w:footnoteReference w:id="449"/>
      </w:r>
      <w:r>
        <w:rPr>
          <w:rFonts w:ascii="Amiri" w:hAnsi="Amiri" w:eastAsia="Amiri" w:cs="Amiri"/>
          <w:color w:val="111111"/>
          <w:sz w:val="28"/>
          <w:sz w:val="28"/>
          <w:szCs w:val="28"/>
          <w:rtl w:val="true"/>
          <w:lang w:bidi="ar-SA"/>
        </w:rPr>
        <w:t>، ونُسب</w:t>
      </w:r>
      <w:r>
        <w:rPr>
          <w:rStyle w:val="FootnoteAnchor"/>
          <w:rtl w:val="true"/>
        </w:rPr>
        <w:footnoteReference w:id="450"/>
      </w:r>
      <w:r>
        <w:rPr>
          <w:rFonts w:ascii="Amiri" w:hAnsi="Amiri" w:eastAsia="Amiri" w:cs="Amiri"/>
          <w:color w:val="111111"/>
          <w:sz w:val="28"/>
          <w:sz w:val="28"/>
          <w:szCs w:val="28"/>
          <w:rtl w:val="true"/>
          <w:lang w:bidi="ar-SA"/>
        </w:rPr>
        <w:t>لبعض أهل اللغة، وقيل باختصاصه بالبازل</w:t>
      </w:r>
      <w:r>
        <w:rPr>
          <w:rStyle w:val="FootnoteAnchor"/>
          <w:rtl w:val="true"/>
        </w:rPr>
        <w:footnoteReference w:id="451"/>
      </w:r>
      <w:r>
        <w:rPr>
          <w:rFonts w:ascii="Amiri" w:hAnsi="Amiri" w:eastAsia="Amiri" w:cs="Amiri"/>
          <w:color w:val="111111"/>
          <w:sz w:val="28"/>
          <w:sz w:val="28"/>
          <w:szCs w:val="28"/>
          <w:rtl w:val="true"/>
          <w:lang w:bidi="ar-SA"/>
        </w:rPr>
        <w:t>، وقيل بأنّه اسم لما جذع من الإبل</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 xml:space="preserve">. </w:t>
      </w:r>
      <w:bookmarkStart w:id="295" w:name="pg18988_203259"/>
    </w:p>
    <w:p>
      <w:pPr>
        <w:pStyle w:val="BookText"/>
        <w:rPr/>
      </w:pPr>
      <w:bookmarkEnd w:id="295"/>
      <w:r>
        <w:rPr>
          <w:rFonts w:ascii="Amiri" w:hAnsi="Amiri" w:eastAsia="Amiri" w:cs="Amiri"/>
          <w:color w:val="111111"/>
          <w:sz w:val="28"/>
          <w:sz w:val="28"/>
          <w:szCs w:val="28"/>
          <w:rtl w:val="true"/>
          <w:lang w:bidi="ar-SA"/>
        </w:rPr>
        <w:t>ويُنزح للثور أيضاً؛ للصحيح</w:t>
      </w:r>
      <w:r>
        <w:rPr>
          <w:rStyle w:val="FootnoteAnchor"/>
          <w:rtl w:val="true"/>
        </w:rPr>
        <w:footnoteReference w:id="453"/>
      </w:r>
      <w:r>
        <w:rPr>
          <w:rFonts w:ascii="Amiri" w:hAnsi="Amiri" w:eastAsia="Amiri" w:cs="Amiri"/>
          <w:color w:val="111111"/>
          <w:sz w:val="28"/>
          <w:sz w:val="28"/>
          <w:szCs w:val="28"/>
          <w:rtl w:val="true"/>
          <w:lang w:bidi="ar-SA"/>
        </w:rPr>
        <w:t>، ونُسب</w:t>
      </w:r>
      <w:r>
        <w:rPr>
          <w:rStyle w:val="FootnoteAnchor"/>
          <w:rtl w:val="true"/>
        </w:rPr>
        <w:footnoteReference w:id="454"/>
      </w:r>
      <w:r>
        <w:rPr>
          <w:rFonts w:ascii="IRNazanin" w:hAnsi="IRNazanin" w:eastAsia="IRNazanin"/>
          <w:color w:val="111111"/>
          <w:sz w:val="28"/>
          <w:sz w:val="28"/>
          <w:szCs w:val="28"/>
          <w:rtl w:val="true"/>
          <w:lang w:bidi="fa-IR"/>
        </w:rPr>
        <w:t>لفتوى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يلحق به البقرة؛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فيها ثور ونحوه نزح الماء كلّه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يشكّ في شمول الثور والبقرة للصغير منهما والوحشي؛ لظهورهما في الكبير والأهلي ولكنّهما يدخلان فيما لا مقدّر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فيه نزح الجميع أيضاً، كنزحها لوقوع الفيل وعرق الجنب من المحرّم وعرق الجلّالة، ووقوع روث وبول ما لا يؤكل لحمه، ووقوع الكلب وخروجه حيّاً، وكذا الخنزير، كلّ ذلك إن قلنا به فنقول به لعدم النصّ</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3197569_1280447820"/>
      <w:bookmarkStart w:id="297" w:name="_Toc111"/>
      <w:bookmarkEnd w:id="296"/>
      <w:r>
        <w:rPr>
          <w:rtl w:val="true"/>
        </w:rPr>
        <w:t xml:space="preserve">الثالثة عشر </w:t>
      </w:r>
      <w:r>
        <w:rPr>
          <w:rtl w:val="true"/>
        </w:rPr>
        <w:t>:</w:t>
      </w:r>
      <w:r>
        <w:rPr>
          <w:rtl w:val="true"/>
        </w:rPr>
        <w:t>حکم ما إذا تعذّر نزح الجميع أو تعسّر</w:t>
      </w:r>
      <w:bookmarkEnd w:id="297"/>
    </w:p>
    <w:p>
      <w:pPr>
        <w:pStyle w:val="BookText"/>
        <w:rPr/>
      </w:pPr>
      <w:r>
        <w:rPr>
          <w:rFonts w:ascii="Amiri" w:hAnsi="Amiri" w:eastAsia="Amiri" w:cs="Amiri"/>
          <w:color w:val="111111"/>
          <w:sz w:val="28"/>
          <w:sz w:val="28"/>
          <w:szCs w:val="28"/>
          <w:rtl w:val="true"/>
          <w:lang w:bidi="ar-SA"/>
        </w:rPr>
        <w:t>إذا تعذّر نزح الجميع أو تعسّر بحيث أضرّ بالحال إخراج تمام الماء منها، كفى نزح</w:t>
      </w:r>
      <w:r>
        <w:rPr>
          <w:rStyle w:val="FootnoteAnchor"/>
          <w:rtl w:val="true"/>
        </w:rPr>
        <w:footnoteReference w:id="456"/>
      </w:r>
      <w:r>
        <w:rPr>
          <w:rFonts w:ascii="Amiri" w:hAnsi="Amiri" w:eastAsia="Amiri" w:cs="Amiri"/>
          <w:color w:val="111111"/>
          <w:sz w:val="28"/>
          <w:sz w:val="28"/>
          <w:szCs w:val="28"/>
          <w:rtl w:val="true"/>
          <w:lang w:bidi="ar-SA"/>
        </w:rPr>
        <w:t>أربعة رجال يتراوحون عليها اثنين اثنين يوماً من طلوع الفجر إلى ذهاب الحمرة المشرقيّة؛ لبعض الأخبار</w:t>
      </w:r>
      <w:r>
        <w:rPr>
          <w:rStyle w:val="FootnoteAnchor"/>
          <w:rtl w:val="true"/>
        </w:rPr>
        <w:footnoteReference w:id="457"/>
      </w:r>
      <w:r>
        <w:rPr>
          <w:rFonts w:ascii="Amiri" w:hAnsi="Amiri" w:eastAsia="Amiri" w:cs="Amiri"/>
          <w:color w:val="111111"/>
          <w:sz w:val="28"/>
          <w:sz w:val="28"/>
          <w:szCs w:val="28"/>
          <w:rtl w:val="true"/>
          <w:lang w:bidi="ar-SA"/>
        </w:rPr>
        <w:t>المنجبرة بفتوى مشهور الأخيار ومنقول الإجماع</w:t>
      </w:r>
      <w:r>
        <w:rPr>
          <w:rStyle w:val="FootnoteAnchor"/>
          <w:rtl w:val="true"/>
        </w:rPr>
        <w:footnoteReference w:id="458"/>
      </w:r>
      <w:r>
        <w:rPr>
          <w:rFonts w:ascii="Amiri" w:hAnsi="Amiri" w:eastAsia="Amiri" w:cs="Amiri"/>
          <w:color w:val="111111"/>
          <w:sz w:val="28"/>
          <w:sz w:val="28"/>
          <w:szCs w:val="28"/>
          <w:rtl w:val="true"/>
          <w:lang w:bidi="ar-SA"/>
        </w:rPr>
        <w:t>، وعدم ما يعتدّ به من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رواية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وهو حقيقة في الرجال دون النساء ؛ للمقابلة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نِسَاءٌ مِنْ نِسَاءٍ</w:t>
      </w:r>
      <w:r>
        <w:rPr>
          <w:rStyle w:val="FootnoteAnchor"/>
          <w:rtl w:val="true"/>
        </w:rPr>
        <w:footnoteReference w:id="46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أقوم آل حصن أم نساء</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ولما يظهر من كلام جملة من النقلة، فعلى ذلك فلا يكفي الخناثى ولا النساء بل ولا الصبيان؛ لعدم النصّ، إلّا مع المساواة في التأثير فيمكن الحكم بالاجتزاء بهما لتنقيح المناط، كالاجتزاء بالحيوان كذلك لو كان مساوياً في التأثير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والموجود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يتراوحون 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لزوم الأربعة فصاعداً؛ لأنّه أقلّ عدد ٍ </w:t>
      </w:r>
    </w:p>
    <w:p>
      <w:pPr>
        <w:pStyle w:val="BookText"/>
        <w:rPr/>
      </w:pPr>
      <w:r>
        <w:rPr>
          <w:rFonts w:ascii="Amiri" w:hAnsi="Amiri" w:eastAsia="Amiri" w:cs="Amiri"/>
          <w:color w:val="111111"/>
          <w:sz w:val="28"/>
          <w:sz w:val="28"/>
          <w:szCs w:val="28"/>
          <w:rtl w:val="true"/>
          <w:lang w:bidi="ar-SA"/>
        </w:rPr>
        <w:t>ينقسم اثنين اثنين فما فوقها من الستّة والثمانية، إلّا إذا أدّت الكثرة لزيادة بطؤ، فيشكّ في شمول الإطلاق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يجزئ الاثنين يتراوحون، أو الثلاثة إذا قاموا في العمل مقام الواحد، أم لا؟ لا يبعد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يوم الصوم من طلوع الفجر إلى غياب الحمرة؛ لأنّه هو الظاهر شرعاً وعرفاً، وانصرافه إلى ما دون ذلك في الإجارة خلاف الظاهر، لكنّه جاء به خطاب الإجارة بالخصوص فصارت الإجارة كالقرينة على إرادة 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بعضهم</w:t>
      </w:r>
      <w:r>
        <w:rPr>
          <w:rStyle w:val="FootnoteAnchor"/>
          <w:rtl w:val="true"/>
        </w:rPr>
        <w:footnoteReference w:id="462"/>
      </w:r>
      <w:r>
        <w:rPr>
          <w:rFonts w:ascii="Amiri" w:hAnsi="Amiri" w:eastAsia="Amiri" w:cs="Amiri"/>
          <w:color w:val="111111"/>
          <w:sz w:val="28"/>
          <w:sz w:val="28"/>
          <w:szCs w:val="28"/>
          <w:rtl w:val="true"/>
          <w:lang w:bidi="ar-SA"/>
        </w:rPr>
        <w:t>أنّ اليوم من الغدوة إلى الليل، لا ينافي ذلك؛ لإطلاق الغدوة على ما بين الفجر وطلوع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باليوم التحقيق لا التقريب، فيجب الأخذ من باب المقدّمة له ابتداء 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الاشتغال بالأشياء اليسيرة المعتادة من قتل قمّلة أو دابّة أو حكّ جلد أو تغوّط ونحو ذلك، وجوّز لهم جمعٌ من أصحابنا</w:t>
      </w:r>
      <w:r>
        <w:rPr>
          <w:rStyle w:val="FootnoteAnchor"/>
          <w:rtl w:val="true"/>
        </w:rPr>
        <w:footnoteReference w:id="463"/>
      </w:r>
      <w:r>
        <w:rPr>
          <w:rFonts w:ascii="Amiri" w:hAnsi="Amiri" w:eastAsia="Amiri" w:cs="Amiri"/>
          <w:color w:val="111111"/>
          <w:sz w:val="28"/>
          <w:sz w:val="28"/>
          <w:szCs w:val="28"/>
          <w:rtl w:val="true"/>
          <w:lang w:bidi="ar-SA"/>
        </w:rPr>
        <w:t>الاجتماع للغداء والصلاة جماعةٌ، وهو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الأيّام أيّ يومٍ كان من قصير أو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إجزاء قدر يوم من الليل أو قدر يوم ملفّق من اليوم والليل متواصلاً، أو قدر يوم ملفّق من يومين مع الانفصال، أو قدر نصف يوم لثمانية، أو رُبعه لستّة عشر لو كانت بئراً واسعة، أو يومين لاثنين، أو أربعة لواحد، أو قدر ما يخرج في اليوم ولو بساعةٍ كما إذا كان الإخراج بدلو كبير على حيوان كبير أو غير ذلك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الإجزاء فيما يقطع بإلغاء الخصوصيّة دون ما يحصل به شكّ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عارض في أثناء اليوم عن إتمام النزح احتمل التلفيق من الليل أو يوم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لزوم استئناف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تغيّر حال البئر في أثناء النزح إلى ما يمكن نزحه، احتمل وجوب نزح الجميع، واحتمل الاكتفاء بإتمام اليوم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كيفيّة النزح أن يستقي كلّ اثنين دفعةً، لا أن يدخل الدلو في الماء واحد ويناوله الآخَر، مع احتمال ذلك</w:t>
      </w:r>
      <w:r>
        <w:rPr>
          <w:rFonts w:eastAsia="Amiri" w:cs="Amiri" w:ascii="Amiri" w:hAnsi="Amiri"/>
          <w:color w:val="111111"/>
          <w:sz w:val="28"/>
          <w:szCs w:val="28"/>
          <w:rtl w:val="true"/>
          <w:lang w:bidi="ar-SA"/>
        </w:rPr>
        <w:t xml:space="preserve">. </w:t>
      </w:r>
      <w:bookmarkStart w:id="298" w:name="pg18988_203261"/>
    </w:p>
    <w:p>
      <w:pPr>
        <w:pStyle w:val="BookText"/>
        <w:rPr/>
      </w:pPr>
      <w:bookmarkEnd w:id="298"/>
      <w:r>
        <w:rPr>
          <w:rFonts w:ascii="Amiri" w:hAnsi="Amiri" w:eastAsia="Amiri" w:cs="Amiri"/>
          <w:color w:val="111111"/>
          <w:sz w:val="28"/>
          <w:sz w:val="28"/>
          <w:szCs w:val="28"/>
          <w:rtl w:val="true"/>
          <w:lang w:bidi="ar-SA"/>
        </w:rPr>
        <w:t>وكيفيّة التراوح أن يمتح</w:t>
      </w:r>
      <w:r>
        <w:rPr>
          <w:rStyle w:val="FootnoteAnchor"/>
          <w:rtl w:val="true"/>
        </w:rPr>
        <w:footnoteReference w:id="464"/>
      </w:r>
      <w:r>
        <w:rPr>
          <w:rFonts w:ascii="Amiri" w:hAnsi="Amiri" w:eastAsia="Amiri" w:cs="Amiri"/>
          <w:color w:val="111111"/>
          <w:sz w:val="28"/>
          <w:sz w:val="28"/>
          <w:szCs w:val="28"/>
          <w:rtl w:val="true"/>
          <w:lang w:bidi="ar-SA"/>
        </w:rPr>
        <w:t>اثنان إلى أن يتعبا، ثمّ يعطيانه للآخَر، وهكذا، لا أنّهما يقتسمان النهار أنصافاً، مع احتمال ذلك</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3197571_1280447820"/>
      <w:bookmarkStart w:id="300" w:name="_Toc112"/>
      <w:bookmarkEnd w:id="299"/>
      <w:r>
        <w:rPr>
          <w:rtl w:val="true"/>
        </w:rPr>
        <w:t>الرابعة عشر</w:t>
      </w:r>
      <w:r>
        <w:rPr>
          <w:rtl w:val="true"/>
        </w:rPr>
        <w:t xml:space="preserve">: </w:t>
      </w:r>
      <w:r>
        <w:rPr>
          <w:rtl w:val="true"/>
        </w:rPr>
        <w:t>يُنزح كُرٌّ لموت الحمار والبغل</w:t>
      </w:r>
      <w:bookmarkEnd w:id="300"/>
    </w:p>
    <w:p>
      <w:pPr>
        <w:pStyle w:val="BookText"/>
        <w:rPr/>
      </w:pPr>
      <w:r>
        <w:rPr>
          <w:rFonts w:ascii="Amiri" w:hAnsi="Amiri" w:eastAsia="Amiri" w:cs="Amiri"/>
          <w:color w:val="111111"/>
          <w:sz w:val="28"/>
          <w:sz w:val="28"/>
          <w:szCs w:val="28"/>
          <w:rtl w:val="true"/>
          <w:lang w:bidi="ar-SA"/>
        </w:rPr>
        <w:t>يُنزح كُرٌّ لموت الحمار والبغل؛ للرواية</w:t>
      </w:r>
      <w:r>
        <w:rPr>
          <w:rStyle w:val="FootnoteAnchor"/>
          <w:rtl w:val="true"/>
        </w:rPr>
        <w:footnoteReference w:id="465"/>
      </w:r>
      <w:r>
        <w:rPr>
          <w:rFonts w:ascii="Amiri" w:hAnsi="Amiri" w:eastAsia="Amiri" w:cs="Amiri"/>
          <w:color w:val="111111"/>
          <w:sz w:val="28"/>
          <w:sz w:val="28"/>
          <w:szCs w:val="28"/>
          <w:rtl w:val="true"/>
          <w:lang w:bidi="ar-SA"/>
        </w:rPr>
        <w:t>المؤيّدة بفتوى المشهور، فلا يضرّ ضعف السند والاشتمال على ذكر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بهما الفرس؛ للإجماع المنقول</w:t>
      </w:r>
      <w:r>
        <w:rPr>
          <w:rStyle w:val="FootnoteAnchor"/>
          <w:rtl w:val="true"/>
        </w:rPr>
        <w:footnoteReference w:id="466"/>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لزوم الدلاء في الفرس؛ للصحيح</w:t>
      </w:r>
      <w:r>
        <w:rPr>
          <w:rStyle w:val="FootnoteAnchor"/>
          <w:rtl w:val="true"/>
        </w:rPr>
        <w:footnoteReference w:id="467"/>
      </w:r>
      <w:r>
        <w:rPr>
          <w:rFonts w:ascii="Amiri" w:hAnsi="Amiri" w:eastAsia="Amiri" w:cs="Amiri"/>
          <w:color w:val="111111"/>
          <w:sz w:val="28"/>
          <w:sz w:val="28"/>
          <w:szCs w:val="28"/>
          <w:rtl w:val="true"/>
          <w:lang w:bidi="ar-SA"/>
        </w:rPr>
        <w:t>،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الجمع بينه وبين فتوى المشهور والإجماع المنقول حمل الدلاء على ما يبلغ كُرّاً في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جمعٌ</w:t>
      </w:r>
      <w:r>
        <w:rPr>
          <w:rStyle w:val="FootnoteAnchor"/>
          <w:rtl w:val="true"/>
        </w:rPr>
        <w:footnoteReference w:id="468"/>
      </w:r>
      <w:r>
        <w:rPr>
          <w:rFonts w:ascii="Amiri" w:hAnsi="Amiri" w:eastAsia="Amiri" w:cs="Amiri"/>
          <w:color w:val="111111"/>
          <w:sz w:val="28"/>
          <w:sz w:val="28"/>
          <w:szCs w:val="28"/>
          <w:rtl w:val="true"/>
          <w:lang w:bidi="ar-SA"/>
        </w:rPr>
        <w:t>البقرةَ بذلك ولكنّ إلحاقها بالثور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الأهليّة والوحشيّة في الحمير والخيل على الأظهر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3197573_1280447820"/>
      <w:bookmarkStart w:id="302" w:name="_Toc113"/>
      <w:bookmarkEnd w:id="301"/>
      <w:r>
        <w:rPr>
          <w:rtl w:val="true"/>
        </w:rPr>
        <w:t>الخامسة عشر</w:t>
      </w:r>
      <w:r>
        <w:rPr>
          <w:rtl w:val="true"/>
        </w:rPr>
        <w:t xml:space="preserve">: </w:t>
      </w:r>
      <w:r>
        <w:rPr>
          <w:rtl w:val="true"/>
        </w:rPr>
        <w:t>فیما يُنزح سبعون دلواً</w:t>
      </w:r>
      <w:bookmarkEnd w:id="302"/>
    </w:p>
    <w:p>
      <w:pPr>
        <w:pStyle w:val="BookText"/>
        <w:rPr/>
      </w:pPr>
      <w:r>
        <w:rPr>
          <w:rFonts w:ascii="Amiri" w:hAnsi="Amiri" w:eastAsia="Amiri" w:cs="Amiri"/>
          <w:color w:val="111111"/>
          <w:sz w:val="28"/>
          <w:sz w:val="28"/>
          <w:szCs w:val="28"/>
          <w:rtl w:val="true"/>
          <w:lang w:bidi="ar-SA"/>
        </w:rPr>
        <w:t>يُنزح سبعون دلواً لموت الإنسان فيها، أو وقوعه ميّتاً؛ لإلغاء الفارق، و إن كان مورد الرواية</w:t>
      </w:r>
      <w:r>
        <w:rPr>
          <w:rStyle w:val="FootnoteAnchor"/>
          <w:rtl w:val="true"/>
        </w:rPr>
        <w:footnoteReference w:id="469"/>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الصغير والكبير، ولا بين المسلم والكافر؛ لإطلاق النصّ المعتضد بفتوى المشهور المشتمل على بيان حكمه حيّاً وميّتاً ؛ لأنّ مورده الإنسان يقع فيموت، فلو وقع ولم يمت وكان كافراً فهو أولى بوجوب السبعين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وجوب نزح الجميع لموت الكافر؛ لوجوب نزح الجميع له لو وقع حيّاً فبالأولى لو مات فيها، ولأنّ الموت إن لم يشدّد نجاسته لا يضعّفها، ولاستصحاب ما كان عليه في حال الحياة من وجوب نزح الكلّ، ولانصراف الخبر للمسلمين؛ لقلّة وقوع الكفّار في تلك الآبار، ولأنّ إيجاب السبعين من جهة الموت لا ينافي إيجاب الكلّ من جهة الكفر، ولأنّ نجاسة الكفر مستصحبة من الحياة وإن زال الكفر بالموت بزوال الاعتقاد</w:t>
      </w:r>
      <w:r>
        <w:rPr>
          <w:rFonts w:eastAsia="Amiri" w:cs="Amiri" w:ascii="Amiri" w:hAnsi="Amiri"/>
          <w:color w:val="111111"/>
          <w:sz w:val="28"/>
          <w:szCs w:val="28"/>
          <w:rtl w:val="true"/>
          <w:lang w:bidi="ar-SA"/>
        </w:rPr>
        <w:t xml:space="preserve">. </w:t>
      </w:r>
      <w:bookmarkStart w:id="303" w:name="pg18988_203262"/>
    </w:p>
    <w:p>
      <w:pPr>
        <w:pStyle w:val="Heading5"/>
        <w:numPr>
          <w:ilvl w:val="4"/>
          <w:numId w:val="1"/>
        </w:numPr>
        <w:rPr/>
      </w:pPr>
      <w:bookmarkStart w:id="304" w:name="__RefHeading___Toc13197575_1280447820"/>
      <w:bookmarkStart w:id="305" w:name="_Toc114"/>
      <w:bookmarkEnd w:id="303"/>
      <w:bookmarkEnd w:id="304"/>
      <w:r>
        <w:rPr>
          <w:rtl w:val="true"/>
        </w:rPr>
        <w:t>السادسة عشر</w:t>
      </w:r>
      <w:r>
        <w:rPr>
          <w:rtl w:val="true"/>
        </w:rPr>
        <w:t xml:space="preserve">: </w:t>
      </w:r>
      <w:r>
        <w:rPr>
          <w:rtl w:val="true"/>
        </w:rPr>
        <w:t>فیما يُنزح للعذرة اليابسة أو المذابۀ</w:t>
      </w:r>
      <w:bookmarkEnd w:id="305"/>
    </w:p>
    <w:p>
      <w:pPr>
        <w:pStyle w:val="BookText"/>
        <w:rPr/>
      </w:pPr>
      <w:r>
        <w:rPr>
          <w:rFonts w:ascii="Amiri" w:hAnsi="Amiri" w:eastAsia="Amiri" w:cs="Amiri"/>
          <w:color w:val="111111"/>
          <w:sz w:val="28"/>
          <w:sz w:val="28"/>
          <w:szCs w:val="28"/>
          <w:rtl w:val="true"/>
          <w:lang w:bidi="ar-SA"/>
        </w:rPr>
        <w:t>يُنزح للعذرة اليابسة أو المذابۀ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فضلة الإنسان، كما عن أهل اللغة</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دلاء؛ لفتوى المشهور والإجماع المنقول</w:t>
      </w:r>
      <w:r>
        <w:rPr>
          <w:rStyle w:val="FootnoteAnchor"/>
          <w:rtl w:val="true"/>
        </w:rPr>
        <w:footnoteReference w:id="471"/>
      </w:r>
      <w:r>
        <w:rPr>
          <w:rFonts w:ascii="Amiri" w:hAnsi="Amiri" w:eastAsia="Amiri" w:cs="Amiri"/>
          <w:color w:val="111111"/>
          <w:sz w:val="28"/>
          <w:sz w:val="28"/>
          <w:szCs w:val="28"/>
          <w:rtl w:val="true"/>
          <w:lang w:bidi="ar-SA"/>
        </w:rPr>
        <w:t>، فإن ذابت فأربعون أو خمسون مخيّراً، أو خمسون معيّناً ، كما أفتى به المشهور؛ لاحتمال كون الترديد من الراوي، وحكم النجاسة مستصحب، ويؤيّده ضعف الحكم بالتخيير بين الأقلّ والأكثر؛ لقلّة وجوده بل وعدم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الذوبان التقطيع، كما نُسب</w:t>
      </w:r>
      <w:r>
        <w:rPr>
          <w:rStyle w:val="FootnoteAnchor"/>
          <w:rtl w:val="true"/>
        </w:rPr>
        <w:footnoteReference w:id="472"/>
      </w:r>
      <w:r>
        <w:rPr>
          <w:rFonts w:ascii="Amiri" w:hAnsi="Amiri" w:eastAsia="Amiri" w:cs="Amiri"/>
          <w:color w:val="111111"/>
          <w:sz w:val="28"/>
          <w:sz w:val="28"/>
          <w:szCs w:val="28"/>
          <w:rtl w:val="true"/>
          <w:lang w:bidi="ar-SA"/>
        </w:rPr>
        <w:t>تفسيره للمشهور، وكذا تفتّت أجزاء اليابسة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الاقتصار على الذوبان فقط كما هو مورد النصّ</w:t>
      </w:r>
      <w:r>
        <w:rPr>
          <w:rStyle w:val="FootnoteAnchor"/>
          <w:rtl w:val="true"/>
        </w:rPr>
        <w:footnoteReference w:id="473"/>
      </w:r>
      <w:r>
        <w:rPr>
          <w:rFonts w:ascii="Amiri" w:hAnsi="Amiri" w:eastAsia="Amiri" w:cs="Amiri"/>
          <w:color w:val="111111"/>
          <w:sz w:val="28"/>
          <w:sz w:val="28"/>
          <w:szCs w:val="28"/>
          <w:rtl w:val="true"/>
          <w:lang w:bidi="ar-SA"/>
        </w:rPr>
        <w:t>لظهوره في الميعان، كما أنّ التقييد باليابسة ليس له في النصّ أثرٌ، بل ظاهره أنّ الرطبة لو لم تذب كان حكمها حكم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العذرة في الوقوع لليابسة دون الرطبة، دعوى 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وذوبان البعض كذوبان الكلّ ؛ لتنقيح المناط، وصدق الذوبان عليها، مع احتمال إرادة ذوبان الكلّ ، كما يُفهم من تعليق الوصف على مجموع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إيجاب نزح دلاء للعذرة</w:t>
      </w:r>
      <w:r>
        <w:rPr>
          <w:rStyle w:val="FootnoteAnchor"/>
          <w:rtl w:val="true"/>
        </w:rPr>
        <w:footnoteReference w:id="474"/>
      </w:r>
      <w:r>
        <w:rPr>
          <w:rFonts w:ascii="Amiri" w:hAnsi="Amiri" w:eastAsia="Amiri" w:cs="Amiri"/>
          <w:color w:val="111111"/>
          <w:sz w:val="28"/>
          <w:sz w:val="28"/>
          <w:szCs w:val="28"/>
          <w:rtl w:val="true"/>
          <w:lang w:bidi="ar-SA"/>
        </w:rPr>
        <w:t xml:space="preserve">مقيّد بهذه الرواية، وكذا ما ورد من نفي البأس عن وقوع العذرة </w:t>
      </w:r>
      <w:r>
        <w:rPr>
          <w:rStyle w:val="FootnoteAnchor"/>
          <w:rtl w:val="true"/>
        </w:rPr>
        <w:footnoteReference w:id="475"/>
      </w:r>
      <w:r>
        <w:rPr>
          <w:rFonts w:ascii="Amiri" w:hAnsi="Amiri" w:eastAsia="Amiri" w:cs="Amiri"/>
          <w:color w:val="111111"/>
          <w:sz w:val="28"/>
          <w:sz w:val="28"/>
          <w:szCs w:val="28"/>
          <w:rtl w:val="true"/>
          <w:lang w:bidi="ar-SA"/>
        </w:rPr>
        <w:t>يقيّد بما بعد نزح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كردويه</w:t>
      </w:r>
      <w:r>
        <w:rPr>
          <w:rStyle w:val="FootnoteAnchor"/>
          <w:rtl w:val="true"/>
        </w:rPr>
        <w:footnoteReference w:id="476"/>
      </w:r>
      <w:r>
        <w:rPr>
          <w:rFonts w:ascii="Amiri" w:hAnsi="Amiri" w:eastAsia="Amiri" w:cs="Amiri"/>
          <w:color w:val="111111"/>
          <w:sz w:val="28"/>
          <w:sz w:val="28"/>
          <w:szCs w:val="28"/>
          <w:rtl w:val="true"/>
          <w:lang w:bidi="ar-SA"/>
        </w:rPr>
        <w:t>الدالّ على نزح ثلاثين في العذرة المخلوطة بماء المطر، لا يعارض ما تقدّم؛ لضعفه، ولاحتمال وروده في المختلط</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3197577_1280447820"/>
      <w:bookmarkStart w:id="307" w:name="_Toc115"/>
      <w:bookmarkEnd w:id="306"/>
      <w:r>
        <w:rPr>
          <w:rtl w:val="true"/>
        </w:rPr>
        <w:t>السابعة عشر</w:t>
      </w:r>
      <w:r>
        <w:rPr>
          <w:rtl w:val="true"/>
        </w:rPr>
        <w:t xml:space="preserve">: </w:t>
      </w:r>
      <w:r>
        <w:rPr>
          <w:rtl w:val="true"/>
        </w:rPr>
        <w:t>فیما يُنزح لكثير الدم عرفاً</w:t>
      </w:r>
      <w:bookmarkEnd w:id="307"/>
    </w:p>
    <w:p>
      <w:pPr>
        <w:pStyle w:val="BookText"/>
        <w:rPr/>
      </w:pPr>
      <w:r>
        <w:rPr>
          <w:rFonts w:ascii="Amiri" w:hAnsi="Amiri" w:eastAsia="Amiri" w:cs="Amiri"/>
          <w:color w:val="111111"/>
          <w:sz w:val="28"/>
          <w:sz w:val="28"/>
          <w:szCs w:val="28"/>
          <w:rtl w:val="true"/>
          <w:lang w:bidi="ar-SA"/>
        </w:rPr>
        <w:t xml:space="preserve">يُنزح لكثير الدم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نفسه لا بالنسبة إلى البئر الواقع فيها؛ لظهور كون وصف الكثرة متعلّقاً بنفسه لا بالواقع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دلواً، وفاقاً لفتوى المشهور والإجماع المنقول</w:t>
      </w:r>
      <w:r>
        <w:rPr>
          <w:rStyle w:val="FootnoteAnchor"/>
          <w:rtl w:val="true"/>
        </w:rPr>
        <w:footnoteReference w:id="477"/>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القليل عشرة دلاء؛ لما ذُكر، ولورود الأخبار بنزح دلاء يسيرة</w:t>
      </w:r>
      <w:r>
        <w:rPr>
          <w:rStyle w:val="FootnoteAnchor"/>
          <w:rtl w:val="true"/>
        </w:rPr>
        <w:footnoteReference w:id="478"/>
      </w:r>
      <w:r>
        <w:rPr>
          <w:rFonts w:ascii="Amiri" w:hAnsi="Amiri" w:eastAsia="Amiri" w:cs="Amiri"/>
          <w:color w:val="111111"/>
          <w:sz w:val="28"/>
          <w:sz w:val="28"/>
          <w:szCs w:val="28"/>
          <w:rtl w:val="true"/>
          <w:lang w:bidi="ar-SA"/>
        </w:rPr>
        <w:t>وهو جمع كثرةٍ، وأقلّه عشرة حقيقةً أو ظهوراً، فيُحمل على أقلّه؛ للأصل،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يمنع دلالة الرواية على الكثرة حقيقة وظهوراً لنفسها، 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قرينة صارفة للّفظ إلى القليل وهو الثلاث ومثلها، فيبقى السند الإجماع المنقول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لعدد محذوف فيقدّر الأكثر للاحتياط اللازم في الإجمال، منظورٌ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جعل الدلاء تمييزاً لمحذوفٍ، بل هو مفعول به یراد به معناه الجمعي، وهو صادق على القليل والكثير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تقدير الأكثر؛ لكفاية تقدير الأقلّ، والأصل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دم نجس العين بمطلق الدم لإطلاق بعض الأخبار</w:t>
      </w:r>
      <w:r>
        <w:rPr>
          <w:rStyle w:val="FootnoteAnchor"/>
          <w:rtl w:val="true"/>
        </w:rPr>
        <w:footnoteReference w:id="479"/>
      </w:r>
      <w:r>
        <w:rPr>
          <w:rFonts w:ascii="Amiri" w:hAnsi="Amiri" w:eastAsia="Amiri" w:cs="Amiri"/>
          <w:color w:val="111111"/>
          <w:sz w:val="28"/>
          <w:sz w:val="28"/>
          <w:szCs w:val="28"/>
          <w:rtl w:val="true"/>
          <w:lang w:bidi="ar-SA"/>
        </w:rPr>
        <w:t>، أو إلحاقه بغير المنصوص؛ لانصراف الإطلاق لغيره، فيلحق بالدماء الثلاثة الواجب لها نزح الجميع وجهان، أقواهما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الكثير من ثلاثين إلى أربعين</w:t>
      </w:r>
      <w:r>
        <w:rPr>
          <w:rStyle w:val="FootnoteAnchor"/>
          <w:rtl w:val="true"/>
        </w:rPr>
        <w:footnoteReference w:id="480"/>
      </w:r>
      <w:r>
        <w:rPr>
          <w:rFonts w:ascii="Amiri" w:hAnsi="Amiri" w:eastAsia="Amiri" w:cs="Amiri"/>
          <w:color w:val="111111"/>
          <w:sz w:val="28"/>
          <w:sz w:val="28"/>
          <w:szCs w:val="28"/>
          <w:rtl w:val="true"/>
          <w:lang w:bidi="ar-SA"/>
        </w:rPr>
        <w:t xml:space="preserve">للصحيح في دم الشاة الذي هو من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الثلاثين والأربعين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ولا يراد به العشرة التي بينهما قطعاً، فيُحمل على إرادة التخيير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إرادة جعل ما بين الثلاثين إلى الأربعين مضافةً إلى الثلاثين، فيكون أربعين، بل يقوى هذا بقرينة الشهرة والإجماع المنقول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 في القليل خمس</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استناداً</w:t>
      </w:r>
      <w:r>
        <w:rPr>
          <w:rStyle w:val="FootnoteAnchor"/>
          <w:rtl w:val="true"/>
        </w:rPr>
        <w:footnoteReference w:id="484"/>
      </w:r>
      <w:r>
        <w:rPr>
          <w:rFonts w:ascii="Amiri" w:hAnsi="Amiri" w:eastAsia="Amiri" w:cs="Amiri"/>
          <w:color w:val="111111"/>
          <w:sz w:val="28"/>
          <w:sz w:val="28"/>
          <w:szCs w:val="28"/>
          <w:rtl w:val="true"/>
          <w:lang w:bidi="ar-SA"/>
        </w:rPr>
        <w:t xml:space="preserve">إلى أنّ أقلّ جمع الكثرة عشرة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وتقييدها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ينصّفها فيكون المراد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كما ترى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للدم من واحدٍ إلى عشرين</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مستند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لقطرات الدم</w:t>
      </w:r>
      <w:r>
        <w:rPr>
          <w:rStyle w:val="FootnoteAnchor"/>
          <w:rtl w:val="true"/>
        </w:rPr>
        <w:footnoteReference w:id="486"/>
      </w:r>
      <w:r>
        <w:rPr>
          <w:rFonts w:ascii="IRNazanin" w:hAnsi="IRNazanin" w:eastAsia="IRNazanin"/>
          <w:color w:val="111111"/>
          <w:sz w:val="28"/>
          <w:sz w:val="28"/>
          <w:szCs w:val="28"/>
          <w:rtl w:val="true"/>
          <w:lang w:bidi="fa-IR"/>
        </w:rPr>
        <w:t>، ولا قائل به</w:t>
      </w:r>
      <w:r>
        <w:rPr>
          <w:rFonts w:eastAsia="IRNazanin" w:cs="IRNazanin"/>
          <w:color w:val="111111"/>
          <w:sz w:val="28"/>
          <w:szCs w:val="28"/>
          <w:rtl w:val="true"/>
          <w:lang w:bidi="fa-IR"/>
        </w:rPr>
        <w:t xml:space="preserve">. </w:t>
      </w:r>
      <w:bookmarkStart w:id="308" w:name="pg18988_203264"/>
    </w:p>
    <w:p>
      <w:pPr>
        <w:pStyle w:val="Heading5"/>
        <w:numPr>
          <w:ilvl w:val="4"/>
          <w:numId w:val="1"/>
        </w:numPr>
        <w:rPr/>
      </w:pPr>
      <w:bookmarkStart w:id="309" w:name="__RefHeading___Toc13197579_1280447820"/>
      <w:bookmarkStart w:id="310" w:name="_Toc116"/>
      <w:bookmarkEnd w:id="308"/>
      <w:bookmarkEnd w:id="309"/>
      <w:r>
        <w:rPr>
          <w:rtl w:val="true"/>
        </w:rPr>
        <w:t>الثامنة عشر</w:t>
      </w:r>
      <w:r>
        <w:rPr>
          <w:rtl w:val="true"/>
        </w:rPr>
        <w:t xml:space="preserve">: </w:t>
      </w:r>
      <w:r>
        <w:rPr>
          <w:rtl w:val="true"/>
        </w:rPr>
        <w:t>فیما يُنزح لبول الرجل</w:t>
      </w:r>
      <w:bookmarkEnd w:id="310"/>
    </w:p>
    <w:p>
      <w:pPr>
        <w:pStyle w:val="BookText"/>
        <w:rPr/>
      </w:pPr>
      <w:r>
        <w:rPr>
          <w:rFonts w:ascii="Amiri" w:hAnsi="Amiri" w:eastAsia="Amiri" w:cs="Amiri"/>
          <w:color w:val="111111"/>
          <w:sz w:val="28"/>
          <w:sz w:val="28"/>
          <w:szCs w:val="28"/>
          <w:rtl w:val="true"/>
          <w:lang w:bidi="ar-SA"/>
        </w:rPr>
        <w:t>يُنزح لبول الرجل أربعون دلواً، تبعاً للمشهور والإجماع المنقول</w:t>
      </w:r>
      <w:r>
        <w:rPr>
          <w:rStyle w:val="FootnoteAnchor"/>
          <w:rtl w:val="true"/>
        </w:rPr>
        <w:footnoteReference w:id="487"/>
      </w:r>
      <w:r>
        <w:rPr>
          <w:rFonts w:ascii="Amiri" w:hAnsi="Amiri" w:eastAsia="Amiri" w:cs="Amiri"/>
          <w:color w:val="111111"/>
          <w:sz w:val="28"/>
          <w:sz w:val="28"/>
          <w:szCs w:val="28"/>
          <w:rtl w:val="true"/>
          <w:lang w:bidi="ar-SA"/>
        </w:rPr>
        <w:t>والرواية</w:t>
      </w:r>
      <w:r>
        <w:rPr>
          <w:rStyle w:val="FootnoteAnchor"/>
          <w:rtl w:val="true"/>
        </w:rPr>
        <w:footnoteReference w:id="488"/>
      </w:r>
      <w:r>
        <w:rPr>
          <w:rFonts w:ascii="Amiri" w:hAnsi="Amiri" w:eastAsia="Amiri" w:cs="Amiri"/>
          <w:color w:val="111111"/>
          <w:sz w:val="28"/>
          <w:sz w:val="28"/>
          <w:szCs w:val="28"/>
          <w:rtl w:val="true"/>
          <w:lang w:bidi="ar-SA"/>
        </w:rPr>
        <w:t xml:space="preserve">المعتبرة بما ذكرنا، الدالّة على ذلك، وإن ضعف سندها بعليّ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حمزة، فلا يعارضها ما دلّ على وجوب نزح الماء كلّه من الصحيح</w:t>
      </w:r>
      <w:r>
        <w:rPr>
          <w:rStyle w:val="FootnoteAnchor"/>
          <w:rtl w:val="true"/>
        </w:rPr>
        <w:footnoteReference w:id="490"/>
      </w:r>
      <w:r>
        <w:rPr>
          <w:rFonts w:ascii="Amiri" w:hAnsi="Amiri" w:eastAsia="Amiri" w:cs="Amiri"/>
          <w:color w:val="111111"/>
          <w:sz w:val="28"/>
          <w:sz w:val="28"/>
          <w:szCs w:val="28"/>
          <w:rtl w:val="true"/>
          <w:lang w:bidi="ar-SA"/>
        </w:rPr>
        <w:t>لعدم القائل به، وعلى نزح ثلاثين</w:t>
      </w:r>
      <w:r>
        <w:rPr>
          <w:rStyle w:val="FootnoteAnchor"/>
          <w:rtl w:val="true"/>
        </w:rPr>
        <w:footnoteReference w:id="491"/>
      </w:r>
      <w:r>
        <w:rPr>
          <w:rFonts w:ascii="Amiri" w:hAnsi="Amiri" w:eastAsia="Amiri" w:cs="Amiri"/>
          <w:color w:val="111111"/>
          <w:sz w:val="28"/>
          <w:sz w:val="28"/>
          <w:szCs w:val="28"/>
          <w:rtl w:val="true"/>
          <w:lang w:bidi="ar-SA"/>
        </w:rPr>
        <w:t>لضعف روايته بكردويه وعلى نزح دلاء لقطرات البول من الصحيح</w:t>
      </w:r>
      <w:r>
        <w:rPr>
          <w:rStyle w:val="FootnoteAnchor"/>
          <w:rtl w:val="true"/>
        </w:rPr>
        <w:footnoteReference w:id="492"/>
      </w:r>
      <w:r>
        <w:rPr>
          <w:rFonts w:ascii="Amiri" w:hAnsi="Amiri" w:eastAsia="Amiri" w:cs="Amiri"/>
          <w:color w:val="111111"/>
          <w:sz w:val="28"/>
          <w:sz w:val="28"/>
          <w:szCs w:val="28"/>
          <w:rtl w:val="true"/>
          <w:lang w:bidi="ar-SA"/>
        </w:rPr>
        <w:t>لعدم منافاته للأربعين، فيُحمل عليه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ببول الرجل بول الصبيّ؛ لتصريح الرواية</w:t>
      </w:r>
      <w:r>
        <w:rPr>
          <w:rStyle w:val="FootnoteAnchor"/>
          <w:rtl w:val="true"/>
        </w:rPr>
        <w:footnoteReference w:id="493"/>
      </w:r>
      <w:r>
        <w:rPr>
          <w:rFonts w:ascii="Amiri" w:hAnsi="Amiri" w:eastAsia="Amiri" w:cs="Amiri"/>
          <w:color w:val="111111"/>
          <w:sz w:val="28"/>
          <w:sz w:val="28"/>
          <w:szCs w:val="28"/>
          <w:rtl w:val="true"/>
          <w:lang w:bidi="ar-SA"/>
        </w:rPr>
        <w:t>بالرجل، والمفهوم منه الذكر البالغ، ولا بول المرأة كذلك، إلّا أنّ ابن إدريس نقل تواتر الأخبار على نزح أربعين لبول الإنسان مطلقاً</w:t>
      </w:r>
      <w:r>
        <w:rPr>
          <w:rStyle w:val="FootnoteAnchor"/>
          <w:rtl w:val="true"/>
        </w:rPr>
        <w:footnoteReference w:id="494"/>
      </w:r>
      <w:r>
        <w:rPr>
          <w:rFonts w:ascii="Amiri" w:hAnsi="Amiri" w:eastAsia="Amiri" w:cs="Amiri"/>
          <w:color w:val="111111"/>
          <w:sz w:val="28"/>
          <w:sz w:val="28"/>
          <w:szCs w:val="28"/>
          <w:rtl w:val="true"/>
          <w:lang w:bidi="ar-SA"/>
        </w:rPr>
        <w:t>، فإن تمّ ذلك أو تمّ تنقيح المناط بين الرجل والمرأة وجب إلحاقها به، وإلّا كان ممّا لا نصّ فيه كالخنثى؛ لاحتمال أنّها أُنثى، ولو ألحقنا المرأة بالرجل لم تزد الخنثى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البول بين بول الكافر والمسلم، والقليل والكثير</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197581_1280447820"/>
      <w:bookmarkStart w:id="312" w:name="_Toc117"/>
      <w:bookmarkEnd w:id="311"/>
      <w:r>
        <w:rPr>
          <w:rtl w:val="true"/>
        </w:rPr>
        <w:t>التاسعة عشر</w:t>
      </w:r>
      <w:r>
        <w:rPr>
          <w:rtl w:val="true"/>
        </w:rPr>
        <w:t xml:space="preserve">: </w:t>
      </w:r>
      <w:r>
        <w:rPr>
          <w:rtl w:val="true"/>
        </w:rPr>
        <w:t>فیما يُنزح لموت الثعلب والارنب والسنّور و</w:t>
      </w:r>
      <w:bookmarkEnd w:id="3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أنّه يُنزح لموت الثعلب والارنب والسنّور و ابن عرس وابن آوى والشاة والغزال والكلب والخنزير أربعون؛ لفتوى المشهور، والروايات</w:t>
      </w:r>
      <w:r>
        <w:rPr>
          <w:rStyle w:val="FootnoteAnchor"/>
          <w:rtl w:val="true"/>
        </w:rPr>
        <w:footnoteReference w:id="495"/>
      </w:r>
      <w:r>
        <w:rPr>
          <w:rFonts w:ascii="Amiri" w:hAnsi="Amiri" w:eastAsia="Amiri" w:cs="Amiri"/>
          <w:color w:val="111111"/>
          <w:sz w:val="28"/>
          <w:sz w:val="28"/>
          <w:szCs w:val="28"/>
          <w:rtl w:val="true"/>
          <w:lang w:bidi="ar-SA"/>
        </w:rPr>
        <w:t>الدالّة على نزح أربعين للستور والكلب وشبهه، وعلى نزح ثلاثين أو أربعين للسنّور أو أكبر منها، الظاهرة في الموت فيها لا مجرّد الوقوع، فلا يعارضها ما دلّ على نزح الجميع بموت الكلب والخنزير</w:t>
      </w:r>
      <w:r>
        <w:rPr>
          <w:rStyle w:val="FootnoteAnchor"/>
          <w:rtl w:val="true"/>
        </w:rPr>
        <w:footnoteReference w:id="496"/>
      </w:r>
      <w:r>
        <w:rPr>
          <w:rFonts w:ascii="Amiri" w:hAnsi="Amiri" w:eastAsia="Amiri" w:cs="Amiri"/>
          <w:color w:val="111111"/>
          <w:sz w:val="28"/>
          <w:sz w:val="28"/>
          <w:szCs w:val="28"/>
          <w:rtl w:val="true"/>
          <w:lang w:bidi="ar-SA"/>
        </w:rPr>
        <w:t>لعدم العامل به، وكذا ما دلّ على نزح دلاء بوقوعهما</w:t>
      </w:r>
      <w:r>
        <w:rPr>
          <w:rStyle w:val="FootnoteAnchor"/>
          <w:rtl w:val="true"/>
        </w:rPr>
        <w:footnoteReference w:id="497"/>
      </w:r>
      <w:r>
        <w:rPr>
          <w:rFonts w:ascii="Amiri" w:hAnsi="Amiri" w:eastAsia="Amiri" w:cs="Amiri"/>
          <w:color w:val="111111"/>
          <w:sz w:val="28"/>
          <w:sz w:val="28"/>
          <w:szCs w:val="28"/>
          <w:rtl w:val="true"/>
          <w:lang w:bidi="ar-SA"/>
        </w:rPr>
        <w:t>لتقييده بما ذكرنا من الأربعين، وكذا ما دلّ على نزح خمس من الكلب والسنّور</w:t>
      </w:r>
      <w:r>
        <w:rPr>
          <w:rStyle w:val="FootnoteAnchor"/>
          <w:rtl w:val="true"/>
        </w:rPr>
        <w:footnoteReference w:id="498"/>
      </w:r>
      <w:r>
        <w:rPr>
          <w:rFonts w:ascii="Amiri" w:hAnsi="Amiri" w:eastAsia="Amiri" w:cs="Amiri"/>
          <w:color w:val="111111"/>
          <w:sz w:val="28"/>
          <w:sz w:val="28"/>
          <w:szCs w:val="28"/>
          <w:rtl w:val="true"/>
          <w:lang w:bidi="ar-SA"/>
        </w:rPr>
        <w:t>لعدم العامل به أيضاً، وكذا ما دلّ على السبع</w:t>
      </w:r>
      <w:r>
        <w:rPr>
          <w:rStyle w:val="FootnoteAnchor"/>
          <w:rtl w:val="true"/>
        </w:rPr>
        <w:footnoteReference w:id="499"/>
      </w:r>
      <w:bookmarkStart w:id="313" w:name="pg18988_203265"/>
    </w:p>
    <w:p>
      <w:pPr>
        <w:pStyle w:val="BookText"/>
        <w:rPr/>
      </w:pPr>
      <w:bookmarkEnd w:id="313"/>
      <w:r>
        <w:rPr>
          <w:rFonts w:ascii="Amiri" w:hAnsi="Amiri" w:eastAsia="Amiri" w:cs="Amiri"/>
          <w:color w:val="111111"/>
          <w:sz w:val="28"/>
          <w:sz w:val="28"/>
          <w:szCs w:val="28"/>
          <w:rtl w:val="true"/>
          <w:lang w:bidi="ar-SA"/>
        </w:rPr>
        <w:t>لضعفه وعدم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هذه عدم ذكر الموت، بل تعليق الحكم على مجرّد الوقوع، ولا قائل به، فتضعف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الإشكال في دخول الخنزير والشاة فيما أشبه الكلب؛ لأنّه إن أُريد شبهه في النجاسة بَعُدت الشاة عن المشابهة، وإن أُريد في الحجم بَعُدا معاً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دخول ابن عرس وما شابهه؛ لعدم شبهه بالكلب، وعدم كونه مثل السنّور ولا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w:t>
      </w:r>
      <w:r>
        <w:rPr>
          <w:rStyle w:val="FootnoteAnchor"/>
          <w:rtl w:val="true"/>
        </w:rPr>
        <w:footnoteReference w:id="500"/>
      </w:r>
      <w:r>
        <w:rPr>
          <w:rFonts w:ascii="Amiri" w:hAnsi="Amiri" w:eastAsia="Amiri" w:cs="Amiri"/>
          <w:color w:val="111111"/>
          <w:sz w:val="28"/>
          <w:sz w:val="28"/>
          <w:szCs w:val="28"/>
          <w:rtl w:val="true"/>
          <w:lang w:bidi="ar-SA"/>
        </w:rPr>
        <w:t>إلى وجوب نزح الجميع للخنزير؛ لرواية الثور وشبهه</w:t>
      </w:r>
      <w:r>
        <w:rPr>
          <w:rStyle w:val="FootnoteAnchor"/>
          <w:rtl w:val="true"/>
        </w:rPr>
        <w:footnoteReference w:id="501"/>
      </w:r>
      <w:r>
        <w:rPr>
          <w:rFonts w:ascii="Amiri" w:hAnsi="Amiri" w:eastAsia="Amiri" w:cs="Amiri"/>
          <w:color w:val="111111"/>
          <w:sz w:val="28"/>
          <w:sz w:val="28"/>
          <w:szCs w:val="28"/>
          <w:rtl w:val="true"/>
          <w:lang w:bidi="ar-SA"/>
        </w:rPr>
        <w:t>، وبعضٌ</w:t>
      </w:r>
      <w:r>
        <w:rPr>
          <w:rStyle w:val="FootnoteAnchor"/>
          <w:rtl w:val="true"/>
        </w:rPr>
        <w:footnoteReference w:id="502"/>
      </w:r>
      <w:r>
        <w:rPr>
          <w:rFonts w:ascii="Amiri" w:hAnsi="Amiri" w:eastAsia="Amiri" w:cs="Amiri"/>
          <w:color w:val="111111"/>
          <w:sz w:val="28"/>
          <w:sz w:val="28"/>
          <w:szCs w:val="28"/>
          <w:rtl w:val="true"/>
          <w:lang w:bidi="ar-SA"/>
        </w:rPr>
        <w:t>إلى وجوب تسع إلى عشر للشاة وشبهها؛ لخبر إسحاق بن عمّار</w:t>
      </w:r>
      <w:r>
        <w:rPr>
          <w:rStyle w:val="FootnoteAnchor"/>
          <w:rtl w:val="true"/>
        </w:rPr>
        <w:footnoteReference w:id="503"/>
      </w:r>
      <w:r>
        <w:rPr>
          <w:rFonts w:ascii="IRNazanin" w:hAnsi="IRNazanin" w:eastAsia="IRNazanin"/>
          <w:color w:val="111111"/>
          <w:sz w:val="28"/>
          <w:sz w:val="28"/>
          <w:szCs w:val="28"/>
          <w:rtl w:val="true"/>
          <w:lang w:bidi="fa-IR"/>
        </w:rPr>
        <w:t>، أو سبع</w:t>
      </w:r>
      <w:r>
        <w:rPr>
          <w:rStyle w:val="FootnoteAnchor"/>
          <w:rtl w:val="true"/>
        </w:rPr>
        <w:footnoteReference w:id="504"/>
      </w:r>
      <w:r>
        <w:rPr>
          <w:rFonts w:ascii="Amiri" w:hAnsi="Amiri" w:eastAsia="Amiri" w:cs="Amiri"/>
          <w:color w:val="111111"/>
          <w:sz w:val="28"/>
          <w:sz w:val="28"/>
          <w:szCs w:val="28"/>
          <w:rtl w:val="true"/>
          <w:lang w:bidi="ar-SA"/>
        </w:rPr>
        <w:t>لخبر عمرو بن سعيد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Heading5"/>
        <w:numPr>
          <w:ilvl w:val="4"/>
          <w:numId w:val="1"/>
        </w:numPr>
        <w:rPr/>
      </w:pPr>
      <w:bookmarkStart w:id="314" w:name="__RefHeading___Toc13197583_1280447820"/>
      <w:bookmarkStart w:id="315" w:name="_Toc118"/>
      <w:bookmarkEnd w:id="314"/>
      <w:r>
        <w:rPr>
          <w:rtl w:val="true"/>
        </w:rPr>
        <w:t>العشرون</w:t>
      </w:r>
      <w:r>
        <w:rPr>
          <w:rtl w:val="true"/>
        </w:rPr>
        <w:t xml:space="preserve">: </w:t>
      </w:r>
      <w:r>
        <w:rPr>
          <w:rtl w:val="true"/>
        </w:rPr>
        <w:t>يُنزح سبع لأُمور</w:t>
      </w:r>
      <w:bookmarkEnd w:id="31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الطير ما عدا العصفور وشبهه وفُسِّر بالحمامة والنعامة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فيها الدجاجة؛ لأنّها طير عرفاً وإن قلّ الصدق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مأكول اللحم وغيره والصغير والكبير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منسوب للمشهور</w:t>
      </w:r>
      <w:r>
        <w:rPr>
          <w:rStyle w:val="FootnoteAnchor"/>
          <w:rtl w:val="true"/>
        </w:rPr>
        <w:footnoteReference w:id="506"/>
      </w:r>
      <w:r>
        <w:rPr>
          <w:rFonts w:ascii="Amiri" w:hAnsi="Amiri" w:eastAsia="Amiri" w:cs="Amiri"/>
          <w:color w:val="111111"/>
          <w:sz w:val="28"/>
          <w:sz w:val="28"/>
          <w:szCs w:val="28"/>
          <w:rtl w:val="true"/>
          <w:lang w:bidi="ar-SA"/>
        </w:rPr>
        <w:t>، ونقل عليه الإجماع</w:t>
      </w:r>
      <w:r>
        <w:rPr>
          <w:rStyle w:val="FootnoteAnchor"/>
          <w:rtl w:val="true"/>
        </w:rPr>
        <w:footnoteReference w:id="507"/>
      </w:r>
      <w:r>
        <w:rPr>
          <w:rFonts w:ascii="Amiri" w:hAnsi="Amiri" w:eastAsia="Amiri" w:cs="Amiri"/>
          <w:color w:val="111111"/>
          <w:sz w:val="28"/>
          <w:sz w:val="28"/>
          <w:szCs w:val="28"/>
          <w:rtl w:val="true"/>
          <w:lang w:bidi="ar-SA"/>
        </w:rPr>
        <w:t>في الجملة، ودلّت عليه الأخبار</w:t>
      </w:r>
      <w:r>
        <w:rPr>
          <w:rStyle w:val="FootnoteAnchor"/>
          <w:rtl w:val="true"/>
        </w:rPr>
        <w:footnoteReference w:id="508"/>
      </w:r>
      <w:r>
        <w:rPr>
          <w:rFonts w:ascii="Amiri" w:hAnsi="Amiri" w:eastAsia="Amiri" w:cs="Amiri"/>
          <w:color w:val="111111"/>
          <w:sz w:val="28"/>
          <w:sz w:val="28"/>
          <w:szCs w:val="28"/>
          <w:rtl w:val="true"/>
          <w:lang w:bidi="ar-SA"/>
        </w:rPr>
        <w:t>المعتبرة بما ذكرناه وإن لم تكن بنفسها كذلك فيهذا رُجّحت على صحيحة أبي أُسامة الدالّة على نزح خمس للدجاجة والطير</w:t>
      </w:r>
      <w:r>
        <w:rPr>
          <w:rStyle w:val="FootnoteAnchor"/>
          <w:rtl w:val="true"/>
        </w:rPr>
        <w:footnoteReference w:id="509"/>
      </w:r>
      <w:r>
        <w:rPr>
          <w:rFonts w:ascii="Amiri" w:hAnsi="Amiri" w:eastAsia="Amiri" w:cs="Amiri"/>
          <w:color w:val="111111"/>
          <w:sz w:val="28"/>
          <w:sz w:val="28"/>
          <w:szCs w:val="28"/>
          <w:rtl w:val="true"/>
          <w:lang w:bidi="ar-SA"/>
        </w:rPr>
        <w:t>لعدم العامل بها، وعلى ما دلّ على نزح دلوين أو ثلاثة</w:t>
      </w:r>
      <w:r>
        <w:rPr>
          <w:rStyle w:val="FootnoteAnchor"/>
          <w:rtl w:val="true"/>
        </w:rPr>
        <w:footnoteReference w:id="510"/>
      </w:r>
      <w:r>
        <w:rPr>
          <w:rFonts w:ascii="Amiri" w:hAnsi="Amiri" w:eastAsia="Amiri" w:cs="Amiri"/>
          <w:color w:val="111111"/>
          <w:sz w:val="28"/>
          <w:sz w:val="28"/>
          <w:szCs w:val="28"/>
          <w:rtl w:val="true"/>
          <w:lang w:bidi="ar-SA"/>
        </w:rPr>
        <w:t>، وعلى ما دلّ على نزح عشرين إذا تفسّخ الواقع</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إذا تفسّخت ؛ للأخبار</w:t>
      </w:r>
      <w:r>
        <w:rPr>
          <w:rStyle w:val="FootnoteAnchor"/>
          <w:rtl w:val="true"/>
        </w:rPr>
        <w:footnoteReference w:id="512"/>
      </w:r>
      <w:r>
        <w:rPr>
          <w:rFonts w:ascii="Amiri" w:hAnsi="Amiri" w:eastAsia="Amiri" w:cs="Amiri"/>
          <w:color w:val="111111"/>
          <w:sz w:val="28"/>
          <w:sz w:val="28"/>
          <w:szCs w:val="28"/>
          <w:rtl w:val="true"/>
          <w:lang w:bidi="ar-SA"/>
        </w:rPr>
        <w:t>المطلقة بنزح سبع، والمقيّدة بالتفسّخ، فيُجمع بين مطلقها ومقيّدها بذلك، ولفتوى المشهور والإجماع المنقول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يرجّح على ما دلّ على كفاية نزح الخمس من الصحيح</w:t>
      </w:r>
      <w:r>
        <w:rPr>
          <w:rStyle w:val="FootnoteAnchor"/>
          <w:rtl w:val="true"/>
        </w:rPr>
        <w:footnoteReference w:id="514"/>
      </w:r>
      <w:r>
        <w:rPr>
          <w:rFonts w:ascii="Amiri" w:hAnsi="Amiri" w:eastAsia="Amiri" w:cs="Amiri"/>
          <w:color w:val="111111"/>
          <w:sz w:val="28"/>
          <w:sz w:val="28"/>
          <w:szCs w:val="28"/>
          <w:rtl w:val="true"/>
          <w:lang w:bidi="ar-SA"/>
        </w:rPr>
        <w:t>، وعلى ما دلّ على نزح الكلّ</w:t>
      </w:r>
      <w:r>
        <w:rPr>
          <w:rStyle w:val="FootnoteAnchor"/>
          <w:rtl w:val="true"/>
        </w:rPr>
        <w:footnoteReference w:id="515"/>
      </w:r>
      <w:r>
        <w:rPr>
          <w:rFonts w:ascii="Amiri" w:hAnsi="Amiri" w:eastAsia="Amiri" w:cs="Amiri"/>
          <w:color w:val="111111"/>
          <w:sz w:val="28"/>
          <w:sz w:val="28"/>
          <w:szCs w:val="28"/>
          <w:rtl w:val="true"/>
          <w:lang w:bidi="ar-SA"/>
        </w:rPr>
        <w:t>لعدم العامل به وعلى ما دلّ على نزح عشرين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بالفأرة الجرذ؛ لصدق اسمها عليه وإن كان له اسماً مستقلّاً على الظاهر، مع احتمال أنّه من 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الأصحاب</w:t>
      </w:r>
      <w:r>
        <w:rPr>
          <w:rStyle w:val="FootnoteAnchor"/>
          <w:rtl w:val="true"/>
        </w:rPr>
        <w:footnoteReference w:id="517"/>
      </w:r>
      <w:r>
        <w:rPr>
          <w:rFonts w:ascii="Amiri" w:hAnsi="Amiri" w:eastAsia="Amiri" w:cs="Amiri"/>
          <w:color w:val="111111"/>
          <w:sz w:val="28"/>
          <w:sz w:val="28"/>
          <w:szCs w:val="28"/>
          <w:rtl w:val="true"/>
          <w:lang w:bidi="ar-SA"/>
        </w:rPr>
        <w:t>إلحاق الانتفاخ بالتفسّخ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من حيثيّة الاحتياط، لا من حيثيّة إنّ التفسّخ هو الانتفاخ كما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بالتفسّخ هو ما كان بنفس الماء، لا ما كان خارجاً عنه فوقعت متفسّخةً فيه، مع احتمال الإلحاق للاحتياط</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الصبيّ الذي لم يبلغ وكان متغذّياً بالطعام مستغنياً عن الرضاع؛ لأنّه المفهوم منه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بالاستغناء الشأنية لا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الحكم رواية منصور</w:t>
      </w:r>
      <w:r>
        <w:rPr>
          <w:rStyle w:val="FootnoteAnchor"/>
          <w:rtl w:val="true"/>
        </w:rPr>
        <w:footnoteReference w:id="518"/>
      </w:r>
      <w:r>
        <w:rPr>
          <w:rFonts w:ascii="Amiri" w:hAnsi="Amiri" w:eastAsia="Amiri" w:cs="Amiri"/>
          <w:color w:val="111111"/>
          <w:sz w:val="28"/>
          <w:sz w:val="28"/>
          <w:szCs w:val="28"/>
          <w:rtl w:val="true"/>
          <w:lang w:bidi="ar-SA"/>
        </w:rPr>
        <w:t>، المنجبرة بفتوى المشهور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تُرجّح على صحيحة عمّار، الدالّة على نزح الماء كلّه</w:t>
      </w:r>
      <w:r>
        <w:rPr>
          <w:rStyle w:val="FootnoteAnchor"/>
          <w:rtl w:val="true"/>
        </w:rPr>
        <w:footnoteReference w:id="519"/>
      </w:r>
      <w:r>
        <w:rPr>
          <w:rFonts w:ascii="IRNazanin" w:hAnsi="IRNazanin" w:eastAsia="IRNazanin"/>
          <w:color w:val="111111"/>
          <w:sz w:val="28"/>
          <w:sz w:val="28"/>
          <w:szCs w:val="28"/>
          <w:rtl w:val="true"/>
          <w:lang w:bidi="fa-IR"/>
        </w:rPr>
        <w:t>، وعلى ما دلّ على نزح دلو واحد</w:t>
      </w:r>
      <w:r>
        <w:rPr>
          <w:rStyle w:val="FootnoteAnchor"/>
          <w:rtl w:val="true"/>
        </w:rPr>
        <w:footnoteReference w:id="520"/>
      </w:r>
      <w:r>
        <w:rPr>
          <w:rFonts w:ascii="IRNazanin" w:hAnsi="IRNazanin" w:eastAsia="IRNazanin"/>
          <w:color w:val="111111"/>
          <w:sz w:val="28"/>
          <w:sz w:val="28"/>
          <w:szCs w:val="28"/>
          <w:rtl w:val="true"/>
          <w:lang w:bidi="fa-IR"/>
        </w:rPr>
        <w:t>، وعلى ما دلّ على ثلاث</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عدم إلحاق الصبيّة والخنثى به؛ لأنّه خرج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شمول الصبيّ للكافر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اغتسال الجنب فى البئر ارتماساً أو ترتيباً؛ للأخبار</w:t>
      </w:r>
      <w:r>
        <w:rPr>
          <w:rStyle w:val="FootnoteAnchor"/>
          <w:rtl w:val="true"/>
        </w:rPr>
        <w:footnoteReference w:id="522"/>
      </w:r>
      <w:r>
        <w:rPr>
          <w:rFonts w:ascii="Amiri" w:hAnsi="Amiri" w:eastAsia="Amiri" w:cs="Amiri"/>
          <w:color w:val="111111"/>
          <w:sz w:val="28"/>
          <w:sz w:val="28"/>
          <w:szCs w:val="28"/>
          <w:rtl w:val="true"/>
          <w:lang w:bidi="ar-SA"/>
        </w:rPr>
        <w:t>وفتوى مشهور الأخيار، فتخصيصه بالارتماس لا وجه له كما تخيّله بعضهم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إلحاق مطلق الوقوع والنزول والدخول في البئر بالاغتسال في الحكم بالسبع؛ لتعليق الحكم في جملة من الأخبار على الدخول والنزول وشبههما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اشتمل فيها على الاغتسال</w:t>
      </w:r>
      <w:r>
        <w:rPr>
          <w:rStyle w:val="FootnoteAnchor"/>
          <w:rtl w:val="true"/>
        </w:rPr>
        <w:footnoteReference w:id="525"/>
      </w:r>
      <w:r>
        <w:rPr>
          <w:rFonts w:ascii="Amiri" w:hAnsi="Amiri" w:eastAsia="Amiri" w:cs="Amiri"/>
          <w:color w:val="111111"/>
          <w:sz w:val="28"/>
          <w:sz w:val="28"/>
          <w:szCs w:val="28"/>
          <w:rtl w:val="true"/>
          <w:lang w:bidi="ar-SA"/>
        </w:rPr>
        <w:t>لايصلح للتقييد؛ لضعفه سنداً ودلالةً، على أنّ حمل المطلق على المقيّد في باب السنن والآداب لا نسلّمه، والنزح عندنا من السنن لا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بظهور إرادة الاغتسال من هذه الألفاظ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معلّق على المجنب فلا يسري لغيره من الأحداث الكبريات؛ اقتصاراً على المنصوص، فلا يؤثّر الحدث الأكبر غير الجنابة فى البئر شيئاً تنجيساً أو سلب طهوريّة أو غيرهما؛ 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التأثير والتزام نزح الكلّ لدخوله في غير المنصوص أو إلحاقه بالجنب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تخصيص الحكم بما تقدّم وعدم سريانه للمباشرة مطلقاً؛ 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اختصاص الحكم بالجنب من حيث الجنابة لا مطلقاً، فلو كان بدنه متلوّثاً بنجاسة جرى</w:t>
      </w:r>
      <w:r>
        <w:rPr>
          <w:rStyle w:val="FootnoteAnchor"/>
          <w:rtl w:val="true"/>
        </w:rPr>
        <w:footnoteReference w:id="526"/>
      </w:r>
      <w:r>
        <w:rPr>
          <w:rFonts w:ascii="Amiri" w:hAnsi="Amiri" w:eastAsia="Amiri" w:cs="Amiri"/>
          <w:color w:val="111111"/>
          <w:sz w:val="28"/>
          <w:sz w:val="28"/>
          <w:szCs w:val="28"/>
          <w:rtl w:val="true"/>
          <w:lang w:bidi="ar-SA"/>
        </w:rPr>
        <w:t>عليها حكمها من النزح، حتّى لو كان منيّاً لوجب له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كافراً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النزح على القول بنجاسة البئر تعبّد شرعيّ، أو لسلب الطهوريّة، أو لرفع النجاسة؟ وجوه، أقواها أوسطها؛ لأنّ البئر عندهم كالقليل، والمستعمل فيه لرفع الحدث الأكبر ربّما يمكن أن يدّعى فيه سلب الطهوريّة، فكذا هنا؛ للنصّ، ولإشعار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 على القوم ماءهم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بذلك، وإن احتُمل استناد الإفساد لخوف الموت أو إخراج العفونة أو تغيّر الماء ، لكن ما ذكرناه أظهر</w:t>
      </w:r>
      <w:r>
        <w:rPr>
          <w:rFonts w:eastAsia="Amiri" w:cs="Amiri" w:ascii="Amiri" w:hAnsi="Amiri"/>
          <w:color w:val="111111"/>
          <w:sz w:val="28"/>
          <w:szCs w:val="28"/>
          <w:rtl w:val="true"/>
          <w:lang w:bidi="ar-SA"/>
        </w:rPr>
        <w:t xml:space="preserve">. </w:t>
      </w:r>
      <w:bookmarkStart w:id="316" w:name="pg18988_203268"/>
    </w:p>
    <w:p>
      <w:pPr>
        <w:pStyle w:val="BookText"/>
        <w:rPr/>
      </w:pPr>
      <w:bookmarkEnd w:id="316"/>
      <w:r>
        <w:rPr>
          <w:rFonts w:ascii="Amiri" w:hAnsi="Amiri" w:eastAsia="Amiri" w:cs="Amiri"/>
          <w:color w:val="111111"/>
          <w:sz w:val="28"/>
          <w:sz w:val="28"/>
          <w:szCs w:val="28"/>
          <w:rtl w:val="true"/>
          <w:lang w:bidi="ar-SA"/>
        </w:rPr>
        <w:t>وأمّا احتمال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فيبعّده تنجيس البئر بغير النجس، والنجاسات محصورة معلومة، وهي متساوية في الحكم، فاختصاص البئر دون غيرها به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الأمر بالنزح يدلّ على النجاسة كالأمر بالغسل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حكم المغتسل بهذه البئر، فإنّا إن أخذنا بظاهر النهي عن الوقوع فيها وعن الإفساد بطل الغسل ؛ لكونه منهيّاً عنه لوصفه اللازم أو المفارق المتّحد معه في الوجود، وكلاهما مقتض للبطلان، سيّما وفي الرواية الأمر بالتيمّم، وهو مبني على فساد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نأخذ بظاهر النهى؛ استضعافاً للرواية كما هو الأقوى، فإن قلنا بطهارة البئر وعدم سلب طهوريّتها واستحباب النزح أو وجوبه تعبّداً،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بنجاستها، قوي حيئنذٍ القول بصحّة الغسل ارتماساً وتنجّسه حين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بسلب طهوريّتها فإنّه إنّما يكون بعد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الغسل ترتيباً فيحتمل القول بتنجّسها وسلب طهوريّتها من ابتداء الغسل فلا ينتفع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بهما بعد تمام الغسل والجزء الأخير منه، فيصحّ الغسل حينئذٍ، وتتنجّس البئر بعد ذلك، وتسلب طهوريّتها أيضاً بعد ذلك؛ لأنّ الموجب لهما الاغتسال ولا يتحقّق إلّا بعد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يقوى الثاني بخلوّ الأخبار عن بيان فساد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الكلب البرّي وخروجه حيّاً؛ للرواية</w:t>
      </w:r>
      <w:r>
        <w:rPr>
          <w:rStyle w:val="FootnoteAnchor"/>
          <w:rtl w:val="true"/>
        </w:rPr>
        <w:footnoteReference w:id="528"/>
      </w:r>
      <w:r>
        <w:rPr>
          <w:rFonts w:ascii="Amiri" w:hAnsi="Amiri" w:eastAsia="Amiri" w:cs="Amiri"/>
          <w:color w:val="111111"/>
          <w:sz w:val="28"/>
          <w:sz w:val="28"/>
          <w:szCs w:val="28"/>
          <w:rtl w:val="true"/>
          <w:lang w:bidi="ar-SA"/>
        </w:rPr>
        <w:t>المعتضدة بفتوى المشهور، وبها يخصّص ما جاء من الأمر بنزح دلاء</w:t>
      </w:r>
      <w:r>
        <w:rPr>
          <w:rStyle w:val="FootnoteAnchor"/>
          <w:rtl w:val="true"/>
        </w:rPr>
        <w:footnoteReference w:id="529"/>
      </w:r>
      <w:r>
        <w:rPr>
          <w:rFonts w:ascii="Amiri" w:hAnsi="Amiri" w:eastAsia="Amiri" w:cs="Amiri"/>
          <w:color w:val="111111"/>
          <w:sz w:val="28"/>
          <w:sz w:val="28"/>
          <w:szCs w:val="28"/>
          <w:rtl w:val="true"/>
          <w:lang w:bidi="ar-SA"/>
        </w:rPr>
        <w:t>، وبذلك ترجّح على ما ورد من الأمر بنزح خمس</w:t>
      </w:r>
      <w:r>
        <w:rPr>
          <w:rStyle w:val="FootnoteAnchor"/>
          <w:rtl w:val="true"/>
        </w:rPr>
        <w:footnoteReference w:id="530"/>
      </w:r>
      <w:r>
        <w:rPr>
          <w:rFonts w:ascii="IRNazanin" w:hAnsi="IRNazanin" w:eastAsia="IRNazanin"/>
          <w:color w:val="111111"/>
          <w:sz w:val="28"/>
          <w:sz w:val="28"/>
          <w:szCs w:val="28"/>
          <w:rtl w:val="true"/>
          <w:lang w:bidi="fa-IR"/>
        </w:rPr>
        <w:t>لعدم العامل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الحاق مطلق مباشرته بوقوعه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اختصاص الحكم بالوقوع عرفاً بحيث يستولي الماء على أكثر جسمه</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3197585_1280447820"/>
      <w:bookmarkStart w:id="318" w:name="_Toc119"/>
      <w:bookmarkEnd w:id="317"/>
      <w:r>
        <w:rPr>
          <w:rtl w:val="true"/>
        </w:rPr>
        <w:t>الحادية والعشرون</w:t>
      </w:r>
      <w:r>
        <w:rPr>
          <w:rtl w:val="true"/>
        </w:rPr>
        <w:t>:</w:t>
      </w:r>
      <w:r>
        <w:rPr>
          <w:rtl w:val="true"/>
        </w:rPr>
        <w:t>فیما يُنزح خمس لذرق الدجاج الجلّال</w:t>
      </w:r>
      <w:bookmarkEnd w:id="3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يُنزح خمس لذرق الدجاج الجلّال، ولم نعثر على نصٍّ فيه بالخصوص، فيقوى إلحاقه بغير المنصوص</w:t>
      </w:r>
      <w:r>
        <w:rPr>
          <w:rFonts w:eastAsia="Amiri" w:cs="Amiri" w:ascii="Amiri" w:hAnsi="Amiri"/>
          <w:color w:val="111111"/>
          <w:sz w:val="28"/>
          <w:szCs w:val="28"/>
          <w:rtl w:val="true"/>
          <w:lang w:bidi="ar-SA"/>
        </w:rPr>
        <w:t xml:space="preserve">. </w:t>
      </w:r>
      <w:bookmarkStart w:id="319" w:name="pg18988_203269"/>
    </w:p>
    <w:p>
      <w:pPr>
        <w:pStyle w:val="BookText"/>
        <w:rPr/>
      </w:pPr>
      <w:bookmarkEnd w:id="319"/>
      <w:r>
        <w:rPr>
          <w:rFonts w:ascii="Amiri" w:hAnsi="Amiri" w:eastAsia="Amiri" w:cs="Amiri"/>
          <w:color w:val="111111"/>
          <w:sz w:val="28"/>
          <w:sz w:val="28"/>
          <w:szCs w:val="28"/>
          <w:rtl w:val="true"/>
          <w:lang w:bidi="ar-SA"/>
        </w:rPr>
        <w:t>واحتمال إلحاقه بالعذرة ضعيف؛ لأنّها فضلة ،الإنسان كاحتمال لزوم الثلاثين؛ لضعف المستند</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3197587_1280447820"/>
      <w:bookmarkStart w:id="321" w:name="_Toc120"/>
      <w:bookmarkEnd w:id="320"/>
      <w:r>
        <w:rPr>
          <w:rtl w:val="true"/>
        </w:rPr>
        <w:t>الثانية والعشرون</w:t>
      </w:r>
      <w:r>
        <w:rPr>
          <w:rtl w:val="true"/>
        </w:rPr>
        <w:t xml:space="preserve">: </w:t>
      </w:r>
      <w:r>
        <w:rPr>
          <w:rtl w:val="true"/>
        </w:rPr>
        <w:t>فیما يُنزح لموت الحيّة دلاء ثلاث؛ لفتوى المشهور والإجماع المنقول</w:t>
      </w:r>
      <w:bookmarkEnd w:id="321"/>
    </w:p>
    <w:p>
      <w:pPr>
        <w:pStyle w:val="BookText"/>
        <w:rPr/>
      </w:pPr>
      <w:r>
        <w:rPr>
          <w:rFonts w:ascii="Amiri" w:hAnsi="Amiri" w:eastAsia="Amiri" w:cs="Amiri"/>
          <w:color w:val="111111"/>
          <w:sz w:val="28"/>
          <w:sz w:val="28"/>
          <w:szCs w:val="28"/>
          <w:rtl w:val="true"/>
          <w:lang w:bidi="ar-SA"/>
        </w:rPr>
        <w:t>يُنزح لموت الحيّة دلاء ثلاث؛ لفتوى المشهور والإجماع المنقول</w:t>
      </w:r>
      <w:r>
        <w:rPr>
          <w:rStyle w:val="FootnoteAnchor"/>
          <w:rtl w:val="true"/>
        </w:rPr>
        <w:footnoteReference w:id="531"/>
      </w:r>
      <w:r>
        <w:rPr>
          <w:rFonts w:ascii="Amiri" w:hAnsi="Amiri" w:eastAsia="Amiri" w:cs="Amiri"/>
          <w:color w:val="111111"/>
          <w:sz w:val="28"/>
          <w:sz w:val="28"/>
          <w:szCs w:val="28"/>
          <w:rtl w:val="true"/>
          <w:lang w:bidi="ar-SA"/>
        </w:rPr>
        <w:t>، ولرواية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حيوان صغير فمات فيها فلينزح منها دلاء</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وأقلّ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بالسبع</w:t>
      </w:r>
      <w:r>
        <w:rPr>
          <w:rStyle w:val="FootnoteAnchor"/>
          <w:rtl w:val="true"/>
        </w:rPr>
        <w:footnoteReference w:id="533"/>
      </w:r>
      <w:r>
        <w:rPr>
          <w:rFonts w:ascii="Amiri" w:hAnsi="Amiri" w:eastAsia="Amiri" w:cs="Amiri"/>
          <w:color w:val="111111"/>
          <w:sz w:val="28"/>
          <w:sz w:val="28"/>
          <w:szCs w:val="28"/>
          <w:rtl w:val="true"/>
          <w:lang w:bidi="ar-SA"/>
        </w:rPr>
        <w:t>لرواية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الدابّة الصغيرة سبع</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ضعيف؛ لعدم القائل به كالقول بنزح الواحد لموتها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بدخولها فيما لا نصّ فيه فيجب لها نزح الجميع أو السبعين؛ لما ورد أنّ أكبره الإنسان</w:t>
      </w:r>
      <w:r>
        <w:rPr>
          <w:rStyle w:val="FootnoteAnchor"/>
          <w:rtl w:val="true"/>
        </w:rPr>
        <w:footnoteReference w:id="536"/>
      </w:r>
      <w:r>
        <w:rPr>
          <w:rFonts w:ascii="Amiri" w:hAnsi="Amiri" w:eastAsia="Amiri" w:cs="Amiri"/>
          <w:color w:val="111111"/>
          <w:sz w:val="28"/>
          <w:sz w:val="28"/>
          <w:szCs w:val="28"/>
          <w:rtl w:val="true"/>
          <w:lang w:bidi="ar-SA"/>
        </w:rPr>
        <w:t>، ويُنزح له ذلك،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قائل بجميع ذلك ممّن يعتّد به، والنزح هنا للسمّيّة أو زوال النفرة أو التعبّد؛ لأنّ الحيّة غير نجسةٍ، لأنّها ليس لها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يُنزح ثلاث للفأرة إذا لم تتفسّخ وتنتفخ؛ لفتوى مشهور الأصحاب، والأخبار الدالّة على نزح دلاء بموت حيوان صغير</w:t>
      </w:r>
      <w:r>
        <w:rPr>
          <w:rStyle w:val="FootnoteAnchor"/>
          <w:rtl w:val="true"/>
        </w:rPr>
        <w:footnoteReference w:id="537"/>
      </w:r>
      <w:r>
        <w:rPr>
          <w:rFonts w:ascii="Amiri" w:hAnsi="Amiri" w:eastAsia="Amiri" w:cs="Amiri"/>
          <w:color w:val="111111"/>
          <w:sz w:val="28"/>
          <w:sz w:val="28"/>
          <w:szCs w:val="28"/>
          <w:rtl w:val="true"/>
          <w:lang w:bidi="ar-SA"/>
        </w:rPr>
        <w:t>، المحمولة على ذلك؛ لأنّ أقلّ الجمع ثلاث، والأخبار الدالّة على لزوم نزح الثلاث</w:t>
      </w:r>
      <w:r>
        <w:rPr>
          <w:rStyle w:val="FootnoteAnchor"/>
          <w:rtl w:val="true"/>
        </w:rPr>
        <w:footnoteReference w:id="538"/>
      </w:r>
      <w:r>
        <w:rPr>
          <w:rFonts w:ascii="Amiri" w:hAnsi="Amiri" w:eastAsia="Amiri" w:cs="Amiri"/>
          <w:color w:val="111111"/>
          <w:sz w:val="28"/>
          <w:sz w:val="28"/>
          <w:szCs w:val="28"/>
          <w:rtl w:val="true"/>
          <w:lang w:bidi="ar-SA"/>
        </w:rPr>
        <w:t>مطلقاً المحمولة على ما إذا لم تتفسّخ؛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يُنزح ثلاث لموت الوزغة، على الأشهر من غير تفاوتٍ بين تفسّخها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بالسبع إذا تفسّخت، والثلاث بدونه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بكفاية الواحد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لزوم النزح</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322" w:name="pg18988_203270"/>
    </w:p>
    <w:p>
      <w:pPr>
        <w:pStyle w:val="BookText"/>
        <w:rPr/>
      </w:pPr>
      <w:bookmarkEnd w:id="322"/>
      <w:r>
        <w:rPr>
          <w:rFonts w:ascii="Amiri" w:hAnsi="Amiri" w:eastAsia="Amiri" w:cs="Amiri"/>
          <w:color w:val="111111"/>
          <w:sz w:val="28"/>
          <w:sz w:val="28"/>
          <w:szCs w:val="28"/>
          <w:rtl w:val="true"/>
          <w:lang w:bidi="ar-SA"/>
        </w:rPr>
        <w:t>والأوّل أقوى؛ لورود الصحيحين</w:t>
      </w:r>
      <w:r>
        <w:rPr>
          <w:rStyle w:val="FootnoteAnchor"/>
          <w:rtl w:val="true"/>
        </w:rPr>
        <w:footnoteReference w:id="542"/>
      </w:r>
      <w:r>
        <w:rPr>
          <w:rFonts w:ascii="Amiri" w:hAnsi="Amiri" w:eastAsia="Amiri" w:cs="Amiri"/>
          <w:color w:val="111111"/>
          <w:sz w:val="28"/>
          <w:sz w:val="28"/>
          <w:szCs w:val="28"/>
          <w:rtl w:val="true"/>
          <w:lang w:bidi="ar-SA"/>
        </w:rPr>
        <w:t>به، وفتوى الكثير من فقهائنا</w:t>
      </w:r>
      <w:r>
        <w:rPr>
          <w:rStyle w:val="FootnoteAnchor"/>
          <w:rtl w:val="true"/>
        </w:rPr>
        <w:footnoteReference w:id="543"/>
      </w:r>
      <w:r>
        <w:rPr>
          <w:rFonts w:ascii="Amiri" w:hAnsi="Amiri" w:eastAsia="Amiri" w:cs="Amiri"/>
          <w:color w:val="111111"/>
          <w:sz w:val="28"/>
          <w:sz w:val="28"/>
          <w:szCs w:val="28"/>
          <w:rtl w:val="true"/>
          <w:lang w:bidi="ar-SA"/>
        </w:rPr>
        <w:t>، فيرجّح على ما ورد بكفاية دلو واحد لجلد الوزغ</w:t>
      </w:r>
      <w:r>
        <w:rPr>
          <w:rStyle w:val="FootnoteAnchor"/>
          <w:rtl w:val="true"/>
        </w:rPr>
        <w:footnoteReference w:id="544"/>
      </w:r>
      <w:r>
        <w:rPr>
          <w:rFonts w:ascii="IRNazanin" w:hAnsi="IRNazanin" w:eastAsia="IRNazanin"/>
          <w:color w:val="111111"/>
          <w:sz w:val="28"/>
          <w:sz w:val="28"/>
          <w:szCs w:val="28"/>
          <w:rtl w:val="true"/>
          <w:lang w:bidi="fa-IR"/>
        </w:rPr>
        <w:t>، وعلى ما ورد بالسبع لسام أبرص إذا تفسّخ</w:t>
      </w:r>
      <w:r>
        <w:rPr>
          <w:rStyle w:val="FootnoteAnchor"/>
          <w:rtl w:val="true"/>
        </w:rPr>
        <w:footnoteReference w:id="545"/>
      </w:r>
      <w:r>
        <w:rPr>
          <w:rFonts w:ascii="Amiri" w:hAnsi="Amiri" w:eastAsia="Amiri" w:cs="Amiri"/>
          <w:color w:val="111111"/>
          <w:sz w:val="28"/>
          <w:sz w:val="28"/>
          <w:szCs w:val="28"/>
          <w:rtl w:val="true"/>
          <w:lang w:bidi="ar-SA"/>
        </w:rPr>
        <w:t>، وسام أبرص والوزغة شيء واحد، ولكنّ الكبير هو سام أبرص، فلذلك اختصّ باسمه، وكذا على ما ورد بعدم شيء لوقوع سام أبرص</w:t>
      </w:r>
      <w:r>
        <w:rPr>
          <w:rStyle w:val="FootnoteAnchor"/>
          <w:rtl w:val="true"/>
        </w:rPr>
        <w:footnoteReference w:id="546"/>
      </w:r>
      <w:r>
        <w:rPr>
          <w:rFonts w:ascii="Amiri" w:hAnsi="Amiri" w:eastAsia="Amiri" w:cs="Amiri"/>
          <w:color w:val="111111"/>
          <w:sz w:val="28"/>
          <w:sz w:val="28"/>
          <w:szCs w:val="28"/>
          <w:rtl w:val="true"/>
          <w:lang w:bidi="ar-SA"/>
        </w:rPr>
        <w:t>، وعُلّل أيضاً بأنّها غير نجسةٍ فلا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يُنزح للعقرب ثلاثاً أيضاً؛ لإشعار بعض الأخبار</w:t>
      </w:r>
      <w:r>
        <w:rPr>
          <w:rStyle w:val="FootnoteAnchor"/>
          <w:rtl w:val="true"/>
        </w:rPr>
        <w:footnoteReference w:id="547"/>
      </w:r>
      <w:r>
        <w:rPr>
          <w:rFonts w:ascii="Amiri" w:hAnsi="Amiri" w:eastAsia="Amiri" w:cs="Amiri"/>
          <w:color w:val="111111"/>
          <w:sz w:val="28"/>
          <w:sz w:val="28"/>
          <w:szCs w:val="28"/>
          <w:rtl w:val="true"/>
          <w:lang w:bidi="ar-SA"/>
        </w:rPr>
        <w:t>به، وفتوى كثير من الأخيار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القول بعدم الوجوب؛ لطهارته، ولما ورد أنّه ليس عليها شيء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3197589_1280447820"/>
      <w:bookmarkStart w:id="324" w:name="_Toc121"/>
      <w:bookmarkEnd w:id="323"/>
      <w:r>
        <w:rPr>
          <w:rtl w:val="true"/>
        </w:rPr>
        <w:t>الثالثة والعشرون</w:t>
      </w:r>
      <w:r>
        <w:rPr>
          <w:rtl w:val="true"/>
        </w:rPr>
        <w:t xml:space="preserve">: </w:t>
      </w:r>
      <w:r>
        <w:rPr>
          <w:rtl w:val="true"/>
        </w:rPr>
        <w:t>فیما يُنزح لموت العصفور و لبول الرضیع</w:t>
      </w:r>
      <w:bookmarkEnd w:id="324"/>
    </w:p>
    <w:p>
      <w:pPr>
        <w:pStyle w:val="BookText"/>
        <w:rPr/>
      </w:pPr>
      <w:r>
        <w:rPr>
          <w:rFonts w:ascii="IRNazanin" w:hAnsi="IRNazanin" w:eastAsia="IRNazanin"/>
          <w:color w:val="111111"/>
          <w:sz w:val="28"/>
          <w:sz w:val="28"/>
          <w:szCs w:val="28"/>
          <w:rtl w:val="true"/>
          <w:lang w:bidi="fa-IR"/>
        </w:rPr>
        <w:t>يُنزح لموت العصفور و لبول الرضیع دلو واحد؛ لرواية عمّار</w:t>
      </w:r>
      <w:r>
        <w:rPr>
          <w:rStyle w:val="FootnoteAnchor"/>
          <w:rtl w:val="true"/>
        </w:rPr>
        <w:footnoteReference w:id="550"/>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به كلّ ما كان دون الحمامة، إمّا لصدق اسم العصفور عليه، أو لمشابهته له، و نُسب ذلك للمشهور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يخلو من إشكال، لمنع صدق الاسم، ومنع إجراء الحكم لأجل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إلحاق غير العصفور بالطير؛ لشموله له، ويُمنع اختصاصه بالحمامة والنعامة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دخوله فيما جاء في الحيوان الصغير بنزح دلاء 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يُنزح واحد لبول الرضيع، وهو الذي من شأنه الرضاع وعدم التغذّي بالطعام؛ لفتوى المشهور، وخبر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حمزة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325" w:name="pg18988_203271"/>
    </w:p>
    <w:p>
      <w:pPr>
        <w:pStyle w:val="BookText"/>
        <w:rPr/>
      </w:pPr>
      <w:bookmarkEnd w:id="325"/>
      <w:r>
        <w:rPr>
          <w:rFonts w:ascii="Amiri" w:hAnsi="Amiri" w:eastAsia="Amiri" w:cs="Amiri"/>
          <w:color w:val="111111"/>
          <w:sz w:val="28"/>
          <w:sz w:val="28"/>
          <w:szCs w:val="28"/>
          <w:rtl w:val="true"/>
          <w:lang w:bidi="ar-SA"/>
        </w:rPr>
        <w:t>ولا يبعد اشتراط عدم التغذّي بالطعام له بالفعل وإن كان أقلّ من سنتين لغلظ بوله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بالطعام هو القوت، فلا يدخل فيه السكّر والحليب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الرضيع بمن كان في سنّ الرضاع أو مَنْ زاد رضاعه على أكله، أو مَنْ لم يأكل بشهوة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197591_1280447820"/>
      <w:bookmarkStart w:id="327" w:name="_Toc122"/>
      <w:bookmarkEnd w:id="326"/>
      <w:r>
        <w:rPr>
          <w:rtl w:val="true"/>
        </w:rPr>
        <w:t>الرابعة والعشرون</w:t>
      </w:r>
      <w:r>
        <w:rPr>
          <w:rtl w:val="true"/>
        </w:rPr>
        <w:t xml:space="preserve">: </w:t>
      </w:r>
      <w:r>
        <w:rPr>
          <w:rtl w:val="true"/>
        </w:rPr>
        <w:t>فیما يُنزح ثلاثون لماء المطر المخالط للبول والعذرة وخرء الكلب</w:t>
      </w:r>
      <w:bookmarkEnd w:id="327"/>
    </w:p>
    <w:p>
      <w:pPr>
        <w:pStyle w:val="BookText"/>
        <w:rPr/>
      </w:pPr>
      <w:r>
        <w:rPr>
          <w:rFonts w:ascii="Amiri" w:hAnsi="Amiri" w:eastAsia="Amiri" w:cs="Amiri"/>
          <w:color w:val="111111"/>
          <w:sz w:val="28"/>
          <w:sz w:val="28"/>
          <w:szCs w:val="28"/>
          <w:rtl w:val="true"/>
          <w:lang w:bidi="ar-SA"/>
        </w:rPr>
        <w:t>يُنزح ثلاثون لماء المطر المخالط للبول والعذرة وخرء الكلب، وفاقاً للمشهور وخبر كردويه</w:t>
      </w:r>
      <w:r>
        <w:rPr>
          <w:rStyle w:val="FootnoteAnchor"/>
          <w:rtl w:val="true"/>
        </w:rPr>
        <w:footnoteReference w:id="555"/>
      </w:r>
      <w:r>
        <w:rPr>
          <w:rFonts w:ascii="Amiri" w:hAnsi="Amiri" w:eastAsia="Amiri" w:cs="Amiri"/>
          <w:color w:val="111111"/>
          <w:sz w:val="28"/>
          <w:sz w:val="28"/>
          <w:szCs w:val="28"/>
          <w:rtl w:val="true"/>
          <w:lang w:bidi="ar-SA"/>
        </w:rPr>
        <w:t>المعبِّر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المقدّر للثلاثة أكثر فكيف يكتفى للمجموع بالأقلّ؟</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تفرّق المجتمعات وتجمع المتفرّقات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خالطت هذه الأشياء غير المطر، جرى عليه حكمه، ولم يشمله خبر كردويه، وكذا لو خالط المطر غيرها؛ لخروجه عن النصّ</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197593_1280447820"/>
      <w:bookmarkStart w:id="329" w:name="_Toc123"/>
      <w:bookmarkEnd w:id="328"/>
      <w:r>
        <w:rPr>
          <w:rtl w:val="true"/>
        </w:rPr>
        <w:t>الخامسة والعشرون</w:t>
      </w:r>
      <w:r>
        <w:rPr>
          <w:rtl w:val="true"/>
        </w:rPr>
        <w:t xml:space="preserve">: </w:t>
      </w:r>
      <w:r>
        <w:rPr>
          <w:rtl w:val="true"/>
        </w:rPr>
        <w:t>جزء الحيوان ككلّه في النزح</w:t>
      </w:r>
      <w:bookmarkEnd w:id="329"/>
    </w:p>
    <w:p>
      <w:pPr>
        <w:pStyle w:val="BookText"/>
        <w:rPr/>
      </w:pPr>
      <w:r>
        <w:rPr>
          <w:rFonts w:ascii="Amiri" w:hAnsi="Amiri" w:eastAsia="Amiri" w:cs="Amiri"/>
          <w:color w:val="111111"/>
          <w:sz w:val="28"/>
          <w:sz w:val="28"/>
          <w:szCs w:val="28"/>
          <w:rtl w:val="true"/>
          <w:lang w:bidi="ar-SA"/>
        </w:rPr>
        <w:t>جزء الحيوان ككلّه في النزح، ولا يزيد عليه إن لم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إرجاعه لغير المقدّر فينزح له الكلّ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الأجزاء متعاقبةً، تداخلت ولا تزيد على حكم الجملة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جزئيّات النوع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يتفاوت الحال بين قليله وكثيره، إلّا إذا علّق الحكم على أحد الوصفين فيكون تابعاً له، أو تتعدّد وقوعاته وإن كان الواقع واحداً، أو تتعدّد وقوعاته لتعدّد الواقع، فلا يبعد تعدّد المقدّر حينئذٍ بتعدّد ما ذكرناه؛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التداخل أيضاً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أجزاء لم يعلم أنّها من واحد أو متعدّد، فالأقوى الحكم بالاتّحاد؛ لأصالة عدم التعدّد،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الحكم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ورجيع الحيوان وحمله عند وقوعه إن بقي في محلّه فلا أثر له، وإن سقط الجنين وخرج الرجيع كان لهما الاستقلال بالحكم، وإن بقيا ولكن اتّصل بهما ماء البئر فوجهان،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الاستقلال عليهما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وقع جزء طاهر من الميتة فالظاهر أنّه لا حكم له؛ لطهارته</w:t>
      </w:r>
      <w:r>
        <w:rPr>
          <w:rFonts w:eastAsia="Amiri" w:cs="Amiri" w:ascii="Amiri" w:hAnsi="Amiri"/>
          <w:color w:val="111111"/>
          <w:sz w:val="28"/>
          <w:szCs w:val="28"/>
          <w:rtl w:val="true"/>
          <w:lang w:bidi="ar-SA"/>
        </w:rPr>
        <w:t xml:space="preserve">. </w:t>
      </w:r>
      <w:bookmarkStart w:id="330" w:name="pg18988_203272"/>
    </w:p>
    <w:p>
      <w:pPr>
        <w:pStyle w:val="Heading5"/>
        <w:numPr>
          <w:ilvl w:val="4"/>
          <w:numId w:val="1"/>
        </w:numPr>
        <w:rPr/>
      </w:pPr>
      <w:bookmarkStart w:id="331" w:name="__RefHeading___Toc13197595_1280447820"/>
      <w:bookmarkStart w:id="332" w:name="_Toc124"/>
      <w:bookmarkEnd w:id="330"/>
      <w:bookmarkEnd w:id="331"/>
      <w:r>
        <w:rPr>
          <w:rtl w:val="true"/>
        </w:rPr>
        <w:t>السادسة والعشرون</w:t>
      </w:r>
      <w:r>
        <w:rPr>
          <w:rtl w:val="true"/>
        </w:rPr>
        <w:t xml:space="preserve">: </w:t>
      </w:r>
      <w:r>
        <w:rPr>
          <w:rtl w:val="true"/>
        </w:rPr>
        <w:t>زوال التغيّر مطهّر</w:t>
      </w:r>
      <w:bookmarkEnd w:id="332"/>
    </w:p>
    <w:p>
      <w:pPr>
        <w:pStyle w:val="BookText"/>
        <w:rPr/>
      </w:pPr>
      <w:r>
        <w:rPr>
          <w:rFonts w:ascii="Amiri" w:hAnsi="Amiri" w:eastAsia="Amiri" w:cs="Amiri"/>
          <w:color w:val="111111"/>
          <w:sz w:val="28"/>
          <w:sz w:val="28"/>
          <w:szCs w:val="28"/>
          <w:rtl w:val="true"/>
          <w:lang w:bidi="ar-SA"/>
        </w:rPr>
        <w:t>زوال التغيّر مطهّر عندنا، والقائلون بالنجاسة يلتزمون نزح الجميع أو ما يزول به التغيّر تقديراً؛ لعدم زيادة الفرع على الأصل، أو نزح المقدّر، وإلّا فالجميع أو أكثر الأمرين منه وممّا يزول به التغيّر التقديري</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3197597_1280447820"/>
      <w:bookmarkStart w:id="334" w:name="_Toc125"/>
      <w:bookmarkEnd w:id="333"/>
      <w:r>
        <w:rPr>
          <w:rtl w:val="true"/>
        </w:rPr>
        <w:t>السابعة والعشرون</w:t>
      </w:r>
      <w:r>
        <w:rPr>
          <w:rtl w:val="true"/>
        </w:rPr>
        <w:t xml:space="preserve">: </w:t>
      </w:r>
      <w:r>
        <w:rPr>
          <w:rtl w:val="true"/>
        </w:rPr>
        <w:t>حکم ما لو غيّرت البالوعة المتنجّس ماؤها ماء البئر</w:t>
      </w:r>
      <w:bookmarkEnd w:id="334"/>
    </w:p>
    <w:p>
      <w:pPr>
        <w:pStyle w:val="BookText"/>
        <w:rPr/>
      </w:pPr>
      <w:r>
        <w:rPr>
          <w:rFonts w:ascii="Amiri" w:hAnsi="Amiri" w:eastAsia="Amiri" w:cs="Amiri"/>
          <w:color w:val="111111"/>
          <w:sz w:val="28"/>
          <w:sz w:val="28"/>
          <w:szCs w:val="28"/>
          <w:rtl w:val="true"/>
          <w:lang w:bidi="ar-SA"/>
        </w:rPr>
        <w:t>لو غيّرت البالوعة المتنجّس ماؤها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النجاسات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تنجس بالتغيّر، وإلّا فلا تنجس البئر على القول بعدم انفعالها، وعلى القول بانفعالها تتنجّس، ويُنزح لها المقدّر، ويكفي أكثر المقدّر على القول بالتداخل، ويلزم الإتيان بكلّ مقدّر على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معها غير مقدّرٍ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بوصول ماء البالوعة للبئر، فالمحكّم أصالة الطهارة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منع الوضوء منها إن كان تباعدها عن وادي البول أقلّ من ثلاثة أذرع مع فوقيّتها، ومن تسعة مع تحتيّتها إن استقرّ على أرضه</w:t>
      </w:r>
      <w:r>
        <w:rPr>
          <w:rStyle w:val="FootnoteAnchor"/>
          <w:rtl w:val="true"/>
        </w:rPr>
        <w:footnoteReference w:id="557"/>
      </w:r>
      <w:r>
        <w:rPr>
          <w:rFonts w:ascii="Amiri" w:hAnsi="Amiri" w:eastAsia="Amiri" w:cs="Amiri"/>
          <w:color w:val="111111"/>
          <w:sz w:val="28"/>
          <w:sz w:val="28"/>
          <w:szCs w:val="28"/>
          <w:rtl w:val="true"/>
          <w:lang w:bidi="ar-SA"/>
        </w:rPr>
        <w:t xml:space="preserve"> محمولٌ على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التباعد بين البئر والبالوعة بخمسة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بذراع اليد المحدودة في تقدير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صلبةً أو كانت البئر أعلى قراراً منها، وبسبع بدونهما، فصُور الخمس أربع، وصُور السبع اثنتان؛ وفاقاً للمشهور، والمرسلة قدامة الدالّة على السبع مع السهولة، والخمس مع الجبليّة </w:t>
      </w:r>
      <w:r>
        <w:rPr>
          <w:rStyle w:val="FootnoteAnchor"/>
          <w:rtl w:val="true"/>
        </w:rPr>
        <w:footnoteReference w:id="558"/>
      </w:r>
      <w:r>
        <w:rPr>
          <w:rFonts w:ascii="Amiri" w:hAnsi="Amiri" w:eastAsia="Amiri" w:cs="Amiri"/>
          <w:color w:val="111111"/>
          <w:sz w:val="28"/>
          <w:sz w:val="28"/>
          <w:szCs w:val="28"/>
          <w:rtl w:val="true"/>
          <w:lang w:bidi="ar-SA"/>
        </w:rPr>
        <w:t>وخبر ابن رباط الدالّ على الخمس مع تحتيّة البالوعة والسبع مع فوقيّتها</w:t>
      </w:r>
      <w:r>
        <w:rPr>
          <w:rStyle w:val="FootnoteAnchor"/>
          <w:rtl w:val="true"/>
        </w:rPr>
        <w:footnoteReference w:id="559"/>
      </w:r>
      <w:r>
        <w:rPr>
          <w:rFonts w:ascii="Amiri" w:hAnsi="Amiri" w:eastAsia="Amiri" w:cs="Amiri"/>
          <w:color w:val="111111"/>
          <w:sz w:val="28"/>
          <w:sz w:val="28"/>
          <w:szCs w:val="28"/>
          <w:rtl w:val="true"/>
          <w:lang w:bidi="ar-SA"/>
        </w:rPr>
        <w:t>، والجمع بينهما بتقييد السبعة في كلّ واحدة بالخمسة في الأُخرى، والشاهد عليه فتوى الأصحاب وعملهم وأصالة البراءة، فهو مقدّم على الجمع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ما دلّ على التسعة </w:t>
      </w:r>
      <w:r>
        <w:rPr>
          <w:rStyle w:val="FootnoteAnchor"/>
          <w:rtl w:val="true"/>
        </w:rPr>
        <w:footnoteReference w:id="560"/>
      </w:r>
      <w:r>
        <w:rPr>
          <w:rFonts w:ascii="Amiri" w:hAnsi="Amiri" w:eastAsia="Amiri" w:cs="Amiri"/>
          <w:color w:val="111111"/>
          <w:sz w:val="28"/>
          <w:sz w:val="28"/>
          <w:szCs w:val="28"/>
          <w:rtl w:val="true"/>
          <w:lang w:bidi="ar-SA"/>
        </w:rPr>
        <w:t>مع فوقيّة البالوعة مطلقاً على الندب زيادة؛ لمخالفته لفتوى المشهور، فلا يصلح معارضاً لما قدّمنا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تعتبر الفوقيّة والتحتيّة والتساوي بحسب الجهة، فما كان بجهة الشمال فوق، وما كان منحدراً عنه إلى جهة الجنوب كان تحت، وذلك لأنّ مجاري العيون منحدرة من جهة الشمال إلى جهة الجنوب؛ لكرويّة الأرض وعلوّ جهة الشمال، وما كانا سواءٌ بالنسبة إلى الجنوب </w:t>
      </w:r>
    </w:p>
    <w:p>
      <w:pPr>
        <w:pStyle w:val="BookText"/>
        <w:rPr/>
      </w:pPr>
      <w:r>
        <w:rPr>
          <w:rFonts w:ascii="Amiri" w:hAnsi="Amiri" w:eastAsia="Amiri" w:cs="Amiri"/>
          <w:color w:val="111111"/>
          <w:sz w:val="28"/>
          <w:sz w:val="28"/>
          <w:szCs w:val="28"/>
          <w:rtl w:val="true"/>
          <w:lang w:bidi="ar-SA"/>
        </w:rPr>
        <w:t>والشمال فهما سواء، سواء كان أحدهما في جهة المغرب والأُخرى في المشرق أو بالعكس، فيجتمع من مضروب هذه الأربعة في الستّة الأُوَل أربع وعشرون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جعلنا الجهات الأربع على جهة الاعتدال واقتصرنا عليها، وإن ضممنا إليها الزوايا الأربع الحاصلة من الجهات الأربع ، كانت الصور ثمانية وأربعين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فيها أنّه عند تعارض الفوقيّة الحسّيّة مع الفوقيّة الناشئة من الجهة تُقدّم الفوقيّة الحسّيّة على غيرها، ومع عدم التعارض فلا بأس باعتبار فوقيّة الجهة؛ للتسامح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الخمسة والسبعة والاثني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من باب المثال لإرادة التنزّه، والاختلاف لاختلاف الأراضي قوّةً و رخاوةً، و علوّاً و هبوطاً، حتّى لو كانت الأرض صخرةً منقورةً لكفى الشبر، ولو كانت رملاً هيّالاً </w:t>
      </w:r>
      <w:r>
        <w:rPr>
          <w:rStyle w:val="FootnoteAnchor"/>
          <w:rtl w:val="true"/>
        </w:rPr>
        <w:footnoteReference w:id="562"/>
      </w:r>
      <w:r>
        <w:rPr>
          <w:rFonts w:ascii="Amiri" w:hAnsi="Amiri" w:eastAsia="Amiri" w:cs="Amiri"/>
          <w:color w:val="111111"/>
          <w:sz w:val="28"/>
          <w:sz w:val="28"/>
          <w:szCs w:val="28"/>
          <w:rtl w:val="true"/>
          <w:lang w:bidi="ar-SA"/>
        </w:rPr>
        <w:t>لم تكف الاثنا عشر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 الأخبار يُنزّل على غالب الأراضي الصلبة منها والسهلة</w:t>
      </w:r>
      <w:r>
        <w:rPr>
          <w:rFonts w:eastAsia="Amiri" w:cs="Amiri" w:ascii="Amiri" w:hAnsi="Amiri"/>
          <w:color w:val="111111"/>
          <w:sz w:val="28"/>
          <w:szCs w:val="28"/>
          <w:rtl w:val="true"/>
          <w:lang w:bidi="ar-SA"/>
        </w:rPr>
        <w:t xml:space="preserve">. </w:t>
      </w:r>
      <w:bookmarkStart w:id="335" w:name="pg18988_203274"/>
    </w:p>
    <w:p>
      <w:pPr>
        <w:pStyle w:val="Heading4"/>
        <w:numPr>
          <w:ilvl w:val="3"/>
          <w:numId w:val="1"/>
        </w:numPr>
        <w:rPr/>
      </w:pPr>
      <w:bookmarkStart w:id="336" w:name="__RefHeading___Toc13197599_1280447820"/>
      <w:bookmarkStart w:id="337" w:name="_Toc126"/>
      <w:bookmarkEnd w:id="335"/>
      <w:bookmarkEnd w:id="336"/>
      <w:r>
        <w:rPr>
          <w:rtl w:val="true"/>
        </w:rPr>
        <w:t>بحث في حكم الماء المشتبه</w:t>
      </w:r>
      <w:bookmarkEnd w:id="337"/>
    </w:p>
    <w:p>
      <w:pPr>
        <w:pStyle w:val="Heading5"/>
        <w:numPr>
          <w:ilvl w:val="4"/>
          <w:numId w:val="1"/>
        </w:numPr>
        <w:rPr/>
      </w:pPr>
      <w:bookmarkStart w:id="338" w:name="__RefHeading___Toc13197601_1280447820"/>
      <w:bookmarkStart w:id="339" w:name="_Toc127"/>
      <w:bookmarkEnd w:id="338"/>
      <w:r>
        <w:rPr>
          <w:rtl w:val="true"/>
        </w:rPr>
        <w:t>حکم الماء النجس</w:t>
      </w:r>
      <w:bookmarkEnd w:id="339"/>
    </w:p>
    <w:p>
      <w:pPr>
        <w:pStyle w:val="Heading6"/>
        <w:numPr>
          <w:ilvl w:val="5"/>
          <w:numId w:val="1"/>
        </w:numPr>
        <w:rPr/>
      </w:pPr>
      <w:bookmarkStart w:id="340" w:name="__RefHeading___Toc13197603_1280447820"/>
      <w:bookmarkStart w:id="341" w:name="_Toc128"/>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الماء النجس لا يرفع حدثاً ولا يزيل خبثاً إجماعاً، وتعاد الصلاة في الوقت وخارجه لو توضّاً بماءٍ نجس مع العلم والجهل والنسيان على الأقوى والأحوط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استعمل في الرفع بنيّة المشروعيّة كان تشريعاً حراماً، ولو استعمل صورة فلا بأس، مع احتمال حرمة الصورة في رفع الحدث لورود النهي الأصلي</w:t>
      </w:r>
      <w:r>
        <w:rPr>
          <w:rStyle w:val="FootnoteAnchor"/>
          <w:rtl w:val="true"/>
        </w:rPr>
        <w:footnoteReference w:id="563"/>
      </w:r>
      <w:r>
        <w:rPr>
          <w:rFonts w:ascii="Amiri" w:hAnsi="Amiri" w:eastAsia="Amiri" w:cs="Amiri"/>
          <w:color w:val="111111"/>
          <w:sz w:val="28"/>
          <w:sz w:val="28"/>
          <w:szCs w:val="28"/>
          <w:rtl w:val="true"/>
          <w:lang w:bidi="ar-SA"/>
        </w:rPr>
        <w:t>عن استعماله كذلك، والأمر بالإراقة في المشتبه</w:t>
      </w:r>
      <w:r>
        <w:rPr>
          <w:rStyle w:val="FootnoteAnchor"/>
          <w:rtl w:val="true"/>
        </w:rPr>
        <w:footnoteReference w:id="564"/>
      </w:r>
      <w:r>
        <w:rPr>
          <w:rFonts w:ascii="Amiri" w:hAnsi="Amiri" w:eastAsia="Amiri" w:cs="Amiri"/>
          <w:color w:val="111111"/>
          <w:sz w:val="28"/>
          <w:sz w:val="28"/>
          <w:szCs w:val="28"/>
          <w:rtl w:val="true"/>
          <w:lang w:bidi="ar-SA"/>
        </w:rPr>
        <w:t>، فهو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شربه إلّا للضرورة، ويجوز بيعه؛ لإمكان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تقديمه لمن لا يعلم بنجاسته كالطفل والضيف، أم لا؟ وجهان، أقواهما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للإغراء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المشتبه بالنجس فالأقوى وجوب اجتنابه في الأكل والشرب، وحرمة استعماله في رفع الحدث مطلقاً، وعدم حصول التطهير به، إلّا إذا تعاقب مجموع المشتبه على المحلّ النجس، فهناك كلامٌ آخَر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تنجيسه لما لاقاه، إلّا إذا كان الملاقي كلّ فرد منه</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3197605_1280447820"/>
      <w:bookmarkStart w:id="343" w:name="_Toc129"/>
      <w:bookmarkEnd w:id="342"/>
      <w:r>
        <w:rPr>
          <w:rtl w:val="true"/>
        </w:rPr>
        <w:t>فی الماء المشتبه أُمور</w:t>
      </w:r>
      <w:r>
        <w:rPr>
          <w:rtl w:val="true"/>
        </w:rPr>
        <w:t>:</w:t>
      </w:r>
      <w:bookmarkEnd w:id="343"/>
    </w:p>
    <w:p>
      <w:pPr>
        <w:pStyle w:val="Heading6"/>
        <w:numPr>
          <w:ilvl w:val="5"/>
          <w:numId w:val="1"/>
        </w:numPr>
        <w:rPr/>
      </w:pPr>
      <w:bookmarkStart w:id="344" w:name="__RefHeading___Toc13197607_1280447820"/>
      <w:bookmarkStart w:id="345" w:name="_Toc130"/>
      <w:bookmarkEnd w:id="344"/>
      <w:r>
        <w:rPr>
          <w:rtl w:val="true"/>
        </w:rPr>
        <w:t>أحدها</w:t>
      </w:r>
      <w:r>
        <w:rPr>
          <w:rtl w:val="true"/>
        </w:rPr>
        <w:t xml:space="preserve">: </w:t>
      </w:r>
      <w:r>
        <w:rPr>
          <w:rtl w:val="true"/>
        </w:rPr>
        <w:t>بیان الشبهة إمّا محصورة أو غير محصورة</w:t>
      </w:r>
      <w:bookmarkEnd w:id="345"/>
    </w:p>
    <w:p>
      <w:pPr>
        <w:pStyle w:val="BookText"/>
        <w:rPr/>
      </w:pPr>
      <w:r>
        <w:rPr>
          <w:rFonts w:ascii="Amiri" w:hAnsi="Amiri" w:eastAsia="Amiri" w:cs="Amiri"/>
          <w:color w:val="111111"/>
          <w:sz w:val="28"/>
          <w:sz w:val="28"/>
          <w:szCs w:val="28"/>
          <w:rtl w:val="true"/>
          <w:lang w:bidi="ar-SA"/>
        </w:rPr>
        <w:t>الشبهة إمّا محصورة أو غير محصورة، والمرجع في الفرق بينهما العرف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ما استلزم من التجنّب عنه العسر والحرج لعامّة المكلّفين في أغلب الأحوال فهو من غير المحصور، و إلّا فهو من المحصور</w:t>
      </w:r>
      <w:r>
        <w:rPr>
          <w:rFonts w:eastAsia="Amiri" w:cs="Amiri" w:ascii="Amiri" w:hAnsi="Amiri"/>
          <w:color w:val="111111"/>
          <w:sz w:val="28"/>
          <w:szCs w:val="28"/>
          <w:rtl w:val="true"/>
          <w:lang w:bidi="ar-SA"/>
        </w:rPr>
        <w:t xml:space="preserve">. </w:t>
      </w:r>
      <w:bookmarkStart w:id="346" w:name="pg18988_203275"/>
    </w:p>
    <w:p>
      <w:pPr>
        <w:pStyle w:val="BookText"/>
        <w:rPr/>
      </w:pPr>
      <w:bookmarkEnd w:id="346"/>
      <w:r>
        <w:rPr>
          <w:rFonts w:ascii="Amiri" w:hAnsi="Amiri" w:eastAsia="Amiri" w:cs="Amiri"/>
          <w:color w:val="111111"/>
          <w:sz w:val="28"/>
          <w:sz w:val="28"/>
          <w:szCs w:val="28"/>
          <w:rtl w:val="true"/>
          <w:lang w:bidi="ar-SA"/>
        </w:rPr>
        <w:t>ويحتمل أن ما قلّ عدّه وصغر حدّه فهو محصور، وإلّا فغير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الشبهة الغير المحصورة حلّية الإقدام وعدم حرمة التجنّب عنها؛ للسيرة المستمرّة، والعسر والحرج لولا ذلك، ولا تّفاق أصحابنا على ذلك ممّن يعتدّ بقولهم، وللروايات المتكثّرة في مقامات متعدّدة</w:t>
      </w:r>
      <w:r>
        <w:rPr>
          <w:rStyle w:val="FootnoteAnchor"/>
          <w:rtl w:val="true"/>
        </w:rPr>
        <w:footnoteReference w:id="565"/>
      </w:r>
      <w:r>
        <w:rPr>
          <w:rFonts w:ascii="Amiri" w:hAnsi="Amiri" w:eastAsia="Amiri" w:cs="Amiri"/>
          <w:color w:val="111111"/>
          <w:sz w:val="28"/>
          <w:sz w:val="28"/>
          <w:szCs w:val="28"/>
          <w:rtl w:val="true"/>
          <w:lang w:bidi="ar-SA"/>
        </w:rPr>
        <w:t>، الدالّة على حلّية الأمور العامّة مع القطع باشتمالها على النجس والمحرَّم والمغصوب وغير ذلك</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3197609_1280447820"/>
      <w:bookmarkStart w:id="348" w:name="_Toc131"/>
      <w:bookmarkEnd w:id="347"/>
      <w:r>
        <w:rPr>
          <w:rtl w:val="true"/>
        </w:rPr>
        <w:t>ثانيها</w:t>
      </w:r>
      <w:r>
        <w:rPr>
          <w:rtl w:val="true"/>
        </w:rPr>
        <w:t xml:space="preserve">: </w:t>
      </w:r>
      <w:r>
        <w:rPr>
          <w:rtl w:val="true"/>
        </w:rPr>
        <w:t>حكم الشبهة المحصورة وجوب الإتيان بالجميع إن اشتبه الواجب في غير المحرّم من الأفراد</w:t>
      </w:r>
      <w:bookmarkEnd w:id="348"/>
    </w:p>
    <w:p>
      <w:pPr>
        <w:pStyle w:val="BookText"/>
        <w:rPr/>
      </w:pPr>
      <w:r>
        <w:rPr>
          <w:rFonts w:ascii="Amiri" w:hAnsi="Amiri" w:eastAsia="Amiri" w:cs="Amiri"/>
          <w:color w:val="111111"/>
          <w:sz w:val="28"/>
          <w:sz w:val="28"/>
          <w:szCs w:val="28"/>
          <w:rtl w:val="true"/>
          <w:lang w:bidi="ar-SA"/>
        </w:rPr>
        <w:t>حكم الشبهة المحصورة وجوب الإتيان بالجميع إن اشتبه الواجب في غير المحرّم من الأفراد؛ لاستصحاب الشغل اليقيني المتوقّف على الفراغ اليقيني، ولأنّ التكليف بالواقع ولا يحصل الامتثال عرفاً إلّا بالإتيان به ولا يمكن الإتيان به إلّا بالإتيان بالجميع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التكليف إنّما هو بالمعلوم فمع الجهل لا تكليف دعوى مخالفة لظاهر الخطاب ولكلام الأصحاب، كدعوى الحكم بالقرعة لإخراج المشتبه؛ لضعف دليل القرعة، وإعراض الأصحاب عن العمل بها في مثل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دعوى ثبوت التخيير بين الأفراد المشتبه بزعم أنّ الشغل اليقيني يكفي في رفعه رفع اليقين به، ولا يفتقر إلى يقين الرفع، لا وجه لها؛ لأنّ الحكم بالتخيير حكمٌ من غير دليلٍ، ولأنّ الامتثال عرفاً موقوف على يقين رفع الشغل بفعل المأمور به واقعاً، وحيث لم يحصل</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3197611_1280447820"/>
      <w:bookmarkStart w:id="350" w:name="_Toc132"/>
      <w:bookmarkEnd w:id="349"/>
      <w:r>
        <w:rPr>
          <w:rtl w:val="true"/>
        </w:rPr>
        <w:t>ثالثها</w:t>
      </w:r>
      <w:r>
        <w:rPr>
          <w:rtl w:val="true"/>
        </w:rPr>
        <w:t xml:space="preserve">: </w:t>
      </w:r>
      <w:r>
        <w:rPr>
          <w:rtl w:val="true"/>
        </w:rPr>
        <w:t>حكم الشبهة المحصورة تجنّب الجميع إذا دخل المحرَّم في غيره من الأفراد</w:t>
      </w:r>
      <w:bookmarkEnd w:id="350"/>
    </w:p>
    <w:p>
      <w:pPr>
        <w:pStyle w:val="BookText"/>
        <w:rPr/>
      </w:pPr>
      <w:r>
        <w:rPr>
          <w:rFonts w:ascii="Amiri" w:hAnsi="Amiri" w:eastAsia="Amiri" w:cs="Amiri"/>
          <w:color w:val="111111"/>
          <w:sz w:val="28"/>
          <w:sz w:val="28"/>
          <w:szCs w:val="28"/>
          <w:rtl w:val="true"/>
          <w:lang w:bidi="ar-SA"/>
        </w:rPr>
        <w:t>حكم الشبهة المحصورة تجنّب الجميع إذا دخل المحرَّم في غيره من الأفراد واشتبه حتّى في الواجب؛ لاشتمال المحرَّم الأصلي على المفسدة، ودفعها أهمّ من جلب المنفعة، وترك الواجب وإن اشتمل على ذلك أيضاً لكن مفسدته لا توازي مفسدة المحرَّم الأصلي فيترك لأجلها، ويشعر بذلك الأخبارُ</w:t>
      </w:r>
      <w:r>
        <w:rPr>
          <w:rStyle w:val="FootnoteAnchor"/>
          <w:rtl w:val="true"/>
        </w:rPr>
        <w:footnoteReference w:id="566"/>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عُلمت أهمّية الواجب كحفظ النفس المحترمة و العِرْض وأشباهها من غير العبادات قدّم على ترك المحرَّم وفعل المحرَّم لأجله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وجوب التجنّب هنا فتوى الأصحاب، بل ربما يدّعى الإجماع، وكذا باب </w:t>
      </w:r>
    </w:p>
    <w:p>
      <w:pPr>
        <w:pStyle w:val="BookText"/>
        <w:rPr/>
      </w:pPr>
      <w:r>
        <w:rPr>
          <w:rFonts w:ascii="Amiri" w:hAnsi="Amiri" w:eastAsia="Amiri" w:cs="Amiri"/>
          <w:color w:val="111111"/>
          <w:sz w:val="28"/>
          <w:sz w:val="28"/>
          <w:szCs w:val="28"/>
          <w:rtl w:val="true"/>
          <w:lang w:bidi="ar-SA"/>
        </w:rPr>
        <w:t>المقدّمة ؛ للأمر باجتناب المحرَّم واقعاً ، ولا يتمّ إلّا باجتناب الجميع، ولا يحصل الامتثال عرفاً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استقراء الأخبار في مقامات متعدّدة، كالناهية عن أكل اللحم المختلط ذكيّه بميّته</w:t>
      </w:r>
      <w:r>
        <w:rPr>
          <w:rStyle w:val="FootnoteAnchor"/>
          <w:rtl w:val="true"/>
        </w:rPr>
        <w:footnoteReference w:id="567"/>
      </w:r>
      <w:r>
        <w:rPr>
          <w:rFonts w:ascii="Amiri" w:hAnsi="Amiri" w:eastAsia="Amiri" w:cs="Amiri"/>
          <w:color w:val="111111"/>
          <w:sz w:val="28"/>
          <w:sz w:val="28"/>
          <w:szCs w:val="28"/>
          <w:rtl w:val="true"/>
          <w:lang w:bidi="ar-SA"/>
        </w:rPr>
        <w:t>،وكالآمرة بالصلاة في الثوبين المشتبهين</w:t>
      </w:r>
      <w:r>
        <w:rPr>
          <w:rStyle w:val="FootnoteAnchor"/>
          <w:rtl w:val="true"/>
        </w:rPr>
        <w:footnoteReference w:id="568"/>
      </w:r>
      <w:r>
        <w:rPr>
          <w:rFonts w:ascii="Amiri" w:hAnsi="Amiri" w:eastAsia="Amiri" w:cs="Amiri"/>
          <w:color w:val="111111"/>
          <w:sz w:val="28"/>
          <w:sz w:val="28"/>
          <w:szCs w:val="28"/>
          <w:rtl w:val="true"/>
          <w:lang w:bidi="ar-SA"/>
        </w:rPr>
        <w:t>، والآمرة بإهراق الإناءين</w:t>
      </w:r>
      <w:r>
        <w:rPr>
          <w:rStyle w:val="FootnoteAnchor"/>
          <w:rtl w:val="true"/>
        </w:rPr>
        <w:footnoteReference w:id="569"/>
      </w:r>
      <w:r>
        <w:rPr>
          <w:rFonts w:ascii="Amiri" w:hAnsi="Amiri" w:eastAsia="Amiri" w:cs="Amiri"/>
          <w:color w:val="111111"/>
          <w:sz w:val="28"/>
          <w:sz w:val="28"/>
          <w:szCs w:val="28"/>
          <w:rtl w:val="true"/>
          <w:lang w:bidi="ar-SA"/>
        </w:rPr>
        <w:t>، وغير ذلك، فالقول بالرجوع للقرعة هنا ضعيف جدّاً؛ لضعف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جمعٌ</w:t>
      </w:r>
      <w:r>
        <w:rPr>
          <w:rStyle w:val="FootnoteAnchor"/>
          <w:rtl w:val="true"/>
        </w:rPr>
        <w:footnoteReference w:id="570"/>
      </w:r>
      <w:r>
        <w:rPr>
          <w:rFonts w:ascii="Amiri" w:hAnsi="Amiri" w:eastAsia="Amiri" w:cs="Amiri"/>
          <w:color w:val="111111"/>
          <w:sz w:val="28"/>
          <w:sz w:val="28"/>
          <w:szCs w:val="28"/>
          <w:rtl w:val="true"/>
          <w:lang w:bidi="ar-SA"/>
        </w:rPr>
        <w:t>إلى حلّيّة الجميع على سبيل التدريج حتّى ينتهي إلى ما يقطع باستعمال المحرّم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حلال حتّى ما يقطع معه باستعمال المحرَّم؛ لأنّ القطع باستعمال المحرَّم معه ولو سابقاً لا يصيّره محرَّماً، إنّما المحرَّم ما تعلّق به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ارتكب الجميع دفعةٌ ، حرم؛ للقطع باستعمال المحرَّم حين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بالأصل والاستصحاب، وبأنّه يكفي في رفع يقين خطاب التحريم عدم العلم بفعل المحرَّم، ولا يتوقّف على العلم بعدم 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التكليف مع العلم والبيان، ومع الجهل يرتفع من أصله؛ لأنّ الناس في سعة ما لم يعلموا، وبالأخبار الدالّة على أنّ كلّ شيء فيه حلال وحرام فهو حلال حتّى تعلم الحرام بعينه فتدعه </w:t>
      </w:r>
      <w:r>
        <w:rPr>
          <w:rStyle w:val="FootnoteAnchor"/>
          <w:rtl w:val="true"/>
        </w:rPr>
        <w:footnoteReference w:id="571"/>
      </w:r>
      <w:r>
        <w:rPr>
          <w:rFonts w:ascii="Amiri" w:hAnsi="Amiri" w:eastAsia="Amiri" w:cs="Amiri"/>
          <w:color w:val="111111"/>
          <w:sz w:val="28"/>
          <w:sz w:val="28"/>
          <w:szCs w:val="28"/>
          <w:rtl w:val="true"/>
          <w:lang w:bidi="ar-SA"/>
        </w:rPr>
        <w:t>، وبالأخبار الدالّة على حلّية جوائز الظلمة والأخذ ممّا في أيديهم</w:t>
      </w:r>
      <w:r>
        <w:rPr>
          <w:rStyle w:val="FootnoteAnchor"/>
          <w:rtl w:val="true"/>
        </w:rPr>
        <w:footnoteReference w:id="572"/>
      </w:r>
      <w:r>
        <w:rPr>
          <w:rFonts w:ascii="Amiri" w:hAnsi="Amiri" w:eastAsia="Amiri" w:cs="Amiri"/>
          <w:color w:val="111111"/>
          <w:sz w:val="28"/>
          <w:sz w:val="28"/>
          <w:szCs w:val="28"/>
          <w:rtl w:val="true"/>
          <w:lang w:bidi="ar-SA"/>
        </w:rPr>
        <w:t>، 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المذهب وإن كان فيه قوّة إلّا أنّ الأوّل أقوى منه؛ لضعف ما ذكروه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والاستصحاب فهما مقطوعان أوّلاً بيقين التحريم، فلا يصحّ التمسّك بهما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يقين التحريم غير قاطعٍ لإجراء الأصل في كلّ فردٍ؛ لأنّ كلّ فردٍ مشكوكٌ في تحريمه، بل هو قاطع لمجموع الأصلين، فلا يقطع كلّ فردٍ، فكلّ فردٍ مشكوك في طروء القاطع عليه، والشكّ في القاطع لا يقطع الأصل، مردود</w:t>
      </w:r>
      <w:r>
        <w:rPr>
          <w:rFonts w:eastAsia="Amiri" w:cs="Amiri" w:ascii="Amiri" w:hAnsi="Amiri"/>
          <w:color w:val="111111"/>
          <w:sz w:val="28"/>
          <w:szCs w:val="28"/>
          <w:rtl w:val="true"/>
          <w:lang w:bidi="ar-SA"/>
        </w:rPr>
        <w:t xml:space="preserve">: </w:t>
      </w:r>
      <w:bookmarkStart w:id="351" w:name="pg18988_203277"/>
    </w:p>
    <w:p>
      <w:pPr>
        <w:pStyle w:val="BookText"/>
        <w:rPr/>
      </w:pPr>
      <w:bookmarkEnd w:id="35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اليقين كما أنّه قاطع لعمل الأصلين معاً، كذلك يكون قاطعاً لعمل كلّ واحد؛ للزوم الترجيح من غير مرجّحٍ لو عمل بأحدهما دون الآخَر، ولأنّ الدليلين إذا علم طروء الناقض عليهما بطل العمل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بذلك كان الحكم أن يؤخذ بأحدهما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باب المقدّمة حاكم على الأصل ووارد عليه،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على أحد الأصلين يستلزم إثبات التحريم في الجانب الآخَر، والأصل المثبت 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كفاية عدم العلم بفعل المحرَّم في رفع التكليف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في ابتداء التكليف، أو في غير المحصور؛ لجريان أصل الحلّ فيهما، وشمول عموم أدلّة أصل الحلّ لهما، وغير مسلَّمٍ في المحصور المقطوع بدخول المنهيّ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بأنّه لا تكليف إلّا بعد البيان والناس في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مخصوص بما جاء في الشبهة المحصورة، أو أنّ مورده غيرها؛ لأنّها ممّا يعلم، لا ممّا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شاملةٍ للشبهة المحصورة؛ لأنّ الشبهة المحصورة ممّا يعلم فيه الحرام بعينه،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منزّلة على ما في أيدي المسلمين من المال المشتبه، فموردها مورد الأخبار</w:t>
      </w:r>
      <w:r>
        <w:rPr>
          <w:rStyle w:val="FootnoteAnchor"/>
          <w:rtl w:val="true"/>
        </w:rPr>
        <w:footnoteReference w:id="573"/>
      </w:r>
      <w:r>
        <w:rPr>
          <w:rFonts w:ascii="Amiri" w:hAnsi="Amiri" w:eastAsia="Amiri" w:cs="Amiri"/>
          <w:color w:val="111111"/>
          <w:sz w:val="28"/>
          <w:sz w:val="28"/>
          <w:szCs w:val="28"/>
          <w:rtl w:val="true"/>
          <w:lang w:bidi="ar-SA"/>
        </w:rPr>
        <w:t>الدالّة على حلّيّة ما يؤخذ من أيدي الظلمة، فإنّه وإن كان من الشبهة المحصورة إلّا أنّه حلال؛ للأخبار</w:t>
      </w:r>
      <w:r>
        <w:rPr>
          <w:rStyle w:val="FootnoteAnchor"/>
          <w:rtl w:val="true"/>
        </w:rPr>
        <w:footnoteReference w:id="574"/>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على الشبهة غير المحصورة أولى؛ لتصريح كثيرٍ من الأخبار</w:t>
      </w:r>
      <w:r>
        <w:rPr>
          <w:rStyle w:val="FootnoteAnchor"/>
          <w:rtl w:val="true"/>
        </w:rPr>
        <w:footnoteReference w:id="575"/>
      </w:r>
      <w:r>
        <w:rPr>
          <w:rFonts w:ascii="Amiri" w:hAnsi="Amiri" w:eastAsia="Amiri" w:cs="Amiri"/>
          <w:color w:val="111111"/>
          <w:sz w:val="28"/>
          <w:sz w:val="28"/>
          <w:szCs w:val="28"/>
          <w:rtl w:val="true"/>
          <w:lang w:bidi="ar-SA"/>
        </w:rPr>
        <w:t>فيها بالتمثيل بالجبن ونحوه ممّا هو في سوق المسلمين من 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قبيل العامّ، فتكون مخصوصةً بما جاء في الشبهة المحصورة، والخاصّ يحكم على العامّ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3197613_1280447820"/>
      <w:bookmarkStart w:id="353" w:name="_Toc133"/>
      <w:bookmarkEnd w:id="352"/>
      <w:r>
        <w:rPr>
          <w:rtl w:val="true"/>
        </w:rPr>
        <w:t>رابعها</w:t>
      </w:r>
      <w:r>
        <w:rPr>
          <w:rtl w:val="true"/>
        </w:rPr>
        <w:t xml:space="preserve">: </w:t>
      </w:r>
      <w:r>
        <w:rPr>
          <w:rtl w:val="true"/>
        </w:rPr>
        <w:t>مقتضى ما ذكرناه من حكم الشبهة في الواجب المشتبه هو</w:t>
      </w:r>
      <w:r>
        <w:rPr>
          <w:rtl w:val="true"/>
        </w:rPr>
        <w:t xml:space="preserve">: </w:t>
      </w:r>
      <w:r>
        <w:rPr>
          <w:rtl w:val="true"/>
        </w:rPr>
        <w:t>وجوب فعل كلّ ما يدخل فيه الواجب ولم يكن محرّماً أصليّاً</w:t>
      </w:r>
      <w:bookmarkEnd w:id="3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ما ذكرناه من حكم الشبهة في الواجب المشتبه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فعل كلّ ما يدخل فيه الواجب ولم يكن محرّماً أصليّاً وإن حرم تشريعاً؛ لرفع الاحتياط الحرمة التشريعيّة، </w:t>
      </w:r>
      <w:bookmarkStart w:id="354" w:name="pg18988_203278"/>
    </w:p>
    <w:p>
      <w:pPr>
        <w:pStyle w:val="BookText"/>
        <w:rPr/>
      </w:pPr>
      <w:bookmarkEnd w:id="354"/>
      <w:r>
        <w:rPr>
          <w:rFonts w:ascii="Amiri" w:hAnsi="Amiri" w:eastAsia="Amiri" w:cs="Amiri"/>
          <w:color w:val="111111"/>
          <w:sz w:val="28"/>
          <w:sz w:val="28"/>
          <w:szCs w:val="28"/>
          <w:rtl w:val="true"/>
          <w:lang w:bidi="ar-SA"/>
        </w:rPr>
        <w:t>واجتناب كلّ ما يدخل فيه المحرَّم الأصلي، فتجب حينئذٍ الصلاة إلى الجهات المتعدّدة عند اشتباه القبلة، والصلاة في الثياب المتعدّدة عند اشتباه الطاهر بالنجس، والوضوء والغسل بالمياه المتعدّدة إذا أمكن التطهير في كلّ واحدٍ ثمّ الصلاة بعد كلّ طهارة،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الإقدام أيضاً على الإناءات المتعدّدة إذا كان فيها مغصوبٌ أو كان حريراً أو كان ذهباً، أو غير ذلك ممّا كانت حرمته أصليّةً لا تشريعيّةً، وكذا كلّ ما اختلط فيه محرَّم أصليّ، فإنّه يجب اجتنابه، وكلّ ما دخل فيه الواجب والمحرَّم نُظر للأهمّ في نظر الشارع فقدّم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جانب ترك الحرام من حيث هو أهمّ في نظر الشارع من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من تلك القواعد الإناء ان المشتبه طاهرهما بنجسهما، فإنّه تجب إراقتهما والتيمّم، وكان مقتضى القاعدة وجوب الوضوء بهما أو بأحدهما على القول بعدم وجوب اجتناب الشبهة المحصورة؛ وذلك للأخبار</w:t>
      </w:r>
      <w:r>
        <w:rPr>
          <w:rStyle w:val="FootnoteAnchor"/>
          <w:rtl w:val="true"/>
        </w:rPr>
        <w:footnoteReference w:id="576"/>
      </w:r>
      <w:r>
        <w:rPr>
          <w:rFonts w:ascii="Amiri" w:hAnsi="Amiri" w:eastAsia="Amiri" w:cs="Amiri"/>
          <w:color w:val="111111"/>
          <w:sz w:val="28"/>
          <w:sz w:val="28"/>
          <w:szCs w:val="28"/>
          <w:rtl w:val="true"/>
          <w:lang w:bidi="ar-SA"/>
        </w:rPr>
        <w:t>المعتبرة بفتوى الأصحاب المعمول عليها فيما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الغسل بالوضوء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حرمة استعمال النجس أصليّة لا تشريعيّة، بعيد كلّ البُعد</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3197615_1280447820"/>
      <w:bookmarkStart w:id="356" w:name="_Toc134"/>
      <w:bookmarkEnd w:id="355"/>
      <w:r>
        <w:rPr>
          <w:rtl w:val="true"/>
        </w:rPr>
        <w:t>خامسها</w:t>
      </w:r>
      <w:r>
        <w:rPr>
          <w:rtl w:val="true"/>
        </w:rPr>
        <w:t xml:space="preserve">: </w:t>
      </w:r>
      <w:r>
        <w:rPr>
          <w:rtl w:val="true"/>
        </w:rPr>
        <w:t>هل يجوز ارتكاب الشبهة المحصورة عند إمكان استعمال غيرها؟</w:t>
      </w:r>
      <w:bookmarkEnd w:id="356"/>
    </w:p>
    <w:p>
      <w:pPr>
        <w:pStyle w:val="BookText"/>
        <w:rPr/>
      </w:pPr>
      <w:r>
        <w:rPr>
          <w:rFonts w:ascii="IRNazanin" w:hAnsi="IRNazanin" w:eastAsia="IRNazanin"/>
          <w:color w:val="111111"/>
          <w:sz w:val="28"/>
          <w:sz w:val="28"/>
          <w:szCs w:val="28"/>
          <w:rtl w:val="true"/>
          <w:lang w:bidi="fa-IR"/>
        </w:rPr>
        <w:t>هل يجوز ارتكاب الشبهة المحصورة عند إمكان استعمال غيرها، كأن يصلّي فی الثوبين المشتبه فيهما النجس وعنده طاهر، أم لا يجوز؟ وجهان،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لأنّ المتيقّن من جواز ارتكابها إنّما هو في حال الاضطرار</w:t>
      </w:r>
      <w:r>
        <w:rPr>
          <w:rFonts w:eastAsia="IRNazanin" w:cs="IRNazanin"/>
          <w:color w:val="111111"/>
          <w:sz w:val="28"/>
          <w:szCs w:val="28"/>
          <w:rtl w:val="true"/>
          <w:lang w:bidi="fa-IR"/>
        </w:rPr>
        <w:t>.</w:t>
      </w:r>
    </w:p>
    <w:p>
      <w:pPr>
        <w:pStyle w:val="Heading6"/>
        <w:numPr>
          <w:ilvl w:val="5"/>
          <w:numId w:val="1"/>
        </w:numPr>
        <w:rPr/>
      </w:pPr>
      <w:bookmarkStart w:id="357" w:name="__RefHeading___Toc13197617_1280447820"/>
      <w:bookmarkStart w:id="358" w:name="_Toc135"/>
      <w:bookmarkEnd w:id="357"/>
      <w:r>
        <w:rPr>
          <w:rtl w:val="true"/>
        </w:rPr>
        <w:t>سادسها</w:t>
      </w:r>
      <w:r>
        <w:rPr>
          <w:rtl w:val="true"/>
        </w:rPr>
        <w:t xml:space="preserve">: </w:t>
      </w:r>
      <w:r>
        <w:rPr>
          <w:rtl w:val="true"/>
        </w:rPr>
        <w:t>هل تجب إراقة الماء تعبّداً عند اشتباه الإناءين؟</w:t>
      </w:r>
      <w:bookmarkEnd w:id="358"/>
    </w:p>
    <w:p>
      <w:pPr>
        <w:pStyle w:val="BookText"/>
        <w:rPr/>
      </w:pPr>
      <w:r>
        <w:rPr>
          <w:rFonts w:ascii="Amiri" w:hAnsi="Amiri" w:eastAsia="Amiri" w:cs="Amiri"/>
          <w:color w:val="111111"/>
          <w:sz w:val="28"/>
          <w:sz w:val="28"/>
          <w:szCs w:val="28"/>
          <w:rtl w:val="true"/>
          <w:lang w:bidi="ar-SA"/>
        </w:rPr>
        <w:t>هل تجب إراقة الماء تعبّداً عند اشتباه الإناءين، أو تجب لصحّة التيمّم؛ لأنّه مشروط بفقد الماء، أو لا تجب، والأمر بالإراقة مراد به الأمر بالترك؟ وجوه، أقواها الأخير</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3197619_1280447820"/>
      <w:bookmarkStart w:id="360" w:name="_Toc136"/>
      <w:bookmarkEnd w:id="359"/>
      <w:r>
        <w:rPr>
          <w:rtl w:val="true"/>
        </w:rPr>
        <w:t>سابعها</w:t>
      </w:r>
      <w:r>
        <w:rPr>
          <w:rtl w:val="true"/>
        </w:rPr>
        <w:t xml:space="preserve">: </w:t>
      </w:r>
      <w:r>
        <w:rPr>
          <w:rtl w:val="true"/>
        </w:rPr>
        <w:t>ليس من الشبهة المحصورة اشتباه التكليف بالنسبة إلى المكلّفين</w:t>
      </w:r>
      <w:bookmarkEnd w:id="360"/>
    </w:p>
    <w:p>
      <w:pPr>
        <w:pStyle w:val="BookText"/>
        <w:rPr/>
      </w:pPr>
      <w:r>
        <w:rPr>
          <w:rFonts w:ascii="Amiri" w:hAnsi="Amiri" w:eastAsia="Amiri" w:cs="Amiri"/>
          <w:color w:val="111111"/>
          <w:sz w:val="28"/>
          <w:sz w:val="28"/>
          <w:szCs w:val="28"/>
          <w:rtl w:val="true"/>
          <w:lang w:bidi="ar-SA"/>
        </w:rPr>
        <w:t>ليس من الشبهة المحصورة اشتباه التكليف بالنسبة إلى المكلّفين، كواجدي المنيّ في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على الظاهر اشتباه وقوع قطرةٍ من نجاسةٍ على أحد بدني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ثيابهما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ثيابهما ممّا كان في أيديهما أو مطروح بينهما وإن كان كلّ واحدٍ ملكاً لواحدٍ فهو من الشبهة المحصورة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3197621_1280447820"/>
      <w:bookmarkStart w:id="362" w:name="_Toc137"/>
      <w:bookmarkEnd w:id="361"/>
      <w:r>
        <w:rPr>
          <w:rtl w:val="true"/>
        </w:rPr>
        <w:t>ثامنها</w:t>
      </w:r>
      <w:r>
        <w:rPr>
          <w:rtl w:val="true"/>
        </w:rPr>
        <w:t xml:space="preserve">: </w:t>
      </w:r>
      <w:r>
        <w:rPr>
          <w:rtl w:val="true"/>
        </w:rPr>
        <w:t>لو دخلت الأرض في الاشتباه بين وقوع النجاسة عليها أو على غيرها</w:t>
      </w:r>
      <w:bookmarkEnd w:id="3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دخلت الأرض فی الاشتباه بین وقوع النجاسۀ علیها أو علی غیرها خرج عن </w:t>
      </w:r>
      <w:bookmarkStart w:id="363" w:name="pg18988_203279"/>
    </w:p>
    <w:p>
      <w:pPr>
        <w:pStyle w:val="BookText"/>
        <w:rPr/>
      </w:pPr>
      <w:bookmarkEnd w:id="363"/>
      <w:r>
        <w:rPr>
          <w:rFonts w:ascii="Amiri" w:hAnsi="Amiri" w:eastAsia="Amiri" w:cs="Amiri"/>
          <w:color w:val="111111"/>
          <w:sz w:val="28"/>
          <w:sz w:val="28"/>
          <w:szCs w:val="28"/>
          <w:rtl w:val="true"/>
          <w:lang w:bidi="ar-SA"/>
        </w:rPr>
        <w:t>حكم الشبهة المحصورة إمّا لأنّ ذلك غير محصورٍ عرفاً، وإما أنّه محصور أخرجه عن حكم الشبهة المحصورة السيرةُ والعسرُ والحرجُ</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3197623_1280447820"/>
      <w:bookmarkStart w:id="365" w:name="_Toc138"/>
      <w:bookmarkEnd w:id="364"/>
      <w:r>
        <w:rPr>
          <w:rtl w:val="true"/>
        </w:rPr>
        <w:t xml:space="preserve">تاسعها </w:t>
      </w:r>
      <w:r>
        <w:rPr>
          <w:rtl w:val="true"/>
        </w:rPr>
        <w:t xml:space="preserve">: </w:t>
      </w:r>
      <w:r>
        <w:rPr>
          <w:rtl w:val="true"/>
        </w:rPr>
        <w:t>لو انكفأ أحد المشتبهين وجب اجتناب الباقي</w:t>
      </w:r>
      <w:bookmarkEnd w:id="365"/>
    </w:p>
    <w:p>
      <w:pPr>
        <w:pStyle w:val="BookText"/>
        <w:rPr/>
      </w:pPr>
      <w:r>
        <w:rPr>
          <w:rFonts w:ascii="Amiri" w:hAnsi="Amiri" w:eastAsia="Amiri" w:cs="Amiri"/>
          <w:color w:val="111111"/>
          <w:sz w:val="28"/>
          <w:sz w:val="28"/>
          <w:szCs w:val="28"/>
          <w:rtl w:val="true"/>
          <w:lang w:bidi="ar-SA"/>
        </w:rPr>
        <w:t>لو انكفأ أحد المشتبهين وجب اجتناب الباقي؛ للاستصحاب، ولأنّ فرض وجوده كوجوده المحقّق في الحكم</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3197625_1280447820"/>
      <w:bookmarkStart w:id="367" w:name="_Toc139"/>
      <w:bookmarkEnd w:id="366"/>
      <w:r>
        <w:rPr>
          <w:rtl w:val="true"/>
        </w:rPr>
        <w:t>عاشرها</w:t>
      </w:r>
      <w:r>
        <w:rPr>
          <w:rtl w:val="true"/>
        </w:rPr>
        <w:t xml:space="preserve">: </w:t>
      </w:r>
      <w:r>
        <w:rPr>
          <w:rtl w:val="true"/>
        </w:rPr>
        <w:t>لو اشتبه أحد المشتبهين بغيره من المحصور</w:t>
      </w:r>
      <w:bookmarkEnd w:id="367"/>
    </w:p>
    <w:p>
      <w:pPr>
        <w:pStyle w:val="BookText"/>
        <w:rPr/>
      </w:pPr>
      <w:r>
        <w:rPr>
          <w:rFonts w:ascii="Amiri" w:hAnsi="Amiri" w:eastAsia="Amiri" w:cs="Amiri"/>
          <w:color w:val="111111"/>
          <w:sz w:val="28"/>
          <w:sz w:val="28"/>
          <w:szCs w:val="28"/>
          <w:rtl w:val="true"/>
          <w:lang w:bidi="ar-SA"/>
        </w:rPr>
        <w:t>لو اشتبه أحد المشتبهين بغيره من المحصور، قوي القول بإجراء حكم المشتبه عليه؛ لأنّه لو انضمّ الثاني إلى الأوّل كان كله شبهةً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إلحاقه بغير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ما إذا انضمّ فيعود جميعه غير محصور فيجري عليه حكم غير المحصور، وبين ما إذا لم ينضمّ فيبقى على حصره فيجري عليه حكم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إجراء حكم الطاهر عليه؛ لعدم العلم بدخول النجس في المشتبه، والمتيقّن من الشبهة المحصورة هو ما دخل النجس بيقينٍ فيها، لا ما دخل المحتمل للنجاسة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3197627_1280447820"/>
      <w:bookmarkStart w:id="369" w:name="_Toc140"/>
      <w:bookmarkEnd w:id="368"/>
      <w:r>
        <w:rPr>
          <w:rtl w:val="true"/>
        </w:rPr>
        <w:t>حادي عشرها</w:t>
      </w:r>
      <w:r>
        <w:rPr>
          <w:rtl w:val="true"/>
        </w:rPr>
        <w:t xml:space="preserve">: </w:t>
      </w:r>
      <w:r>
        <w:rPr>
          <w:rtl w:val="true"/>
        </w:rPr>
        <w:t>هل یجزی حکم الإراقۀ فیما لو کانت الإناءات أکثر من واحدٍ أو</w:t>
      </w:r>
      <w:r>
        <w:rPr>
          <w:rtl w:val="true"/>
        </w:rPr>
        <w:t>...</w:t>
      </w:r>
      <w:r>
        <w:rPr>
          <w:rtl w:val="true"/>
        </w:rPr>
        <w:t>؟</w:t>
      </w:r>
      <w:bookmarkEnd w:id="369"/>
    </w:p>
    <w:p>
      <w:pPr>
        <w:pStyle w:val="BookText"/>
        <w:rPr/>
      </w:pPr>
      <w:r>
        <w:rPr>
          <w:rFonts w:ascii="Amiri" w:hAnsi="Amiri" w:eastAsia="Amiri" w:cs="Amiri"/>
          <w:color w:val="111111"/>
          <w:sz w:val="28"/>
          <w:sz w:val="28"/>
          <w:szCs w:val="28"/>
          <w:rtl w:val="true"/>
          <w:lang w:bidi="ar-SA"/>
        </w:rPr>
        <w:t>لو كانت الإناءات أكثر من واحدٍ، أو كان المشتبه غير إناءٍ كغدير وشبهه أو دخل أحد أفراد المشتبه في أفراد آخَر فاشتبه فهل يجري عليه حكم الإراقة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 في الأوّلين دون الأخيرين</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3197629_1280447820"/>
      <w:bookmarkStart w:id="371" w:name="_Toc141"/>
      <w:bookmarkEnd w:id="370"/>
      <w:r>
        <w:rPr>
          <w:rtl w:val="true"/>
        </w:rPr>
        <w:t>ثاني عشرها</w:t>
      </w:r>
      <w:r>
        <w:rPr>
          <w:rtl w:val="true"/>
        </w:rPr>
        <w:t xml:space="preserve">: </w:t>
      </w:r>
      <w:r>
        <w:rPr>
          <w:rtl w:val="true"/>
        </w:rPr>
        <w:t>المشتبه المحصور لا ينجّس غيره</w:t>
      </w:r>
      <w:bookmarkEnd w:id="371"/>
    </w:p>
    <w:p>
      <w:pPr>
        <w:pStyle w:val="BookText"/>
        <w:rPr/>
      </w:pPr>
      <w:r>
        <w:rPr>
          <w:rFonts w:ascii="Amiri" w:hAnsi="Amiri" w:eastAsia="Amiri" w:cs="Amiri"/>
          <w:color w:val="111111"/>
          <w:sz w:val="28"/>
          <w:sz w:val="28"/>
          <w:szCs w:val="28"/>
          <w:rtl w:val="true"/>
          <w:lang w:bidi="ar-SA"/>
        </w:rPr>
        <w:t>المشتبه المحصور لا ينجّس غيره ؛لاستصحاب طهارة الملاقي شرعاً، واحتياج التنجيس إلى دليل، وليس فليس</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3197631_1280447820"/>
      <w:bookmarkStart w:id="373" w:name="_Toc142"/>
      <w:bookmarkEnd w:id="372"/>
      <w:r>
        <w:rPr>
          <w:rtl w:val="true"/>
        </w:rPr>
        <w:t>ثالث عشرها</w:t>
      </w:r>
      <w:r>
        <w:rPr>
          <w:rtl w:val="true"/>
        </w:rPr>
        <w:t>:</w:t>
      </w:r>
      <w:r>
        <w:rPr>
          <w:rtl w:val="true"/>
        </w:rPr>
        <w:t>حکم ما لو قامت البيّنة أو أخبر ذو اليد أو العدل</w:t>
      </w:r>
      <w:r>
        <w:rPr>
          <w:rtl w:val="true"/>
        </w:rPr>
        <w:t>-</w:t>
      </w:r>
      <w:r>
        <w:rPr>
          <w:rtl w:val="true"/>
        </w:rPr>
        <w:t xml:space="preserve">على الأظهر </w:t>
      </w:r>
      <w:r>
        <w:rPr>
          <w:rtl w:val="true"/>
        </w:rPr>
        <w:t xml:space="preserve">- </w:t>
      </w:r>
      <w:r>
        <w:rPr>
          <w:rtl w:val="true"/>
        </w:rPr>
        <w:t>بطهارة أحد الإناءين وحلّيّة أحد الفردين</w:t>
      </w:r>
      <w:bookmarkEnd w:id="373"/>
    </w:p>
    <w:p>
      <w:pPr>
        <w:pStyle w:val="BookText"/>
        <w:rPr/>
      </w:pPr>
      <w:r>
        <w:rPr>
          <w:rFonts w:ascii="Amiri" w:hAnsi="Amiri" w:eastAsia="Amiri" w:cs="Amiri"/>
          <w:color w:val="111111"/>
          <w:sz w:val="28"/>
          <w:sz w:val="28"/>
          <w:szCs w:val="28"/>
          <w:rtl w:val="true"/>
          <w:lang w:bidi="ar-SA"/>
        </w:rPr>
        <w:t>لو قامت البيّنة أو أخبر ذو اليد أو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أحد الإناءين وحلّيّة أحد الفردين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الظنّ بالطهارة أو الحِلّ من أمارات غير شرعيّة لم يُلتفت إليه</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3197633_1280447820"/>
      <w:bookmarkStart w:id="375" w:name="_Toc143"/>
      <w:bookmarkEnd w:id="374"/>
      <w:r>
        <w:rPr>
          <w:rtl w:val="true"/>
        </w:rPr>
        <w:t>رابع عشرها</w:t>
      </w:r>
      <w:r>
        <w:rPr>
          <w:rtl w:val="true"/>
        </w:rPr>
        <w:t xml:space="preserve">: </w:t>
      </w:r>
      <w:r>
        <w:rPr>
          <w:rtl w:val="true"/>
        </w:rPr>
        <w:t>لا فرق في الشبهة المحصورة بين طروء ما يؤثّر نجاسةً وتحريماً على أحدهما بعد أن كان الإناءان طاهرين والشيئان محلّلين، وبين ما كان أحدهما ابتداءٌ نجساً أو حراماً</w:t>
      </w:r>
      <w:bookmarkEnd w:id="375"/>
    </w:p>
    <w:p>
      <w:pPr>
        <w:pStyle w:val="BookText"/>
        <w:rPr/>
      </w:pPr>
      <w:r>
        <w:rPr>
          <w:rFonts w:ascii="Amiri" w:hAnsi="Amiri" w:eastAsia="Amiri" w:cs="Amiri"/>
          <w:color w:val="111111"/>
          <w:sz w:val="28"/>
          <w:sz w:val="28"/>
          <w:szCs w:val="28"/>
          <w:rtl w:val="true"/>
          <w:lang w:bidi="ar-SA"/>
        </w:rPr>
        <w:t>لا فرق في الشبهة المحصورة بين طروء ما يؤثّر نجاسةً وتحريماً على أحدهما بعد أن كان الإناءان طاهرين والشيئان محلّلين، وبين ما كان أحدهما ابتداءٌ نجساً أو حراماً فاشتبه بآخَر، إلّا أنّ إجراء الاستصحاب في الأخير أضعف</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3197635_1280447820"/>
      <w:bookmarkStart w:id="377" w:name="_Toc144"/>
      <w:bookmarkEnd w:id="376"/>
      <w:r>
        <w:rPr>
          <w:rtl w:val="true"/>
        </w:rPr>
        <w:t xml:space="preserve">خامس عشرها </w:t>
      </w:r>
      <w:r>
        <w:rPr>
          <w:rtl w:val="true"/>
        </w:rPr>
        <w:t xml:space="preserve">: </w:t>
      </w:r>
      <w:r>
        <w:rPr>
          <w:rtl w:val="true"/>
        </w:rPr>
        <w:t>يصحّ رفع الخبث في المشتبه طاهره بنجسه</w:t>
      </w:r>
      <w:bookmarkEnd w:id="3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رفع الخبث في المشتبه طاهره بنجسه إذا تعاقبا عليه؛ لأصالة الطهارة، ولانقطاع استصحاب النجاسة الأولى</w:t>
      </w:r>
      <w:r>
        <w:rPr>
          <w:rFonts w:eastAsia="Amiri" w:cs="Amiri" w:ascii="Amiri" w:hAnsi="Amiri"/>
          <w:color w:val="111111"/>
          <w:sz w:val="28"/>
          <w:szCs w:val="28"/>
          <w:rtl w:val="true"/>
          <w:lang w:bidi="ar-SA"/>
        </w:rPr>
        <w:t xml:space="preserve">. </w:t>
      </w:r>
      <w:bookmarkStart w:id="378" w:name="pg18988_203280"/>
    </w:p>
    <w:p>
      <w:pPr>
        <w:pStyle w:val="BookText"/>
        <w:rPr/>
      </w:pPr>
      <w:bookmarkEnd w:id="378"/>
      <w:r>
        <w:rPr>
          <w:rFonts w:ascii="Amiri" w:hAnsi="Amiri" w:eastAsia="Amiri" w:cs="Amiri"/>
          <w:color w:val="111111"/>
          <w:sz w:val="28"/>
          <w:sz w:val="28"/>
          <w:szCs w:val="28"/>
          <w:rtl w:val="true"/>
          <w:lang w:bidi="ar-SA"/>
        </w:rPr>
        <w:t>ودعوى حصول العلم بالتنجيس عند تعاقبهما قطعاً فيستصحب، يمكن دفعها بمنع حجّية الاستصحاب؛ لأوله إلى استصحاب الكلّي، وهو غير حجّة، والأصل الطهارة، والاحتياط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3197637_1280447820"/>
      <w:bookmarkStart w:id="380" w:name="_Toc145"/>
      <w:bookmarkEnd w:id="379"/>
      <w:r>
        <w:rPr>
          <w:rtl w:val="true"/>
        </w:rPr>
        <w:t>سادس عشرها</w:t>
      </w:r>
      <w:r>
        <w:rPr>
          <w:rtl w:val="true"/>
        </w:rPr>
        <w:t xml:space="preserve">: </w:t>
      </w:r>
      <w:r>
        <w:rPr>
          <w:rtl w:val="true"/>
        </w:rPr>
        <w:t>لو اشتبه التراب النجس بالطاهر</w:t>
      </w:r>
      <w:bookmarkEnd w:id="380"/>
    </w:p>
    <w:p>
      <w:pPr>
        <w:pStyle w:val="BookText"/>
        <w:rPr/>
      </w:pPr>
      <w:r>
        <w:rPr>
          <w:rFonts w:ascii="Amiri" w:hAnsi="Amiri" w:eastAsia="Amiri" w:cs="Amiri"/>
          <w:color w:val="111111"/>
          <w:sz w:val="28"/>
          <w:sz w:val="28"/>
          <w:szCs w:val="28"/>
          <w:rtl w:val="true"/>
          <w:lang w:bidi="ar-SA"/>
        </w:rPr>
        <w:t>لو اشتبه التراب النجس بالطاهر ،تيمّم بهما، ولا يجب إهراقهما</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3197639_1280447820"/>
      <w:bookmarkStart w:id="382" w:name="_Toc146"/>
      <w:bookmarkEnd w:id="381"/>
      <w:r>
        <w:rPr>
          <w:rtl w:val="true"/>
        </w:rPr>
        <w:t>سابع عشرها</w:t>
      </w:r>
      <w:r>
        <w:rPr>
          <w:rtl w:val="true"/>
        </w:rPr>
        <w:t xml:space="preserve">: </w:t>
      </w:r>
      <w:r>
        <w:rPr>
          <w:rtl w:val="true"/>
        </w:rPr>
        <w:t>لو تعارضت البيّنتان في الإناءين</w:t>
      </w:r>
      <w:bookmarkEnd w:id="382"/>
    </w:p>
    <w:p>
      <w:pPr>
        <w:pStyle w:val="BookText"/>
        <w:rPr/>
      </w:pPr>
      <w:r>
        <w:rPr>
          <w:rFonts w:ascii="Amiri" w:hAnsi="Amiri" w:eastAsia="Amiri" w:cs="Amiri"/>
          <w:color w:val="111111"/>
          <w:sz w:val="28"/>
          <w:sz w:val="28"/>
          <w:szCs w:val="28"/>
          <w:rtl w:val="true"/>
          <w:lang w:bidi="ar-SA"/>
        </w:rPr>
        <w:t>لو تعارضت البيّنتان في الإناءين فكلّ بيّنةٍ تحكم بنجاسة أحدهما معيّناً وطهارة الآخَر، فالأقوى بقاء حكم الاشتباه، والحكم بالطهارة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البيّنتان في موضوعٍ واحد، فإن كانتا مطلقتين قُدّمت بيّنة النجاسة، وإن كانتا مقيّدتين في زمن خاصّ وسببٍ خاصّ، احتُمل تساقطهما والرجوع لأصل الطهارة،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تقديم بيّنة الطهارة ؛لاعتضادها بالأصل، وهو كالأوّل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تقديم بيّنة النجاسة؛ لأنّها كالمثبتة وتلك</w:t>
      </w:r>
      <w:r>
        <w:rPr>
          <w:rStyle w:val="FootnoteAnchor"/>
          <w:rtl w:val="true"/>
        </w:rPr>
        <w:footnoteReference w:id="577"/>
      </w:r>
      <w:r>
        <w:rPr>
          <w:rFonts w:ascii="Amiri" w:hAnsi="Amiri" w:eastAsia="Amiri" w:cs="Amiri"/>
          <w:color w:val="111111"/>
          <w:sz w:val="28"/>
          <w:sz w:val="28"/>
          <w:szCs w:val="28"/>
          <w:rtl w:val="true"/>
          <w:lang w:bidi="ar-SA"/>
        </w:rPr>
        <w:t>كالنافية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استعمال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ذو اليد بنجاسة شيء بعد استعماله ولم يكن عدلاً، فالظاهر عدم قبول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أخبر بذلك بعد بيعه؛ لأنّ المتيقّن من وجوب تصديق ذي اليد إنّما هو ما كان قبل الاستعمال</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3197641_1280447820"/>
      <w:bookmarkStart w:id="384" w:name="_Toc147"/>
      <w:bookmarkEnd w:id="383"/>
      <w:r>
        <w:rPr>
          <w:rtl w:val="true"/>
        </w:rPr>
        <w:t>ثامن عشرها</w:t>
      </w:r>
      <w:r>
        <w:rPr>
          <w:rtl w:val="true"/>
        </w:rPr>
        <w:t xml:space="preserve">: </w:t>
      </w:r>
      <w:r>
        <w:rPr>
          <w:rtl w:val="true"/>
        </w:rPr>
        <w:t>لو اشتبه المضاف بالمطلق</w:t>
      </w:r>
      <w:bookmarkEnd w:id="384"/>
    </w:p>
    <w:p>
      <w:pPr>
        <w:pStyle w:val="BookText"/>
        <w:rPr/>
      </w:pPr>
      <w:r>
        <w:rPr>
          <w:rFonts w:ascii="Amiri" w:hAnsi="Amiri" w:eastAsia="Amiri" w:cs="Amiri"/>
          <w:color w:val="111111"/>
          <w:sz w:val="28"/>
          <w:sz w:val="28"/>
          <w:szCs w:val="28"/>
          <w:rtl w:val="true"/>
          <w:lang w:bidi="ar-SA"/>
        </w:rPr>
        <w:t>لو اشتبه المضاف بالمطلق وانحصر فيهما توضّاً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خلطهما بحيث يعود المضاف مطلقاً وجب؛ لأنّه مقدّمة الواجب المطلق المشروط، كما إذا قلّ الماء وأمكن تكميله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وجوب التكميل؛ لأنّ وجوب الطهارة مشروط بحصول الماء ووجوده في الخارج، فلا يجب إيجاده وإن وجب تحصيل الموجود؛ لأنّ مقدّمة الواجب المطلق يجب إيجادها و إن وجب تحصيل الموجود منها</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3197643_1280447820"/>
      <w:bookmarkStart w:id="386" w:name="_Toc148"/>
      <w:bookmarkEnd w:id="385"/>
      <w:r>
        <w:rPr>
          <w:rtl w:val="true"/>
        </w:rPr>
        <w:t>تاسع عشرها</w:t>
      </w:r>
      <w:r>
        <w:rPr>
          <w:rtl w:val="true"/>
        </w:rPr>
        <w:t xml:space="preserve">: </w:t>
      </w:r>
      <w:r>
        <w:rPr>
          <w:rtl w:val="true"/>
        </w:rPr>
        <w:t>لو انكفأ أحد الإناءين من المشتبه بالمطلق</w:t>
      </w:r>
      <w:bookmarkEnd w:id="386"/>
    </w:p>
    <w:p>
      <w:pPr>
        <w:pStyle w:val="BookText"/>
        <w:rPr/>
      </w:pPr>
      <w:r>
        <w:rPr>
          <w:rFonts w:ascii="Amiri" w:hAnsi="Amiri" w:eastAsia="Amiri" w:cs="Amiri"/>
          <w:color w:val="111111"/>
          <w:sz w:val="28"/>
          <w:sz w:val="28"/>
          <w:szCs w:val="28"/>
          <w:rtl w:val="true"/>
          <w:lang w:bidi="ar-SA"/>
        </w:rPr>
        <w:t>لو انكفأ أحد الإناءين من المشتبه بالمطلق، فهل يجب الوضوء به والتيمّم، أو يجب التيمم فقط ؟ وجهان، يبنى الأوّل على وجوب المقدّمة الاحتماليّة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وجوبها؛ لعدم الدليل عليه، إلّا أنّه قد نقل الإجماع </w:t>
      </w:r>
      <w:r>
        <w:rPr>
          <w:rStyle w:val="FootnoteAnchor"/>
          <w:rtl w:val="true"/>
        </w:rPr>
        <w:footnoteReference w:id="578"/>
      </w:r>
      <w:r>
        <w:rPr>
          <w:rFonts w:ascii="Amiri" w:hAnsi="Amiri" w:eastAsia="Amiri" w:cs="Amiri"/>
          <w:color w:val="111111"/>
          <w:sz w:val="28"/>
          <w:sz w:val="28"/>
          <w:szCs w:val="28"/>
          <w:rtl w:val="true"/>
          <w:lang w:bidi="ar-SA"/>
        </w:rPr>
        <w:t>على وجوب الجمع، و الفراغ اليقيني من المشروط بالطهارة موقوف عليه أيضاً، فالاحتياط يقضي بوجوبه</w:t>
      </w:r>
      <w:r>
        <w:rPr>
          <w:rFonts w:eastAsia="Amiri" w:cs="Amiri" w:ascii="Amiri" w:hAnsi="Amiri"/>
          <w:color w:val="111111"/>
          <w:sz w:val="28"/>
          <w:szCs w:val="28"/>
          <w:rtl w:val="true"/>
          <w:lang w:bidi="ar-SA"/>
        </w:rPr>
        <w:t xml:space="preserve">. </w:t>
      </w:r>
      <w:bookmarkStart w:id="387" w:name="pg18988_203281"/>
    </w:p>
    <w:p>
      <w:pPr>
        <w:pStyle w:val="Heading4"/>
        <w:numPr>
          <w:ilvl w:val="3"/>
          <w:numId w:val="1"/>
        </w:numPr>
        <w:rPr/>
      </w:pPr>
      <w:bookmarkStart w:id="388" w:name="__RefHeading___Toc13197645_1280447820"/>
      <w:bookmarkStart w:id="389" w:name="_Toc149"/>
      <w:bookmarkEnd w:id="387"/>
      <w:bookmarkEnd w:id="388"/>
      <w:r>
        <w:rPr>
          <w:rtl w:val="true"/>
        </w:rPr>
        <w:t>بحث في الماء المضاف</w:t>
      </w:r>
      <w:bookmarkEnd w:id="389"/>
    </w:p>
    <w:p>
      <w:pPr>
        <w:pStyle w:val="Heading5"/>
        <w:numPr>
          <w:ilvl w:val="4"/>
          <w:numId w:val="1"/>
        </w:numPr>
        <w:rPr/>
      </w:pPr>
      <w:bookmarkStart w:id="390" w:name="__RefHeading___Toc13197647_1280447820"/>
      <w:bookmarkStart w:id="391" w:name="_Toc150"/>
      <w:bookmarkEnd w:id="390"/>
      <w:r>
        <w:rPr>
          <w:rtl w:val="true"/>
        </w:rPr>
        <w:t>وفيه أُمور</w:t>
      </w:r>
      <w:r>
        <w:rPr>
          <w:rtl w:val="true"/>
        </w:rPr>
        <w:t>:</w:t>
      </w:r>
      <w:bookmarkEnd w:id="391"/>
    </w:p>
    <w:p>
      <w:pPr>
        <w:pStyle w:val="Heading5"/>
        <w:numPr>
          <w:ilvl w:val="4"/>
          <w:numId w:val="1"/>
        </w:numPr>
        <w:rPr/>
      </w:pPr>
      <w:bookmarkStart w:id="392" w:name="__RefHeading___Toc13197649_1280447820"/>
      <w:bookmarkStart w:id="393" w:name="_Toc151"/>
      <w:bookmarkEnd w:id="392"/>
      <w:r>
        <w:rPr>
          <w:rtl w:val="true"/>
        </w:rPr>
        <w:t>أحدها</w:t>
      </w:r>
      <w:r>
        <w:rPr>
          <w:rtl w:val="true"/>
        </w:rPr>
        <w:t xml:space="preserve">: </w:t>
      </w:r>
      <w:r>
        <w:rPr>
          <w:rtl w:val="true"/>
        </w:rPr>
        <w:t>الماء المضاف قد يكون مضافاً بأصله أو بعارض</w:t>
      </w:r>
      <w:bookmarkEnd w:id="393"/>
    </w:p>
    <w:p>
      <w:pPr>
        <w:pStyle w:val="BookText"/>
        <w:rPr/>
      </w:pPr>
      <w:r>
        <w:rPr>
          <w:rFonts w:ascii="Amiri" w:hAnsi="Amiri" w:eastAsia="Amiri" w:cs="Amiri"/>
          <w:color w:val="111111"/>
          <w:sz w:val="28"/>
          <w:sz w:val="28"/>
          <w:szCs w:val="28"/>
          <w:rtl w:val="true"/>
          <w:lang w:bidi="ar-SA"/>
        </w:rPr>
        <w:t>الماء المضاف قد يكون مضافاً بأصله ،كمياه الفواكه، والمصعّد من الأوراد، والمعتصر من الأجسام الرطبة، وقد يكون بالعارض عند مخالطة المطلق ما يخرجه عن إطلاقه من لحم أو لبن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الثاني بقاء الإطلاق عند الشكّ في خروجه عنه، كما يستصحب بقاء الإطلاق في الماء المخلوط عليه شيء من سدر أو كافور أو بعض الأدوية ولو غيّرت لونه أو طعمه أو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إجراء الأصل في المشكوك به؛ لإجراء أصل العدم في كونه مطلقاً ومضافاً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 الماء المشكوك فيه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محكوم عليه بأنّه ماء مطلق؛ للغلبة المفيدة للظنّ بذلك، ولأصالة عدم التقييد ولكنّ التمسّك بهما محلّ إشكال</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3197651_1280447820"/>
      <w:bookmarkStart w:id="395" w:name="_Toc152"/>
      <w:bookmarkEnd w:id="394"/>
      <w:r>
        <w:rPr>
          <w:rtl w:val="true"/>
        </w:rPr>
        <w:t>ثانيها</w:t>
      </w:r>
      <w:r>
        <w:rPr>
          <w:rtl w:val="true"/>
        </w:rPr>
        <w:t xml:space="preserve">: </w:t>
      </w:r>
      <w:r>
        <w:rPr>
          <w:rtl w:val="true"/>
        </w:rPr>
        <w:t>لا يرفع الماء المضاف حدثاً</w:t>
      </w:r>
      <w:bookmarkEnd w:id="395"/>
    </w:p>
    <w:p>
      <w:pPr>
        <w:pStyle w:val="BookText"/>
        <w:rPr/>
      </w:pPr>
      <w:r>
        <w:rPr>
          <w:rFonts w:ascii="Amiri" w:hAnsi="Amiri" w:eastAsia="Amiri" w:cs="Amiri"/>
          <w:color w:val="111111"/>
          <w:sz w:val="28"/>
          <w:sz w:val="28"/>
          <w:szCs w:val="28"/>
          <w:rtl w:val="true"/>
          <w:lang w:bidi="ar-SA"/>
        </w:rPr>
        <w:t>لا يرفع الماء المضاف حدثاً؛ إجماعاً محصّلاً، فضلاً عن أن يكون منقولاً</w:t>
      </w:r>
      <w:r>
        <w:rPr>
          <w:rStyle w:val="FootnoteAnchor"/>
          <w:rtl w:val="true"/>
        </w:rPr>
        <w:footnoteReference w:id="579"/>
      </w:r>
      <w:r>
        <w:rPr>
          <w:rFonts w:ascii="Amiri" w:hAnsi="Amiri" w:eastAsia="Amiri" w:cs="Amiri"/>
          <w:color w:val="111111"/>
          <w:sz w:val="28"/>
          <w:sz w:val="28"/>
          <w:szCs w:val="28"/>
          <w:rtl w:val="true"/>
          <w:lang w:bidi="ar-SA"/>
        </w:rPr>
        <w:t>، ولانصراف أوامر الطهارة بالماء للماء المطلق، وللشكّ في رفع الحدث به بعد حصوله، ولاستصحاب الشغل اليقيني بالمشروط بالطهارة إلى أن يعلم المزيل، وهو مشكوك به،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ماءاً</w:t>
      </w:r>
      <w:r>
        <w:rPr>
          <w:rStyle w:val="FootnoteAnchor"/>
          <w:rtl w:val="true"/>
        </w:rPr>
        <w:footnoteReference w:id="580"/>
      </w:r>
      <w:r>
        <w:rPr>
          <w:rFonts w:ascii="Amiri" w:hAnsi="Amiri" w:eastAsia="Amiri" w:cs="Amiri"/>
          <w:color w:val="111111"/>
          <w:sz w:val="28"/>
          <w:sz w:val="28"/>
          <w:szCs w:val="28"/>
          <w:rtl w:val="true"/>
          <w:lang w:bidi="ar-SA"/>
        </w:rPr>
        <w:t>والماء حقيقة في المطلق أو منصرف إليه الإطلاق، وللأخبار الخاصّة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رفع الحدث الأصغر والجنابة أو مطلقاً بماء الورد</w:t>
      </w:r>
      <w:r>
        <w:rPr>
          <w:rStyle w:val="FootnoteAnchor"/>
          <w:rtl w:val="true"/>
        </w:rPr>
        <w:footnoteReference w:id="582"/>
      </w:r>
      <w:r>
        <w:rPr>
          <w:rFonts w:ascii="Amiri" w:hAnsi="Amiri" w:eastAsia="Amiri" w:cs="Amiri"/>
          <w:color w:val="111111"/>
          <w:sz w:val="28"/>
          <w:sz w:val="28"/>
          <w:szCs w:val="28"/>
          <w:rtl w:val="true"/>
          <w:lang w:bidi="ar-SA"/>
        </w:rPr>
        <w:t xml:space="preserve">استناداً </w:t>
      </w:r>
      <w:bookmarkStart w:id="396" w:name="pg18988_203282"/>
    </w:p>
    <w:p>
      <w:pPr>
        <w:pStyle w:val="BookText"/>
        <w:rPr/>
      </w:pPr>
      <w:bookmarkEnd w:id="396"/>
      <w:r>
        <w:rPr>
          <w:rFonts w:ascii="Amiri" w:hAnsi="Amiri" w:eastAsia="Amiri" w:cs="Amiri"/>
          <w:color w:val="111111"/>
          <w:sz w:val="28"/>
          <w:sz w:val="28"/>
          <w:szCs w:val="28"/>
          <w:rtl w:val="true"/>
          <w:lang w:bidi="ar-SA"/>
        </w:rPr>
        <w:t>لروايةٍ</w:t>
      </w:r>
      <w:r>
        <w:rPr>
          <w:rStyle w:val="FootnoteAnchor"/>
          <w:rtl w:val="true"/>
        </w:rPr>
        <w:footnoteReference w:id="583"/>
      </w:r>
      <w:r>
        <w:rPr>
          <w:rFonts w:ascii="Amiri" w:hAnsi="Amiri" w:eastAsia="Amiri" w:cs="Amiri"/>
          <w:color w:val="111111"/>
          <w:sz w:val="28"/>
          <w:sz w:val="28"/>
          <w:szCs w:val="28"/>
          <w:rtl w:val="true"/>
          <w:lang w:bidi="ar-SA"/>
        </w:rPr>
        <w:t>ضعيفة سنداً ومتناً، ضعيف، فلتُطرح، أو تُحمل على إرادة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ماء طُرح فيه بعض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 ابن أبي عقيل في جواز رفع الحدث به عند الضرورة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جواز الوضوء بالنبيذ</w:t>
      </w:r>
      <w:r>
        <w:rPr>
          <w:rStyle w:val="FootnoteAnchor"/>
          <w:rtl w:val="true"/>
        </w:rPr>
        <w:footnoteReference w:id="585"/>
      </w:r>
      <w:r>
        <w:rPr>
          <w:rFonts w:ascii="Amiri" w:hAnsi="Amiri" w:eastAsia="Amiri" w:cs="Amiri"/>
          <w:color w:val="111111"/>
          <w:sz w:val="28"/>
          <w:sz w:val="28"/>
          <w:szCs w:val="28"/>
          <w:rtl w:val="true"/>
          <w:lang w:bidi="ar-SA"/>
        </w:rPr>
        <w:t>، محمول على الماء المنبوذ فيه شيء من التمر بحيث لا يخرجه عن مسماه عرفاً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3197653_1280447820"/>
      <w:bookmarkStart w:id="398" w:name="_Toc153"/>
      <w:bookmarkEnd w:id="397"/>
      <w:r>
        <w:rPr>
          <w:rtl w:val="true"/>
        </w:rPr>
        <w:t>ثالثها</w:t>
      </w:r>
      <w:r>
        <w:rPr>
          <w:rtl w:val="true"/>
        </w:rPr>
        <w:t xml:space="preserve">: </w:t>
      </w:r>
      <w:r>
        <w:rPr>
          <w:rtl w:val="true"/>
        </w:rPr>
        <w:t>عدم رفع المال المضاف للخبث</w:t>
      </w:r>
      <w:bookmarkEnd w:id="398"/>
    </w:p>
    <w:p>
      <w:pPr>
        <w:pStyle w:val="BookText"/>
        <w:rPr/>
      </w:pPr>
      <w:r>
        <w:rPr>
          <w:rFonts w:ascii="Amiri" w:hAnsi="Amiri" w:eastAsia="Amiri" w:cs="Amiri"/>
          <w:color w:val="111111"/>
          <w:sz w:val="28"/>
          <w:sz w:val="28"/>
          <w:szCs w:val="28"/>
          <w:rtl w:val="true"/>
          <w:lang w:bidi="ar-SA"/>
        </w:rPr>
        <w:t>ولا يزيل</w:t>
      </w:r>
      <w:r>
        <w:rPr>
          <w:rStyle w:val="FootnoteAnchor"/>
          <w:rtl w:val="true"/>
        </w:rPr>
        <w:footnoteReference w:id="586"/>
      </w:r>
      <w:r>
        <w:rPr>
          <w:rFonts w:ascii="Amiri" w:hAnsi="Amiri" w:eastAsia="Amiri" w:cs="Amiri"/>
          <w:color w:val="111111"/>
          <w:sz w:val="28"/>
          <w:sz w:val="28"/>
          <w:szCs w:val="28"/>
          <w:rtl w:val="true"/>
          <w:lang w:bidi="ar-SA"/>
        </w:rPr>
        <w:t>خبثاً أيضاً؛ للاستصحاب، وليقين الشغل في المشروط بالطهارة، ولأوامره</w:t>
      </w:r>
      <w:r>
        <w:rPr>
          <w:rStyle w:val="FootnoteAnchor"/>
          <w:rtl w:val="true"/>
        </w:rPr>
        <w:footnoteReference w:id="587"/>
      </w:r>
      <w:r>
        <w:rPr>
          <w:rFonts w:ascii="Amiri" w:hAnsi="Amiri" w:eastAsia="Amiri" w:cs="Amiri"/>
          <w:color w:val="111111"/>
          <w:sz w:val="28"/>
          <w:sz w:val="28"/>
          <w:szCs w:val="28"/>
          <w:rtl w:val="true"/>
          <w:lang w:bidi="ar-SA"/>
        </w:rPr>
        <w:t>الغَسْل المنصرفة للماء المطلق، ولبعض الأوامر المقيّدة للغَسْل بالماء</w:t>
      </w:r>
      <w:r>
        <w:rPr>
          <w:rStyle w:val="FootnoteAnchor"/>
          <w:rtl w:val="true"/>
        </w:rPr>
        <w:footnoteReference w:id="588"/>
      </w:r>
      <w:r>
        <w:rPr>
          <w:rFonts w:ascii="Amiri" w:hAnsi="Amiri" w:eastAsia="Amiri" w:cs="Amiri"/>
          <w:color w:val="111111"/>
          <w:sz w:val="28"/>
          <w:sz w:val="28"/>
          <w:szCs w:val="28"/>
          <w:rtl w:val="true"/>
          <w:lang w:bidi="ar-SA"/>
        </w:rPr>
        <w:t>، وهو حقيقة أو ظاهر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ولتنجّس المضاف بالملاقاة فلا يحصل به تطهير وتطهير المطلق وإن تنجّس خارج بالإجماع، ولمساواة الخبث للحدث في المعنى على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ولظاهر الإجماع وفتوى المشهور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المرتضى والمفيد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رفع الخبث به</w:t>
      </w:r>
      <w:r>
        <w:rPr>
          <w:rStyle w:val="FootnoteAnchor"/>
          <w:rtl w:val="true"/>
        </w:rPr>
        <w:footnoteReference w:id="589"/>
      </w:r>
      <w:r>
        <w:rPr>
          <w:rFonts w:ascii="Amiri" w:hAnsi="Amiri" w:eastAsia="Amiri" w:cs="Amiri"/>
          <w:color w:val="111111"/>
          <w:sz w:val="28"/>
          <w:sz w:val="28"/>
          <w:szCs w:val="28"/>
          <w:rtl w:val="true"/>
          <w:lang w:bidi="ar-SA"/>
        </w:rPr>
        <w:t>استناداً للإجماع، وللرواية، ولإطلاق الأمر بالتطهير والغسل، ولأنّ المقصود حصول إزالة النجاسة بأيّ نحو اتّفق، ولما ورد من غَسْل الدم بالبصاق، ومن طهارة اليد النجسة من البول بمسحها على الحائط</w:t>
      </w:r>
      <w:r>
        <w:rPr>
          <w:rStyle w:val="FootnoteAnchor"/>
          <w:rtl w:val="true"/>
        </w:rPr>
        <w:footnoteReference w:id="590"/>
      </w:r>
      <w:r>
        <w:rPr>
          <w:rFonts w:ascii="IRNazanin" w:hAnsi="IRNazanin" w:eastAsia="IRNazanin"/>
          <w:color w:val="111111"/>
          <w:sz w:val="28"/>
          <w:sz w:val="28"/>
          <w:szCs w:val="28"/>
          <w:rtl w:val="true"/>
          <w:lang w:bidi="fa-IR"/>
        </w:rPr>
        <w:t>، ولقوله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وَثِيَابَكَ فَطَهِّرْ</w:t>
      </w:r>
      <w:r>
        <w:rPr>
          <w:rStyle w:val="FootnoteAnchor"/>
          <w:rtl w:val="true"/>
        </w:rPr>
        <w:footnoteReference w:id="591"/>
      </w:r>
      <w:r>
        <w:rPr>
          <w:rFonts w:ascii="Amiri" w:hAnsi="Amiri" w:eastAsia="Amiri" w:cs="Amiri"/>
          <w:color w:val="111111"/>
          <w:sz w:val="28"/>
          <w:sz w:val="28"/>
          <w:szCs w:val="28"/>
          <w:rtl w:val="true"/>
          <w:lang w:bidi="ar-SA"/>
        </w:rPr>
        <w:t xml:space="preserve">ولأنّ غير الماء كالخَلّ أبلغ في التنظيف، ضعيف؛ لضعف الإجماع بفتوى الأكثر، بل الكلّ بخلافه، ولعدم العثور على الرواية فتضعف بالإرسال ولانصراف أوامر التطهير والغَسْل إلى استعمال الماء المطلق لغةً و شرعاً على وجه الحقيقة أو على وجه ظهور الإرادة لذلك، ولمنع فهم إرادة زوال النجاسة بأيّ نحوٍ اتّفق، بل المفهوم من الأخبار وفتوى الأخيار أنّ المقصود </w:t>
      </w:r>
      <w:bookmarkStart w:id="399" w:name="pg18988_203283"/>
    </w:p>
    <w:p>
      <w:pPr>
        <w:pStyle w:val="BookText"/>
        <w:rPr/>
      </w:pPr>
      <w:bookmarkEnd w:id="399"/>
      <w:r>
        <w:rPr>
          <w:rFonts w:ascii="Amiri" w:hAnsi="Amiri" w:eastAsia="Amiri" w:cs="Amiri"/>
          <w:color w:val="111111"/>
          <w:sz w:val="28"/>
          <w:sz w:val="28"/>
          <w:szCs w:val="28"/>
          <w:rtl w:val="true"/>
          <w:lang w:bidi="ar-SA"/>
        </w:rPr>
        <w:t>من الطهارة الإزالة بالماء المطلق، كما يُفهم من استقراء جزئيّات الموارد الآمرة فيها بالغَسْل في الثوب والبدن والأواني</w:t>
      </w:r>
      <w:r>
        <w:rPr>
          <w:rStyle w:val="FootnoteAnchor"/>
          <w:rtl w:val="true"/>
        </w:rPr>
        <w:footnoteReference w:id="592"/>
      </w:r>
      <w:r>
        <w:rPr>
          <w:rFonts w:ascii="Amiri" w:hAnsi="Amiri" w:eastAsia="Amiri" w:cs="Amiri"/>
          <w:color w:val="111111"/>
          <w:sz w:val="28"/>
          <w:sz w:val="28"/>
          <w:szCs w:val="28"/>
          <w:rtl w:val="true"/>
          <w:lang w:bidi="ar-SA"/>
        </w:rPr>
        <w:t>، ولا قائل بالفرق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أنّ زوال العين مطهّر</w:t>
      </w:r>
      <w:r>
        <w:rPr>
          <w:rStyle w:val="FootnoteAnchor"/>
          <w:rtl w:val="true"/>
        </w:rPr>
        <w:footnoteReference w:id="593"/>
      </w:r>
      <w:r>
        <w:rPr>
          <w:rFonts w:ascii="Amiri" w:hAnsi="Amiri" w:eastAsia="Amiri" w:cs="Amiri"/>
          <w:color w:val="111111"/>
          <w:sz w:val="28"/>
          <w:sz w:val="28"/>
          <w:szCs w:val="28"/>
          <w:rtl w:val="true"/>
          <w:lang w:bidi="ar-SA"/>
        </w:rPr>
        <w:t>، كالباطن وأعضاء الحيوان، فذلك للدليل، على أنّ استصحاب النجاسة محكّم، فلا يزول إلّا باليقين ولا يقين إلّا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ما ورد في رواية البصاق والمسح على الحائط لا يقوله هو ولا نحن؛ لأنّ البصاق والدمع والعرق وما أشبهها ليس من الماء المضاف الذي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قالها باعتبار أنّ البصاق ماء مضاف وأنّ اليد جسم صقيل، والجسم الصقيل يكفي فيه زوال العين، رددناه بضعفهما، وعدم العامل بهما، وإعراض الأصحاب عنهما، ولو كان زوال العين والبصاق والماء المضاف مطهّراً لاشتهر غاية الاشتهار ولما خفي مع توفّر الدواعي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الآية مجملة المراد إن أريد الحقيقة الشرعيّة من الطهارة، كما هو الأقوى، ومحمولة على إرادة التشمير والتقصير أو التنزّه عن النقائص إن أُريد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ما يؤذن بإرادة ذلك</w:t>
      </w:r>
      <w:r>
        <w:rPr>
          <w:rStyle w:val="FootnoteAnchor"/>
          <w:rtl w:val="true"/>
        </w:rPr>
        <w:footnoteReference w:id="594"/>
      </w:r>
      <w:r>
        <w:rPr>
          <w:rFonts w:ascii="Amiri" w:hAnsi="Amiri" w:eastAsia="Amiri" w:cs="Amiri"/>
          <w:color w:val="111111"/>
          <w:sz w:val="28"/>
          <w:sz w:val="28"/>
          <w:szCs w:val="28"/>
          <w:rtl w:val="true"/>
          <w:lang w:bidi="ar-SA"/>
        </w:rPr>
        <w:t>ولأنّ كون غير الماء أبلغ في التنظيف مسلَّم لو أُريد به الحسّي وممنوع لو أُريد الشرعي، والشرعي مجمل بعد ثبوت النجاسة، والمتيقّن منه التطهير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بعض المتأخّرين</w:t>
      </w:r>
      <w:r>
        <w:rPr>
          <w:rStyle w:val="FootnoteAnchor"/>
          <w:rtl w:val="true"/>
        </w:rPr>
        <w:footnoteReference w:id="595"/>
      </w:r>
      <w:r>
        <w:rPr>
          <w:rFonts w:ascii="Amiri" w:hAnsi="Amiri" w:eastAsia="Amiri" w:cs="Amiri"/>
          <w:color w:val="111111"/>
          <w:sz w:val="28"/>
          <w:sz w:val="28"/>
          <w:szCs w:val="28"/>
          <w:rtl w:val="true"/>
          <w:lang w:bidi="ar-SA"/>
        </w:rPr>
        <w:t>، أنّه لم يقم دليل على اشتراط الطهارة بالماء المطلق لجميع النجاسات، بل المتيقّن من الشرع هو إيجاب الإزالة للعين لا وجه لها بعد العلم بتحقّق النجاسة واحتياجها للمزيل القطعي</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3197655_1280447820"/>
      <w:bookmarkStart w:id="401" w:name="_Toc154"/>
      <w:bookmarkEnd w:id="400"/>
      <w:r>
        <w:rPr>
          <w:rtl w:val="true"/>
        </w:rPr>
        <w:t>رابعها</w:t>
      </w:r>
      <w:r>
        <w:rPr>
          <w:rtl w:val="true"/>
        </w:rPr>
        <w:t xml:space="preserve">: </w:t>
      </w:r>
      <w:r>
        <w:rPr>
          <w:rtl w:val="true"/>
        </w:rPr>
        <w:t>ينجس المضاف بملاقاة النجاسة</w:t>
      </w:r>
      <w:bookmarkEnd w:id="4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ينجس المضاف بملاقاة النجاسة كسائر المائعات؛ إجماعاً، وللأخبار الآمرة بإهراق المرق و غَسل اللحم بوقوع الفأرة في القِدْر ، أو بوقوع قطرة نبيذ أو خمر مسكر فيه</w:t>
      </w:r>
      <w:r>
        <w:rPr>
          <w:rStyle w:val="FootnoteAnchor"/>
          <w:rtl w:val="true"/>
        </w:rPr>
        <w:footnoteReference w:id="596"/>
      </w:r>
      <w:r>
        <w:rPr>
          <w:rFonts w:ascii="Amiri" w:hAnsi="Amiri" w:eastAsia="Amiri" w:cs="Amiri"/>
          <w:color w:val="111111"/>
          <w:sz w:val="28"/>
          <w:sz w:val="28"/>
          <w:szCs w:val="28"/>
          <w:rtl w:val="true"/>
          <w:lang w:bidi="ar-SA"/>
        </w:rPr>
        <w:t xml:space="preserve">، والخبر الناهي عن أكل السمن عند وقوع الفأرة الميّتة إذا كان ذائباً </w:t>
      </w:r>
      <w:r>
        <w:rPr>
          <w:rStyle w:val="FootnoteAnchor"/>
          <w:rtl w:val="true"/>
        </w:rPr>
        <w:footnoteReference w:id="597"/>
      </w:r>
      <w:r>
        <w:rPr>
          <w:rFonts w:ascii="Amiri" w:hAnsi="Amiri" w:eastAsia="Amiri" w:cs="Amiri"/>
          <w:color w:val="111111"/>
          <w:sz w:val="28"/>
          <w:sz w:val="28"/>
          <w:szCs w:val="28"/>
          <w:rtl w:val="true"/>
          <w:lang w:bidi="ar-SA"/>
        </w:rPr>
        <w:t>، وللإجماع الدالّ على أنّ ملاقاة الرطب للنجس تنجّسه، فينجس كلّ ما يلاقيه من الأجزاء فتسري النجاسة للكلّ</w:t>
      </w:r>
      <w:r>
        <w:rPr>
          <w:rFonts w:eastAsia="Amiri" w:cs="Amiri" w:ascii="Amiri" w:hAnsi="Amiri"/>
          <w:color w:val="111111"/>
          <w:sz w:val="28"/>
          <w:szCs w:val="28"/>
          <w:rtl w:val="true"/>
          <w:lang w:bidi="ar-SA"/>
        </w:rPr>
        <w:t xml:space="preserve">. </w:t>
      </w:r>
      <w:bookmarkStart w:id="402" w:name="pg18988_203284"/>
    </w:p>
    <w:p>
      <w:pPr>
        <w:pStyle w:val="BookText"/>
        <w:rPr/>
      </w:pPr>
      <w:bookmarkEnd w:id="402"/>
      <w:r>
        <w:rPr>
          <w:rFonts w:ascii="Amiri" w:hAnsi="Amiri" w:eastAsia="Amiri" w:cs="Amiri"/>
          <w:color w:val="111111"/>
          <w:sz w:val="28"/>
          <w:sz w:val="28"/>
          <w:szCs w:val="28"/>
          <w:rtl w:val="true"/>
          <w:lang w:bidi="ar-SA"/>
        </w:rPr>
        <w:t>والعمدة في الاستدلال الإجماع المحصل على أنّ كلّ رطب ينجس بالملاقاة، وأنّ كلّ مائع متساوي السطوح تسري إليه النجاسة، ولولا الإجماع لأمكنت المناقشة في كلتا المقدّمتين، ولذلك حكمنا بأنّ العالي تسنيميّاً إذا لم يكن واقفاً مستقرّاً بل وتسريحيّاً إذا كان علوّه بيّناً لا تسري إليه النجاسة من السافل سواء كان ماءً مضافاً أو مائعاً آخَر؛ للشكّ في شمول إطلاقات الفقهاء وإجماعاتهم على انفعال المضاف لتلك الصورة، بل ربّما يدعى أنّ السيرة ودليل العسر والحرج يقضيان بعدم السراية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3197657_1280447820"/>
      <w:bookmarkStart w:id="404" w:name="_Toc155"/>
      <w:bookmarkEnd w:id="403"/>
      <w:r>
        <w:rPr>
          <w:rtl w:val="true"/>
        </w:rPr>
        <w:t>خامسها</w:t>
      </w:r>
      <w:r>
        <w:rPr>
          <w:rtl w:val="true"/>
        </w:rPr>
        <w:t>:</w:t>
      </w:r>
      <w:r>
        <w:rPr>
          <w:rtl w:val="true"/>
        </w:rPr>
        <w:t>حکم ما لو امتزج المضاف بالمطلق</w:t>
      </w:r>
      <w:bookmarkEnd w:id="404"/>
    </w:p>
    <w:p>
      <w:pPr>
        <w:pStyle w:val="BookText"/>
        <w:rPr/>
      </w:pPr>
      <w:r>
        <w:rPr>
          <w:rFonts w:ascii="Amiri" w:hAnsi="Amiri" w:eastAsia="Amiri" w:cs="Amiri"/>
          <w:color w:val="111111"/>
          <w:sz w:val="28"/>
          <w:sz w:val="28"/>
          <w:szCs w:val="28"/>
          <w:rtl w:val="true"/>
          <w:lang w:bidi="ar-SA"/>
        </w:rPr>
        <w:t>لو امتزج المضاف بالمطلق، فإن كان المضاف مسلوب الصفات وجب التوقّف عنه لغير المطّلع على المزج وعلى قدر الممزوج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أصالة إطلاق الماء؛ لأغلبيّته، بعيد لا دليل عليه؛ لتعارض الأصلين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المطّلع على مزجه فيرجع في حكمه إلى العرف بعد اطّلاعهم عليه، فإن سُمّي مطلقاً لقلّة المضاف أو استهلاكه فيه فهو مطلق، وإن سُمّي مضافاً لعكس ذلك، فهو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عليه العرف أو اشتبه العرف نفسه كما إذا اختلط المتساويان كمّاً وكيفاً، فهو مطلق ومضاف؛ استصحاباً لبقاء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خروجه عن كلّ واحدٍ منهما؛ لأنّ المركّب من الداخل والخارج خارج،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فهل يرفع الحدث والخبث؛ لاشتماله على المقتضي لذلك وهو الماء المطلق، وامتزاج المضاف معه غير مانعٍ من تأثيره أثره، أو لا يرفع شيئاً؛ لامتزاجه معه، وصيرورتهما شيئاً واحداً فلا يتم معه التأثير؛ لصيرورة المضاف بمنزلة الحاجب حينئذ؟</w:t>
      </w:r>
    </w:p>
    <w:p>
      <w:pPr>
        <w:pStyle w:val="BookText"/>
        <w:rPr/>
      </w:pPr>
      <w:r>
        <w:rPr>
          <w:rFonts w:ascii="Amiri" w:hAnsi="Amiri" w:eastAsia="Amiri" w:cs="Amiri"/>
          <w:color w:val="111111"/>
          <w:sz w:val="28"/>
          <w:sz w:val="28"/>
          <w:szCs w:val="28"/>
          <w:rtl w:val="true"/>
          <w:lang w:bidi="ar-SA"/>
        </w:rPr>
        <w:t>ولا يبعد أنّ الأقوى حصول الارتفاع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الاحتمال الثاني لا يمكن رفع الحدث والخبث به؛ لخروجه عن مسمّى الماء المطلق وهو شرط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الشرط هو عدم صدق المضاف لا صدق الماء المطلق، بعيد كلّ البُعْد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المضاف غير مسلوب الصفات، رجع حكمه إلى العرف أيضاً، إلّا أنّ حكمه عندهم أظهر من فاقدها بالنسبة إلى الأغلبيّة وعدمها ومعرفة غلبة اسم أحدهما وعدمها، ولا مدخليّة لغلبة وصف المضاف على المطلق هاهنا وعدمها في تسميته مضافاً أو مطلقاً؛ لأنّ غلبة الوصف </w:t>
      </w:r>
      <w:bookmarkStart w:id="405" w:name="pg18988_203285"/>
    </w:p>
    <w:p>
      <w:pPr>
        <w:pStyle w:val="BookText"/>
        <w:rPr/>
      </w:pPr>
      <w:bookmarkEnd w:id="405"/>
      <w:r>
        <w:rPr>
          <w:rFonts w:ascii="Amiri" w:hAnsi="Amiri" w:eastAsia="Amiri" w:cs="Amiri"/>
          <w:color w:val="111111"/>
          <w:sz w:val="28"/>
          <w:sz w:val="28"/>
          <w:szCs w:val="28"/>
          <w:rtl w:val="true"/>
          <w:lang w:bidi="ar-SA"/>
        </w:rPr>
        <w:t>لا تلازم غلبة نفس الموصوف؛ إذ ربّ قطرة من الماء المضاف تؤثّر في كُرٍّ من ماء تغيّراً بلون أو طعم أو 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بذلك أنّ ما اعتبره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من الأكثريّة، فالأكثر منهما يغلب على غير الأكثر حكماً واسماً، ومع التساوي يغلب المطلق أيضاً، وكذا ما اعتبره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599"/>
      </w:r>
      <w:r>
        <w:rPr>
          <w:rFonts w:ascii="Amiri" w:hAnsi="Amiri" w:eastAsia="Amiri" w:cs="Amiri"/>
          <w:color w:val="111111"/>
          <w:sz w:val="28"/>
          <w:sz w:val="28"/>
          <w:szCs w:val="28"/>
          <w:rtl w:val="true"/>
          <w:lang w:bidi="ar-SA"/>
        </w:rPr>
        <w:t>من التقدير في مسلوب الصفات كتقدير الحُرّ عبداً فيما لا مقدّر له من الجنايات، إن أرادا به الرجوع إلى العرف بذلك ورد عليهما أنّ العرف لا يدور مدار الأكثريّة، ولا مدار الوصف، فقد يحكم العرف بتسمية الممزوج مضافاً وإن لم يُقدّر له وصفاً، وقد لا يحكم وإن قدّر له وصفاً مخالفاً لو وجد لغلب ذلك الوصف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لاينكر مدخليّة الأوصاف في التأثير في الجملة، ففي معرفة الصدق في الاسم وعدمه أيضاً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التقدير ممّا يشكل حكمه في أنّه هل يقدّر الوصف الأعلى أو الأدنى أو الوسط أو ما كان عليه؟ وإن كان الأقوى في النظر هو الثالث، وذلك غير مُجدٍ ولا مثبت للحكم كلّيّاً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3197659_1280447820"/>
      <w:bookmarkStart w:id="407" w:name="_Toc156"/>
      <w:bookmarkEnd w:id="406"/>
      <w:r>
        <w:rPr>
          <w:rtl w:val="true"/>
        </w:rPr>
        <w:t xml:space="preserve">سادسها </w:t>
      </w:r>
      <w:r>
        <w:rPr>
          <w:rtl w:val="true"/>
        </w:rPr>
        <w:t xml:space="preserve">: </w:t>
      </w:r>
      <w:r>
        <w:rPr>
          <w:rtl w:val="true"/>
        </w:rPr>
        <w:t>لو تنجّس المضاف قوي القول بعدم قبوله للتطهير</w:t>
      </w:r>
      <w:bookmarkEnd w:id="407"/>
    </w:p>
    <w:p>
      <w:pPr>
        <w:pStyle w:val="BookText"/>
        <w:rPr/>
      </w:pPr>
      <w:r>
        <w:rPr>
          <w:rFonts w:ascii="Amiri" w:hAnsi="Amiri" w:eastAsia="Amiri" w:cs="Amiri"/>
          <w:color w:val="111111"/>
          <w:sz w:val="28"/>
          <w:sz w:val="28"/>
          <w:szCs w:val="28"/>
          <w:rtl w:val="true"/>
          <w:lang w:bidi="ar-SA"/>
        </w:rPr>
        <w:t>لو تنجّس المضاف قوي القول بعدم قبوله للتطهير؛ لاستصحاب النجاسة، وعدم معرفة كيفيّة تطهيره بالخصوص من الشرع، وعدم عمومٍ شاملٍ لتطهيره سوى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طَهُوراً</w:t>
      </w:r>
      <w:r>
        <w:rPr>
          <w:rStyle w:val="FootnoteAnchor"/>
          <w:rtl w:val="true"/>
        </w:rPr>
        <w:footnoteReference w:id="600"/>
      </w:r>
      <w:r>
        <w:rPr>
          <w:rFonts w:ascii="IRNazanin" w:hAnsi="IRNazanin" w:eastAsia="IRNazanin"/>
          <w:color w:val="111111"/>
          <w:sz w:val="28"/>
          <w:sz w:val="28"/>
          <w:szCs w:val="28"/>
          <w:rtl w:val="true"/>
          <w:lang w:bidi="fa-IR"/>
        </w:rPr>
        <w:t>، وشبهه</w:t>
      </w:r>
      <w:r>
        <w:rPr>
          <w:rStyle w:val="FootnoteAnchor"/>
          <w:rtl w:val="true"/>
        </w:rPr>
        <w:footnoteReference w:id="601"/>
      </w:r>
      <w:r>
        <w:rPr>
          <w:rFonts w:ascii="Amiri" w:hAnsi="Amiri" w:eastAsia="Amiri" w:cs="Amiri"/>
          <w:color w:val="111111"/>
          <w:sz w:val="28"/>
          <w:sz w:val="28"/>
          <w:szCs w:val="28"/>
          <w:rtl w:val="true"/>
          <w:lang w:bidi="ar-SA"/>
        </w:rPr>
        <w:t>، وهو لا يثبت عموم التطهير لكلّ متنجّس، ولو شمل ذلك فهو مجمل بالنسبة إلى كيفيّات التطهير للمتنجّسات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قبوله للتطهير بالكثير والجاري إذا عُلِم بامتزاج جميع أجزاء المطلق به قبل خروجه عن الإطلاق؛ لظهور دخول هذا الفرد من النجس وهذا الفرد من كيفيّة التطهير في إطلاق ما دلّ على طهوريّة الماء في مقام الامتنان، ولا حاجة إلى الاستهلاك حينئذٍ في التطهير ؛ لأنّ الاستهلاك مطهّر له قطعاً، ولا كلام فيه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أُخرج المطلق عن إطلاقه قبل امتزاجه به تماماً، بقي على نجاسته، وتنجّس المطلق به</w:t>
      </w:r>
      <w:r>
        <w:rPr>
          <w:rFonts w:eastAsia="Amiri" w:cs="Amiri" w:ascii="Amiri" w:hAnsi="Amiri"/>
          <w:color w:val="111111"/>
          <w:sz w:val="28"/>
          <w:szCs w:val="28"/>
          <w:rtl w:val="true"/>
          <w:lang w:bidi="ar-SA"/>
        </w:rPr>
        <w:t xml:space="preserve">. </w:t>
      </w:r>
      <w:bookmarkStart w:id="408" w:name="pg18988_203286"/>
    </w:p>
    <w:p>
      <w:pPr>
        <w:pStyle w:val="BookText"/>
        <w:rPr/>
      </w:pPr>
      <w:bookmarkEnd w:id="408"/>
      <w:r>
        <w:rPr>
          <w:rFonts w:ascii="Amiri" w:hAnsi="Amiri" w:eastAsia="Amiri" w:cs="Amiri"/>
          <w:color w:val="111111"/>
          <w:sz w:val="28"/>
          <w:sz w:val="28"/>
          <w:szCs w:val="28"/>
          <w:rtl w:val="true"/>
          <w:lang w:bidi="ar-SA"/>
        </w:rPr>
        <w:t>ولا يتفاوت في تطهير المطلق له بين اتّصاف المطلق بوصفه وعدمه؛ لأنّ تغيّر المطلق بوصف المتنجّس لا ينجّسه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امتزاج المطلق بالمضاف مُخرجٌ له عن الإضافة وصائر به إلى الاستهلاك؛ دعوى يردّها العرف أوّلاً، ولا يضرّنا تسليمها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الممازجة وسلب الإطلاق دفعةً واحدةً، أمكن الحكم بالطهارة وعدم الطهوريّة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3197661_1280447820"/>
      <w:bookmarkStart w:id="410" w:name="_Toc157"/>
      <w:bookmarkEnd w:id="409"/>
      <w:r>
        <w:rPr>
          <w:rtl w:val="true"/>
        </w:rPr>
        <w:t>سابعها</w:t>
      </w:r>
      <w:r>
        <w:rPr>
          <w:rtl w:val="true"/>
        </w:rPr>
        <w:t xml:space="preserve">: </w:t>
      </w:r>
      <w:r>
        <w:rPr>
          <w:rtl w:val="true"/>
        </w:rPr>
        <w:t>ما لم يعلم إطلاقه لا يجوز استعماله</w:t>
      </w:r>
      <w:bookmarkEnd w:id="410"/>
    </w:p>
    <w:p>
      <w:pPr>
        <w:pStyle w:val="BookText"/>
        <w:rPr/>
      </w:pPr>
      <w:r>
        <w:rPr>
          <w:rFonts w:ascii="Amiri" w:hAnsi="Amiri" w:eastAsia="Amiri" w:cs="Amiri"/>
          <w:color w:val="111111"/>
          <w:sz w:val="28"/>
          <w:sz w:val="28"/>
          <w:szCs w:val="28"/>
          <w:rtl w:val="true"/>
          <w:lang w:bidi="ar-SA"/>
        </w:rPr>
        <w:t>ما لم يعلم إطلاقه لا يجوز استعماله؛ لأنّ الشرط إطلاق الماء، إلّا إذا كان مشتبهاً بمحصور، فإنّه يجب من باب المقدّمة، ولا يكفي عدم العلم بكونه مضافاً في وجوب الطهارة المائيّة،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Style w:val="FootnoteAnchor"/>
          <w:rtl w:val="true"/>
        </w:rPr>
        <w:footnoteReference w:id="602"/>
      </w:r>
      <w:r>
        <w:rPr>
          <w:rFonts w:ascii="Amiri" w:hAnsi="Amiri" w:eastAsia="Amiri" w:cs="Amiri"/>
          <w:color w:val="111111"/>
          <w:sz w:val="28"/>
          <w:sz w:val="28"/>
          <w:szCs w:val="28"/>
          <w:rtl w:val="true"/>
          <w:lang w:bidi="ar-SA"/>
        </w:rPr>
        <w:t>، وغير المعلوم أنّه ماء غير موجود؛ لأصالة عدم وجوده، فالمشتبه بين المضاف والمطلق ابتداءً، أو المشتبه عارضاً، أو المشتبه في محصور وقد انكفاً واحد من المحصور لا يكتفى في الوضوء به، بل ولا يجب الوضوء به والتيمّم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يقوى القول بوجوب الجمع بين الوضوء والتيمّم احتياطاً؛ لتحصيل فراغ الذمّة المقطوع بشغلها في العبادة المشروطة بالطهارة المائيّة على تقدير الوجود، وبالترابيّة على تقدير العدم، وللإجماع المنقول</w:t>
      </w:r>
      <w:r>
        <w:rPr>
          <w:rStyle w:val="FootnoteAnchor"/>
          <w:rtl w:val="true"/>
        </w:rPr>
        <w:footnoteReference w:id="603"/>
      </w:r>
      <w:r>
        <w:rPr>
          <w:rFonts w:ascii="Amiri" w:hAnsi="Amiri" w:eastAsia="Amiri" w:cs="Amiri"/>
          <w:color w:val="111111"/>
          <w:sz w:val="28"/>
          <w:sz w:val="28"/>
          <w:szCs w:val="28"/>
          <w:rtl w:val="true"/>
          <w:lang w:bidi="ar-SA"/>
        </w:rPr>
        <w:t>على وجوب الجمع، فلا يبعد البناء عليه</w:t>
      </w:r>
      <w:r>
        <w:rPr>
          <w:rFonts w:eastAsia="Amiri" w:cs="Amiri" w:ascii="Amiri" w:hAnsi="Amiri"/>
          <w:color w:val="111111"/>
          <w:sz w:val="28"/>
          <w:szCs w:val="28"/>
          <w:rtl w:val="true"/>
          <w:lang w:bidi="ar-SA"/>
        </w:rPr>
        <w:t xml:space="preserve">. </w:t>
      </w:r>
      <w:bookmarkStart w:id="411" w:name="pg18988_203287"/>
    </w:p>
    <w:p>
      <w:pPr>
        <w:pStyle w:val="Heading3"/>
        <w:numPr>
          <w:ilvl w:val="2"/>
          <w:numId w:val="1"/>
        </w:numPr>
        <w:rPr/>
      </w:pPr>
      <w:bookmarkStart w:id="412" w:name="__RefHeading___Toc13197663_1280447820"/>
      <w:bookmarkStart w:id="413" w:name="_Toc158"/>
      <w:bookmarkEnd w:id="411"/>
      <w:bookmarkEnd w:id="412"/>
      <w:r>
        <w:rPr>
          <w:rtl w:val="true"/>
        </w:rPr>
        <w:t>أحكام الماء المستعمل</w:t>
      </w:r>
      <w:bookmarkEnd w:id="413"/>
    </w:p>
    <w:p>
      <w:pPr>
        <w:pStyle w:val="Heading4"/>
        <w:numPr>
          <w:ilvl w:val="3"/>
          <w:numId w:val="1"/>
        </w:numPr>
        <w:rPr/>
      </w:pPr>
      <w:bookmarkStart w:id="414" w:name="__RefHeading___Toc13197665_1280447820"/>
      <w:bookmarkStart w:id="415" w:name="_Toc159"/>
      <w:bookmarkEnd w:id="414"/>
      <w:r>
        <w:rPr>
          <w:rtl w:val="true"/>
        </w:rPr>
        <w:t>بحث فی طهارۀ ماء الاستنجاء</w:t>
      </w:r>
      <w:bookmarkEnd w:id="415"/>
    </w:p>
    <w:p>
      <w:pPr>
        <w:pStyle w:val="Heading5"/>
        <w:numPr>
          <w:ilvl w:val="4"/>
          <w:numId w:val="1"/>
        </w:numPr>
        <w:rPr/>
      </w:pPr>
      <w:bookmarkStart w:id="416" w:name="__RefHeading___Toc13197667_1280447820"/>
      <w:bookmarkStart w:id="417" w:name="_Toc16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ماء الاستنجاء من الغائط والبول طاهر، ولا تجري عليه أحكام النجس من التنجيس وعدم رفع الخبث به، وإن امتنع رفع الحدث به؛ لفتوى المشهور والإجماع المنقول</w:t>
      </w:r>
      <w:r>
        <w:rPr>
          <w:rStyle w:val="FootnoteAnchor"/>
          <w:rtl w:val="true"/>
        </w:rPr>
        <w:footnoteReference w:id="604"/>
      </w:r>
      <w:r>
        <w:rPr>
          <w:rFonts w:ascii="Amiri" w:hAnsi="Amiri" w:eastAsia="Amiri" w:cs="Amiri"/>
          <w:color w:val="111111"/>
          <w:sz w:val="28"/>
          <w:sz w:val="28"/>
          <w:szCs w:val="28"/>
          <w:rtl w:val="true"/>
          <w:lang w:bidi="ar-SA"/>
        </w:rPr>
        <w:t>، وامتنع أكله وشربه من جهة الاستخباث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طهارته الأخبار</w:t>
      </w:r>
      <w:r>
        <w:rPr>
          <w:rStyle w:val="FootnoteAnchor"/>
          <w:rtl w:val="true"/>
        </w:rPr>
        <w:footnoteReference w:id="605"/>
      </w:r>
      <w:r>
        <w:rPr>
          <w:rFonts w:ascii="Amiri" w:hAnsi="Amiri" w:eastAsia="Amiri" w:cs="Amiri"/>
          <w:color w:val="111111"/>
          <w:sz w:val="28"/>
          <w:sz w:val="28"/>
          <w:szCs w:val="28"/>
          <w:rtl w:val="true"/>
          <w:lang w:bidi="ar-SA"/>
        </w:rPr>
        <w:t>النافية للبأس عن الثوب الواقع عليه والبدن المماسّ له ، المشعرة بتنقيح المناط بعدم الفرق بينهما وبين غيرهما الشاملة للمستعمل من الغائط والبول، العامّة لنفي البأس عن جميع آثار النجاسة من جهة نفي البأس المشتملة عليه، ولخصوص الصحيح النافي للنجاسة بعد السؤال عن تنجيسه</w:t>
      </w:r>
      <w:r>
        <w:rPr>
          <w:rStyle w:val="FootnoteAnchor"/>
          <w:rtl w:val="true"/>
        </w:rPr>
        <w:footnoteReference w:id="606"/>
      </w:r>
      <w:r>
        <w:rPr>
          <w:rFonts w:ascii="Amiri" w:hAnsi="Amiri" w:eastAsia="Amiri" w:cs="Amiri"/>
          <w:color w:val="111111"/>
          <w:sz w:val="28"/>
          <w:sz w:val="28"/>
          <w:szCs w:val="28"/>
          <w:rtl w:val="true"/>
          <w:lang w:bidi="ar-SA"/>
        </w:rPr>
        <w:t>، ولأدلّة نفي العسر والحرج</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بالعفو دون الطهارة</w:t>
      </w:r>
      <w:r>
        <w:rPr>
          <w:rStyle w:val="FootnoteAnchor"/>
          <w:rtl w:val="true"/>
        </w:rPr>
        <w:footnoteReference w:id="608"/>
      </w:r>
      <w:r>
        <w:rPr>
          <w:rFonts w:ascii="IRNazanin" w:hAnsi="IRNazanin" w:eastAsia="IRNazanin"/>
          <w:color w:val="111111"/>
          <w:sz w:val="28"/>
          <w:sz w:val="28"/>
          <w:szCs w:val="28"/>
          <w:rtl w:val="true"/>
          <w:lang w:bidi="fa-IR"/>
        </w:rPr>
        <w:t>ن أراد به أنّه نجس</w:t>
      </w:r>
      <w:r>
        <w:rPr>
          <w:rStyle w:val="FootnoteAnchor"/>
          <w:rtl w:val="true"/>
        </w:rPr>
        <w:footnoteReference w:id="609"/>
      </w:r>
      <w:r>
        <w:rPr>
          <w:rFonts w:ascii="Amiri" w:hAnsi="Amiri" w:eastAsia="Amiri" w:cs="Amiri"/>
          <w:color w:val="111111"/>
          <w:sz w:val="28"/>
          <w:sz w:val="28"/>
          <w:szCs w:val="28"/>
          <w:rtl w:val="true"/>
          <w:lang w:bidi="ar-SA"/>
        </w:rPr>
        <w:t>وتجري عليه أحكام النجس سوى جواز فعل المشروط بالطهارة معه، فهو خلاف الإجماع، وإن أراد بالعفو ما يشمل العفو عن تنجيسه للملاقي بحيث يكون نجساً لا ينجس كاليابس لكنّه لا يجوز شربه ورفع الخبث به، كان مخالفاً لظاهر الفتوى والرواية من أنّ كلّ نجس ينجّس، ومن أنّه غير نجسٍ، وكلّ ما لا ينجس من الماء يزيل الخبث؛ لعموم طهوريّة الماء</w:t>
      </w:r>
      <w:r>
        <w:rPr>
          <w:rFonts w:eastAsia="Amiri" w:cs="Amiri" w:ascii="Amiri" w:hAnsi="Amiri"/>
          <w:color w:val="111111"/>
          <w:sz w:val="28"/>
          <w:szCs w:val="28"/>
          <w:rtl w:val="true"/>
          <w:lang w:bidi="ar-SA"/>
        </w:rPr>
        <w:t xml:space="preserve">. </w:t>
      </w:r>
      <w:bookmarkStart w:id="418" w:name="pg18988_203288"/>
    </w:p>
    <w:p>
      <w:pPr>
        <w:pStyle w:val="BookText"/>
        <w:rPr/>
      </w:pPr>
      <w:bookmarkEnd w:id="418"/>
      <w:r>
        <w:rPr>
          <w:rFonts w:ascii="Amiri" w:hAnsi="Amiri" w:eastAsia="Amiri" w:cs="Amiri"/>
          <w:color w:val="111111"/>
          <w:sz w:val="28"/>
          <w:sz w:val="28"/>
          <w:szCs w:val="28"/>
          <w:rtl w:val="true"/>
          <w:lang w:bidi="ar-SA"/>
        </w:rPr>
        <w:t>نعم، لا يجوز شربه؛ للاستخباث، وعدم جواز شربه للاستخباث لا ينافي طهارته وطهوريتّه ،كما أنّه لا يرفع الحدث؛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إزالة الخبث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الحكم بطهارته مخالفاً للقواعد وجب الاقتصار على المتيقّن من عدم تغيّره بالنجس، وعدم اختلاطه بنجاسةٍ أُخرى مصاحبة للحدثين أو خارجة عنهما، وعدم تجاوز الحدث المحلّ تجاوزاً فاحشاً، وعدم كون الخارج غير الحدثين المعتادين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عدم مخالطته لمتنجّسٍ خارج من السبيلين غير الحدثين كدود وشبهه، وعدم سبق اليد إلى المحلّ قبل الماء، وعدم انفصال أجزاء من النجاسة متميّزة إلى الماء، وعدم زيادة وزن الماء بعد الاستعمال عليه قبله، وعدم الخروج عن كيفيّة الغسل إلى غير المعهود، وعدم بقائه متّصلاً بالمحلّ، فلا نقول به، وإن كان الاحتياط في ذلك مطلوباً، وفيه ما هو شديد، وفيه ما هو ضعيف</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3197669_1280447820"/>
      <w:bookmarkStart w:id="420" w:name="_Toc161"/>
      <w:bookmarkEnd w:id="419"/>
      <w:r>
        <w:rPr>
          <w:rtl w:val="true"/>
        </w:rPr>
        <w:t xml:space="preserve">بحث </w:t>
      </w:r>
      <w:r>
        <w:rPr>
          <w:rtl w:val="true"/>
        </w:rPr>
        <w:t>:</w:t>
      </w:r>
      <w:r>
        <w:rPr>
          <w:rtl w:val="true"/>
        </w:rPr>
        <w:t>فی حکم الماء المستعمل فی غسل الخبث</w:t>
      </w:r>
      <w:bookmarkEnd w:id="420"/>
    </w:p>
    <w:p>
      <w:pPr>
        <w:pStyle w:val="BookText"/>
        <w:rPr/>
      </w:pPr>
      <w:r>
        <w:rPr>
          <w:rFonts w:ascii="Amiri" w:hAnsi="Amiri" w:eastAsia="Amiri" w:cs="Amiri"/>
          <w:color w:val="111111"/>
          <w:sz w:val="28"/>
          <w:sz w:val="28"/>
          <w:szCs w:val="28"/>
          <w:rtl w:val="true"/>
          <w:lang w:bidi="ar-SA"/>
        </w:rPr>
        <w:t xml:space="preserve">الماء المستعمل في غَسْل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ذكرناه من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يتغيّر بعين النجاسة وإن تغيّر بالمتنجّس،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نجس مطلقاً</w:t>
      </w:r>
      <w:r>
        <w:rPr>
          <w:rStyle w:val="FootnoteAnchor"/>
          <w:rtl w:val="true"/>
        </w:rPr>
        <w:footnoteReference w:id="610"/>
      </w:r>
      <w:r>
        <w:rPr>
          <w:rFonts w:ascii="Amiri" w:hAnsi="Amiri" w:eastAsia="Amiri" w:cs="Amiri"/>
          <w:color w:val="111111"/>
          <w:sz w:val="28"/>
          <w:sz w:val="28"/>
          <w:szCs w:val="28"/>
          <w:rtl w:val="true"/>
          <w:lang w:bidi="ar-SA"/>
        </w:rPr>
        <w:t>، سواء كان من الغسلة الأُولى أم من غيرها، وسواء تعدّى عن محلّه أم لا، وسواء انفصل عن الجسم الذي جرى إليه أم لا، وسواء انقطع اتّصاله فصار في مكان آخر أم لا، وسواء غسل آنية الولوغ به أم لا، وسواء كان وارداً أم كان موروداً، وسواء طهر المحلّ به أم احتاج إلى تكرير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الحقّ؛ وفاقاً لفتوى المشهور نقلاً</w:t>
      </w:r>
      <w:r>
        <w:rPr>
          <w:rStyle w:val="FootnoteAnchor"/>
          <w:rtl w:val="true"/>
        </w:rPr>
        <w:footnoteReference w:id="611"/>
      </w:r>
      <w:r>
        <w:rPr>
          <w:rFonts w:ascii="Amiri" w:hAnsi="Amiri" w:eastAsia="Amiri" w:cs="Amiri"/>
          <w:color w:val="111111"/>
          <w:sz w:val="28"/>
          <w:sz w:val="28"/>
          <w:szCs w:val="28"/>
          <w:rtl w:val="true"/>
          <w:lang w:bidi="ar-SA"/>
        </w:rPr>
        <w:t>بل وتحصيلاً، وللاحتياط، ولاستقراء أدلّة انفعال الماء القليل المفيد للقطع بانفعاله مطلقاً، ولمفهوم أخبار الكُرّ</w:t>
      </w:r>
      <w:r>
        <w:rPr>
          <w:rStyle w:val="FootnoteAnchor"/>
          <w:rtl w:val="true"/>
        </w:rPr>
        <w:footnoteReference w:id="612"/>
      </w:r>
      <w:r>
        <w:rPr>
          <w:rFonts w:ascii="Amiri" w:hAnsi="Amiri" w:eastAsia="Amiri" w:cs="Amiri"/>
          <w:color w:val="111111"/>
          <w:sz w:val="28"/>
          <w:sz w:val="28"/>
          <w:szCs w:val="28"/>
          <w:rtl w:val="true"/>
          <w:lang w:bidi="ar-SA"/>
        </w:rPr>
        <w:t>، المشعرة بحُمْلان ما يبلغ الكُرّ كلَّ خبثٍ؛ لترك البيان فيه في المفهوم؛ إذ لو كان يحمل خبثاً دون آخر لبيّنه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يندفع الإيراد على من استدلّ على النجاسة بالمفهوم من روايات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غير عامٍّ؛ لأنّ غايته رفع حكم المنطوق، وهو عدم حُملان كلّ الخبث للكُرّ، وهو يقضي بحُمْلان ما دونه لكلّ خبث، فيكفي فيه الإهمال والإيجاب الجزئي، وهو حاصل في غير خبث المغسول، فيتّجه أنّه حينئذٍ لا يحمل خبث المغسول، سيّما لو كان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الدفع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البيان يُفهم أنّ الكُرّيّة و عدمها علّة في عدم الحملان والحملان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وللإجماعات المنقولة </w:t>
      </w:r>
      <w:r>
        <w:rPr>
          <w:rStyle w:val="FootnoteAnchor"/>
          <w:rtl w:val="true"/>
        </w:rPr>
        <w:footnoteReference w:id="613"/>
      </w:r>
      <w:r>
        <w:rPr>
          <w:rFonts w:ascii="Amiri" w:hAnsi="Amiri" w:eastAsia="Amiri" w:cs="Amiri"/>
          <w:color w:val="111111"/>
          <w:sz w:val="28"/>
          <w:sz w:val="28"/>
          <w:szCs w:val="28"/>
          <w:rtl w:val="true"/>
          <w:lang w:bidi="ar-SA"/>
        </w:rPr>
        <w:t>على تنجّس الماء إذا كان على بدن المجنب نجاسة، أو على بدن الحائض حيض، ولإطلاق الإجماع على نجاسة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وللنهي عن غسالة الحمّام</w:t>
      </w:r>
      <w:r>
        <w:rPr>
          <w:rStyle w:val="FootnoteAnchor"/>
          <w:rtl w:val="true"/>
        </w:rPr>
        <w:footnoteReference w:id="614"/>
      </w:r>
      <w:r>
        <w:rPr>
          <w:rFonts w:ascii="IRNazanin" w:hAnsi="IRNazanin" w:eastAsia="IRNazanin"/>
          <w:color w:val="111111"/>
          <w:sz w:val="28"/>
          <w:sz w:val="28"/>
          <w:szCs w:val="28"/>
          <w:rtl w:val="true"/>
          <w:lang w:bidi="fa-IR"/>
        </w:rPr>
        <w:t>، فإنّ الظاهر منه أنّه لتنجسها بالمغسول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ولخبر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بفتوى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الأمر بغسل ما أصابه قطرة من وَضوءٍ بول أو قذر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ولخبر عبد الله بن سنان الناهي عن الوضوء من الماء الذي يغسل به الثوب</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جاء من الأمر بالعصر</w:t>
      </w:r>
      <w:r>
        <w:rPr>
          <w:rStyle w:val="FootnoteAnchor"/>
          <w:rtl w:val="true"/>
        </w:rPr>
        <w:footnoteReference w:id="617"/>
      </w:r>
      <w:r>
        <w:rPr>
          <w:rFonts w:ascii="Amiri" w:hAnsi="Amiri" w:eastAsia="Amiri" w:cs="Amiri"/>
          <w:color w:val="111111"/>
          <w:sz w:val="28"/>
          <w:sz w:val="28"/>
          <w:szCs w:val="28"/>
          <w:rtl w:val="true"/>
          <w:lang w:bidi="ar-SA"/>
        </w:rPr>
        <w:t>، فإنّ الظاهر أنّه لإخراج ماء الغسالة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الماء إذا وقع على المغسول فإمّا أن ينجّس المغسول ما باشره أو لا، والثاني لا قائل به، وعلى الأوّل يلزم التنجيس بتوسّط شيء طاهر،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من الأمر بإهراق الماء من المغسول المتعدّد في الظروف والأواني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لو كانت الغسالة طاهرة لما خفي حكمها مع توفّر الدواعي إلى بيانها، كما ظهر ذلك في ماء الاستنجاء، ولاستبعاد تنجّس الماء بقليل من البول ولو قطرة في غير الغسل، وعدم تنجّسه بأكثر منه إذا كان غسلاً، ولاستبعاد عدم الحكم على الماء الوارد على الإناء بشيء من الطهارة والنجاسة إلى أن ينكشف حاله، فإن أُريق تبيّن أنّه ماء غسالة و أنّه طاهر، وإلّا تبيّن أنّه 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حكم عليه بالطهارة ابتداءٌ قارب حكم ابن أبي عقيل بطهارة الماء القليل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يستثنى من نجاسة ماء الغسالة ما بقي من الماء في المغسول عادة، أو كان بحيث یشقّ إخراجه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ما يقع على اليد العاصرة أو المباشرة للمغسول؛ لقيام السيرة على طهارته أو على أنّه نجس لا ينجّس ، فهو معفوّ عنه ، كما قامت على طهارة اليد وآلات العصر تبعاً، فلا استبعاد من كون ماء واحد بعضه طاهر وبعضه نجس، أو طهارته بعد الحكم بنجاسته، كما قامت السيرة أيضاً على طهارة ما جرى عليه الماء من المكان الطاهر بعد انفصاله إذا توقّف غسل المحلّ النجس على جريانه عليه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ينفصل ماء الغسالة عن المحلّ النجس أو عمّا جرى عليه من الطاهر بقيا على النجاسة، إلّا إذا لم يمكن الانفصال، ففي تطهيرهما وجهٌ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بطهارة ماء الغسالة مطلقاً</w:t>
      </w:r>
      <w:r>
        <w:rPr>
          <w:rStyle w:val="FootnoteAnchor"/>
          <w:rtl w:val="true"/>
        </w:rPr>
        <w:footnoteReference w:id="620"/>
      </w:r>
      <w:r>
        <w:rPr>
          <w:rFonts w:ascii="Amiri" w:hAnsi="Amiri" w:eastAsia="Amiri" w:cs="Amiri"/>
          <w:color w:val="111111"/>
          <w:sz w:val="28"/>
          <w:sz w:val="28"/>
          <w:szCs w:val="28"/>
          <w:rtl w:val="true"/>
          <w:lang w:bidi="ar-SA"/>
        </w:rPr>
        <w:t xml:space="preserve">للأصل والعمومات، وللشكّ في شمول أدلّة انفعال الماء القليل لماء الغسالة، وللشكّ في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متنجّس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يُحكم بنجاسة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وللقاعدة المحكّمة المؤيّدة بالاعتبار والموافقة لأُصول المذهب وفتاوى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النجس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ولأدلّة نفي العسر والحرج</w:t>
      </w:r>
      <w:r>
        <w:rPr>
          <w:rStyle w:val="FootnoteAnchor"/>
          <w:rtl w:val="true"/>
        </w:rPr>
        <w:footnoteReference w:id="622"/>
      </w:r>
      <w:r>
        <w:rPr>
          <w:rFonts w:ascii="Amiri" w:hAnsi="Amiri" w:eastAsia="Amiri" w:cs="Amiri"/>
          <w:color w:val="111111"/>
          <w:sz w:val="28"/>
          <w:sz w:val="28"/>
          <w:szCs w:val="28"/>
          <w:rtl w:val="true"/>
          <w:lang w:bidi="ar-SA"/>
        </w:rPr>
        <w:t>اللازمين للقول بالنجاسة؛ لغلبة تعدّي ماء الغسالة إلى غير المحلّ، ولتقاطرها غالباً على المباشرين للغسل، ولعدم معرفة قدر المتخلّف، ولاستبعاد اختلاف أجزاء الماء طهارةً ونجاسةً، أو تطهير المتخلّف بغير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في أخبار الاستنجاء من تعليل طهارة مائه أنّه أكثر من القذر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أستنجي ثمّ يقع ثوبي فيه وأنا 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فإنّ ظاهره عدم تنجّس المركن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من الأمر بالصبّ لبول الصبيّ </w:t>
      </w:r>
      <w:r>
        <w:rPr>
          <w:rStyle w:val="FootnoteAnchor"/>
          <w:rtl w:val="true"/>
        </w:rPr>
        <w:footnoteReference w:id="626"/>
      </w:r>
      <w:r>
        <w:rPr>
          <w:rFonts w:ascii="IRNazanin" w:hAnsi="IRNazanin" w:eastAsia="IRNazanin"/>
          <w:color w:val="111111"/>
          <w:sz w:val="28"/>
          <w:sz w:val="28"/>
          <w:szCs w:val="28"/>
          <w:rtl w:val="true"/>
          <w:lang w:bidi="fa-IR"/>
        </w:rPr>
        <w:t>، والأمر بالنضح للجانب الآخَر من الثوب والفرو</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 ؛ لانقطاع الأصل والعمومات بالدليل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الشكّ في شمول أدلّة انفعال الماء القليل لماء الغسالة من المفهوم وممّا حصل من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الشكّ في ثبوت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لتحصيلها على سبيل القطع من موارد الأخبار والإجماع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تسليم قاعدة أنّ النجس لا يطهّر مطلقاً حتّى لو تنجّس بما طهرّه كحجر الاستنجاء، و ماء الغسالة مثله، إنّما المسلّم أنّ النجس سابقاً على حال التطهير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تسليم حصول العسر والحرج بعد الحكم بطهارة ما يلزم العسر والحرج بتنجيسه من ثياب وآلات ومكان متعدٍّ إليه وبقايا متخلّفة، اقتصاراً على مورد اليقين، أو الحكم بأنّه نجس لا ينجّس، فهو معفوّ عنه للدليل، ويرجع في قدر المتخلّف ومكان التعدي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غرابة طهارة المتخلّف من غير مطهّرٍ، كما وقع في كثير من أحكام الطهارة التبعيّة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ولضعف الرواية الأُولى عن مقاومة ما ذكرناه من الأدلّة؛ لضعف المفهوم أوّلاً، ولكثرة الخارج منها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الرواية الثانية، ولعدم ملازمة الجنب لتلوّث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الثالثة، ولعدم دلالتها على طهارة المركن وعدم تنجّسه بماء الغسالة إلّا بإشعارٍ ضعيف، وهو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الرابعة والخامسة، ولعدم دلالة عدم الأمر بالعصر على الطهارة وعدم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تدلّان على طهارة الماء بعد ذلك حكماً شرعيّاً، كالحكم بطهارة المتخلّف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بطهارة ماء الغسالة حالة الاتّصال وتنجيسه حالة الانفصال</w:t>
      </w:r>
      <w:r>
        <w:rPr>
          <w:rStyle w:val="FootnoteAnchor"/>
          <w:rtl w:val="true"/>
        </w:rPr>
        <w:footnoteReference w:id="628"/>
      </w:r>
      <w:r>
        <w:rPr>
          <w:rFonts w:ascii="Amiri" w:hAnsi="Amiri" w:eastAsia="Amiri" w:cs="Amiri"/>
          <w:color w:val="111111"/>
          <w:sz w:val="28"/>
          <w:sz w:val="28"/>
          <w:szCs w:val="28"/>
          <w:rtl w:val="true"/>
          <w:lang w:bidi="ar-SA"/>
        </w:rPr>
        <w:t>جمعاً بين ما دلّ على أنّ النجس لا يطهّر، وما دلّ على أنّ الماء القليل ينفعل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بالنجاسة بعد الانفصال حكم من غير مقتض؛ إذ المقتضي لها الملاقاة وقد انقضت وهي على حالة الطهارة، فلا مقتضي للتنجيس بعد ذلك، ولا أثر للمقتضي بعد انقضائه لفواته من دون أن 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بطهارة ماء الغسالة من إناء الولوغ مطلقاً، دون غيره فإنّه ينجس ماء الغسلة الأُولى دون الثانية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بالفرق بين الغسلة المزيلة للعين فهي نجسة؛ لعدم مدخليّتها في التطهير، وبين غير المزيلة فهي طاهرة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المزيلة فيجري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بطهارة ماء الغسالة إن كان وارداً، ونجاسته إن كان موروداً</w:t>
      </w:r>
      <w:r>
        <w:rPr>
          <w:rStyle w:val="FootnoteAnchor"/>
          <w:rtl w:val="true"/>
        </w:rPr>
        <w:footnoteReference w:id="631"/>
      </w:r>
      <w:r>
        <w:rPr>
          <w:rFonts w:ascii="Amiri" w:hAnsi="Amiri" w:eastAsia="Amiri" w:cs="Amiri"/>
          <w:color w:val="111111"/>
          <w:sz w:val="28"/>
          <w:sz w:val="28"/>
          <w:szCs w:val="28"/>
          <w:rtl w:val="true"/>
          <w:lang w:bidi="ar-SA"/>
        </w:rPr>
        <w:t>، كغسل الثوب في الإجانة والمركن، فيطهر الثوب وينجس الماء والإناء؛ لأنّ المتيقّن من عدم انفعال الماء القليل هو ما إذا كان وارداً لقوّته، لا ما إذا كان موروداً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الردّ عليه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بنجاسة الغسالة التي لم يحصل بها التطهير وطهارة ما حصل بها التطهير</w:t>
      </w:r>
      <w:r>
        <w:rPr>
          <w:rStyle w:val="FootnoteAnchor"/>
          <w:rtl w:val="true"/>
        </w:rPr>
        <w:footnoteReference w:id="632"/>
      </w:r>
      <w:r>
        <w:rPr>
          <w:rFonts w:ascii="Amiri" w:hAnsi="Amiri" w:eastAsia="Amiri" w:cs="Amiri"/>
          <w:color w:val="111111"/>
          <w:sz w:val="28"/>
          <w:sz w:val="28"/>
          <w:szCs w:val="28"/>
          <w:rtl w:val="true"/>
          <w:lang w:bidi="ar-SA"/>
        </w:rPr>
        <w:t>، فهي كالمحلّ بعدها؛ وذلك لأنّ تطهير النجس غير معقولٍ، فيحكم بطهارتها دون غيرها؛ لشمول أدلّة انفعال الماء القليل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 القول بنجاسة ماء غسالة المحلّ و لو بعد طهره، فهي نجسة وإن ترامت بعد طهر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بطهارة ماء الغسالة يظهر من الكثير منهم إثبات الطهوريّة له أيضاً، ما عدا رفع الحدث، فإنّ ظاهرهم الإجماع على عدم جواز رفع الحدث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بعضهم إثبات الطهوريّة له حتّى في رفع الحدث</w:t>
      </w:r>
      <w:r>
        <w:rPr>
          <w:rFonts w:eastAsia="Amiri" w:cs="Amiri" w:ascii="Amiri" w:hAnsi="Amiri"/>
          <w:color w:val="111111"/>
          <w:sz w:val="28"/>
          <w:szCs w:val="28"/>
          <w:rtl w:val="true"/>
          <w:lang w:bidi="ar-SA"/>
        </w:rPr>
        <w:t xml:space="preserve">. </w:t>
      </w:r>
      <w:bookmarkStart w:id="421" w:name="pg18988_203293"/>
    </w:p>
    <w:p>
      <w:pPr>
        <w:pStyle w:val="BookText"/>
        <w:rPr/>
      </w:pPr>
      <w:bookmarkEnd w:id="421"/>
      <w:r>
        <w:rPr>
          <w:rFonts w:ascii="Amiri" w:hAnsi="Amiri" w:eastAsia="Amiri" w:cs="Amiri"/>
          <w:color w:val="111111"/>
          <w:sz w:val="28"/>
          <w:sz w:val="28"/>
          <w:szCs w:val="28"/>
          <w:rtl w:val="true"/>
          <w:lang w:bidi="ar-SA"/>
        </w:rPr>
        <w:t xml:space="preserve">ويظهر من بعضهم عدم إثبات الطهوريّة له مطلقاً في حدث وخبث؛ استصحاباً لحالتيهما، مع الشكّ في شمول إطلاق طهوريّة الماء القليل لمثل هذا الفرد من حيث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طهارته أنّه معفوّ عنه فهو نجس لا ينجس، فعلى هذا لا يجوز شربه ولا استعماله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القائلين بالنجاسة اختلفوا في قدر ما يحتاج إليه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بكفاية المرّة</w:t>
      </w:r>
      <w:r>
        <w:rPr>
          <w:rStyle w:val="FootnoteAnchor"/>
          <w:rtl w:val="true"/>
        </w:rPr>
        <w:footnoteReference w:id="633"/>
      </w:r>
      <w:r>
        <w:rPr>
          <w:rFonts w:ascii="Amiri" w:hAnsi="Amiri" w:eastAsia="Amiri" w:cs="Amiri"/>
          <w:color w:val="111111"/>
          <w:sz w:val="28"/>
          <w:sz w:val="28"/>
          <w:szCs w:val="28"/>
          <w:rtl w:val="true"/>
          <w:lang w:bidi="ar-SA"/>
        </w:rPr>
        <w:t>لتيقّنها، وأصالة البراءة من الزائد؛ لرجوع الشكّ في القدر إلى الدوران بين الأقل والأكثر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كالمحلّ قبل الغسل</w:t>
      </w:r>
      <w:r>
        <w:rPr>
          <w:rStyle w:val="FootnoteAnchor"/>
          <w:rtl w:val="true"/>
        </w:rPr>
        <w:footnoteReference w:id="634"/>
      </w:r>
      <w:r>
        <w:rPr>
          <w:rFonts w:ascii="Amiri" w:hAnsi="Amiri" w:eastAsia="Amiri" w:cs="Amiri"/>
          <w:color w:val="111111"/>
          <w:sz w:val="28"/>
          <w:sz w:val="28"/>
          <w:szCs w:val="28"/>
          <w:rtl w:val="true"/>
          <w:lang w:bidi="ar-SA"/>
        </w:rPr>
        <w:t>للشكّ في التطهير بعد تيقّن النجاسة إلى أن يعلم المزيل، فيجب الأخذ بالاحتياط؛ لأنّه من موارد يقين الشغل، لا من موارد الشكّ في التكليف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كالمحلّ قبل الغسلة فيحتاج في الأُولى إلى اثنتين، وفي الثانية إلى الواحدة فيما يجب فيه غسلتان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وأعدلها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وذلك لأنّ التعدّد للبول لا للمتنجّس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يثبت حكم البول لقوّة نجاسته فيها، ثمّ يضعف في الأخيرة فيجري عليها حكم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غير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المتنجّس بنجاسة ماء الغسالة حكم ماء الغسالة، وإجراء حكم المتنجّس مطلقاً عليه، فيكفي فيه المرّة قويٌّ</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3197671_1280447820"/>
      <w:bookmarkStart w:id="423" w:name="_Toc162"/>
      <w:bookmarkEnd w:id="422"/>
      <w:r>
        <w:rPr>
          <w:rtl w:val="true"/>
        </w:rPr>
        <w:t>بحث</w:t>
      </w:r>
      <w:r>
        <w:rPr>
          <w:rtl w:val="true"/>
        </w:rPr>
        <w:t xml:space="preserve">: </w:t>
      </w:r>
      <w:r>
        <w:rPr>
          <w:rtl w:val="true"/>
        </w:rPr>
        <w:t>فی طهارۀ الماء المستعمل في رفع الحدث الأصغر وكذا المستعمل في الأغسال المندوبة</w:t>
      </w:r>
      <w:bookmarkEnd w:id="423"/>
    </w:p>
    <w:p>
      <w:pPr>
        <w:pStyle w:val="Heading6"/>
        <w:numPr>
          <w:ilvl w:val="5"/>
          <w:numId w:val="1"/>
        </w:numPr>
        <w:rPr/>
      </w:pPr>
      <w:bookmarkStart w:id="424" w:name="__RefHeading___Toc13197673_1280447820"/>
      <w:bookmarkStart w:id="425" w:name="_Toc163"/>
      <w:bookmarkEnd w:id="424"/>
      <w:r>
        <w:rPr>
          <w:rtl w:val="true"/>
        </w:rPr>
        <w:t>اشارة</w:t>
      </w:r>
      <w:bookmarkEnd w:id="4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المستعمل في رفع الحدث الأصغر طهور مزيل للحدث والخبث 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المستعمل في الأغسال المندوبة أو الواجبة الغير رافعة أو مبيحة؛ للأصل والعمومات</w:t>
      </w:r>
      <w:r>
        <w:rPr>
          <w:rFonts w:eastAsia="Amiri" w:cs="Amiri" w:ascii="Amiri" w:hAnsi="Amiri"/>
          <w:color w:val="111111"/>
          <w:sz w:val="28"/>
          <w:szCs w:val="28"/>
          <w:rtl w:val="true"/>
          <w:lang w:bidi="ar-SA"/>
        </w:rPr>
        <w:t xml:space="preserve">. </w:t>
      </w:r>
      <w:bookmarkStart w:id="426" w:name="pg18988_203294"/>
    </w:p>
    <w:p>
      <w:pPr>
        <w:pStyle w:val="Heading6"/>
        <w:numPr>
          <w:ilvl w:val="5"/>
          <w:numId w:val="1"/>
        </w:numPr>
        <w:rPr/>
      </w:pPr>
      <w:bookmarkStart w:id="427" w:name="__RefHeading___Toc13197675_1280447820"/>
      <w:bookmarkStart w:id="428" w:name="_Toc164"/>
      <w:bookmarkEnd w:id="426"/>
      <w:bookmarkEnd w:id="427"/>
      <w:r>
        <w:rPr>
          <w:rtl w:val="true"/>
        </w:rPr>
        <w:t>طهارۀ الماء المستعمل فی رفع الحدث الأکبر</w:t>
      </w:r>
      <w:bookmarkEnd w:id="428"/>
    </w:p>
    <w:p>
      <w:pPr>
        <w:pStyle w:val="BookText"/>
        <w:rPr/>
      </w:pPr>
      <w:r>
        <w:rPr>
          <w:rFonts w:ascii="Amiri" w:hAnsi="Amiri" w:eastAsia="Amiri" w:cs="Amiri"/>
          <w:color w:val="111111"/>
          <w:sz w:val="28"/>
          <w:sz w:val="28"/>
          <w:szCs w:val="28"/>
          <w:rtl w:val="true"/>
          <w:lang w:bidi="ar-SA"/>
        </w:rPr>
        <w:t>وأمّا المستعمل في رفع الحدث الأكبر جنابةٌ أو غيرها فهو طاهر؛ للإجماع بقسميه</w:t>
      </w:r>
      <w:r>
        <w:rPr>
          <w:rStyle w:val="FootnoteAnchor"/>
          <w:rtl w:val="true"/>
        </w:rPr>
        <w:footnoteReference w:id="636"/>
      </w:r>
      <w:r>
        <w:rPr>
          <w:rFonts w:ascii="Amiri" w:hAnsi="Amiri" w:eastAsia="Amiri" w:cs="Amiri"/>
          <w:color w:val="111111"/>
          <w:sz w:val="28"/>
          <w:sz w:val="28"/>
          <w:szCs w:val="28"/>
          <w:rtl w:val="true"/>
          <w:lang w:bidi="ar-SA"/>
        </w:rPr>
        <w:t>،و رافع للخبث؛ للأصل والعمومات، بل الإجماع منعقد عليه</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13197677_1280447820"/>
      <w:bookmarkStart w:id="430" w:name="_Toc165"/>
      <w:bookmarkEnd w:id="429"/>
      <w:r>
        <w:rPr>
          <w:rtl w:val="true"/>
        </w:rPr>
        <w:t>وهل يصحّ استعماله في رفع في رفع الحدث الأكبر أو الأصغر؟</w:t>
      </w:r>
      <w:bookmarkEnd w:id="430"/>
    </w:p>
    <w:p>
      <w:pPr>
        <w:pStyle w:val="BookText"/>
        <w:rPr/>
      </w:pPr>
      <w:r>
        <w:rPr>
          <w:rFonts w:ascii="Amiri" w:hAnsi="Amiri" w:eastAsia="Amiri" w:cs="Amiri"/>
          <w:color w:val="111111"/>
          <w:sz w:val="28"/>
          <w:sz w:val="28"/>
          <w:szCs w:val="28"/>
          <w:rtl w:val="true"/>
          <w:lang w:bidi="ar-SA"/>
        </w:rPr>
        <w:t>وهل يصحّ استعماله في رفع في رفع الحدث الأكبر أو الأصغر؟ قولان،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ونُسب لأعيان القدماء</w:t>
      </w:r>
      <w:r>
        <w:rPr>
          <w:rStyle w:val="FootnoteAnchor"/>
          <w:rtl w:val="true"/>
        </w:rPr>
        <w:footnoteReference w:id="637"/>
      </w:r>
      <w:r>
        <w:rPr>
          <w:rFonts w:ascii="Amiri" w:hAnsi="Amiri" w:eastAsia="Amiri" w:cs="Amiri"/>
          <w:color w:val="111111"/>
          <w:sz w:val="28"/>
          <w:sz w:val="28"/>
          <w:szCs w:val="28"/>
          <w:rtl w:val="true"/>
          <w:lang w:bidi="ar-SA"/>
        </w:rPr>
        <w:t>للاحتياط، والشكّ في حصول رفع الحدث به بعد تيقّن حصوله، وللشكّ في الخروج عن العهدة في الأمر بالغسل به؛ للشكّ في الشرطيّة أو المانعيّة، وكلّ ما شكّ في شرطيّته أو مانعيّته فهو شرط أو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ولخبر عبد الله بن سنان الناهي عن الوضوء بالماء الذي يغتسل فيه للجنابة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الوضوء والغسل، كما لا فرق بين الجنابة وغيرها؛ لعدم القائل بالفرق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في ماء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تغتسل من ماء آخَر، إلّا أن يكون فيه جنب أو يكثر أهله فلا يدرى فيهم جنب أم لا</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 إفادته للنهي من جهة الأمر بالاغتسال من ماء آخر المفهوم من الاستثناء بعد نفي طلب الغسل؛ لأنّ المراد أنّه لا يطلب منك الغسل من ماء آخَر إلّا أن يكون فيه جنب، فإنّه يكون مطلوباً، والأصل في الطلب الوجوب، وليس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الغسل كي يكون المستثنى حكمه رفع التحريم المتقدّم؛ ضرورة أنّه على خلاف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ما كان فيه جنب وبين ما لا يدرى فيه لا يضرّ في الطلب؛ لأنّه قدر مشترك بين الواجب والمندوب فيُحمل في الثاني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الآخَر بعد سؤاله عن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تغتسل من البئر التي يجتمع فيها ماء الحمّام، فإنّه يسيل فيها ما يغتسل به الجنب</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 من وجوب غَسْل المغتسل رِجْليه مع استنقاعهما في ماء الغسالة المنفصلة</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عدم ارتفاع الحدث بالغسالة لما وجب غسل الرِّجْلين</w:t>
      </w:r>
      <w:r>
        <w:rPr>
          <w:rFonts w:eastAsia="Amiri" w:cs="Amiri" w:ascii="Amiri" w:hAnsi="Amiri"/>
          <w:color w:val="111111"/>
          <w:sz w:val="28"/>
          <w:szCs w:val="28"/>
          <w:rtl w:val="true"/>
          <w:lang w:bidi="ar-SA"/>
        </w:rPr>
        <w:t xml:space="preserve">. </w:t>
      </w:r>
      <w:bookmarkStart w:id="431" w:name="pg18988_203295"/>
    </w:p>
    <w:p>
      <w:pPr>
        <w:pStyle w:val="BookText"/>
        <w:rPr/>
      </w:pPr>
      <w:bookmarkEnd w:id="431"/>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اغتُسل فيه فأصابه الجذام فلا يلومنّ إلّا نفسه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وللمكاتبة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الغدير يغتسل فيه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يتوضّاً من مثل هذا إلّا من ضرورة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بالجواز</w:t>
      </w:r>
      <w:r>
        <w:rPr>
          <w:rStyle w:val="FootnoteAnchor"/>
          <w:rtl w:val="true"/>
        </w:rPr>
        <w:footnoteReference w:id="644"/>
      </w:r>
      <w:r>
        <w:rPr>
          <w:rFonts w:ascii="Amiri" w:hAnsi="Amiri" w:eastAsia="Amiri" w:cs="Amiri"/>
          <w:color w:val="111111"/>
          <w:sz w:val="28"/>
          <w:sz w:val="28"/>
          <w:szCs w:val="28"/>
          <w:rtl w:val="true"/>
          <w:lang w:bidi="ar-SA"/>
        </w:rPr>
        <w:t>، ونُسب</w:t>
      </w:r>
      <w:r>
        <w:rPr>
          <w:rStyle w:val="FootnoteAnchor"/>
          <w:rtl w:val="true"/>
        </w:rPr>
        <w:footnoteReference w:id="645"/>
      </w:r>
      <w:r>
        <w:rPr>
          <w:rFonts w:ascii="Amiri" w:hAnsi="Amiri" w:eastAsia="Amiri" w:cs="Amiri"/>
          <w:color w:val="111111"/>
          <w:sz w:val="28"/>
          <w:sz w:val="28"/>
          <w:szCs w:val="28"/>
          <w:rtl w:val="true"/>
          <w:lang w:bidi="ar-SA"/>
        </w:rPr>
        <w:t>لأعلام المتأخّرين ومشهورهم؛ للأصل والعمومات الدالّة على الطهوريّة، ولاستصحاب الطهوريّة عند الشكّ في طروء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جاء من الأخبار</w:t>
      </w:r>
      <w:r>
        <w:rPr>
          <w:rStyle w:val="FootnoteAnchor"/>
          <w:rtl w:val="true"/>
        </w:rPr>
        <w:footnoteReference w:id="646"/>
      </w:r>
      <w:r>
        <w:rPr>
          <w:rFonts w:ascii="Amiri" w:hAnsi="Amiri" w:eastAsia="Amiri" w:cs="Amiri"/>
          <w:color w:val="111111"/>
          <w:sz w:val="28"/>
          <w:sz w:val="28"/>
          <w:szCs w:val="28"/>
          <w:rtl w:val="true"/>
          <w:lang w:bidi="ar-SA"/>
        </w:rPr>
        <w:t>الدالّة على جواز الاغتسال من ماء الحمّام الذي يغتسل فيه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في مكان واحد وهو قليل لا يكفيه لغسله، فلا عليه أن يغتسل ويرجع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يجزئه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الأخير أقوى؛ لعدم مقاومة أدلّة الأوّل لأدلّته ؛ لضعف بعضها وظهور بعضٍ آخَر في الكراهة، ولجواز استنادها في المنع إلى غلبة اشتمال بدن المجنب على نجاسة المني، كما هو المعتاد والغالب، ودلّت عليه كثير من الأخبار</w:t>
      </w:r>
      <w:r>
        <w:rPr>
          <w:rStyle w:val="FootnoteAnchor"/>
          <w:rtl w:val="true"/>
        </w:rPr>
        <w:footnoteReference w:id="648"/>
      </w:r>
      <w:r>
        <w:rPr>
          <w:rFonts w:ascii="Amiri" w:hAnsi="Amiri" w:eastAsia="Amiri" w:cs="Amiri"/>
          <w:color w:val="111111"/>
          <w:sz w:val="28"/>
          <w:sz w:val="28"/>
          <w:szCs w:val="28"/>
          <w:rtl w:val="true"/>
          <w:lang w:bidi="ar-SA"/>
        </w:rPr>
        <w:t>المشتملة على غسل الفرج عند غسله، وأشعرت به أخبار البئر</w:t>
      </w:r>
      <w:r>
        <w:rPr>
          <w:rStyle w:val="FootnoteAnchor"/>
          <w:rtl w:val="true"/>
        </w:rPr>
        <w:footnoteReference w:id="64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3197679_1280447820"/>
      <w:bookmarkStart w:id="433" w:name="_Toc166"/>
      <w:bookmarkEnd w:id="432"/>
      <w:r>
        <w:rPr>
          <w:rtl w:val="true"/>
        </w:rPr>
        <w:t>فروع</w:t>
      </w:r>
      <w:bookmarkEnd w:id="433"/>
    </w:p>
    <w:p>
      <w:pPr>
        <w:pStyle w:val="Heading6"/>
        <w:numPr>
          <w:ilvl w:val="5"/>
          <w:numId w:val="1"/>
        </w:numPr>
        <w:rPr/>
      </w:pPr>
      <w:bookmarkStart w:id="434" w:name="__RefHeading___Toc13197681_1280447820"/>
      <w:bookmarkStart w:id="435" w:name="_Toc167"/>
      <w:bookmarkEnd w:id="434"/>
      <w:r>
        <w:rPr>
          <w:rtl w:val="true"/>
        </w:rPr>
        <w:t>أحدها</w:t>
      </w:r>
      <w:r>
        <w:rPr>
          <w:rtl w:val="true"/>
        </w:rPr>
        <w:t xml:space="preserve">: </w:t>
      </w:r>
      <w:r>
        <w:rPr>
          <w:rtl w:val="true"/>
        </w:rPr>
        <w:t>لا بأس ببقيّة الماء الذي يؤخذ منه ماء الغسل</w:t>
      </w:r>
      <w:bookmarkEnd w:id="435"/>
    </w:p>
    <w:p>
      <w:pPr>
        <w:pStyle w:val="BookText"/>
        <w:rPr/>
      </w:pPr>
      <w:r>
        <w:rPr>
          <w:rFonts w:ascii="Amiri" w:hAnsi="Amiri" w:eastAsia="Amiri" w:cs="Amiri"/>
          <w:color w:val="111111"/>
          <w:sz w:val="28"/>
          <w:sz w:val="28"/>
          <w:szCs w:val="28"/>
          <w:rtl w:val="true"/>
          <w:lang w:bidi="ar-SA"/>
        </w:rPr>
        <w:t>لا بأس ببقيّة الماء الذي يؤخذ منه ماء الغسل؛ للأصل وبعض الأخبار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13197683_1280447820"/>
      <w:bookmarkStart w:id="437" w:name="_Toc168"/>
      <w:bookmarkEnd w:id="436"/>
      <w:r>
        <w:rPr>
          <w:rtl w:val="true"/>
        </w:rPr>
        <w:t>ثانيها</w:t>
      </w:r>
      <w:r>
        <w:rPr>
          <w:rtl w:val="true"/>
        </w:rPr>
        <w:t xml:space="preserve">: </w:t>
      </w:r>
      <w:r>
        <w:rPr>
          <w:rtl w:val="true"/>
        </w:rPr>
        <w:t>لا بأس بوقوع القطرات من المغتسل في الماء إذا استهلكت</w:t>
      </w:r>
      <w:bookmarkEnd w:id="4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بوقوع القطرات من المغتسل في الماء إذا استهلكت ولم تستبن؛ للأصل، ودلالة جملة من الأخبار على نفي البأس عنه</w:t>
      </w:r>
      <w:r>
        <w:rPr>
          <w:rStyle w:val="FootnoteAnchor"/>
          <w:rtl w:val="true"/>
        </w:rPr>
        <w:footnoteReference w:id="651"/>
      </w:r>
      <w:r>
        <w:rPr>
          <w:rFonts w:ascii="Amiri" w:hAnsi="Amiri" w:eastAsia="Amiri" w:cs="Amiri"/>
          <w:color w:val="111111"/>
          <w:sz w:val="28"/>
          <w:sz w:val="28"/>
          <w:szCs w:val="28"/>
          <w:rtl w:val="true"/>
          <w:lang w:bidi="ar-SA"/>
        </w:rPr>
        <w:t>، بل ولو تكثّرت القطرات ما لم تتجاوز المعتاد، أخذاً بإطلاق الأخبار</w:t>
      </w:r>
      <w:r>
        <w:rPr>
          <w:rFonts w:eastAsia="Amiri" w:cs="Amiri" w:ascii="Amiri" w:hAnsi="Amiri"/>
          <w:color w:val="111111"/>
          <w:sz w:val="28"/>
          <w:szCs w:val="28"/>
          <w:rtl w:val="true"/>
          <w:lang w:bidi="ar-SA"/>
        </w:rPr>
        <w:t xml:space="preserve">. </w:t>
      </w:r>
      <w:bookmarkStart w:id="438" w:name="pg18988_203296"/>
    </w:p>
    <w:p>
      <w:pPr>
        <w:pStyle w:val="Heading6"/>
        <w:numPr>
          <w:ilvl w:val="5"/>
          <w:numId w:val="1"/>
        </w:numPr>
        <w:rPr/>
      </w:pPr>
      <w:bookmarkStart w:id="439" w:name="__RefHeading___Toc13197685_1280447820"/>
      <w:bookmarkStart w:id="440" w:name="_Toc169"/>
      <w:bookmarkEnd w:id="438"/>
      <w:bookmarkEnd w:id="439"/>
      <w:r>
        <w:rPr>
          <w:rtl w:val="true"/>
        </w:rPr>
        <w:t>ثالثها</w:t>
      </w:r>
      <w:r>
        <w:rPr>
          <w:rtl w:val="true"/>
        </w:rPr>
        <w:t xml:space="preserve">: </w:t>
      </w:r>
      <w:r>
        <w:rPr>
          <w:rtl w:val="true"/>
        </w:rPr>
        <w:t>لا بأس بالمتّصل من الماء قبل انفصاله عن بدن المغتسل</w:t>
      </w:r>
      <w:bookmarkEnd w:id="440"/>
    </w:p>
    <w:p>
      <w:pPr>
        <w:pStyle w:val="BookText"/>
        <w:rPr/>
      </w:pPr>
      <w:r>
        <w:rPr>
          <w:rFonts w:ascii="Amiri" w:hAnsi="Amiri" w:eastAsia="Amiri" w:cs="Amiri"/>
          <w:color w:val="111111"/>
          <w:sz w:val="28"/>
          <w:sz w:val="28"/>
          <w:szCs w:val="28"/>
          <w:rtl w:val="true"/>
          <w:lang w:bidi="ar-SA"/>
        </w:rPr>
        <w:t>لا بأس بالمتّصل من الماء قبل انفصاله عن بدن المغتسل؛ للقطع بجواز إجراء الماء من موضع إلى آخَر عند اغتساله، وعلى ذلك السيرة، وأدلّة نفي العسر والحرج</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عند بُعْد بعض الأعضاء عن بعضٍ فالأحوط عدم غسل العضو البعيد بماء العضو المتقدّم بأن يلقيه عليه</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3197687_1280447820"/>
      <w:bookmarkStart w:id="442" w:name="_Toc170"/>
      <w:bookmarkEnd w:id="441"/>
      <w:r>
        <w:rPr>
          <w:rtl w:val="true"/>
        </w:rPr>
        <w:t>رابعها</w:t>
      </w:r>
      <w:r>
        <w:rPr>
          <w:rtl w:val="true"/>
        </w:rPr>
        <w:t xml:space="preserve">: </w:t>
      </w:r>
      <w:r>
        <w:rPr>
          <w:rtl w:val="true"/>
        </w:rPr>
        <w:t>غسل الجنابة عند الشكّ فيها حكمه كحكم غسل الجنابة</w:t>
      </w:r>
      <w:bookmarkEnd w:id="442"/>
    </w:p>
    <w:p>
      <w:pPr>
        <w:pStyle w:val="BookText"/>
        <w:rPr/>
      </w:pPr>
      <w:r>
        <w:rPr>
          <w:rFonts w:ascii="IRNazanin" w:hAnsi="IRNazanin" w:eastAsia="IRNazanin"/>
          <w:color w:val="111111"/>
          <w:sz w:val="28"/>
          <w:sz w:val="28"/>
          <w:szCs w:val="28"/>
          <w:rtl w:val="true"/>
          <w:lang w:bidi="fa-IR"/>
        </w:rPr>
        <w:t>الواجب من غسل الجنابة عند الشكّ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كالواجد بللاً قبل الاستبراء والواجد منیّاً فی ثوبه المختصّ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كحكم غسل الجنابة على ما يظهر من الفتوى، والأحوط إلحاق المندوب به أيضاً، كاغتسال واجدي المني في الثوب المشترك احتياطاً</w:t>
      </w:r>
      <w:r>
        <w:rPr>
          <w:rFonts w:eastAsia="IRNazanin" w:cs="IRNazanin"/>
          <w:color w:val="111111"/>
          <w:sz w:val="28"/>
          <w:szCs w:val="28"/>
          <w:rtl w:val="true"/>
          <w:lang w:bidi="fa-IR"/>
        </w:rPr>
        <w:t>.</w:t>
      </w:r>
    </w:p>
    <w:p>
      <w:pPr>
        <w:pStyle w:val="Heading6"/>
        <w:numPr>
          <w:ilvl w:val="5"/>
          <w:numId w:val="1"/>
        </w:numPr>
        <w:rPr/>
      </w:pPr>
      <w:bookmarkStart w:id="443" w:name="__RefHeading___Toc13197689_1280447820"/>
      <w:bookmarkStart w:id="444" w:name="_Toc171"/>
      <w:bookmarkEnd w:id="443"/>
      <w:r>
        <w:rPr>
          <w:rtl w:val="true"/>
        </w:rPr>
        <w:t>خامسها</w:t>
      </w:r>
      <w:r>
        <w:rPr>
          <w:rtl w:val="true"/>
        </w:rPr>
        <w:t xml:space="preserve">: </w:t>
      </w:r>
      <w:r>
        <w:rPr>
          <w:rtl w:val="true"/>
        </w:rPr>
        <w:t>المستعمل من الماء الكثير في ترتيبٍ أو ارتماسٍ</w:t>
      </w:r>
      <w:bookmarkEnd w:id="444"/>
    </w:p>
    <w:p>
      <w:pPr>
        <w:pStyle w:val="BookText"/>
        <w:rPr/>
      </w:pPr>
      <w:r>
        <w:rPr>
          <w:rFonts w:ascii="Amiri" w:hAnsi="Amiri" w:eastAsia="Amiri" w:cs="Amiri"/>
          <w:color w:val="111111"/>
          <w:sz w:val="28"/>
          <w:sz w:val="28"/>
          <w:szCs w:val="28"/>
          <w:rtl w:val="true"/>
          <w:lang w:bidi="ar-SA"/>
        </w:rPr>
        <w:t>المستعمل من الماء الكثير في ترتيبٍ أو ارتماسٍ لا يحكم عليه بالحكم المتقدّم؛ اقتصاراً فيما خالف الأصل فتوىً وروايةً على المورد اليقيني،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الماء قدر كُرّ لم يحمل خبثاً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وسلب الطهوريّة خبث ولجريان السيرة على عدم الاجتناب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ماء الحمّام والغدير من النهى</w:t>
      </w:r>
      <w:r>
        <w:rPr>
          <w:rStyle w:val="FootnoteAnchor"/>
          <w:rtl w:val="true"/>
        </w:rPr>
        <w:footnoteReference w:id="654"/>
      </w:r>
      <w:r>
        <w:rPr>
          <w:rFonts w:ascii="Amiri" w:hAnsi="Amiri" w:eastAsia="Amiri" w:cs="Amiri"/>
          <w:color w:val="111111"/>
          <w:sz w:val="28"/>
          <w:sz w:val="28"/>
          <w:szCs w:val="28"/>
          <w:rtl w:val="true"/>
          <w:lang w:bidi="ar-SA"/>
        </w:rPr>
        <w:t>منزَّل على عدم بلوغه كُرّاً</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3197691_1280447820"/>
      <w:bookmarkStart w:id="446" w:name="_Toc172"/>
      <w:bookmarkEnd w:id="445"/>
      <w:r>
        <w:rPr>
          <w:rtl w:val="true"/>
        </w:rPr>
        <w:t>سادسها</w:t>
      </w:r>
      <w:r>
        <w:rPr>
          <w:rtl w:val="true"/>
        </w:rPr>
        <w:t xml:space="preserve">: </w:t>
      </w:r>
      <w:r>
        <w:rPr>
          <w:rtl w:val="true"/>
        </w:rPr>
        <w:t>لو اغتسل الجنب فبطل غسله في الأثناء، فالأقوى عدم إلحاقه بالماء المستعمل لرفع الحدث</w:t>
      </w:r>
      <w:bookmarkEnd w:id="446"/>
    </w:p>
    <w:p>
      <w:pPr>
        <w:pStyle w:val="BookText"/>
        <w:rPr/>
      </w:pPr>
      <w:r>
        <w:rPr>
          <w:rFonts w:ascii="Amiri" w:hAnsi="Amiri" w:eastAsia="Amiri" w:cs="Amiri"/>
          <w:color w:val="111111"/>
          <w:sz w:val="28"/>
          <w:sz w:val="28"/>
          <w:szCs w:val="28"/>
          <w:rtl w:val="true"/>
          <w:lang w:bidi="ar-SA"/>
        </w:rPr>
        <w:t>لو اغتسل الجنب فبطل غسله في الأثناء، فالأقوى عدم إلحاقه بالماء المستعمل لرفع الحدث، ولو تبيّن بطلانه من رأس فأولى بعدم اللحوق</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3197693_1280447820"/>
      <w:bookmarkStart w:id="448" w:name="_Toc173"/>
      <w:bookmarkEnd w:id="447"/>
      <w:r>
        <w:rPr>
          <w:rtl w:val="true"/>
        </w:rPr>
        <w:t>سابعها</w:t>
      </w:r>
      <w:r>
        <w:rPr>
          <w:rtl w:val="true"/>
        </w:rPr>
        <w:t xml:space="preserve">: </w:t>
      </w:r>
      <w:r>
        <w:rPr>
          <w:rtl w:val="true"/>
        </w:rPr>
        <w:t>حکم الماء المستعمل فی جميع الأغسال الرافع للأحداث الكبريات</w:t>
      </w:r>
      <w:bookmarkEnd w:id="448"/>
    </w:p>
    <w:p>
      <w:pPr>
        <w:pStyle w:val="BookText"/>
        <w:rPr/>
      </w:pPr>
      <w:r>
        <w:rPr>
          <w:rFonts w:ascii="Amiri" w:hAnsi="Amiri" w:eastAsia="Amiri" w:cs="Amiri"/>
          <w:color w:val="111111"/>
          <w:sz w:val="28"/>
          <w:sz w:val="28"/>
          <w:szCs w:val="28"/>
          <w:rtl w:val="true"/>
          <w:lang w:bidi="ar-SA"/>
        </w:rPr>
        <w:t>ظاهر الأصحاب إلحاق جميع الرافع للأحداث الكبريات بل والمبيح برافع الجنابة، وليس فى الأخبار دلالة صريحة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عبد الله بن سنان ما يحتمل شموله لجميع ذلك؛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على تقدير إرجاع الضمير للغسل لا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عليّ بن جعفر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ماءٍ اغتُسل فيه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لكنّها ضعيفة</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13197695_1280447820"/>
      <w:bookmarkStart w:id="450" w:name="_Toc174"/>
      <w:bookmarkEnd w:id="449"/>
      <w:r>
        <w:rPr>
          <w:rtl w:val="true"/>
        </w:rPr>
        <w:t>ثامنها</w:t>
      </w:r>
      <w:r>
        <w:rPr>
          <w:rtl w:val="true"/>
        </w:rPr>
        <w:t xml:space="preserve">: </w:t>
      </w:r>
      <w:r>
        <w:rPr>
          <w:rtl w:val="true"/>
        </w:rPr>
        <w:t>لو ارتمس الجنب في ماءٍ قليل</w:t>
      </w:r>
      <w:bookmarkEnd w:id="4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ارتمس الجنب في ماءٍ قليل ونوى بنفس الكون الغُسل، فإن خرج كان مستعملاً له ولغيره، وإن بقي فهل يكون مستعملاً أيضاً مطلقاً، أو لا يكون مستعملاً حتّى ينفصل المغتسل من </w:t>
      </w:r>
    </w:p>
    <w:p>
      <w:pPr>
        <w:pStyle w:val="BookText"/>
        <w:rPr/>
      </w:pPr>
      <w:r>
        <w:rPr>
          <w:rFonts w:ascii="Amiri" w:hAnsi="Amiri" w:eastAsia="Amiri" w:cs="Amiri"/>
          <w:color w:val="111111"/>
          <w:sz w:val="28"/>
          <w:sz w:val="28"/>
          <w:szCs w:val="28"/>
          <w:rtl w:val="true"/>
          <w:lang w:bidi="ar-SA"/>
        </w:rPr>
        <w:t>الماء، أو يكون مستعملاً بالنسبة لغيره فقط، أو بالعكس فقط ؟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مستعملاً مطلقاً وإن لم يخرج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اغتسل اثنان ونويا دفعةً، صحّ غسلهما، وإن تعاقبا بطل اللاحق، وإن جهل التاريخ فالأقوى صحّة غسلهما؛ لتمسّك كلٍّ منهما بصحّة عمله، وأصالة عدم المانع، سواء شكّا بالسابق واللاحق بعد العلم بالسبق واللحوق، أو شكّا بالسبق واللحوق والتقارن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المجنب الغسل بالإدخال، كان مستعملاً له بعد تمام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نواه بالإخراج، كان مستعملاً له بعد تمام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بقيت على بدن المرتمس لمعة لم يصبها الماء، فهل يجوز أخذ ما يغسلها من الماء الذي ارتمس فيه؛ لعدم تحقّق كونه مستعملاً إلّا بعد غَسل اللمعة، أو لا يجوز؛ لأنّ صدق الاستعمال عليه لا يتوقّف على إتمام الغسل فيه، بل يكفي كون الماء جزءَ سببٍ للرفع؟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فهل يكون جميعه مستعملاً بعد أخذ ما يغسل اللمعة منه، أو يكون المستعمل منه قدر ما جرى على اللمعة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ما يغسل اللمعة من ماءٍ آخَر، قوي على الأوّل عدم كون الماء الأوّل مستعملاً، وعلى الثاني كونه مستعملاً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اغتسل المجنب ترتيباً فإن صبّ الماء على بدنه واختلط بالماء الآخر واستهلك به فلا بأس، وإن لم يستهلك به فإن كانا متميّزين أخذ من غيره، وإلّا صار حكمه كالمستعمل؛ لأنّ المستعمل في الأجزاء كالمستعمل في الكلّ، ولا يتفاوت في الأجزاء بين الأخير والأوّل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بالجزء الأخير جدّاً، لما بقي ماء مستعمل؛ لاستهلاك ماء الجزء الأخير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ارتمس ترتيباً، فالظاهر أنّ ما رمس به رأسه أوّلاً يكون مستعملاً، ولا يجوز أن يرمس به باقي أجزاء البدن إلّا إذا تميّز عرفاً بحيث لم يكن ماءً واحداً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في كونٍ واحد وارتماسٍ واحد غسل رأسه أوّلاً في موضعه ثمّ شقّه الأيمن والأيسر، قوي أنّ ماء كلٍّ من أعضائه ليس مستعملاً بالنسبة إلى الآخَر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القول بأنّه لا يكون مستعملاً بالنسبة إلى نفسه إلّا بعد تمام رمس الأعضاء فيه أو رمس الجزء الأخير وجهٌ قويً</w:t>
      </w:r>
      <w:r>
        <w:rPr>
          <w:rFonts w:eastAsia="Amiri" w:cs="Amiri" w:ascii="Amiri" w:hAnsi="Amiri"/>
          <w:color w:val="111111"/>
          <w:sz w:val="28"/>
          <w:szCs w:val="28"/>
          <w:rtl w:val="true"/>
          <w:lang w:bidi="ar-SA"/>
        </w:rPr>
        <w:t xml:space="preserve">. </w:t>
      </w:r>
      <w:bookmarkStart w:id="451" w:name="pg18988_203298"/>
    </w:p>
    <w:p>
      <w:pPr>
        <w:pStyle w:val="BookText"/>
        <w:rPr/>
      </w:pPr>
      <w:bookmarkEnd w:id="451"/>
      <w:r>
        <w:rPr>
          <w:rFonts w:ascii="Amiri" w:hAnsi="Amiri" w:eastAsia="Amiri" w:cs="Amiri"/>
          <w:color w:val="111111"/>
          <w:sz w:val="28"/>
          <w:sz w:val="28"/>
          <w:szCs w:val="28"/>
          <w:rtl w:val="true"/>
          <w:lang w:bidi="ar-SA"/>
        </w:rPr>
        <w:t>وإن كان بالنسبة إلى غيره مستعملاً مطلقاً، فلو رمس رأسه في ماء ثمّ رمس شقّه الأيمن في آخَر ثمّ الأيسر في آخَر، كان الكلّ مستعملاً بالنسبة لغيره، والأخير فقط مستعملاً بالنسبة لنفسه ولغيره</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3197697_1280447820"/>
      <w:bookmarkStart w:id="453" w:name="_Toc175"/>
      <w:bookmarkEnd w:id="452"/>
      <w:r>
        <w:rPr>
          <w:rtl w:val="true"/>
        </w:rPr>
        <w:t>تاسعها</w:t>
      </w:r>
      <w:r>
        <w:rPr>
          <w:rtl w:val="true"/>
        </w:rPr>
        <w:t xml:space="preserve">: </w:t>
      </w:r>
      <w:r>
        <w:rPr>
          <w:rtl w:val="true"/>
        </w:rPr>
        <w:t>لو وجد ماءً قليلاً وخِيف من رجوع ماء اغتسال الجنب إليه</w:t>
      </w:r>
      <w:bookmarkEnd w:id="453"/>
    </w:p>
    <w:p>
      <w:pPr>
        <w:pStyle w:val="BookText"/>
        <w:rPr/>
      </w:pPr>
      <w:r>
        <w:rPr>
          <w:rFonts w:ascii="Amiri" w:hAnsi="Amiri" w:eastAsia="Amiri" w:cs="Amiri"/>
          <w:color w:val="111111"/>
          <w:sz w:val="28"/>
          <w:sz w:val="28"/>
          <w:szCs w:val="28"/>
          <w:rtl w:val="true"/>
          <w:lang w:bidi="ar-SA"/>
        </w:rPr>
        <w:t>لو وجد ماءً قليلاً وخِيف من رجوع ماء اغتسال الجنب إليه، استحبّ له رشّ أكفّ من ماء على الأرض من يمينه ويساره وخلفه وأمامه كي لا ينزل الماء على الماء؛ لأنّ أكثر الأرض تمسك الماء إذا تبلّلت، أو رشّ أكفّ على بدنه ليتبلّل فيسهل عليه الإسراع في الغسل كي لا يرد الماء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أحد هذين الأمرين يحمل ما جاء من الأخبار بالرّش من الجوانب الأربع أو الجانبين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13197699_1280447820"/>
      <w:bookmarkStart w:id="455" w:name="_Toc176"/>
      <w:bookmarkEnd w:id="454"/>
      <w:r>
        <w:rPr>
          <w:rtl w:val="true"/>
        </w:rPr>
        <w:t>عاشرها</w:t>
      </w:r>
      <w:r>
        <w:rPr>
          <w:rtl w:val="true"/>
        </w:rPr>
        <w:t xml:space="preserve">: </w:t>
      </w:r>
      <w:r>
        <w:rPr>
          <w:rtl w:val="true"/>
        </w:rPr>
        <w:t>ليس المدار على الوضوء والغسل، بل المدار على رفع الأكبر والأصغر</w:t>
      </w:r>
      <w:bookmarkEnd w:id="455"/>
    </w:p>
    <w:p>
      <w:pPr>
        <w:pStyle w:val="BookText"/>
        <w:rPr/>
      </w:pPr>
      <w:r>
        <w:rPr>
          <w:rFonts w:ascii="Amiri" w:hAnsi="Amiri" w:eastAsia="Amiri" w:cs="Amiri"/>
          <w:color w:val="111111"/>
          <w:sz w:val="28"/>
          <w:sz w:val="28"/>
          <w:szCs w:val="28"/>
          <w:rtl w:val="true"/>
          <w:lang w:bidi="ar-SA"/>
        </w:rPr>
        <w:t>ليس المدار على الوضوء والغسل، بل المدار على رفع الأكبر والأصغر فغسل المسّ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 أصغر لا إشكال فيه، ووضوء الحائض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دَخْل في رفع الأكبر كان من المستعمل في رفع الحدث الأكبر</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3197701_1280447820"/>
      <w:bookmarkStart w:id="457" w:name="_Toc177"/>
      <w:bookmarkEnd w:id="456"/>
      <w:r>
        <w:rPr>
          <w:rtl w:val="true"/>
        </w:rPr>
        <w:t xml:space="preserve">بحث </w:t>
      </w:r>
      <w:r>
        <w:rPr>
          <w:rtl w:val="true"/>
        </w:rPr>
        <w:t xml:space="preserve">: </w:t>
      </w:r>
      <w:r>
        <w:rPr>
          <w:rtl w:val="true"/>
        </w:rPr>
        <w:t>فی غساله ماء الحمّام</w:t>
      </w:r>
      <w:bookmarkEnd w:id="457"/>
    </w:p>
    <w:p>
      <w:pPr>
        <w:pStyle w:val="BookText"/>
        <w:rPr/>
      </w:pPr>
      <w:r>
        <w:rPr>
          <w:rFonts w:ascii="Amiri" w:hAnsi="Amiri" w:eastAsia="Amiri" w:cs="Amiri"/>
          <w:color w:val="111111"/>
          <w:sz w:val="28"/>
          <w:sz w:val="28"/>
          <w:szCs w:val="28"/>
          <w:rtl w:val="true"/>
          <w:lang w:bidi="ar-SA"/>
        </w:rPr>
        <w:t xml:space="preserve">غسالة ماء الحمّام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الحمّامات الخاصّة المعلوم تنجّس غسالتها أو عدمه أو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الماء المجتمع من غسل الأحداث وغسل الأخباث الغالب وقوعه على الأرض وانحداره في مكان مخصوص، وهو إن علم عدم استعماله في حدثٍ وخبثٍ كان طاهراً مطهّراً؛ للأصل، والعمومات والروايات الخاصّة المجوّزة لاستعماله</w:t>
      </w:r>
      <w:r>
        <w:rPr>
          <w:rStyle w:val="FootnoteAnchor"/>
          <w:rtl w:val="true"/>
        </w:rPr>
        <w:footnoteReference w:id="658"/>
      </w:r>
      <w:r>
        <w:rPr>
          <w:rFonts w:ascii="Amiri" w:hAnsi="Amiri" w:eastAsia="Amiri" w:cs="Amiri"/>
          <w:color w:val="111111"/>
          <w:sz w:val="28"/>
          <w:sz w:val="28"/>
          <w:szCs w:val="28"/>
          <w:rtl w:val="true"/>
          <w:lang w:bidi="ar-SA"/>
        </w:rPr>
        <w:t>الظاهرة في إرادة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استعماله فيهما كان نجساً؛ لأنّ المجتمع من النجس نجس، وإن علم استعماله في رفع الحدث دون رفع الخبث بني على ما تقدّم في 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كراهته في رفع الحدث، وطهارته وطهوريّته في 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يعلم شيئاً</w:t>
      </w:r>
      <w:r>
        <w:rPr>
          <w:rStyle w:val="FootnoteAnchor"/>
          <w:rtl w:val="true"/>
        </w:rPr>
        <w:footnoteReference w:id="659"/>
      </w:r>
      <w:r>
        <w:rPr>
          <w:rFonts w:ascii="Amiri" w:hAnsi="Amiri" w:eastAsia="Amiri" w:cs="Amiri"/>
          <w:color w:val="111111"/>
          <w:sz w:val="28"/>
          <w:sz w:val="28"/>
          <w:szCs w:val="28"/>
          <w:rtl w:val="true"/>
          <w:lang w:bidi="ar-SA"/>
        </w:rPr>
        <w:t xml:space="preserve">من ذلك، فهل يحكم عليه بأصالة الطهوريّة والطهارة؟ لعمومات طهوريّة </w:t>
      </w:r>
    </w:p>
    <w:p>
      <w:pPr>
        <w:pStyle w:val="BookText"/>
        <w:rPr/>
      </w:pPr>
      <w:r>
        <w:rPr>
          <w:rFonts w:ascii="Amiri" w:hAnsi="Amiri" w:eastAsia="Amiri" w:cs="Amiri"/>
          <w:color w:val="111111"/>
          <w:sz w:val="28"/>
          <w:sz w:val="28"/>
          <w:szCs w:val="28"/>
          <w:rtl w:val="true"/>
          <w:lang w:bidi="ar-SA"/>
        </w:rPr>
        <w:t>الماء واستصحاب حالته الأُولى، وللأخبار الخاصّة الدالّة على طهارة أرضه والماء الذي هو فيها</w:t>
      </w:r>
      <w:r>
        <w:rPr>
          <w:rStyle w:val="FootnoteAnchor"/>
          <w:rtl w:val="true"/>
        </w:rPr>
        <w:footnoteReference w:id="660"/>
      </w:r>
      <w:r>
        <w:rPr>
          <w:rFonts w:ascii="Amiri" w:hAnsi="Amiri" w:eastAsia="Amiri" w:cs="Amiri"/>
          <w:color w:val="111111"/>
          <w:sz w:val="28"/>
          <w:sz w:val="28"/>
          <w:szCs w:val="28"/>
          <w:rtl w:val="true"/>
          <w:lang w:bidi="ar-SA"/>
        </w:rPr>
        <w:t>مع أنّه من ماء الغسالات، وقد ورد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رِجْله منه حتّى صلّى</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جائياً من الحمّام وبينه وبين داره قذر،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بيني وبين داري ما غسلت رجلي ولا تجنّبت ماء الحمّام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ذلك على حمّامٍ عُلمت طهارة أرضه ومائه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 النافي للبأس عن إصابتها للثوب</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يحكم عليه بالنجاسة؟ تقديماً للظاهر على الأصل وللإجماع المنقول على عدم جواز استعماله بحال نقله الحلّي</w:t>
      </w:r>
      <w:r>
        <w:rPr>
          <w:rStyle w:val="FootnoteAnchor"/>
          <w:rtl w:val="true"/>
        </w:rPr>
        <w:footnoteReference w:id="664"/>
      </w:r>
      <w:r>
        <w:rPr>
          <w:rFonts w:ascii="Amiri" w:hAnsi="Amiri" w:eastAsia="Amiri" w:cs="Amiri"/>
          <w:color w:val="111111"/>
          <w:sz w:val="28"/>
          <w:sz w:val="28"/>
          <w:szCs w:val="28"/>
          <w:rtl w:val="true"/>
          <w:lang w:bidi="ar-SA"/>
        </w:rPr>
        <w:t>، وللأخبار الناهية عن الاغتسال بغسالة الحمّام</w:t>
      </w:r>
      <w:r>
        <w:rPr>
          <w:rStyle w:val="FootnoteAnchor"/>
          <w:rtl w:val="true"/>
        </w:rPr>
        <w:footnoteReference w:id="665"/>
      </w:r>
      <w:r>
        <w:rPr>
          <w:rFonts w:ascii="Amiri" w:hAnsi="Amiri" w:eastAsia="Amiri" w:cs="Amiri"/>
          <w:color w:val="111111"/>
          <w:sz w:val="28"/>
          <w:sz w:val="28"/>
          <w:szCs w:val="28"/>
          <w:rtl w:val="true"/>
          <w:lang w:bidi="ar-SA"/>
        </w:rPr>
        <w:t>، وهي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ترجيحاً للأصل على الظاهر، ومنع الإجماع مع كثرة وجود المخالف القادح، أو تسليمه وهو لا يدلّ على النجاسة؛ لأنّ المنع من الاستعمال أعمّ، ومنع دلالة الأخبار على النجاسة أيضاً، بل غاية ما تدلّ على النهي عن الاغتسال وهو أعمّ من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الأخبار معلّلة باغتسال الجنب واليهودي والنصراني وولد الزنى، فتُحمل على الحمّامات المعلوم وقوع ذلك فيها، وهو لا كلام فيه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فالحقّ عدم جواز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حدثٍ أكبر؛ للإجماع المنقول</w:t>
      </w:r>
      <w:r>
        <w:rPr>
          <w:rStyle w:val="FootnoteAnchor"/>
          <w:rtl w:val="true"/>
        </w:rPr>
        <w:footnoteReference w:id="666"/>
      </w:r>
      <w:r>
        <w:rPr>
          <w:rFonts w:ascii="IRNazanin" w:hAnsi="IRNazanin" w:eastAsia="IRNazanin"/>
          <w:color w:val="111111"/>
          <w:sz w:val="28"/>
          <w:sz w:val="28"/>
          <w:szCs w:val="28"/>
          <w:rtl w:val="true"/>
          <w:lang w:bidi="fa-IR"/>
        </w:rPr>
        <w:t>والأخبار</w:t>
      </w:r>
      <w:r>
        <w:rPr>
          <w:rStyle w:val="FootnoteAnchor"/>
          <w:rtl w:val="true"/>
        </w:rPr>
        <w:footnoteReference w:id="667"/>
      </w:r>
      <w:r>
        <w:rPr>
          <w:rFonts w:ascii="Amiri" w:hAnsi="Amiri" w:eastAsia="Amiri" w:cs="Amiri"/>
          <w:color w:val="111111"/>
          <w:sz w:val="28"/>
          <w:sz w:val="28"/>
          <w:szCs w:val="28"/>
          <w:rtl w:val="true"/>
          <w:lang w:bidi="ar-SA"/>
        </w:rPr>
        <w:t>، فإنّ إطلاقها يقضي بذلك، والتعليل بما ذكرناه منزّل على الغالب، لا أنّه يدور الحكم مداره وجوداً وعدماً ، بل وكذا في رفع حدثٍ أصغر؛ أخذاً بإطلاق الإجماع المنقول، وفتوى كثير من الأصحاب بإطلاق المنع من الاستعمال</w:t>
      </w:r>
      <w:r>
        <w:rPr>
          <w:rFonts w:eastAsia="Amiri" w:cs="Amiri" w:ascii="Amiri" w:hAnsi="Amiri"/>
          <w:color w:val="111111"/>
          <w:sz w:val="28"/>
          <w:szCs w:val="28"/>
          <w:rtl w:val="true"/>
          <w:lang w:bidi="ar-SA"/>
        </w:rPr>
        <w:t xml:space="preserve">. </w:t>
      </w:r>
      <w:bookmarkStart w:id="458" w:name="pg18988_203300"/>
    </w:p>
    <w:p>
      <w:pPr>
        <w:pStyle w:val="Heading5"/>
        <w:numPr>
          <w:ilvl w:val="4"/>
          <w:numId w:val="1"/>
        </w:numPr>
        <w:rPr/>
      </w:pPr>
      <w:bookmarkStart w:id="459" w:name="__RefHeading___Toc13197703_1280447820"/>
      <w:bookmarkStart w:id="460" w:name="_Toc178"/>
      <w:bookmarkEnd w:id="458"/>
      <w:bookmarkEnd w:id="459"/>
      <w:r>
        <w:rPr>
          <w:rtl w:val="true"/>
        </w:rPr>
        <w:t>بحث</w:t>
      </w:r>
      <w:r>
        <w:rPr>
          <w:rtl w:val="true"/>
        </w:rPr>
        <w:t xml:space="preserve">: </w:t>
      </w:r>
      <w:r>
        <w:rPr>
          <w:rtl w:val="true"/>
        </w:rPr>
        <w:t>ماء المطر</w:t>
      </w:r>
      <w:bookmarkEnd w:id="460"/>
    </w:p>
    <w:p>
      <w:pPr>
        <w:pStyle w:val="BookText"/>
        <w:rPr/>
      </w:pPr>
      <w:r>
        <w:rPr>
          <w:rFonts w:ascii="Amiri" w:hAnsi="Amiri" w:eastAsia="Amiri" w:cs="Amiri"/>
          <w:color w:val="111111"/>
          <w:sz w:val="28"/>
          <w:sz w:val="28"/>
          <w:szCs w:val="28"/>
          <w:rtl w:val="true"/>
          <w:lang w:bidi="ar-SA"/>
        </w:rPr>
        <w:t xml:space="preserve">طهور؛ للإجماع والنصّ كتاباً </w:t>
      </w:r>
      <w:r>
        <w:rPr>
          <w:rStyle w:val="FootnoteAnchor"/>
          <w:rtl w:val="true"/>
        </w:rPr>
        <w:footnoteReference w:id="668"/>
      </w:r>
      <w:r>
        <w:rPr>
          <w:rFonts w:ascii="Amiri" w:hAnsi="Amiri" w:eastAsia="Amiri" w:cs="Amiri"/>
          <w:color w:val="111111"/>
          <w:sz w:val="28"/>
          <w:sz w:val="28"/>
          <w:szCs w:val="28"/>
          <w:rtl w:val="true"/>
          <w:lang w:bidi="ar-SA"/>
        </w:rPr>
        <w:t>وسنّةً</w:t>
      </w:r>
      <w:r>
        <w:rPr>
          <w:rStyle w:val="FootnoteAnchor"/>
          <w:rtl w:val="true"/>
        </w:rPr>
        <w:footnoteReference w:id="669"/>
      </w:r>
      <w:r>
        <w:rPr>
          <w:rFonts w:ascii="Amiri" w:hAnsi="Amiri" w:eastAsia="Amiri" w:cs="Amiri"/>
          <w:color w:val="111111"/>
          <w:sz w:val="28"/>
          <w:sz w:val="28"/>
          <w:szCs w:val="28"/>
          <w:rtl w:val="true"/>
          <w:lang w:bidi="ar-SA"/>
        </w:rPr>
        <w:t>وهو مع تكاثره وجريانه على أرضٍ أو ماءٍ أو طينٍ متنجّسات وقد ذهبت عين نجاستها مطهّر لها؛ للأخبار المتكثّرة</w:t>
      </w:r>
      <w:r>
        <w:rPr>
          <w:rStyle w:val="FootnoteAnchor"/>
          <w:rtl w:val="true"/>
        </w:rPr>
        <w:footnoteReference w:id="670"/>
      </w:r>
      <w:r>
        <w:rPr>
          <w:rFonts w:ascii="Amiri" w:hAnsi="Amiri" w:eastAsia="Amiri" w:cs="Amiri"/>
          <w:color w:val="111111"/>
          <w:sz w:val="28"/>
          <w:sz w:val="28"/>
          <w:szCs w:val="28"/>
          <w:rtl w:val="true"/>
          <w:lang w:bidi="ar-SA"/>
        </w:rPr>
        <w:t>، ولعموم الكتاب</w:t>
      </w:r>
      <w:r>
        <w:rPr>
          <w:rStyle w:val="FootnoteAnchor"/>
          <w:rtl w:val="true"/>
        </w:rPr>
        <w:footnoteReference w:id="671"/>
      </w:r>
      <w:r>
        <w:rPr>
          <w:rFonts w:ascii="Amiri" w:hAnsi="Amiri" w:eastAsia="Amiri" w:cs="Amiri"/>
          <w:color w:val="111111"/>
          <w:sz w:val="28"/>
          <w:sz w:val="28"/>
          <w:szCs w:val="28"/>
          <w:rtl w:val="true"/>
          <w:lang w:bidi="ar-SA"/>
        </w:rPr>
        <w:t>الدالّ على الطهوريّة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جرى على ثوبٍ أو فراشٍ، فلا يبعد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إلحاق العصر به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ويعتصم ماء الأرض به عند نزوله وكذا كلّ ماء قليل اتّصل به؛ فإنّه لا ينفعل بملاقاته للنجاسة ما دام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ويعتصم بعضه ببعضٍ، فلا تنفعل القطرة الواقعة على المتنجّس ما دام المطر متقاطراً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انقطع ولم يطهر المتنجّس تنجّست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المطر ناعماً جدّاً بحيث يخفى إطلاق اسم المطر عليه لكونه شبيهاً بالطلّ</w:t>
      </w:r>
      <w:r>
        <w:rPr>
          <w:rStyle w:val="FootnoteAnchor"/>
          <w:rtl w:val="true"/>
        </w:rPr>
        <w:footnoteReference w:id="672"/>
      </w:r>
      <w:r>
        <w:rPr>
          <w:rFonts w:ascii="Amiri" w:hAnsi="Amiri" w:eastAsia="Amiri" w:cs="Amiri"/>
          <w:color w:val="111111"/>
          <w:sz w:val="28"/>
          <w:sz w:val="28"/>
          <w:szCs w:val="28"/>
          <w:rtl w:val="true"/>
          <w:lang w:bidi="ar-SA"/>
        </w:rPr>
        <w:t xml:space="preserve">، أو ما كان قليلاً كما إذا وقعت من الغيم قطرة واحدة من السماء أو قطرتان، أو ما كان الواقع على المتنجّس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لصغر الإناء، أو لبُعْده عن المتكاثر بحيث ينزل عليه كثيراً، أو لكونه في مكان تنزل منه القطرة وشبهها، أو توصل الريح إليها القطرة وشبهها، فهل هو في جميع ذلك مطهّر لما وقع عليه وعاصم له حتّى أنّ كلّ قطرةٍ تُطهّر ما تقع عليه فالقطرة كالكُرّ، أم لا؟ وجهان، أقواهما كونه طهوراً؛ لعموم الأدلّة، وظاهر فتوى مشهور الأصحاب، وإطلاق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المطر وقد صبّ فيه خمر فأصاب 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ويصلّي فيه ولا بأس</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461" w:name="pg18988_203301"/>
    </w:p>
    <w:p>
      <w:pPr>
        <w:pStyle w:val="BookText"/>
        <w:rPr/>
      </w:pPr>
      <w:bookmarkEnd w:id="461"/>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أصاب ثوبه ماء مطر من سطح يبال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لانصراف ذلك كلّه إلى المطر الكثير المعتاد نزوله، ولاشتراط الكثرة المفهومة من التعليل في الصحيح</w:t>
      </w:r>
      <w:r>
        <w:rPr>
          <w:rStyle w:val="FootnoteAnchor"/>
          <w:rtl w:val="true"/>
        </w:rPr>
        <w:footnoteReference w:id="676"/>
      </w:r>
      <w:r>
        <w:rPr>
          <w:rFonts w:ascii="Amiri" w:hAnsi="Amiri" w:eastAsia="Amiri" w:cs="Amiri"/>
          <w:color w:val="111111"/>
          <w:sz w:val="28"/>
          <w:sz w:val="28"/>
          <w:szCs w:val="28"/>
          <w:rtl w:val="true"/>
          <w:lang w:bidi="ar-SA"/>
        </w:rPr>
        <w:t>، وللشكّ في طهوريّته مع القلّة والانحصار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القول بعدم انفعال مائه عند اتّصاله به مطلقاً؛ للشكّ في شمول أدلّة انفعال الماء القليل لمثل ذلك فيقلّ الاحتياط من جهة ذلك، كما أنّ الأقوى أنّ اعتصام القطرات بعضها ببعضٍ وعدم انفعالها لو وقعت على متنجّسٍ مخصوص بما إذا كان نزولها في محلّ نزول غيرها وفي أثنائه، وإلّا فلو نزلت قطرة على إناءٍ نجس فأُخذ إلى مكانٍ بعيد عن تقاطر المطر تنجّست تلك القطرة، بخلاف ما لو كانت في محلّ التقاطر، فإنّها تطهّر مكانها وتبقى معصومةً إلى أن ينزل الباقي فيطهّر المحلّ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إناءٍ ماءً نجس فوقعت عليه قطرة من مطر متكاثر، فإن اكتفينا بمسمّاه طهّرته القطرة؛ لأنّها تطهّر ما تحتها ويسري التطهير إلى الجميع، وإلّا فلا بدّ من تكاثره عليه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197705_1280447820"/>
      <w:bookmarkStart w:id="463" w:name="_Toc179"/>
      <w:bookmarkEnd w:id="462"/>
      <w:r>
        <w:rPr>
          <w:rtl w:val="true"/>
        </w:rPr>
        <w:t>بحث</w:t>
      </w:r>
      <w:r>
        <w:rPr>
          <w:rtl w:val="true"/>
        </w:rPr>
        <w:t xml:space="preserve">: </w:t>
      </w:r>
      <w:r>
        <w:rPr>
          <w:rtl w:val="true"/>
        </w:rPr>
        <w:t>فی تعریف السؤر وطهارۀ سؤر کلّ حیوان طاهر</w:t>
      </w:r>
      <w:bookmarkEnd w:id="463"/>
    </w:p>
    <w:p>
      <w:pPr>
        <w:pStyle w:val="Heading5"/>
        <w:numPr>
          <w:ilvl w:val="4"/>
          <w:numId w:val="1"/>
        </w:numPr>
        <w:rPr/>
      </w:pPr>
      <w:bookmarkStart w:id="464" w:name="__RefHeading___Toc13197707_1280447820"/>
      <w:bookmarkStart w:id="465" w:name="_Toc180"/>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السؤر البقيّة من كلّ شيء والفضلة، أو بقيّة المشروب من الماء المطلق أو مطلقاً، أو ما باشره فم حيوان من الماء المطلق، أو ما باشره جسم حيوان مطلقاً من الماء المطلق، أو ما باشره من كلّ مائع ماء أو غيره، أو ما باشره فم حيوان ولو كان جامداً كسؤر الفأر، أو ما اختلط به لعاب فم حيوان مطلقاً، على وجه الحقيقة في الكلّ تواطئاً أو اشتراكاً لفظيّاً أو الحقيقة والمجاز،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باشره فم الحيوان من المائع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 المؤمن وسؤر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ما باشره الجسم مطلقاً، أو إطلاقه على ما باشره الفم ولو من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 الفأر والسنّور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ويلحق بحكمه باسمه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ثبوت حقيقةٍ شرعيّة له، كما أنّ الظاهر دخول القلّة في الماء في مفهومه، فلا يقال لما بقي من نهر أو غدير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تقدير فسؤر كلّ حيوان يتبعه في الطهارة والنجاسة على الأقوى والأظهر، وفاقاً لفتوى المشهور والأُصول والعمومات والإجماع المنقول</w:t>
      </w:r>
      <w:r>
        <w:rPr>
          <w:rStyle w:val="FootnoteAnchor"/>
          <w:rtl w:val="true"/>
        </w:rPr>
        <w:footnoteReference w:id="677"/>
      </w:r>
      <w:r>
        <w:rPr>
          <w:rFonts w:ascii="Amiri" w:hAnsi="Amiri" w:eastAsia="Amiri" w:cs="Amiri"/>
          <w:color w:val="111111"/>
          <w:sz w:val="28"/>
          <w:sz w:val="28"/>
          <w:szCs w:val="28"/>
          <w:rtl w:val="true"/>
          <w:lang w:bidi="ar-SA"/>
        </w:rPr>
        <w:t>، والروايات المتكثّرة المعتبرة الدالّة على ذلك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نفي البأس عمّا يشرب منه ما يؤكل لحمه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جواز الوضوء بما شربت منه الدجاجة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السنّور معلّلاً بأنّه من السباع</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جواز الوضوء بما يشرب منه الطير إلّا أن يكون في منقاره دم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منع جمع</w:t>
      </w:r>
      <w:r>
        <w:rPr>
          <w:rStyle w:val="FootnoteAnchor"/>
          <w:rtl w:val="true"/>
        </w:rPr>
        <w:footnoteReference w:id="682"/>
      </w:r>
      <w:r>
        <w:rPr>
          <w:rFonts w:ascii="Amiri" w:hAnsi="Amiri" w:eastAsia="Amiri" w:cs="Amiri"/>
          <w:color w:val="111111"/>
          <w:sz w:val="28"/>
          <w:sz w:val="28"/>
          <w:szCs w:val="28"/>
          <w:rtl w:val="true"/>
          <w:lang w:bidi="ar-SA"/>
        </w:rPr>
        <w:t>من فقهائنا من استعمال سؤر ما لا يؤكل لحمه إذا كان أُنسيّاً وأمكن التحرّز عنه ما عدا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w:t>
      </w:r>
      <w:r>
        <w:rPr>
          <w:rStyle w:val="FootnoteAnchor"/>
          <w:rtl w:val="true"/>
        </w:rPr>
        <w:footnoteReference w:id="683"/>
      </w:r>
      <w:r>
        <w:rPr>
          <w:rFonts w:ascii="IRNazanin" w:hAnsi="IRNazanin" w:eastAsia="IRNazanin"/>
          <w:color w:val="111111"/>
          <w:sz w:val="28"/>
          <w:sz w:val="28"/>
          <w:szCs w:val="28"/>
          <w:rtl w:val="true"/>
          <w:lang w:bidi="fa-IR"/>
        </w:rPr>
        <w:t>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أطلق المنع</w:t>
      </w:r>
      <w:r>
        <w:rPr>
          <w:rStyle w:val="FootnoteAnchor"/>
          <w:rtl w:val="true"/>
        </w:rPr>
        <w:footnoteReference w:id="684"/>
      </w:r>
      <w:r>
        <w:rPr>
          <w:rFonts w:ascii="Amiri" w:hAnsi="Amiri" w:eastAsia="Amiri" w:cs="Amiri"/>
          <w:color w:val="111111"/>
          <w:sz w:val="28"/>
          <w:sz w:val="28"/>
          <w:szCs w:val="28"/>
          <w:rtl w:val="true"/>
          <w:lang w:bidi="ar-SA"/>
        </w:rPr>
        <w:t>، وهو أعمّ من النجاسة؛ تمسّكاً بمفهوم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يؤكل لحمه يتوضّأ من سؤره ويشرب</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يستند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سؤر كلّ شيء لا يؤكل لحمه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 لضعف سند الأخير ودلالته ؛ لعدم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دلالة المفهوم وعدم قوّة معارضته لتلك، مع احتمال ورود الوصف مورد الغالب من وقوع سؤر ما يؤكل لحمه والسؤال عنه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عنه بعدم عموم المفهوم فلا نرتضيه؛ لأنّ الأقوى عموم المفهوم هنا لبقاء الموضوع العامّ منطوقاً ومفهوماً، غاية ما في الباب أنّ الحكم في المنطوق على واجد الوصف وفي المفهوم على فاقده</w:t>
      </w:r>
      <w:r>
        <w:rPr>
          <w:rFonts w:eastAsia="Amiri" w:cs="Amiri" w:ascii="Amiri" w:hAnsi="Amiri"/>
          <w:color w:val="111111"/>
          <w:sz w:val="28"/>
          <w:szCs w:val="28"/>
          <w:rtl w:val="true"/>
          <w:lang w:bidi="ar-SA"/>
        </w:rPr>
        <w:t xml:space="preserve">. </w:t>
      </w:r>
      <w:bookmarkStart w:id="466" w:name="pg18988_203303"/>
    </w:p>
    <w:p>
      <w:pPr>
        <w:pStyle w:val="BookText"/>
        <w:rPr/>
      </w:pPr>
      <w:bookmarkEnd w:id="466"/>
      <w:r>
        <w:rPr>
          <w:rFonts w:ascii="Amiri" w:hAnsi="Amiri" w:eastAsia="Amiri" w:cs="Amiri"/>
          <w:color w:val="111111"/>
          <w:sz w:val="28"/>
          <w:sz w:val="28"/>
          <w:szCs w:val="28"/>
          <w:rtl w:val="true"/>
          <w:lang w:bidi="ar-SA"/>
        </w:rPr>
        <w:t>ودعوى أنّ المفهوم سلب لكلّي المنطوق فيعود كأنّه إيجاب جزئيّ، خلاف المتبادر عرفاً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لخروج ما لم يمكن التحرّز عنه للعسر والحرج، ولخروج الطير للروايات الدالّة على جواز الشرب والوضوء من فضل الطير</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منافيين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w:t>
      </w:r>
      <w:r>
        <w:rPr>
          <w:rStyle w:val="FootnoteAnchor"/>
          <w:rtl w:val="true"/>
        </w:rPr>
        <w:footnoteReference w:id="688"/>
      </w:r>
      <w:r>
        <w:rPr>
          <w:rFonts w:ascii="Amiri" w:hAnsi="Amiri" w:eastAsia="Amiri" w:cs="Amiri"/>
          <w:color w:val="111111"/>
          <w:sz w:val="28"/>
          <w:sz w:val="28"/>
          <w:szCs w:val="28"/>
          <w:rtl w:val="true"/>
          <w:lang w:bidi="ar-SA"/>
        </w:rPr>
        <w:t>إلى نجاسة سؤر الجلّال وآكل الجيف؛ لنجاسة لعاب فمهما لتكوّنه من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التكوّن أوّلاً، وتسليمه والحكم بطهارته؛ للاستحالة ثانياً، والأصل الطهارة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3197709_1280447820"/>
      <w:bookmarkStart w:id="468" w:name="_Toc181"/>
      <w:bookmarkEnd w:id="467"/>
      <w:r>
        <w:rPr>
          <w:rtl w:val="true"/>
        </w:rPr>
        <w:t>فوائد</w:t>
      </w:r>
      <w:r>
        <w:rPr>
          <w:rtl w:val="true"/>
        </w:rPr>
        <w:t>:</w:t>
      </w:r>
      <w:bookmarkEnd w:id="468"/>
    </w:p>
    <w:p>
      <w:pPr>
        <w:pStyle w:val="Heading5"/>
        <w:numPr>
          <w:ilvl w:val="4"/>
          <w:numId w:val="1"/>
        </w:numPr>
        <w:rPr/>
      </w:pPr>
      <w:bookmarkStart w:id="469" w:name="__RefHeading___Toc13197711_1280447820"/>
      <w:bookmarkStart w:id="470" w:name="_Toc182"/>
      <w:bookmarkEnd w:id="469"/>
      <w:r>
        <w:rPr>
          <w:rtl w:val="true"/>
        </w:rPr>
        <w:t>الأُولى</w:t>
      </w:r>
      <w:r>
        <w:rPr>
          <w:rtl w:val="true"/>
        </w:rPr>
        <w:t xml:space="preserve">: </w:t>
      </w:r>
      <w:r>
        <w:rPr>
          <w:rtl w:val="true"/>
        </w:rPr>
        <w:t>زوال العين النجسة من الحيوان مطهّر له</w:t>
      </w:r>
      <w:bookmarkEnd w:id="470"/>
    </w:p>
    <w:p>
      <w:pPr>
        <w:pStyle w:val="BookText"/>
        <w:rPr/>
      </w:pPr>
      <w:r>
        <w:rPr>
          <w:rFonts w:ascii="Amiri" w:hAnsi="Amiri" w:eastAsia="Amiri" w:cs="Amiri"/>
          <w:color w:val="111111"/>
          <w:sz w:val="28"/>
          <w:sz w:val="28"/>
          <w:szCs w:val="28"/>
          <w:rtl w:val="true"/>
          <w:lang w:bidi="ar-SA"/>
        </w:rPr>
        <w:t>زوال العين النجسة من الحيوان مطهّر له؛ للإجماع، ولنفي العسر والحرج، وللسيرة القاطعة، ولظاهر كثير من الأخبار النافية للبأس عمّا يباشره جسم حيوان مع العلم بعروض النجاسة له، بل يقوى القول بالطهارة مع احتمال الزوال؛ للسيرة على ذلك في سائر الحيوانات، ولما يُفهم من الأخبار من كراهة سؤر الجلّال وآكل الجيف، مع القطع بعدم القطع بعدم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إلى غيبةٍ محتملة للتطهير فيها كما يظهر من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الإنسان فالأقوى فيه أنّ الغيبة مع احتمال التطهير مع علمه بالنجاسة مطهّرة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بالغيبة هنا هو الخفاء عن الناظر ولو لعمى أو ظلمة أو ستر أو غفلة أو نوم، لا الخروج عن مجلس الحضور، وتعبير الفقهاء بها إرشاد للفرد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الغيبة عرفاً؛ لظاهر كلماتهم، واقتصاراً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جهله بالنجاسة لا يبعد ذلك إلا أن 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الحكم بالطهارة إلّا بعد تلبسه بمشروطٍ بها، أو إخباره بتطهير ذلك النجس، كي يعاضد أصل الطهارة أصل صحّة فعل المسلم وصحّة قوله في قطع الاستصحاب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والسيرة القاضية بجواز مباشرة المسلمين من دون سؤال مع العلم بطروء النجاسة عليهم من خروج الخبث ونحوه، وجواز الاقتداء بإمام الجماعة مع العلم بطروء النجاسة عليه إلى </w:t>
      </w:r>
      <w:bookmarkStart w:id="471" w:name="pg18988_203304"/>
    </w:p>
    <w:p>
      <w:pPr>
        <w:pStyle w:val="BookText"/>
        <w:rPr/>
      </w:pPr>
      <w:bookmarkEnd w:id="471"/>
      <w:r>
        <w:rPr>
          <w:rFonts w:ascii="Amiri" w:hAnsi="Amiri" w:eastAsia="Amiri" w:cs="Amiri"/>
          <w:color w:val="111111"/>
          <w:sz w:val="28"/>
          <w:sz w:val="28"/>
          <w:szCs w:val="28"/>
          <w:rtl w:val="true"/>
          <w:lang w:bidi="ar-SA"/>
        </w:rPr>
        <w:t>غير ذلك، إنّما يقطع بها بإخبارهم بالطهارة أو بفعل ما يقضي بها مع سبق علمه بها من فعل مشروط بها ونحو ذلك</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3197713_1280447820"/>
      <w:bookmarkStart w:id="473" w:name="_Toc183"/>
      <w:bookmarkEnd w:id="472"/>
      <w:r>
        <w:rPr>
          <w:rtl w:val="true"/>
        </w:rPr>
        <w:t>الثانية</w:t>
      </w:r>
      <w:r>
        <w:rPr>
          <w:rtl w:val="true"/>
        </w:rPr>
        <w:t xml:space="preserve">: </w:t>
      </w:r>
      <w:r>
        <w:rPr>
          <w:rtl w:val="true"/>
        </w:rPr>
        <w:t>يكفي في تطهير البواطن من الإنسان زوال عين النجاسة</w:t>
      </w:r>
      <w:bookmarkEnd w:id="473"/>
    </w:p>
    <w:p>
      <w:pPr>
        <w:pStyle w:val="BookText"/>
        <w:rPr/>
      </w:pPr>
      <w:r>
        <w:rPr>
          <w:rFonts w:ascii="Amiri" w:hAnsi="Amiri" w:eastAsia="Amiri" w:cs="Amiri"/>
          <w:color w:val="111111"/>
          <w:sz w:val="28"/>
          <w:sz w:val="28"/>
          <w:szCs w:val="28"/>
          <w:rtl w:val="true"/>
          <w:lang w:bidi="ar-SA"/>
        </w:rPr>
        <w:t>يكفي في تطهير البواطن من الإنسان زوال عين النجاسة؛ للأصل، ونفي العسر والحرج، والإجماع المنقول</w:t>
      </w:r>
      <w:r>
        <w:rPr>
          <w:rStyle w:val="FootnoteAnchor"/>
          <w:rtl w:val="true"/>
        </w:rPr>
        <w:footnoteReference w:id="689"/>
      </w:r>
      <w:r>
        <w:rPr>
          <w:rFonts w:ascii="Amiri" w:hAnsi="Amiri" w:eastAsia="Amiri" w:cs="Amiri"/>
          <w:color w:val="111111"/>
          <w:sz w:val="28"/>
          <w:sz w:val="28"/>
          <w:szCs w:val="28"/>
          <w:rtl w:val="true"/>
          <w:lang w:bidi="ar-SA"/>
        </w:rPr>
        <w:t>، والأخبار المشعرة بذلك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سؤاله عن غسل جوف أنف يسيل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عليه أن يغسل ما ظهر منه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وغيره</w:t>
      </w:r>
      <w:r>
        <w:rPr>
          <w:rStyle w:val="FootnoteAnchor"/>
          <w:rtl w:val="true"/>
        </w:rPr>
        <w:footnoteReference w:id="69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3197715_1280447820"/>
      <w:bookmarkStart w:id="475" w:name="_Toc184"/>
      <w:bookmarkEnd w:id="474"/>
      <w:r>
        <w:rPr>
          <w:rtl w:val="true"/>
        </w:rPr>
        <w:t>الثالثة</w:t>
      </w:r>
      <w:r>
        <w:rPr>
          <w:rtl w:val="true"/>
        </w:rPr>
        <w:t xml:space="preserve">: </w:t>
      </w:r>
      <w:r>
        <w:rPr>
          <w:rtl w:val="true"/>
        </w:rPr>
        <w:t>لا تكفي الغيبة مع احتمال التطهير مع العلم بالنجاسة وعدمه في غير بدن الإنسان وثيابه المتّصلة به</w:t>
      </w:r>
      <w:bookmarkEnd w:id="475"/>
    </w:p>
    <w:p>
      <w:pPr>
        <w:pStyle w:val="BookText"/>
        <w:rPr/>
      </w:pPr>
      <w:r>
        <w:rPr>
          <w:rFonts w:ascii="Amiri" w:hAnsi="Amiri" w:eastAsia="Amiri" w:cs="Amiri"/>
          <w:color w:val="111111"/>
          <w:sz w:val="28"/>
          <w:sz w:val="28"/>
          <w:szCs w:val="28"/>
          <w:rtl w:val="true"/>
          <w:lang w:bidi="ar-SA"/>
        </w:rPr>
        <w:t>لا تكفي الغيبة مع احتمال التطهير مع العلم بالنجاسة وعدمه في غير بدن الإنسان وثيابه المتّصلة به من ظروف وثياب وآلات؛ للأصل مع الشكّ في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إخبار ذي اليد أو الوكيل في التطهير يُحكم بالطهارة، ولا يفتقر إلى عدالة المُخبر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شمول ذي اليد ليد الملك والعارية والوديعة بل والمغصوب؛ لقضاء السيرة بتصديقه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عدم سماع قول ذي اليد مع فسقه بعد الاستعمال له في مشروطٍ بالطهارة من صلاةٍ وغيرها، أو بعد الاستعمال مطلقاً؛ لأصالة صحّة فعل المسلم، والمقطوع به من تصديق ذي اليد هو ما كان قبل الاستعمال</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3197717_1280447820"/>
      <w:bookmarkStart w:id="477" w:name="_Toc185"/>
      <w:bookmarkEnd w:id="476"/>
      <w:r>
        <w:rPr>
          <w:rtl w:val="true"/>
        </w:rPr>
        <w:t>الرابعة</w:t>
      </w:r>
      <w:r>
        <w:rPr>
          <w:rtl w:val="true"/>
        </w:rPr>
        <w:t xml:space="preserve">: </w:t>
      </w:r>
      <w:r>
        <w:rPr>
          <w:rtl w:val="true"/>
        </w:rPr>
        <w:t>کراهۀ سؤر الخيل والبغال والحمير و ما یؤکل لحمه والجلّال وآکل الجیف</w:t>
      </w:r>
      <w:bookmarkEnd w:id="477"/>
    </w:p>
    <w:p>
      <w:pPr>
        <w:pStyle w:val="BookText"/>
        <w:rPr/>
      </w:pPr>
      <w:r>
        <w:rPr>
          <w:rFonts w:ascii="Amiri" w:hAnsi="Amiri" w:eastAsia="Amiri" w:cs="Amiri"/>
          <w:color w:val="111111"/>
          <w:sz w:val="28"/>
          <w:sz w:val="28"/>
          <w:szCs w:val="28"/>
          <w:rtl w:val="true"/>
          <w:lang w:bidi="ar-SA"/>
        </w:rPr>
        <w:t>يكره سؤر الخيل والبغال والحمير؛ لمفهوم مضمرة سماعة</w:t>
      </w:r>
      <w:r>
        <w:rPr>
          <w:rStyle w:val="FootnoteAnchor"/>
          <w:rtl w:val="true"/>
        </w:rPr>
        <w:footnoteReference w:id="692"/>
      </w:r>
      <w:r>
        <w:rPr>
          <w:rFonts w:ascii="Amiri" w:hAnsi="Amiri" w:eastAsia="Amiri" w:cs="Amiri"/>
          <w:color w:val="111111"/>
          <w:sz w:val="28"/>
          <w:sz w:val="28"/>
          <w:szCs w:val="28"/>
          <w:rtl w:val="true"/>
          <w:lang w:bidi="ar-SA"/>
        </w:rPr>
        <w:t>، وفتوى المعظم، ويكفي ذلك في إثبات السنن، ولظاهر فتوى كثير من أصحابنا</w:t>
      </w:r>
      <w:r>
        <w:rPr>
          <w:rStyle w:val="FootnoteAnchor"/>
          <w:rtl w:val="true"/>
        </w:rPr>
        <w:footnoteReference w:id="693"/>
      </w:r>
      <w:r>
        <w:rPr>
          <w:rFonts w:ascii="Amiri" w:hAnsi="Amiri" w:eastAsia="Amiri" w:cs="Amiri"/>
          <w:color w:val="111111"/>
          <w:sz w:val="28"/>
          <w:sz w:val="28"/>
          <w:szCs w:val="28"/>
          <w:rtl w:val="true"/>
          <w:lang w:bidi="ar-SA"/>
        </w:rPr>
        <w:t>من تبعيّة السؤر للّحم كراهةً وعدمها، ولاحتمال دخولها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أنّه لا يؤكل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دلّ على الجواز</w:t>
      </w:r>
      <w:r>
        <w:rPr>
          <w:rStyle w:val="FootnoteAnchor"/>
          <w:rtl w:val="true"/>
        </w:rPr>
        <w:footnoteReference w:id="694"/>
      </w:r>
      <w:r>
        <w:rPr>
          <w:rFonts w:ascii="Amiri" w:hAnsi="Amiri" w:eastAsia="Amiri" w:cs="Amiri"/>
          <w:color w:val="111111"/>
          <w:sz w:val="28"/>
          <w:sz w:val="28"/>
          <w:szCs w:val="28"/>
          <w:rtl w:val="true"/>
          <w:lang w:bidi="ar-SA"/>
        </w:rPr>
        <w:t>محمول على نفي الحرمة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سؤر ما لا يؤكل لحمه والجلّال وآكل الجيف للاحتياط، وفتوى الكثير من أصحابنا</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في كراهة سؤر ما لا يؤكل لحمه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478" w:name="pg18988_203305"/>
    </w:p>
    <w:p>
      <w:pPr>
        <w:pStyle w:val="BookText"/>
        <w:rPr/>
      </w:pPr>
      <w:bookmarkEnd w:id="478"/>
      <w:r>
        <w:rPr>
          <w:rFonts w:ascii="Amiri" w:hAnsi="Amiri" w:eastAsia="Amiri" w:cs="Amiri"/>
          <w:color w:val="111111"/>
          <w:sz w:val="28"/>
          <w:sz w:val="28"/>
          <w:szCs w:val="28"/>
          <w:rtl w:val="true"/>
          <w:lang w:bidi="ar-SA"/>
        </w:rPr>
        <w:t>نعم، قد يخرج من ذلك سؤر السنّور، إمّا لأنّها من أهل البيت كما ورد في الأخبار</w:t>
      </w:r>
      <w:r>
        <w:rPr>
          <w:rStyle w:val="FootnoteAnchor"/>
          <w:rtl w:val="true"/>
        </w:rPr>
        <w:footnoteReference w:id="697"/>
      </w:r>
      <w:r>
        <w:rPr>
          <w:rFonts w:ascii="IRNazanin" w:hAnsi="IRNazanin" w:eastAsia="IRNazanin"/>
          <w:color w:val="111111"/>
          <w:sz w:val="28"/>
          <w:sz w:val="28"/>
          <w:szCs w:val="28"/>
          <w:rtl w:val="true"/>
          <w:lang w:bidi="fa-IR"/>
        </w:rPr>
        <w:t>، وإمّا لما ورد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توضّاً بفضلها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فضل السنّور أن تتوضّأ منه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أمتنع من طعام طعم منه سنّور، ولا من شراب شرب منه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أن أدع طعاماً أكل منه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3197719_1280447820"/>
      <w:bookmarkStart w:id="480" w:name="_Toc186"/>
      <w:bookmarkEnd w:id="479"/>
      <w:r>
        <w:rPr>
          <w:rtl w:val="true"/>
        </w:rPr>
        <w:t>الخامسة</w:t>
      </w:r>
      <w:r>
        <w:rPr>
          <w:rtl w:val="true"/>
        </w:rPr>
        <w:t xml:space="preserve">: </w:t>
      </w:r>
      <w:r>
        <w:rPr>
          <w:rtl w:val="true"/>
        </w:rPr>
        <w:t>كراهۀ سؤر الحائض الغير مأمونة في الشرب والوضوء</w:t>
      </w:r>
      <w:bookmarkEnd w:id="480"/>
    </w:p>
    <w:p>
      <w:pPr>
        <w:pStyle w:val="BookText"/>
        <w:rPr/>
      </w:pPr>
      <w:r>
        <w:rPr>
          <w:rFonts w:ascii="Amiri" w:hAnsi="Amiri" w:eastAsia="Amiri" w:cs="Amiri"/>
          <w:color w:val="111111"/>
          <w:sz w:val="28"/>
          <w:sz w:val="28"/>
          <w:szCs w:val="28"/>
          <w:rtl w:val="true"/>
          <w:lang w:bidi="ar-SA"/>
        </w:rPr>
        <w:t>كراهۀ سؤر الحائض الغير مأمونة في الشرب والوضوء على الأظهر، ولا يكره في خصوص الوضوء فقط، ولا يكره سؤرها مطلقاً، ولا يحرم سؤرها، كلّ ذلك لفتوى المشهور، وللجمع بين ما دلّ على المنع من استعمال سؤرها في الوضوء</w:t>
      </w:r>
      <w:r>
        <w:rPr>
          <w:rStyle w:val="FootnoteAnchor"/>
          <w:rtl w:val="true"/>
        </w:rPr>
        <w:footnoteReference w:id="702"/>
      </w:r>
      <w:r>
        <w:rPr>
          <w:rFonts w:ascii="Amiri" w:hAnsi="Amiri" w:eastAsia="Amiri" w:cs="Amiri"/>
          <w:color w:val="111111"/>
          <w:sz w:val="28"/>
          <w:sz w:val="28"/>
          <w:szCs w:val="28"/>
          <w:rtl w:val="true"/>
          <w:lang w:bidi="ar-SA"/>
        </w:rPr>
        <w:t>، وبين ما دلّ على التقييد بكونها غير مأمونة، كما دلّت عليه الروايات المعتبرة المعلّقة للإذن بالوضوء على أنّها إذا كانت مأمونة</w:t>
      </w:r>
      <w:r>
        <w:rPr>
          <w:rStyle w:val="FootnoteAnchor"/>
          <w:rtl w:val="true"/>
        </w:rPr>
        <w:footnoteReference w:id="703"/>
      </w:r>
      <w:r>
        <w:rPr>
          <w:rFonts w:ascii="Amiri" w:hAnsi="Amiri" w:eastAsia="Amiri" w:cs="Amiri"/>
          <w:color w:val="111111"/>
          <w:sz w:val="28"/>
          <w:sz w:val="28"/>
          <w:szCs w:val="28"/>
          <w:rtl w:val="true"/>
          <w:lang w:bidi="ar-SA"/>
        </w:rPr>
        <w:t>، ولإلحاق الشرب وباقي الاستعمالات بالوضوء؛ لفتوى المشهور، ولفهم العلّة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من الأخبار المجوّزة للشرب</w:t>
      </w:r>
      <w:r>
        <w:rPr>
          <w:rStyle w:val="FootnoteAnchor"/>
          <w:rtl w:val="true"/>
        </w:rPr>
        <w:footnoteReference w:id="704"/>
      </w:r>
      <w:r>
        <w:rPr>
          <w:rFonts w:ascii="Amiri" w:hAnsi="Amiri" w:eastAsia="Amiri" w:cs="Amiri"/>
          <w:color w:val="111111"/>
          <w:sz w:val="28"/>
          <w:sz w:val="28"/>
          <w:szCs w:val="28"/>
          <w:rtl w:val="true"/>
          <w:lang w:bidi="ar-SA"/>
        </w:rPr>
        <w:t>محمولة على الجواز بالمعنى الأعمّ؛ لفتوى المشهور بالكراهة وكفاية ذلك في ثبوت حكم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صرف النهي إلى الكراهة فيدلّ عليه فتوى الأصحاب، وخبر أبي هلال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يتوضّأ منه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والمستحاضة والنفساء كالحائض ولا يبعد إلحاق الجنب بالحائض؛ للخبر</w:t>
      </w:r>
      <w:r>
        <w:rPr>
          <w:rStyle w:val="FootnoteAnchor"/>
          <w:rtl w:val="true"/>
        </w:rPr>
        <w:footnoteReference w:id="706"/>
      </w:r>
      <w:r>
        <w:rPr>
          <w:rFonts w:ascii="IRNazanin" w:hAnsi="IRNazanin" w:eastAsia="IRNazanin"/>
          <w:color w:val="111111"/>
          <w:sz w:val="28"/>
          <w:sz w:val="28"/>
          <w:szCs w:val="28"/>
          <w:rtl w:val="true"/>
          <w:lang w:bidi="fa-IR"/>
        </w:rPr>
        <w:t>وفتوى جمع من أصحابنا</w:t>
      </w:r>
      <w:r>
        <w:rPr>
          <w:rStyle w:val="FootnoteAnchor"/>
          <w:rtl w:val="true"/>
        </w:rPr>
        <w:footnoteReference w:id="707"/>
      </w:r>
      <w:r>
        <w:rPr>
          <w:rFonts w:ascii="Amiri" w:hAnsi="Amiri" w:eastAsia="Amiri" w:cs="Amiri"/>
          <w:color w:val="111111"/>
          <w:sz w:val="28"/>
          <w:sz w:val="28"/>
          <w:szCs w:val="28"/>
          <w:rtl w:val="true"/>
          <w:lang w:bidi="ar-SA"/>
        </w:rPr>
        <w:t>، بل كلّ غير مأمونٍ من توقّي النجاسات، وإلحاق كلّ مباشرة لها برطوبة بالسؤر، فهماً للعلّيّة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81" w:name="pg18988_203306"/>
    </w:p>
    <w:p>
      <w:pPr>
        <w:pStyle w:val="BookText"/>
        <w:rPr/>
      </w:pPr>
      <w:bookmarkEnd w:id="481"/>
      <w:r>
        <w:rPr>
          <w:rFonts w:ascii="Amiri" w:hAnsi="Amiri" w:eastAsia="Amiri" w:cs="Amiri"/>
          <w:color w:val="111111"/>
          <w:sz w:val="28"/>
          <w:sz w:val="28"/>
          <w:szCs w:val="28"/>
          <w:rtl w:val="true"/>
          <w:lang w:bidi="ar-SA"/>
        </w:rPr>
        <w:t>وعبّر بعضهم</w:t>
      </w:r>
      <w:r>
        <w:rPr>
          <w:rStyle w:val="FootnoteAnchor"/>
          <w:rtl w:val="true"/>
        </w:rPr>
        <w:footnoteReference w:id="709"/>
      </w:r>
      <w:r>
        <w:rPr>
          <w:rFonts w:ascii="Amiri" w:hAnsi="Amiri" w:eastAsia="Amiri" w:cs="Amiri"/>
          <w:color w:val="111111"/>
          <w:sz w:val="28"/>
          <w:sz w:val="28"/>
          <w:szCs w:val="28"/>
          <w:rtl w:val="true"/>
          <w:lang w:bidi="ar-SA"/>
        </w:rPr>
        <w:t>بكراهة سؤر المتّهمة بعدم التوقّي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أخصّ من غير المأمونة؛ لدخول مجهولة الحال في غير المأمونة دون المتّهمة، ولأنّ مَنْ لا يؤمن قد لا يتّهم ككثير من الناس، فإنّهم لا يؤمنون ولا يتّهمون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ولايبعد أنّ التعبير في الأخبار بالمأمونة</w:t>
      </w:r>
      <w:r>
        <w:rPr>
          <w:rStyle w:val="FootnoteAnchor"/>
          <w:rtl w:val="true"/>
        </w:rPr>
        <w:footnoteReference w:id="710"/>
      </w:r>
      <w:r>
        <w:rPr>
          <w:rFonts w:ascii="Amiri" w:hAnsi="Amiri" w:eastAsia="Amiri" w:cs="Amiri"/>
          <w:color w:val="111111"/>
          <w:sz w:val="28"/>
          <w:sz w:val="28"/>
          <w:szCs w:val="28"/>
          <w:rtl w:val="true"/>
          <w:lang w:bidi="ar-SA"/>
        </w:rPr>
        <w:t>يراد بها ذلك توسّعاً، فيكون من قبيل المجاز المشهور قرينته فهم المشهور له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السيرة ونفي العسر والحرج يدلّان على إرادة المتهمة من غير المأمونة، فلا يكره سؤر مجهولة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المأمون ضدّ المتّهم، لكن ليس كلّما ارتفع أحد الضدّين ثبت الضدّ الآخَر؛ لإمكان ارتفاعهما معاً، فلا يلزم أن يكون غير المتّهم مأموناً ولا غير المأمون متّهماً</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3197721_1280447820"/>
      <w:bookmarkStart w:id="483" w:name="_Toc187"/>
      <w:bookmarkEnd w:id="482"/>
      <w:r>
        <w:rPr>
          <w:rtl w:val="true"/>
        </w:rPr>
        <w:t>السادسة</w:t>
      </w:r>
      <w:r>
        <w:rPr>
          <w:rtl w:val="true"/>
        </w:rPr>
        <w:t xml:space="preserve">: </w:t>
      </w:r>
      <w:r>
        <w:rPr>
          <w:rtl w:val="true"/>
        </w:rPr>
        <w:t>طهارۀ سؤر ولد الزنی وکراهۀ</w:t>
      </w:r>
      <w:bookmarkEnd w:id="483"/>
    </w:p>
    <w:p>
      <w:pPr>
        <w:pStyle w:val="BookText"/>
        <w:rPr/>
      </w:pPr>
      <w:r>
        <w:rPr>
          <w:rFonts w:ascii="Amiri" w:hAnsi="Amiri" w:eastAsia="Amiri" w:cs="Amiri"/>
          <w:color w:val="111111"/>
          <w:sz w:val="28"/>
          <w:sz w:val="28"/>
          <w:szCs w:val="28"/>
          <w:rtl w:val="true"/>
          <w:lang w:bidi="ar-SA"/>
        </w:rPr>
        <w:t>لا ينجس سؤر ولد الزنى؛ للأصل، والعمومات الدالة على طهارة المسلمين، وفتوى المشهور، وسيرة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للأخبار</w:t>
      </w:r>
      <w:r>
        <w:rPr>
          <w:rStyle w:val="FootnoteAnchor"/>
          <w:rtl w:val="true"/>
        </w:rPr>
        <w:footnoteReference w:id="711"/>
      </w:r>
      <w:r>
        <w:rPr>
          <w:rFonts w:ascii="Amiri" w:hAnsi="Amiri" w:eastAsia="Amiri" w:cs="Amiri"/>
          <w:color w:val="111111"/>
          <w:sz w:val="28"/>
          <w:sz w:val="28"/>
          <w:szCs w:val="28"/>
          <w:rtl w:val="true"/>
          <w:lang w:bidi="ar-SA"/>
        </w:rPr>
        <w:t>الدالّة على ذلك خصوصاً، والأخبار الناهية عن الاغتسال بغسالة ماء الحمّام المعلّلة لذلك بأنّ فيها غسالة ولد الزنى</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أصحابنا إلى نجاسته؛ لكفره</w:t>
      </w:r>
      <w:r>
        <w:rPr>
          <w:rStyle w:val="FootnoteAnchor"/>
          <w:rtl w:val="true"/>
        </w:rPr>
        <w:footnoteReference w:id="713"/>
      </w:r>
      <w:r>
        <w:rPr>
          <w:rFonts w:ascii="Amiri" w:hAnsi="Amiri" w:eastAsia="Amiri" w:cs="Amiri"/>
          <w:color w:val="111111"/>
          <w:sz w:val="28"/>
          <w:sz w:val="28"/>
          <w:szCs w:val="28"/>
          <w:rtl w:val="true"/>
          <w:lang w:bidi="ar-SA"/>
        </w:rPr>
        <w:t>، وللأخبار المتقدّمة</w:t>
      </w:r>
      <w:r>
        <w:rPr>
          <w:rStyle w:val="FootnoteAnchor"/>
          <w:rtl w:val="true"/>
        </w:rPr>
        <w:footnoteReference w:id="714"/>
      </w:r>
      <w:r>
        <w:rPr>
          <w:rFonts w:ascii="IRNazanin" w:hAnsi="IRNazanin" w:eastAsia="IRNazanin"/>
          <w:color w:val="111111"/>
          <w:sz w:val="28"/>
          <w:sz w:val="28"/>
          <w:szCs w:val="28"/>
          <w:rtl w:val="true"/>
          <w:lang w:bidi="fa-IR"/>
        </w:rPr>
        <w:t>، وللإجماع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 ضعيف؛ لمنع ثبوت کفره حال اختیاره كما تشهد به الضرورة، ولزوم الجبر لو قلنا باضطراره إليه، ولضعف الأخبار بإعراض المشهور عنها، ولمنع الإجماع مع فتوى المشهور على خلافه</w:t>
      </w:r>
      <w:r>
        <w:rPr>
          <w:rFonts w:eastAsia="IRNazanin" w:cs="IRNazanin"/>
          <w:color w:val="111111"/>
          <w:sz w:val="28"/>
          <w:szCs w:val="28"/>
          <w:rtl w:val="true"/>
          <w:lang w:bidi="fa-IR"/>
        </w:rPr>
        <w:t>.</w:t>
      </w:r>
    </w:p>
    <w:p>
      <w:pPr>
        <w:pStyle w:val="Heading5"/>
        <w:numPr>
          <w:ilvl w:val="4"/>
          <w:numId w:val="1"/>
        </w:numPr>
        <w:rPr/>
      </w:pPr>
      <w:bookmarkStart w:id="484" w:name="__RefHeading___Toc13197723_1280447820"/>
      <w:bookmarkStart w:id="485" w:name="_Toc188"/>
      <w:bookmarkEnd w:id="484"/>
      <w:r>
        <w:rPr>
          <w:rtl w:val="true"/>
        </w:rPr>
        <w:t>السابعة</w:t>
      </w:r>
      <w:r>
        <w:rPr>
          <w:rtl w:val="true"/>
        </w:rPr>
        <w:t xml:space="preserve">: </w:t>
      </w:r>
      <w:r>
        <w:rPr>
          <w:rtl w:val="true"/>
        </w:rPr>
        <w:t>حکم سؤر المسوخ</w:t>
      </w:r>
      <w:bookmarkEnd w:id="485"/>
    </w:p>
    <w:p>
      <w:pPr>
        <w:pStyle w:val="BookText"/>
        <w:rPr/>
      </w:pPr>
      <w:r>
        <w:rPr>
          <w:rFonts w:ascii="Amiri" w:hAnsi="Amiri" w:eastAsia="Amiri" w:cs="Amiri"/>
          <w:color w:val="111111"/>
          <w:sz w:val="28"/>
          <w:sz w:val="28"/>
          <w:szCs w:val="28"/>
          <w:rtl w:val="true"/>
          <w:lang w:bidi="ar-SA"/>
        </w:rPr>
        <w:t>الأظهر طهارة سؤر المسوخ لطهارتها، كالفأرة والعقرب والوزغ والأرنب والقرد والضبّ والدبّ والفيل والذئب والوطواط والزنبور والجرّي، ما عدا الخنزير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w:t>
      </w:r>
      <w:r>
        <w:rPr>
          <w:rStyle w:val="FootnoteAnchor"/>
          <w:rtl w:val="true"/>
        </w:rPr>
        <w:footnoteReference w:id="715"/>
      </w:r>
      <w:r>
        <w:rPr>
          <w:rFonts w:ascii="Amiri" w:hAnsi="Amiri" w:eastAsia="Amiri" w:cs="Amiri"/>
          <w:color w:val="111111"/>
          <w:sz w:val="28"/>
          <w:sz w:val="28"/>
          <w:szCs w:val="28"/>
          <w:rtl w:val="true"/>
          <w:lang w:bidi="ar-SA"/>
        </w:rPr>
        <w:t>إلى نجاستها؛ للنهي عن بيع القرد</w:t>
      </w:r>
      <w:r>
        <w:rPr>
          <w:rStyle w:val="FootnoteAnchor"/>
          <w:rtl w:val="true"/>
        </w:rPr>
        <w:footnoteReference w:id="716"/>
      </w:r>
      <w:r>
        <w:rPr>
          <w:rFonts w:ascii="Amiri" w:hAnsi="Amiri" w:eastAsia="Amiri" w:cs="Amiri"/>
          <w:color w:val="111111"/>
          <w:sz w:val="28"/>
          <w:sz w:val="28"/>
          <w:szCs w:val="28"/>
          <w:rtl w:val="true"/>
          <w:lang w:bidi="ar-SA"/>
        </w:rPr>
        <w:t>، ويثبت الباقي للقول بعدم الفصل</w:t>
      </w:r>
      <w:r>
        <w:rPr>
          <w:rFonts w:eastAsia="Amiri" w:cs="Amiri" w:ascii="Amiri" w:hAnsi="Amiri"/>
          <w:color w:val="111111"/>
          <w:sz w:val="28"/>
          <w:szCs w:val="28"/>
          <w:rtl w:val="true"/>
          <w:lang w:bidi="ar-SA"/>
        </w:rPr>
        <w:t xml:space="preserve">. </w:t>
      </w:r>
      <w:bookmarkStart w:id="486" w:name="pg18988_203307"/>
    </w:p>
    <w:p>
      <w:pPr>
        <w:pStyle w:val="BookText"/>
        <w:rPr/>
      </w:pPr>
      <w:bookmarkEnd w:id="486"/>
      <w:r>
        <w:rPr>
          <w:rFonts w:ascii="Amiri" w:hAnsi="Amiri" w:eastAsia="Amiri" w:cs="Amiri"/>
          <w:color w:val="111111"/>
          <w:sz w:val="28"/>
          <w:sz w:val="28"/>
          <w:szCs w:val="28"/>
          <w:rtl w:val="true"/>
          <w:lang w:bidi="ar-SA"/>
        </w:rPr>
        <w:t>وهو ضعيف؛ لعدم دلالة النهي عن البيع على النجاسة أوّلاً، ومنع الإجماع المركّب ثانياً ، وحمل النهي على الكراهة ثالثاً ، ومخالفة الخبر لفتوى المشهور بالطهارة وللأصل والعمومات وسيرة المسلمين رابعاً، وما دلّ على جواز اتّخاذ المشط من العاج خامساً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يكره سؤرها؛ تفصّياً عن شبهة الخلاف، ولأنّها مما لا يؤكل لحمه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3197725_1280447820"/>
      <w:bookmarkStart w:id="488" w:name="_Toc189"/>
      <w:bookmarkEnd w:id="487"/>
      <w:r>
        <w:rPr>
          <w:rtl w:val="true"/>
        </w:rPr>
        <w:t>الثامنة</w:t>
      </w:r>
      <w:r>
        <w:rPr>
          <w:rtl w:val="true"/>
        </w:rPr>
        <w:t xml:space="preserve">: </w:t>
      </w:r>
      <w:r>
        <w:rPr>
          <w:rtl w:val="true"/>
        </w:rPr>
        <w:t>هل الثعلب والأرنب طاهر أم نجس؟</w:t>
      </w:r>
      <w:bookmarkEnd w:id="488"/>
    </w:p>
    <w:p>
      <w:pPr>
        <w:pStyle w:val="BookText"/>
        <w:rPr/>
      </w:pPr>
      <w:r>
        <w:rPr>
          <w:rFonts w:ascii="Amiri" w:hAnsi="Amiri" w:eastAsia="Amiri" w:cs="Amiri"/>
          <w:color w:val="111111"/>
          <w:sz w:val="28"/>
          <w:sz w:val="28"/>
          <w:szCs w:val="28"/>
          <w:rtl w:val="true"/>
          <w:lang w:bidi="ar-SA"/>
        </w:rPr>
        <w:t>الأظهر طهارة الثعلب والأرنب للأصل والعمومات والأخبار الدالّة على طهارة الوحش والسباع</w:t>
      </w:r>
      <w:r>
        <w:rPr>
          <w:rStyle w:val="FootnoteAnchor"/>
          <w:rtl w:val="true"/>
        </w:rPr>
        <w:footnoteReference w:id="718"/>
      </w:r>
      <w:r>
        <w:rPr>
          <w:rFonts w:ascii="Amiri" w:hAnsi="Amiri" w:eastAsia="Amiri" w:cs="Amiri"/>
          <w:color w:val="111111"/>
          <w:sz w:val="28"/>
          <w:sz w:val="28"/>
          <w:szCs w:val="28"/>
          <w:rtl w:val="true"/>
          <w:lang w:bidi="ar-SA"/>
        </w:rPr>
        <w:t>، ولما دلّ على جواز لُبْس جلدهما</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وكراهة سؤرهما؛ لما دلّ على كراهة سور ما لا يؤكل لحمه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 إلى نجاستهما</w:t>
      </w:r>
      <w:r>
        <w:rPr>
          <w:rStyle w:val="FootnoteAnchor"/>
          <w:rtl w:val="true"/>
        </w:rPr>
        <w:footnoteReference w:id="721"/>
      </w:r>
      <w:r>
        <w:rPr>
          <w:rFonts w:ascii="IRNazanin" w:hAnsi="IRNazanin" w:eastAsia="IRNazanin"/>
          <w:color w:val="111111"/>
          <w:sz w:val="28"/>
          <w:sz w:val="28"/>
          <w:szCs w:val="28"/>
          <w:rtl w:val="true"/>
          <w:lang w:bidi="fa-IR"/>
        </w:rPr>
        <w:t>، ونقل بعضهم الإجماع</w:t>
      </w:r>
      <w:r>
        <w:rPr>
          <w:rStyle w:val="FootnoteAnchor"/>
          <w:rtl w:val="true"/>
        </w:rPr>
        <w:footnoteReference w:id="722"/>
      </w:r>
      <w:r>
        <w:rPr>
          <w:rFonts w:ascii="IRNazanin" w:hAnsi="IRNazanin" w:eastAsia="IRNazanin"/>
          <w:color w:val="111111"/>
          <w:sz w:val="28"/>
          <w:sz w:val="28"/>
          <w:szCs w:val="28"/>
          <w:rtl w:val="true"/>
          <w:lang w:bidi="fa-IR"/>
        </w:rPr>
        <w:t>، واستند بعضٌ</w:t>
      </w:r>
      <w:r>
        <w:rPr>
          <w:rStyle w:val="FootnoteAnchor"/>
          <w:rtl w:val="true"/>
        </w:rPr>
        <w:footnoteReference w:id="723"/>
      </w:r>
      <w:r>
        <w:rPr>
          <w:rFonts w:ascii="Amiri" w:hAnsi="Amiri" w:eastAsia="Amiri" w:cs="Amiri"/>
          <w:color w:val="111111"/>
          <w:sz w:val="28"/>
          <w:sz w:val="28"/>
          <w:szCs w:val="28"/>
          <w:rtl w:val="true"/>
          <w:lang w:bidi="ar-SA"/>
        </w:rPr>
        <w:t>إلى ما ورد من الأمر لماسّهما بغسل يده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 لا يصلحان لمعارضة ما تقدّم</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3197727_1280447820"/>
      <w:bookmarkStart w:id="490" w:name="_Toc190"/>
      <w:bookmarkEnd w:id="489"/>
      <w:r>
        <w:rPr>
          <w:rtl w:val="true"/>
        </w:rPr>
        <w:t>التاسعة</w:t>
      </w:r>
      <w:r>
        <w:rPr>
          <w:rtl w:val="true"/>
        </w:rPr>
        <w:t xml:space="preserve">: </w:t>
      </w:r>
      <w:r>
        <w:rPr>
          <w:rtl w:val="true"/>
        </w:rPr>
        <w:t>طهارة سؤر الحيّة والوزغة والعقرب حياةً وكراهته</w:t>
      </w:r>
      <w:bookmarkEnd w:id="490"/>
    </w:p>
    <w:p>
      <w:pPr>
        <w:pStyle w:val="BookText"/>
        <w:rPr/>
      </w:pPr>
      <w:r>
        <w:rPr>
          <w:rFonts w:ascii="Amiri" w:hAnsi="Amiri" w:eastAsia="Amiri" w:cs="Amiri"/>
          <w:color w:val="111111"/>
          <w:sz w:val="28"/>
          <w:sz w:val="28"/>
          <w:szCs w:val="28"/>
          <w:rtl w:val="true"/>
          <w:lang w:bidi="ar-SA"/>
        </w:rPr>
        <w:t>الحقّ طهارة سؤر الحيّة والوزغة والعقرب حياةً وموتاً، وكراهته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والعمومات وخصوص الروايات</w:t>
      </w:r>
      <w:r>
        <w:rPr>
          <w:rStyle w:val="FootnoteAnchor"/>
          <w:rtl w:val="true"/>
        </w:rPr>
        <w:footnoteReference w:id="725"/>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كصحيحة عليّ، النافية للبأس عن الوضوء بما يقع فيه الحيّة والعضاية والوزغ فلا يموت</w:t>
      </w:r>
      <w:r>
        <w:rPr>
          <w:rStyle w:val="FootnoteAnchor"/>
          <w:rtl w:val="true"/>
        </w:rPr>
        <w:footnoteReference w:id="726"/>
      </w:r>
      <w:r>
        <w:rPr>
          <w:rFonts w:ascii="Amiri" w:hAnsi="Amiri" w:eastAsia="Amiri" w:cs="Amiri"/>
          <w:color w:val="111111"/>
          <w:sz w:val="28"/>
          <w:sz w:val="28"/>
          <w:szCs w:val="28"/>
          <w:rtl w:val="true"/>
          <w:lang w:bidi="ar-SA"/>
        </w:rPr>
        <w:t>، ورواية عمّار بعد سؤاله عن موت الخنفساء والذباب والجراد والنملة وما أشبه ذلك في الزيت والسمن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له دم لا بأس به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491" w:name="pg18988_203308"/>
    </w:p>
    <w:p>
      <w:pPr>
        <w:pStyle w:val="BookText"/>
        <w:rPr/>
      </w:pPr>
      <w:bookmarkEnd w:id="491"/>
      <w:r>
        <w:rPr>
          <w:rFonts w:ascii="Amiri" w:hAnsi="Amiri" w:eastAsia="Amiri" w:cs="Amiri"/>
          <w:color w:val="111111"/>
          <w:sz w:val="28"/>
          <w:sz w:val="28"/>
          <w:szCs w:val="28"/>
          <w:rtl w:val="true"/>
          <w:lang w:bidi="ar-SA"/>
        </w:rPr>
        <w:t>والرواية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وغير ذلك من المعتبر </w:t>
      </w:r>
      <w:r>
        <w:rPr>
          <w:rStyle w:val="FootnoteAnchor"/>
          <w:rtl w:val="true"/>
        </w:rPr>
        <w:footnoteReference w:id="729"/>
      </w:r>
      <w:r>
        <w:rPr>
          <w:rFonts w:ascii="IRNazanin" w:hAnsi="IRNazanin" w:eastAsia="IRNazanin"/>
          <w:color w:val="111111"/>
          <w:sz w:val="28"/>
          <w:sz w:val="28"/>
          <w:szCs w:val="28"/>
          <w:rtl w:val="true"/>
          <w:lang w:bidi="fa-IR"/>
        </w:rPr>
        <w:t>المنجبر بفتوى المشهور وعمل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حصول النفرة المتوهّمة من حصول السمّ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730"/>
      </w:r>
      <w:r>
        <w:rPr>
          <w:rFonts w:ascii="Amiri" w:hAnsi="Amiri" w:eastAsia="Amiri" w:cs="Amiri"/>
          <w:color w:val="111111"/>
          <w:sz w:val="28"/>
          <w:sz w:val="28"/>
          <w:szCs w:val="28"/>
          <w:rtl w:val="true"/>
          <w:lang w:bidi="ar-SA"/>
        </w:rPr>
        <w:t>الدالّة على كراهة سؤر ما لا يؤكل لحمه؛ بناءً على شمولها لها وإن لم يكن لبعضها لحم، والأخبار الخاصّة الآمرة بإهراق الماء الداخلة فيه الحيّة، والآمرة بإهراق الماء أو ماء الجرّة الواقعة فيه عقرب</w:t>
      </w:r>
      <w:r>
        <w:rPr>
          <w:rStyle w:val="FootnoteAnchor"/>
          <w:rtl w:val="true"/>
        </w:rPr>
        <w:footnoteReference w:id="731"/>
      </w:r>
      <w:r>
        <w:rPr>
          <w:rFonts w:ascii="Amiri" w:hAnsi="Amiri" w:eastAsia="Amiri" w:cs="Amiri"/>
          <w:color w:val="111111"/>
          <w:sz w:val="28"/>
          <w:sz w:val="28"/>
          <w:szCs w:val="28"/>
          <w:rtl w:val="true"/>
          <w:lang w:bidi="ar-SA"/>
        </w:rPr>
        <w:t>، والخبر الدالّ على عدم الانتفاع بما يقع فيه الوزغ</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3197729_1280447820"/>
      <w:bookmarkStart w:id="493" w:name="_Toc191"/>
      <w:bookmarkEnd w:id="492"/>
      <w:r>
        <w:rPr>
          <w:rtl w:val="true"/>
        </w:rPr>
        <w:t>العاشرة</w:t>
      </w:r>
      <w:r>
        <w:rPr>
          <w:rtl w:val="true"/>
        </w:rPr>
        <w:t xml:space="preserve">: </w:t>
      </w:r>
      <w:r>
        <w:rPr>
          <w:rtl w:val="true"/>
        </w:rPr>
        <w:t>طهارۀ سؤر الفارۀ وکراهۀ</w:t>
      </w:r>
      <w:bookmarkEnd w:id="493"/>
    </w:p>
    <w:p>
      <w:pPr>
        <w:pStyle w:val="BookText"/>
        <w:rPr/>
      </w:pPr>
      <w:r>
        <w:rPr>
          <w:rFonts w:ascii="Amiri" w:hAnsi="Amiri" w:eastAsia="Amiri" w:cs="Amiri"/>
          <w:color w:val="111111"/>
          <w:sz w:val="28"/>
          <w:sz w:val="28"/>
          <w:szCs w:val="28"/>
          <w:rtl w:val="true"/>
          <w:lang w:bidi="ar-SA"/>
        </w:rPr>
        <w:t>سؤر الدجاج طاهر؛ للعمومات والأخبار الخاصّة</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سؤر الحشرات والديدان، وما تولّد من نجس أو من طاهر كدود القزّ ودود العذرة وسلبوح الدم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كراهة سؤر الدجاج لفتوى بعضٍ من أصحابنا</w:t>
      </w:r>
      <w:r>
        <w:rPr>
          <w:rStyle w:val="FootnoteAnchor"/>
          <w:rtl w:val="true"/>
        </w:rPr>
        <w:footnoteReference w:id="734"/>
      </w:r>
      <w:r>
        <w:rPr>
          <w:rFonts w:ascii="Amiri" w:hAnsi="Amiri" w:eastAsia="Amiri" w:cs="Amiri"/>
          <w:color w:val="111111"/>
          <w:sz w:val="28"/>
          <w:sz w:val="28"/>
          <w:szCs w:val="28"/>
          <w:rtl w:val="true"/>
          <w:lang w:bidi="ar-SA"/>
        </w:rPr>
        <w:t>به، سيّما إذا كانت مهملةً، كما أفتى به بعضٌ</w:t>
      </w:r>
      <w:r>
        <w:rPr>
          <w:rStyle w:val="FootnoteAnchor"/>
          <w:rtl w:val="true"/>
        </w:rPr>
        <w:footnoteReference w:id="735"/>
      </w:r>
      <w:r>
        <w:rPr>
          <w:rFonts w:ascii="Amiri" w:hAnsi="Amiri" w:eastAsia="Amiri" w:cs="Amiri"/>
          <w:color w:val="111111"/>
          <w:sz w:val="28"/>
          <w:sz w:val="28"/>
          <w:szCs w:val="28"/>
          <w:rtl w:val="true"/>
          <w:lang w:bidi="ar-SA"/>
        </w:rPr>
        <w:t>آخَر، ولأنّه مظنّة القذارة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3197731_1280447820"/>
      <w:bookmarkStart w:id="495" w:name="_Toc192"/>
      <w:bookmarkEnd w:id="494"/>
      <w:r>
        <w:rPr>
          <w:rtl w:val="true"/>
        </w:rPr>
        <w:t>الحادية عشر</w:t>
      </w:r>
      <w:r>
        <w:rPr>
          <w:rtl w:val="true"/>
        </w:rPr>
        <w:t xml:space="preserve">: </w:t>
      </w:r>
      <w:r>
        <w:rPr>
          <w:rtl w:val="true"/>
        </w:rPr>
        <w:t>طهارة سؤر الفأرة الفأرة وکراهتۀ</w:t>
      </w:r>
      <w:bookmarkEnd w:id="495"/>
    </w:p>
    <w:p>
      <w:pPr>
        <w:pStyle w:val="BookText"/>
        <w:rPr/>
      </w:pPr>
      <w:r>
        <w:rPr>
          <w:rFonts w:ascii="Amiri" w:hAnsi="Amiri" w:eastAsia="Amiri" w:cs="Amiri"/>
          <w:color w:val="111111"/>
          <w:sz w:val="28"/>
          <w:sz w:val="28"/>
          <w:szCs w:val="28"/>
          <w:rtl w:val="true"/>
          <w:lang w:bidi="ar-SA"/>
        </w:rPr>
        <w:t>الأظهر طهارة سؤر الفأرة مطلقاً؛ للعمومات، ولخصوص الأدلّة النافية للبأس عمّا يقع فيه الفأرة، والنافية للبأس عن سؤرها</w:t>
      </w:r>
      <w:r>
        <w:rPr>
          <w:rStyle w:val="FootnoteAnchor"/>
          <w:rtl w:val="true"/>
        </w:rPr>
        <w:footnoteReference w:id="736"/>
      </w:r>
      <w:r>
        <w:rPr>
          <w:rFonts w:ascii="Amiri" w:hAnsi="Amiri" w:eastAsia="Amiri" w:cs="Amiri"/>
          <w:color w:val="111111"/>
          <w:sz w:val="28"/>
          <w:sz w:val="28"/>
          <w:szCs w:val="28"/>
          <w:rtl w:val="true"/>
          <w:lang w:bidi="ar-SA"/>
        </w:rPr>
        <w:t>عموماً وخصوصاً، ولفتوى المشهور، ولنفي الحرج والعسر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يكره؛ لفتوى الكثير من الأصحاب</w:t>
      </w:r>
      <w:r>
        <w:rPr>
          <w:rStyle w:val="FootnoteAnchor"/>
          <w:rtl w:val="true"/>
        </w:rPr>
        <w:footnoteReference w:id="738"/>
      </w:r>
      <w:r>
        <w:rPr>
          <w:rFonts w:ascii="Amiri" w:hAnsi="Amiri" w:eastAsia="Amiri" w:cs="Amiri"/>
          <w:color w:val="111111"/>
          <w:sz w:val="28"/>
          <w:sz w:val="28"/>
          <w:szCs w:val="28"/>
          <w:rtl w:val="true"/>
          <w:lang w:bidi="ar-SA"/>
        </w:rPr>
        <w:t>، ولما دلّ على كراهة سؤر ما لا يؤكل لحمه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ورد بطرح ما أكلت منه الفأرة من الخبز</w:t>
      </w:r>
      <w:r>
        <w:rPr>
          <w:rStyle w:val="FootnoteAnchor"/>
          <w:rtl w:val="true"/>
        </w:rPr>
        <w:footnoteReference w:id="740"/>
      </w:r>
      <w:r>
        <w:rPr>
          <w:rFonts w:ascii="Amiri" w:hAnsi="Amiri" w:eastAsia="Amiri" w:cs="Amiri"/>
          <w:color w:val="111111"/>
          <w:sz w:val="28"/>
          <w:sz w:val="28"/>
          <w:szCs w:val="28"/>
          <w:rtl w:val="true"/>
          <w:lang w:bidi="ar-SA"/>
        </w:rPr>
        <w:t>، ولما ورد من الأمر بغسل ما لاقته الفأرة برطوبةٍ الواقعة في الماء</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 إلى وجوب إراقة ما وقعت فيه الفأرة وغسل ما لاقته برطوبةٍ</w:t>
      </w:r>
      <w:r>
        <w:rPr>
          <w:rStyle w:val="FootnoteAnchor"/>
          <w:rtl w:val="true"/>
        </w:rPr>
        <w:footnoteReference w:id="742"/>
      </w:r>
      <w:r>
        <w:rPr>
          <w:rFonts w:ascii="IRNazanin" w:hAnsi="IRNazanin" w:eastAsia="IRNazanin"/>
          <w:color w:val="111111"/>
          <w:sz w:val="28"/>
          <w:sz w:val="28"/>
          <w:szCs w:val="28"/>
          <w:rtl w:val="true"/>
          <w:lang w:bidi="fa-IR"/>
        </w:rPr>
        <w:t>للأخبار</w:t>
      </w:r>
      <w:r>
        <w:rPr>
          <w:rStyle w:val="FootnoteAnchor"/>
          <w:rtl w:val="true"/>
        </w:rPr>
        <w:footnoteReference w:id="743"/>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لضعفها وقلّة العامل بها ومعارضتها للأدلّة القويّة يجب إطراحها أو حملها على الندب</w:t>
      </w:r>
      <w:r>
        <w:rPr>
          <w:rFonts w:eastAsia="Amiri" w:cs="Amiri" w:ascii="Amiri" w:hAnsi="Amiri"/>
          <w:color w:val="111111"/>
          <w:sz w:val="28"/>
          <w:szCs w:val="28"/>
          <w:rtl w:val="true"/>
          <w:lang w:bidi="ar-SA"/>
        </w:rPr>
        <w:t xml:space="preserve">. </w:t>
      </w:r>
      <w:bookmarkStart w:id="496" w:name="pg18988_203310"/>
    </w:p>
    <w:p>
      <w:pPr>
        <w:pStyle w:val="Heading4"/>
        <w:numPr>
          <w:ilvl w:val="3"/>
          <w:numId w:val="1"/>
        </w:numPr>
        <w:rPr/>
      </w:pPr>
      <w:bookmarkStart w:id="497" w:name="__RefHeading___Toc13197733_1280447820"/>
      <w:bookmarkStart w:id="498" w:name="_Toc193"/>
      <w:bookmarkEnd w:id="496"/>
      <w:bookmarkEnd w:id="497"/>
      <w:r>
        <w:rPr>
          <w:rtl w:val="true"/>
        </w:rPr>
        <w:t>بحث في الأحداث</w:t>
      </w:r>
      <w:bookmarkEnd w:id="498"/>
    </w:p>
    <w:p>
      <w:pPr>
        <w:pStyle w:val="Heading5"/>
        <w:numPr>
          <w:ilvl w:val="4"/>
          <w:numId w:val="1"/>
        </w:numPr>
        <w:rPr/>
      </w:pPr>
      <w:bookmarkStart w:id="499" w:name="__RefHeading___Toc13197735_1280447820"/>
      <w:bookmarkStart w:id="500" w:name="_Toc194"/>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وهو يطلق على نفس الخارج وعلى الأثر الحاصل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نواقض؛ لنقضها الطهارة، وموجِبات؛ لإيجابها ذلك، وأسباب؛ لأنّها علائم، ومعرّفات لحصول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ينفرد اسم الحدث عن الناقض في أوّل حدثٍ يحصل للمكلّف، فإنّه لا ينقض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حدث المسلوس والمبطون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وينفرد عن الموجب والسبب في حدث الصبيّ والمجنون، وكذا ينفرد الناقض عنهما في حدثيهما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 الأكبر ناقض وموجب في غير الجنابة، وناقض فقط فيها، وينفرد الموجب والسبب والناقض عن الحدث في وجدان الماء بعد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بالسبب المقتضي للطهارة لولا المانع، وبالموجِب المثبِت لها على الإيجاب أو الندب بالفعل أو بالقوّة، وبالناقض ما من شأنه النقض، فحينئذٍ تتساوى مصاديقها</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3197737_1280447820"/>
      <w:bookmarkStart w:id="502" w:name="_Toc195"/>
      <w:bookmarkEnd w:id="501"/>
      <w:r>
        <w:rPr>
          <w:rtl w:val="true"/>
        </w:rPr>
        <w:t>وفي المقام مباحث</w:t>
      </w:r>
      <w:r>
        <w:rPr>
          <w:rtl w:val="true"/>
        </w:rPr>
        <w:t>:</w:t>
      </w:r>
      <w:bookmarkEnd w:id="502"/>
    </w:p>
    <w:p>
      <w:pPr>
        <w:pStyle w:val="Heading5"/>
        <w:numPr>
          <w:ilvl w:val="4"/>
          <w:numId w:val="1"/>
        </w:numPr>
        <w:rPr/>
      </w:pPr>
      <w:bookmarkStart w:id="503" w:name="__RefHeading___Toc13197739_1280447820"/>
      <w:bookmarkStart w:id="504" w:name="_Toc196"/>
      <w:bookmarkEnd w:id="503"/>
      <w:r>
        <w:rPr>
          <w:rtl w:val="true"/>
        </w:rPr>
        <w:t>أحدها</w:t>
      </w:r>
      <w:r>
        <w:rPr>
          <w:rtl w:val="true"/>
        </w:rPr>
        <w:t xml:space="preserve">: </w:t>
      </w:r>
      <w:r>
        <w:rPr>
          <w:rtl w:val="true"/>
        </w:rPr>
        <w:t>البول والغائط والريح أحداثٌ ناقضة للوضوء</w:t>
      </w:r>
      <w:bookmarkEnd w:id="50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البول والغائط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يُسمّى بهذه الأسماء عرفاً بل ما يُسمّى ضرطةً أو فسوةً لتقييد الريح بهما في بعض الأخبار</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ناقضة للوضوء وموجِبةٌ له سنّةً </w:t>
      </w:r>
      <w:r>
        <w:rPr>
          <w:rStyle w:val="FootnoteAnchor"/>
          <w:rtl w:val="true"/>
        </w:rPr>
        <w:footnoteReference w:id="745"/>
      </w:r>
      <w:r>
        <w:rPr>
          <w:rFonts w:ascii="Amiri" w:hAnsi="Amiri" w:eastAsia="Amiri" w:cs="Amiri"/>
          <w:color w:val="111111"/>
          <w:sz w:val="28"/>
          <w:sz w:val="28"/>
          <w:szCs w:val="28"/>
          <w:rtl w:val="true"/>
          <w:lang w:bidi="ar-SA"/>
        </w:rPr>
        <w:t xml:space="preserve">وإجماعاً محصّلاً ومنقولاً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لكنّه هل يشترط خروج البول والغائط من الطبيعي المعتاد لعامّة الناس، أو يشترط خروجهما منه أو من غيره إذا كان خلقيّاً، أو يشترط خروجهما منه أو من غيره إذا انسدّ الطبيعي مطلقاً، أو يشترط خروجهما منه أو من المعتاد لذلك الشخص مع انسداد الطبيعي، أو خروجهما منه وإن لم ينسدّ، أو خروجهما ممّا تحت المعدة سواء كان من المعتاد أو من غيره، أو لا يشترط شيء من ذلك، بل يدور الأمر مدار اسم البوليّة والغائطيّة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كدوران الخبث مدار 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مدار خروجهما؟ وعلى الأوّل، فهل يكفي الخروج من الطبيعي المعتاد لعامّة الناس مرّةً، أو لا بدّ من الاعتياد ولو في الخروج من الطبيعي المعتاد؟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الحدث مدار الخروج من الموضع الطبيعي المعتاد لعامّة الناس ولو كان مرّةً، أو خروجه من الموضع المعتاد لذلك الشخص مع انسداد الطبيعي ومع عدمه، أو خروجه من غير الطبيعي مع انسداد الطبيعي وإن لم يعتد أو خروجه من غير الطبيعي إذا كان خلقيّاً وإن لم يعتد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فلشمول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جَاءَ أَحَدٌ مِنْكُمْ مِنَ الغَائِطِ</w:t>
      </w:r>
      <w:r>
        <w:rPr>
          <w:rStyle w:val="FootnoteAnchor"/>
          <w:rtl w:val="true"/>
        </w:rPr>
        <w:footnoteReference w:id="747"/>
      </w:r>
      <w:r>
        <w:rPr>
          <w:rFonts w:ascii="Amiri" w:hAnsi="Amiri" w:eastAsia="Amiri" w:cs="Amiri"/>
          <w:color w:val="111111"/>
          <w:sz w:val="28"/>
          <w:sz w:val="28"/>
          <w:szCs w:val="28"/>
          <w:rtl w:val="true"/>
          <w:lang w:bidi="ar-SA"/>
        </w:rPr>
        <w:t>له، ولا فرق بين الوضوء والتيمّم، ولشمول الأخبار له المشتملةِ على أنّ ما يخرج من الطرفين أو من القُبُل والدُبُر ناقض</w:t>
      </w:r>
      <w:r>
        <w:rPr>
          <w:rStyle w:val="FootnoteAnchor"/>
          <w:rtl w:val="true"/>
        </w:rPr>
        <w:footnoteReference w:id="748"/>
      </w:r>
      <w:r>
        <w:rPr>
          <w:rFonts w:ascii="Amiri" w:hAnsi="Amiri" w:eastAsia="Amiri" w:cs="Amiri"/>
          <w:color w:val="111111"/>
          <w:sz w:val="28"/>
          <w:sz w:val="28"/>
          <w:szCs w:val="28"/>
          <w:rtl w:val="true"/>
          <w:lang w:bidi="ar-SA"/>
        </w:rPr>
        <w:t xml:space="preserve">،سيّما مع أنّ في بعضها تقييدهما بما أنعم الله تعالى به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كون المخرج الغير الطبيعي ممّا أنعم الله تعالى به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 هذه الأخبار على الغالب من خروج الحدثين منهما في الغالب لا وجه له؛ لأنّ أغلبيّة الخروج منهما لا تصرف لفظهما لحالة الاتّصاف بهما؛ لأنّ حالة عدم الاتّصاف تؤثّر ندرة وجودٍ، لا ندرة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أغلبيّة الخروج منهما ينتفع بها مَنْ علّق الحدث على البوليّة والغائطيّة بتنزيل هذه الأخبار المقيّدة للخروج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آخر يأتي ردّه إن شاء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قلناه أيضاً فتوى الأصحاب والإجماع المنقول</w:t>
      </w:r>
      <w:r>
        <w:rPr>
          <w:rStyle w:val="FootnoteAnchor"/>
          <w:rtl w:val="true"/>
        </w:rPr>
        <w:footnoteReference w:id="750"/>
      </w:r>
      <w:r>
        <w:rPr>
          <w:rFonts w:ascii="Amiri" w:hAnsi="Amiri" w:eastAsia="Amiri" w:cs="Amiri"/>
          <w:color w:val="111111"/>
          <w:sz w:val="28"/>
          <w:sz w:val="28"/>
          <w:szCs w:val="28"/>
          <w:rtl w:val="true"/>
          <w:lang w:bidi="ar-SA"/>
        </w:rPr>
        <w:t>، في الباب</w:t>
      </w:r>
      <w:r>
        <w:rPr>
          <w:rFonts w:eastAsia="Amiri" w:cs="Amiri" w:ascii="Amiri" w:hAnsi="Amiri"/>
          <w:color w:val="111111"/>
          <w:sz w:val="28"/>
          <w:szCs w:val="28"/>
          <w:rtl w:val="true"/>
          <w:lang w:bidi="ar-SA"/>
        </w:rPr>
        <w:t xml:space="preserve">. </w:t>
      </w:r>
      <w:bookmarkStart w:id="505" w:name="pg18988_203312"/>
    </w:p>
    <w:p>
      <w:pPr>
        <w:pStyle w:val="BookText"/>
        <w:rPr/>
      </w:pPr>
      <w:bookmarkEnd w:id="505"/>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فلفتوى المشهور، ولقيامه مقام الطبيعي وصدق لفظ الغائط عليه، وكذا البول، ولجريان الأحكام الشرعيّة مدار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عليهما الإجماع المنقول</w:t>
      </w:r>
      <w:r>
        <w:rPr>
          <w:rStyle w:val="FootnoteAnchor"/>
          <w:rtl w:val="true"/>
        </w:rPr>
        <w:footnoteReference w:id="751"/>
      </w:r>
      <w:r>
        <w:rPr>
          <w:rFonts w:ascii="IRNazanin" w:hAnsi="IRNazanin" w:eastAsia="IRNazanin"/>
          <w:color w:val="111111"/>
          <w:sz w:val="28"/>
          <w:sz w:val="28"/>
          <w:szCs w:val="28"/>
          <w:rtl w:val="true"/>
          <w:lang w:bidi="fa-IR"/>
        </w:rPr>
        <w:t>، وقد تلقّاه الفحول بالقبول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نفي غير ما ذكرناه الأصل، والأخبار الدالّة على عدم نقض اليقين بالشكّ</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للمشكوك به من عروض القادح أو قدح العارض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دلّ على أنّ خروج البول والغائط حدث</w:t>
      </w:r>
      <w:r>
        <w:rPr>
          <w:rStyle w:val="FootnoteAnchor"/>
          <w:rtl w:val="true"/>
        </w:rPr>
        <w:footnoteReference w:id="753"/>
      </w:r>
      <w:r>
        <w:rPr>
          <w:rFonts w:ascii="Amiri" w:hAnsi="Amiri" w:eastAsia="Amiri" w:cs="Amiri"/>
          <w:color w:val="111111"/>
          <w:sz w:val="28"/>
          <w:sz w:val="28"/>
          <w:szCs w:val="28"/>
          <w:rtl w:val="true"/>
          <w:lang w:bidi="ar-SA"/>
        </w:rPr>
        <w:t>فهو مقيّد بما دلّ على أنّ الحدث ما يخرج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لا يصلح للتقييد؛ لخروجه مخرج الغالب، لا وجه لها؛ لأنّ القيد لو خرج مخرج الغالب أُلغي مفهومه ولا يلغى منطوقه، بل يبقى صالحاً للتقييد بمنطوقه؛ لأنّ التقييد لا يتوقّف على ثبوت المفهوم وعدمه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3197741_1280447820"/>
      <w:bookmarkStart w:id="507" w:name="_Toc197"/>
      <w:bookmarkEnd w:id="506"/>
      <w:r>
        <w:rPr>
          <w:rtl w:val="true"/>
        </w:rPr>
        <w:t>ثانيها</w:t>
      </w:r>
      <w:r>
        <w:rPr>
          <w:rtl w:val="true"/>
        </w:rPr>
        <w:t xml:space="preserve">: </w:t>
      </w:r>
      <w:r>
        <w:rPr>
          <w:rtl w:val="true"/>
        </w:rPr>
        <w:t>الريح إن خرج من الطبيعي المعتاد لعامّة الناس أو الخلقي لذلك الشخص، أو المعتاد له مع انسداد الطبيعي جرى عليه حكم الحدث</w:t>
      </w:r>
      <w:bookmarkEnd w:id="507"/>
    </w:p>
    <w:p>
      <w:pPr>
        <w:pStyle w:val="BookText"/>
        <w:rPr/>
      </w:pPr>
      <w:r>
        <w:rPr>
          <w:rFonts w:ascii="Amiri" w:hAnsi="Amiri" w:eastAsia="Amiri" w:cs="Amiri"/>
          <w:color w:val="111111"/>
          <w:sz w:val="28"/>
          <w:sz w:val="28"/>
          <w:szCs w:val="28"/>
          <w:rtl w:val="true"/>
          <w:lang w:bidi="ar-SA"/>
        </w:rPr>
        <w:t>الريح إن خرج من الطبيعي المعتاد لعامّة الناس أو الخلقي لذلك الشخص، أو المعتاد له مع انسداد الطبيعي جرى عليه حكم الحدث، وإلّا فلا يُحكم عليه بالحدثيّة وإن كان معتاداً؛ للشكّ في ناقضيّته وعدم صدق الفسوة والضرطة عليه سيّما لو اعتيد خروجه من الفم، فلو خرج من طعنة أو من قرح أو جرح في الأسافل وإن اعتيد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الريح بريح المعدة الأسفل، فلا عبرة بما فوق، ولا عبرة بما يتكوّن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التقييد بسماع صوت الريح، أو شمّ رائحته</w:t>
      </w:r>
      <w:r>
        <w:rPr>
          <w:rStyle w:val="FootnoteAnchor"/>
          <w:rtl w:val="true"/>
        </w:rPr>
        <w:footnoteReference w:id="754"/>
      </w:r>
      <w:r>
        <w:rPr>
          <w:rFonts w:ascii="Amiri" w:hAnsi="Amiri" w:eastAsia="Amiri" w:cs="Amiri"/>
          <w:color w:val="111111"/>
          <w:sz w:val="28"/>
          <w:sz w:val="28"/>
          <w:szCs w:val="28"/>
          <w:rtl w:val="true"/>
          <w:lang w:bidi="ar-SA"/>
        </w:rPr>
        <w:t>يراد به بيان توقّف الحدث على العلم به، وإلّا فلو قطع به من دون ذلك جرى عليه حكم الحدث، كما دلّ عليه بعض الأخبار</w:t>
      </w:r>
      <w:r>
        <w:rPr>
          <w:rStyle w:val="FootnoteAnchor"/>
          <w:rtl w:val="true"/>
        </w:rPr>
        <w:footnoteReference w:id="755"/>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Heading5"/>
        <w:numPr>
          <w:ilvl w:val="4"/>
          <w:numId w:val="1"/>
        </w:numPr>
        <w:rPr/>
      </w:pPr>
      <w:bookmarkStart w:id="508" w:name="__RefHeading___Toc13197743_1280447820"/>
      <w:bookmarkStart w:id="509" w:name="_Toc198"/>
      <w:bookmarkEnd w:id="508"/>
      <w:r>
        <w:rPr>
          <w:rtl w:val="true"/>
        </w:rPr>
        <w:t>ثالثها</w:t>
      </w:r>
      <w:r>
        <w:rPr>
          <w:rtl w:val="true"/>
        </w:rPr>
        <w:t xml:space="preserve">: </w:t>
      </w:r>
      <w:r>
        <w:rPr>
          <w:rtl w:val="true"/>
        </w:rPr>
        <w:t>لو خرج أحد الخبثين ولم ينفصل، أو خرجت المقعدة ملوّثةً به ثمّ رجعت، أو</w:t>
      </w:r>
      <w:r>
        <w:rPr>
          <w:rtl w:val="true"/>
        </w:rPr>
        <w:t>...</w:t>
      </w:r>
      <w:bookmarkEnd w:id="5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خرج أحد الخبثين ولم ينفصل، أو خرجت المقعدة ملوّثةً به ثمّ رجعت، أو خرج دود ملوّث به، أو خرج ملطّخ بدواء محمول أو جسمٍ آخَر، فالأظهر جريان حكم الحدث عليه بجميع الأقسام</w:t>
      </w:r>
      <w:r>
        <w:rPr>
          <w:rFonts w:eastAsia="Amiri" w:cs="Amiri" w:ascii="Amiri" w:hAnsi="Amiri"/>
          <w:color w:val="111111"/>
          <w:sz w:val="28"/>
          <w:szCs w:val="28"/>
          <w:rtl w:val="true"/>
          <w:lang w:bidi="ar-SA"/>
        </w:rPr>
        <w:t xml:space="preserve">. </w:t>
      </w:r>
      <w:bookmarkStart w:id="510" w:name="pg18988_203313"/>
    </w:p>
    <w:p>
      <w:pPr>
        <w:pStyle w:val="BookText"/>
        <w:rPr/>
      </w:pPr>
      <w:bookmarkEnd w:id="510"/>
      <w:r>
        <w:rPr>
          <w:rFonts w:ascii="Amiri" w:hAnsi="Amiri" w:eastAsia="Amiri" w:cs="Amiri"/>
          <w:color w:val="111111"/>
          <w:sz w:val="28"/>
          <w:sz w:val="28"/>
          <w:szCs w:val="28"/>
          <w:rtl w:val="true"/>
          <w:lang w:bidi="ar-SA"/>
        </w:rPr>
        <w:t xml:space="preserve">نعم، لو شكّ في غائطيّته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كخروج بعض الحبوب أو الحصى أو غيرهما غير ملوّثٍ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الخارج بالحدث</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3197745_1280447820"/>
      <w:bookmarkStart w:id="512" w:name="_Toc199"/>
      <w:bookmarkEnd w:id="511"/>
      <w:r>
        <w:rPr>
          <w:rtl w:val="true"/>
        </w:rPr>
        <w:t>رابعها</w:t>
      </w:r>
      <w:r>
        <w:rPr>
          <w:rtl w:val="true"/>
        </w:rPr>
        <w:t xml:space="preserve">: </w:t>
      </w:r>
      <w:r>
        <w:rPr>
          <w:rtl w:val="true"/>
        </w:rPr>
        <w:t>النوم ناقض للوضوء</w:t>
      </w:r>
      <w:bookmarkEnd w:id="512"/>
    </w:p>
    <w:p>
      <w:pPr>
        <w:pStyle w:val="BookText"/>
        <w:rPr/>
      </w:pPr>
      <w:r>
        <w:rPr>
          <w:rFonts w:ascii="Amiri" w:hAnsi="Amiri" w:eastAsia="Amiri" w:cs="Amiri"/>
          <w:color w:val="111111"/>
          <w:sz w:val="28"/>
          <w:sz w:val="28"/>
          <w:szCs w:val="28"/>
          <w:rtl w:val="true"/>
          <w:lang w:bidi="ar-SA"/>
        </w:rPr>
        <w:t>النوم ناقض للوضوء؛ للإجماع بقسميه</w:t>
      </w:r>
      <w:r>
        <w:rPr>
          <w:rStyle w:val="FootnoteAnchor"/>
          <w:rtl w:val="true"/>
        </w:rPr>
        <w:footnoteReference w:id="756"/>
      </w:r>
      <w:r>
        <w:rPr>
          <w:rFonts w:ascii="Amiri" w:hAnsi="Amiri" w:eastAsia="Amiri" w:cs="Amiri"/>
          <w:color w:val="111111"/>
          <w:sz w:val="28"/>
          <w:sz w:val="28"/>
          <w:szCs w:val="28"/>
          <w:rtl w:val="true"/>
          <w:lang w:bidi="ar-SA"/>
        </w:rPr>
        <w:t>، والأخبارِ</w:t>
      </w:r>
      <w:r>
        <w:rPr>
          <w:rStyle w:val="FootnoteAnchor"/>
          <w:rtl w:val="true"/>
        </w:rPr>
        <w:footnoteReference w:id="757"/>
      </w:r>
      <w:r>
        <w:rPr>
          <w:rFonts w:ascii="Amiri" w:hAnsi="Amiri" w:eastAsia="Amiri" w:cs="Amiri"/>
          <w:color w:val="111111"/>
          <w:sz w:val="28"/>
          <w:sz w:val="28"/>
          <w:szCs w:val="28"/>
          <w:rtl w:val="true"/>
          <w:lang w:bidi="ar-SA"/>
        </w:rPr>
        <w:t>المستفيضة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ناقض لنفسه؛ لظاهر الأدلّة عموماً وخصوصاً، لا لاحتمال الحدث؛ لأنّ احتمال الحدث غير ناقض؛ لعدم جواز نقض اليقين بالشكّ، كما دلّت عليه الأخبار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جاء ممّا ظاهره أنّ نقضه لاحتمال الحدث</w:t>
      </w:r>
      <w:r>
        <w:rPr>
          <w:rStyle w:val="FootnoteAnchor"/>
          <w:rtl w:val="true"/>
        </w:rPr>
        <w:footnoteReference w:id="759"/>
      </w:r>
      <w:r>
        <w:rPr>
          <w:rFonts w:ascii="Amiri" w:hAnsi="Amiri" w:eastAsia="Amiri" w:cs="Amiri"/>
          <w:color w:val="111111"/>
          <w:sz w:val="28"/>
          <w:sz w:val="28"/>
          <w:szCs w:val="28"/>
          <w:rtl w:val="true"/>
          <w:lang w:bidi="ar-SA"/>
        </w:rPr>
        <w:t>، إمّا مطّرح، أو محمول على بيان الحكمة ولا يلزم معها الوجود عند الوجود والعدم عند العدم، أو على التقيّة، أو على بيان حدّه، كما في 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لا يحفظ منه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الوضوء</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فإنّه غالباً لا ينفكّ مَنْ لم يحفظ حالته الأُولى عن ذهاب العقل الملزوم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من الأُمور العرفيّة، وما في الأخبار من تحديده بذهاب العقل</w:t>
      </w:r>
      <w:r>
        <w:rPr>
          <w:rStyle w:val="FootnoteAnchor"/>
          <w:rtl w:val="true"/>
        </w:rPr>
        <w:footnoteReference w:id="761"/>
      </w:r>
      <w:r>
        <w:rPr>
          <w:rFonts w:ascii="Amiri" w:hAnsi="Amiri" w:eastAsia="Amiri" w:cs="Amiri"/>
          <w:color w:val="111111"/>
          <w:sz w:val="28"/>
          <w:sz w:val="28"/>
          <w:szCs w:val="28"/>
          <w:rtl w:val="true"/>
          <w:lang w:bidi="ar-SA"/>
        </w:rPr>
        <w:t>أو الغلبة على السمع</w:t>
      </w:r>
      <w:r>
        <w:rPr>
          <w:rStyle w:val="FootnoteAnchor"/>
          <w:rtl w:val="true"/>
        </w:rPr>
        <w:footnoteReference w:id="762"/>
      </w:r>
      <w:r>
        <w:rPr>
          <w:rFonts w:ascii="Amiri" w:hAnsi="Amiri" w:eastAsia="Amiri" w:cs="Amiri"/>
          <w:color w:val="111111"/>
          <w:sz w:val="28"/>
          <w:sz w:val="28"/>
          <w:szCs w:val="28"/>
          <w:rtl w:val="true"/>
          <w:lang w:bidi="ar-SA"/>
        </w:rPr>
        <w:t>، أو الغلبة على البصر والسمع</w:t>
      </w:r>
      <w:r>
        <w:rPr>
          <w:rStyle w:val="FootnoteAnchor"/>
          <w:rtl w:val="true"/>
        </w:rPr>
        <w:footnoteReference w:id="763"/>
      </w:r>
      <w:r>
        <w:rPr>
          <w:rFonts w:ascii="Amiri" w:hAnsi="Amiri" w:eastAsia="Amiri" w:cs="Amiri"/>
          <w:color w:val="111111"/>
          <w:sz w:val="28"/>
          <w:sz w:val="28"/>
          <w:szCs w:val="28"/>
          <w:rtl w:val="true"/>
          <w:lang w:bidi="ar-SA"/>
        </w:rPr>
        <w:t>، أو الغلبة عليهما وعلى القلب</w:t>
      </w:r>
      <w:r>
        <w:rPr>
          <w:rStyle w:val="FootnoteAnchor"/>
          <w:rtl w:val="true"/>
        </w:rPr>
        <w:footnoteReference w:id="764"/>
      </w:r>
      <w:r>
        <w:rPr>
          <w:rFonts w:ascii="Amiri" w:hAnsi="Amiri" w:eastAsia="Amiri" w:cs="Amiri"/>
          <w:color w:val="111111"/>
          <w:sz w:val="28"/>
          <w:sz w:val="28"/>
          <w:szCs w:val="28"/>
          <w:rtl w:val="true"/>
          <w:lang w:bidi="ar-SA"/>
        </w:rPr>
        <w:t>، كلّه لكشف معناه العرفي ؟ أو أنّ للناقض منه حدّاً شرعيّاً وإن يُسمّى ما خرج عن الحدّ نوماً ، ويكون ما في الأخبار تحديداً له ؟ وجهان، أوجههما الأوّل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فالغالب على الحاسّتين نوم يتحقّق به الحدث قطعاً؛ للأخبار</w:t>
      </w:r>
      <w:r>
        <w:rPr>
          <w:rStyle w:val="FootnoteAnchor"/>
          <w:rtl w:val="true"/>
        </w:rPr>
        <w:footnoteReference w:id="765"/>
      </w:r>
      <w:r>
        <w:rPr>
          <w:rFonts w:ascii="Amiri" w:hAnsi="Amiri" w:eastAsia="Amiri" w:cs="Amiri"/>
          <w:color w:val="111111"/>
          <w:sz w:val="28"/>
          <w:sz w:val="28"/>
          <w:szCs w:val="28"/>
          <w:rtl w:val="true"/>
          <w:lang w:bidi="ar-SA"/>
        </w:rPr>
        <w:t>والإجماع، وكذا الغالب على السمع فقط، كما دلّت عليه الأخبار</w:t>
      </w:r>
      <w:r>
        <w:rPr>
          <w:rStyle w:val="FootnoteAnchor"/>
          <w:rtl w:val="true"/>
        </w:rPr>
        <w:footnoteReference w:id="766"/>
      </w:r>
      <w:r>
        <w:rPr>
          <w:rFonts w:ascii="Amiri" w:hAnsi="Amiri" w:eastAsia="Amiri" w:cs="Amiri"/>
          <w:color w:val="111111"/>
          <w:sz w:val="28"/>
          <w:sz w:val="28"/>
          <w:szCs w:val="28"/>
          <w:rtl w:val="true"/>
          <w:lang w:bidi="ar-SA"/>
        </w:rPr>
        <w:t>، ونقل عليه الإجماع</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الغالب على العقل، كما دلّت عليه الأخبار</w:t>
      </w:r>
      <w:r>
        <w:rPr>
          <w:rStyle w:val="FootnoteAnchor"/>
          <w:rtl w:val="true"/>
        </w:rPr>
        <w:footnoteReference w:id="768"/>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 xml:space="preserve">. </w:t>
      </w:r>
      <w:bookmarkStart w:id="513" w:name="pg18988_203314"/>
    </w:p>
    <w:p>
      <w:pPr>
        <w:pStyle w:val="BookText"/>
        <w:rPr/>
      </w:pPr>
      <w:bookmarkEnd w:id="513"/>
      <w:r>
        <w:rPr>
          <w:rFonts w:ascii="Amiri" w:hAnsi="Amiri" w:eastAsia="Amiri" w:cs="Amiri"/>
          <w:color w:val="111111"/>
          <w:sz w:val="28"/>
          <w:sz w:val="28"/>
          <w:szCs w:val="28"/>
          <w:rtl w:val="true"/>
          <w:lang w:bidi="ar-SA"/>
        </w:rPr>
        <w:t>والظاهر تلازم هذه العلائم في الدلالة على النوم، فمتى غلب على البصر والسمع، أو على السمع فقط، أو عليهما وعلى القلب فقد غلب على العقل، ومتى غلب على العقل فقد غلب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السمع أقوى الحواسّ، فمتى غلب عليه غلب على باقيها من الشمّ والذوق واللمس، بل لا فائدة في ضمّ ذهاب البصر إلى ذهاب السمع إلّا زيادة الاستظهار؛ لكفاية ذهاب السمع عنه مطلقاً، وعدم كفاية ذهابه منفرداً عن ذهاب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لاتلازم بين هذه العلائم، بل قد توجد واحدة وتفقد أُخرى، ومتى وجدت السابقة وجب العمل عليها؛ قضاءً لمنطوق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بين مفهوم الخبر المشتمل على بعض العلائم مع منطوق الآخَر ساقطةٌ؛ لتقديم المنطوق على المفهوم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بإرادة العمل على السابق كالجمع بأبعد الأجلين في آيتي العِدَد</w:t>
      </w:r>
      <w:r>
        <w:rPr>
          <w:rStyle w:val="FootnoteAnchor"/>
          <w:rtl w:val="true"/>
        </w:rPr>
        <w:footnoteReference w:id="769"/>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w:t>
      </w:r>
    </w:p>
    <w:p>
      <w:pPr>
        <w:pStyle w:val="Heading5"/>
        <w:numPr>
          <w:ilvl w:val="4"/>
          <w:numId w:val="1"/>
        </w:numPr>
        <w:rPr/>
      </w:pPr>
      <w:bookmarkStart w:id="514" w:name="__RefHeading___Toc13197747_1280447820"/>
      <w:bookmarkStart w:id="515" w:name="_Toc200"/>
      <w:bookmarkEnd w:id="514"/>
      <w:r>
        <w:rPr>
          <w:rtl w:val="true"/>
        </w:rPr>
        <w:t>خامسها</w:t>
      </w:r>
      <w:r>
        <w:rPr>
          <w:rtl w:val="true"/>
        </w:rPr>
        <w:t xml:space="preserve">: </w:t>
      </w:r>
      <w:r>
        <w:rPr>
          <w:rtl w:val="true"/>
        </w:rPr>
        <w:t>فاقد الحاسّة يرجع حكمه إلى تقديرها</w:t>
      </w:r>
      <w:bookmarkEnd w:id="515"/>
    </w:p>
    <w:p>
      <w:pPr>
        <w:pStyle w:val="BookText"/>
        <w:rPr/>
      </w:pPr>
      <w:r>
        <w:rPr>
          <w:rFonts w:ascii="Amiri" w:hAnsi="Amiri" w:eastAsia="Amiri" w:cs="Amiri"/>
          <w:color w:val="111111"/>
          <w:sz w:val="28"/>
          <w:sz w:val="28"/>
          <w:szCs w:val="28"/>
          <w:rtl w:val="true"/>
          <w:lang w:bidi="ar-SA"/>
        </w:rPr>
        <w:t>فاقد الحاسّة يرجع حكمه إلى تقديرها، والخارج عن المعتاد في السماع وبقاء الإدراك يرجع إلى مستوي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عروض النوم منفيّ بالأصل؛ لعدم جواز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يجامع عدم النوم الرؤيا وطيف الخيال ؟ الظاهر ذلك؛ لشهادة التجربة بحصول الرؤيا لبعض الناس مع بقاء العقل والسمع؛ وذلك لقوة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الطيف الكامل لا يجامع ، ومَنْ ينادي فيجلس من نومه فذلك سمع بعد الانتباه وإن انتبه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الأخبار عدم نقض النوم للطهارة ما لم ينفرج النائم</w:t>
      </w:r>
      <w:r>
        <w:rPr>
          <w:rStyle w:val="FootnoteAnchor"/>
          <w:rtl w:val="true"/>
        </w:rPr>
        <w:footnoteReference w:id="770"/>
      </w:r>
      <w:r>
        <w:rPr>
          <w:rFonts w:ascii="Amiri" w:hAnsi="Amiri" w:eastAsia="Amiri" w:cs="Amiri"/>
          <w:color w:val="111111"/>
          <w:sz w:val="28"/>
          <w:sz w:val="28"/>
          <w:szCs w:val="28"/>
          <w:rtl w:val="true"/>
          <w:lang w:bidi="ar-SA"/>
        </w:rPr>
        <w:t>، ونُسب</w:t>
      </w:r>
      <w:r>
        <w:rPr>
          <w:rStyle w:val="FootnoteAnchor"/>
          <w:rtl w:val="true"/>
        </w:rPr>
        <w:footnoteReference w:id="771"/>
      </w:r>
      <w:r>
        <w:rPr>
          <w:rFonts w:ascii="IRNazanin" w:hAnsi="IRNazanin" w:eastAsia="IRNazanin"/>
          <w:color w:val="111111"/>
          <w:sz w:val="28"/>
          <w:sz w:val="28"/>
          <w:szCs w:val="28"/>
          <w:rtl w:val="true"/>
          <w:lang w:bidi="fa-IR"/>
        </w:rPr>
        <w:t>الفتوى به للصدوق</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التقيّة؛ لمخالفته الأدلّة القطعيّة</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3197749_1280447820"/>
      <w:bookmarkStart w:id="517" w:name="_Toc201"/>
      <w:bookmarkEnd w:id="516"/>
      <w:r>
        <w:rPr>
          <w:rtl w:val="true"/>
        </w:rPr>
        <w:t>سادسها</w:t>
      </w:r>
      <w:r>
        <w:rPr>
          <w:rtl w:val="true"/>
        </w:rPr>
        <w:t xml:space="preserve">: </w:t>
      </w:r>
      <w:r>
        <w:rPr>
          <w:rtl w:val="true"/>
        </w:rPr>
        <w:t>فی مفاد حدیث</w:t>
      </w:r>
      <w:r>
        <w:rPr>
          <w:rtl w:val="true"/>
        </w:rPr>
        <w:t>«</w:t>
      </w:r>
      <w:r>
        <w:rPr>
          <w:rtl w:val="true"/>
        </w:rPr>
        <w:t>لا ینق الوضوء إلّا حدث والنوم حدث</w:t>
      </w:r>
      <w:r>
        <w:rPr>
          <w:rtl w:val="true"/>
        </w:rPr>
        <w:t>»</w:t>
      </w:r>
      <w:bookmarkEnd w:id="5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 والنوم حدث</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والمقدّمة الأُولى تتضمّن عقدين</w:t>
      </w:r>
      <w:r>
        <w:rPr>
          <w:rFonts w:eastAsia="Amiri" w:cs="Amiri" w:ascii="Amiri" w:hAnsi="Amiri"/>
          <w:color w:val="111111"/>
          <w:sz w:val="28"/>
          <w:szCs w:val="28"/>
          <w:rtl w:val="true"/>
          <w:lang w:bidi="ar-SA"/>
        </w:rPr>
        <w:t xml:space="preserve">: </w:t>
      </w:r>
      <w:bookmarkStart w:id="518" w:name="pg18988_203315"/>
    </w:p>
    <w:p>
      <w:pPr>
        <w:pStyle w:val="BookText"/>
        <w:rPr/>
      </w:pPr>
      <w:bookmarkEnd w:id="518"/>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ما ليس بحدث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وانضمامه إلى المقدّمة الثانية غير منتج؛ لعدم اتّحاد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 الوضوء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إمّا أن يجعل صغرى للمقدّمة الثانية فيكون من الشكل الثاني، ولا ينتج لعدم اختلاف المقدّمتين، أو من الشكل الرابع لو جعلنا الموضوع محمولاً وبالعكس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الحدث ناقض والنوم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ينتج أيضاً؛ لإهمال الصغرى، وإمّا أن يجعل كبرى لها على طريق العكس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حدث والحدث 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ينتج ؛ لإهمال الكبرى إلّا بتكلّف العموم من تعليق الحكم على الطبيعة، أو من دليل الحكمة، أو من السياق، أو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الخبر ليس مسوقاً لبيان المطلوب بالقياس، بل بصورة يلزم تسليمها عرفاً عند صدور الخطاب وإن لم تكن من القياس في شيء، فالمقصود من الخبر في الجزء الأوّل بطلان مذهب العامّة القائلين بانتقاض الوضوء بغير الأحداث المعدودة عندنا، وفي الجزء الثاني الردّ عليهم في دعوى عدم حدثيّة النوم، فيكون مؤدّاه ظاهراً في بيان أنّ النوم ناقضٌ؛ لكونه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بكون عدم السمع علامةً للنوم وكذا ذهاب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كانا مكيّفين بالكيفيّة الخاصّة، ومتّصفين بالحالة الخاصّة، فلا يرد أنّه قد يذهب السمع والعقل لعلّةٍ أُخرى غير النوم، فلا يختصّان به فلا يكونان علامةً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3197751_1280447820"/>
      <w:bookmarkStart w:id="520" w:name="_Toc202"/>
      <w:bookmarkEnd w:id="519"/>
      <w:r>
        <w:rPr>
          <w:rtl w:val="true"/>
        </w:rPr>
        <w:t>سابعها</w:t>
      </w:r>
      <w:r>
        <w:rPr>
          <w:rtl w:val="true"/>
        </w:rPr>
        <w:t xml:space="preserve">: </w:t>
      </w:r>
      <w:r>
        <w:rPr>
          <w:rtl w:val="true"/>
        </w:rPr>
        <w:t>ناقضیّۀ كلّ ما غلب على العقل عرفاً</w:t>
      </w:r>
      <w:bookmarkEnd w:id="520"/>
    </w:p>
    <w:p>
      <w:pPr>
        <w:pStyle w:val="BookText"/>
        <w:rPr/>
      </w:pPr>
      <w:r>
        <w:rPr>
          <w:rFonts w:ascii="Amiri" w:hAnsi="Amiri" w:eastAsia="Amiri" w:cs="Amiri"/>
          <w:color w:val="111111"/>
          <w:sz w:val="28"/>
          <w:sz w:val="28"/>
          <w:szCs w:val="28"/>
          <w:rtl w:val="true"/>
          <w:lang w:bidi="ar-SA"/>
        </w:rPr>
        <w:t>كلّ ما غلب على العقل عرفاً من جنون أو إغماء أو سكر أو مرض أو غيرها ناقض؛ للإجماعات المنقولة</w:t>
      </w:r>
      <w:r>
        <w:rPr>
          <w:rStyle w:val="FootnoteAnchor"/>
          <w:rtl w:val="true"/>
        </w:rPr>
        <w:footnoteReference w:id="774"/>
      </w:r>
      <w:r>
        <w:rPr>
          <w:rFonts w:ascii="Amiri" w:hAnsi="Amiri" w:eastAsia="Amiri" w:cs="Amiri"/>
          <w:color w:val="111111"/>
          <w:sz w:val="28"/>
          <w:sz w:val="28"/>
          <w:szCs w:val="28"/>
          <w:rtl w:val="true"/>
          <w:lang w:bidi="ar-SA"/>
        </w:rPr>
        <w:t>، والشهرة المحصّلة، ولدلالة التنبيه الحاصلة من أخبار ناقضيّة النوم</w:t>
      </w:r>
      <w:r>
        <w:rPr>
          <w:rStyle w:val="FootnoteAnchor"/>
          <w:rtl w:val="true"/>
        </w:rPr>
        <w:footnoteReference w:id="775"/>
      </w:r>
      <w:r>
        <w:rPr>
          <w:rFonts w:ascii="Amiri" w:hAnsi="Amiri" w:eastAsia="Amiri" w:cs="Amiri"/>
          <w:color w:val="111111"/>
          <w:sz w:val="28"/>
          <w:sz w:val="28"/>
          <w:szCs w:val="28"/>
          <w:rtl w:val="true"/>
          <w:lang w:bidi="ar-SA"/>
        </w:rPr>
        <w:t>، المؤمية إلى كون العلّة في نقضه هي ذهاب العقل، فيطّرد في غيره لتنقيح المناط أو للأولويّة، والأخبار المعلّلة لناقضيّة النوم باحتمال عروض الحدث</w:t>
      </w:r>
      <w:r>
        <w:rPr>
          <w:rStyle w:val="FootnoteAnchor"/>
          <w:rtl w:val="true"/>
        </w:rPr>
        <w:footnoteReference w:id="776"/>
      </w:r>
      <w:r>
        <w:rPr>
          <w:rFonts w:ascii="Amiri" w:hAnsi="Amiri" w:eastAsia="Amiri" w:cs="Amiri"/>
          <w:color w:val="111111"/>
          <w:sz w:val="28"/>
          <w:sz w:val="28"/>
          <w:szCs w:val="28"/>
          <w:rtl w:val="true"/>
          <w:lang w:bidi="ar-SA"/>
        </w:rPr>
        <w:t>، فإنّها في هذه أشدّ وأولى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في هذين بأنّ فهم العلّيّة في الأخبار الأوّليّة إذا لم يكن من مفهوم الموافقة أو منصوص العلّة أو تنقيح المناط القطعي لم يكن حجّةً، وغاية ما دلّت عليه الأخبار هو دوران </w:t>
      </w:r>
      <w:bookmarkStart w:id="521" w:name="pg18988_203316"/>
    </w:p>
    <w:p>
      <w:pPr>
        <w:pStyle w:val="BookText"/>
        <w:rPr/>
      </w:pPr>
      <w:bookmarkEnd w:id="521"/>
      <w:r>
        <w:rPr>
          <w:rFonts w:ascii="Amiri" w:hAnsi="Amiri" w:eastAsia="Amiri" w:cs="Amiri"/>
          <w:color w:val="111111"/>
          <w:sz w:val="28"/>
          <w:sz w:val="28"/>
          <w:szCs w:val="28"/>
          <w:rtl w:val="true"/>
          <w:lang w:bidi="ar-SA"/>
        </w:rPr>
        <w:t>ناقضيّة النوم مع ذهاب العقل وجوداً وعدماً، والدوران لا يُثبت علّةً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الأخبار الأخيرة فهي ممنوعة في الأصل، فلا تُثبت حكماً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المطلب بصحيحة ابن خلّاد الموجبة للوضوء على مريض أُغفي وهو جالس</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مع احتمال إرادة النوم من الإغفاء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إرادته؛ لقوله فيها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عليه الصوت فقد وجب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وخفاء الصوت غالباً يكون للنائم أو المغمى عليه دون المجنون والسكران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التمسّك بها لإثبات عموم ناقضيّة ما أزال العقل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رواية الدعائم</w:t>
      </w:r>
      <w:r>
        <w:rPr>
          <w:rStyle w:val="FootnoteAnchor"/>
          <w:rtl w:val="true"/>
        </w:rPr>
        <w:footnoteReference w:id="778"/>
      </w:r>
      <w:r>
        <w:rPr>
          <w:rFonts w:ascii="Amiri" w:hAnsi="Amiri" w:eastAsia="Amiri" w:cs="Amiri"/>
          <w:color w:val="111111"/>
          <w:sz w:val="28"/>
          <w:sz w:val="28"/>
          <w:szCs w:val="28"/>
          <w:rtl w:val="true"/>
          <w:lang w:bidi="ar-SA"/>
        </w:rPr>
        <w:t>قد نصّ على الإغماء فقط، فلا تصلح لإثبات الكلّيّة المدّعاة، إلّا أن يضمّ إلى ذلك عدم القول بالفصل، ويجبر السند بفتوى الأصحاب</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197753_1280447820"/>
      <w:bookmarkStart w:id="523" w:name="_Toc203"/>
      <w:bookmarkEnd w:id="522"/>
      <w:r>
        <w:rPr>
          <w:rtl w:val="true"/>
        </w:rPr>
        <w:t>ثامنها</w:t>
      </w:r>
      <w:r>
        <w:rPr>
          <w:rtl w:val="true"/>
        </w:rPr>
        <w:t xml:space="preserve">: </w:t>
      </w:r>
      <w:r>
        <w:rPr>
          <w:rtl w:val="true"/>
        </w:rPr>
        <w:t>الاستحاضة القليلة ناقضة للوضوء وموجبة له</w:t>
      </w:r>
      <w:bookmarkEnd w:id="523"/>
    </w:p>
    <w:p>
      <w:pPr>
        <w:pStyle w:val="BookText"/>
        <w:rPr/>
      </w:pPr>
      <w:r>
        <w:rPr>
          <w:rFonts w:ascii="Amiri" w:hAnsi="Amiri" w:eastAsia="Amiri" w:cs="Amiri"/>
          <w:color w:val="111111"/>
          <w:sz w:val="28"/>
          <w:sz w:val="28"/>
          <w:szCs w:val="28"/>
          <w:rtl w:val="true"/>
          <w:lang w:bidi="ar-SA"/>
        </w:rPr>
        <w:t>الاستحاضة القليلة ناقضة للوضوء وموجبة له فقط دون الغسل؛ لفتوى الكثير من الأصحاب</w:t>
      </w:r>
      <w:r>
        <w:rPr>
          <w:rStyle w:val="FootnoteAnchor"/>
          <w:rtl w:val="true"/>
        </w:rPr>
        <w:footnoteReference w:id="779"/>
      </w:r>
      <w:r>
        <w:rPr>
          <w:rFonts w:ascii="IRNazanin" w:hAnsi="IRNazanin" w:eastAsia="IRNazanin"/>
          <w:color w:val="111111"/>
          <w:sz w:val="28"/>
          <w:sz w:val="28"/>
          <w:szCs w:val="28"/>
          <w:rtl w:val="true"/>
          <w:lang w:bidi="fa-IR"/>
        </w:rPr>
        <w:t>، وأخبار الباب</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ناقضٍ للأكبر ناقضٌ للأصغر على الأظهر الأشهر؛ ولدلالة فحاوى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 الوضوء خروج ماء الحقنة من دون مصاحبة الغائط؛ لفتوى الأصحاب، وللأصل، وأخبار الباب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ينقضه المذي أيضاً؛ للأصل، ولحصر النواقض في الأخبار</w:t>
      </w:r>
      <w:r>
        <w:rPr>
          <w:rStyle w:val="FootnoteAnchor"/>
          <w:rtl w:val="true"/>
        </w:rPr>
        <w:footnoteReference w:id="782"/>
      </w:r>
      <w:r>
        <w:rPr>
          <w:rFonts w:ascii="Amiri" w:hAnsi="Amiri" w:eastAsia="Amiri" w:cs="Amiri"/>
          <w:color w:val="111111"/>
          <w:sz w:val="28"/>
          <w:sz w:val="28"/>
          <w:szCs w:val="28"/>
          <w:rtl w:val="true"/>
          <w:lang w:bidi="ar-SA"/>
        </w:rPr>
        <w:t>المعتبرة وليس المذي منها، ولفتوى المشهور ، وللإجماع المنقول</w:t>
      </w:r>
      <w:r>
        <w:rPr>
          <w:rStyle w:val="FootnoteAnchor"/>
          <w:rtl w:val="true"/>
        </w:rPr>
        <w:footnoteReference w:id="783"/>
      </w:r>
      <w:r>
        <w:rPr>
          <w:rFonts w:ascii="Amiri" w:hAnsi="Amiri" w:eastAsia="Amiri" w:cs="Amiri"/>
          <w:color w:val="111111"/>
          <w:sz w:val="28"/>
          <w:sz w:val="28"/>
          <w:szCs w:val="28"/>
          <w:rtl w:val="true"/>
          <w:lang w:bidi="ar-SA"/>
        </w:rPr>
        <w:t>، وللأخبار الخاصّة المتكثّرة النافية لوجوب الوضوء له، والمشبّهة له بالنخامة وبما يخرج من الأنف</w:t>
      </w:r>
      <w:r>
        <w:rPr>
          <w:rStyle w:val="FootnoteAnchor"/>
          <w:rtl w:val="true"/>
        </w:rPr>
        <w:footnoteReference w:id="784"/>
      </w:r>
      <w:r>
        <w:rPr>
          <w:rFonts w:ascii="Amiri" w:hAnsi="Amiri" w:eastAsia="Amiri" w:cs="Amiri"/>
          <w:color w:val="111111"/>
          <w:sz w:val="28"/>
          <w:sz w:val="28"/>
          <w:szCs w:val="28"/>
          <w:rtl w:val="true"/>
          <w:lang w:bidi="ar-SA"/>
        </w:rPr>
        <w:t>، وهي معتبرةٌ موافقةٌ لأُصول المذهب، مخالفةٌ لفتوى العامّة، فلا يعارضها ما دلّ على نقضه مطلقاً</w:t>
      </w:r>
      <w:r>
        <w:rPr>
          <w:rStyle w:val="FootnoteAnchor"/>
          <w:rtl w:val="true"/>
        </w:rPr>
        <w:footnoteReference w:id="785"/>
      </w:r>
      <w:r>
        <w:rPr>
          <w:rFonts w:ascii="Amiri" w:hAnsi="Amiri" w:eastAsia="Amiri" w:cs="Amiri"/>
          <w:color w:val="111111"/>
          <w:sz w:val="28"/>
          <w:sz w:val="28"/>
          <w:szCs w:val="28"/>
          <w:rtl w:val="true"/>
          <w:lang w:bidi="ar-SA"/>
        </w:rPr>
        <w:t xml:space="preserve">، أو ما كان بشهوة </w:t>
      </w:r>
      <w:r>
        <w:rPr>
          <w:rStyle w:val="FootnoteAnchor"/>
          <w:rtl w:val="true"/>
        </w:rPr>
        <w:footnoteReference w:id="786"/>
      </w:r>
      <w:r>
        <w:rPr>
          <w:rFonts w:ascii="Amiri" w:hAnsi="Amiri" w:eastAsia="Amiri" w:cs="Amiri"/>
          <w:color w:val="111111"/>
          <w:sz w:val="28"/>
          <w:sz w:val="28"/>
          <w:szCs w:val="28"/>
          <w:rtl w:val="true"/>
          <w:lang w:bidi="ar-SA"/>
        </w:rPr>
        <w:t>لعدم المقاومة ومن شرط الجمع المقاومة، فلتُحمل الأخبار على التقيّة، أو على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ينقضه التقبيل بشهوة، ولامسّ فرج الغير، ولامسّ باطن فرجه؛ للأصل، والأخبار</w:t>
      </w:r>
      <w:r>
        <w:rPr>
          <w:rStyle w:val="FootnoteAnchor"/>
          <w:rtl w:val="true"/>
        </w:rPr>
        <w:footnoteReference w:id="787"/>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وللمخالف أخبار</w:t>
      </w:r>
      <w:r>
        <w:rPr>
          <w:rStyle w:val="FootnoteAnchor"/>
          <w:rtl w:val="true"/>
        </w:rPr>
        <w:footnoteReference w:id="788"/>
      </w:r>
      <w:r>
        <w:rPr>
          <w:rFonts w:ascii="Amiri" w:hAnsi="Amiri" w:eastAsia="Amiri" w:cs="Amiri"/>
          <w:color w:val="111111"/>
          <w:sz w:val="28"/>
          <w:sz w:val="28"/>
          <w:szCs w:val="28"/>
          <w:rtl w:val="true"/>
          <w:lang w:bidi="ar-SA"/>
        </w:rPr>
        <w:t>ضعيفة موافقةٌ للعامة والأُصول والقواعد لا تصلح للمعارضة، فيجب طرحها أو حملها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عندنا ناقض سوى ما ذكرناه؛ للإجماع بقسميه</w:t>
      </w:r>
      <w:r>
        <w:rPr>
          <w:rStyle w:val="FootnoteAnchor"/>
          <w:rtl w:val="true"/>
        </w:rPr>
        <w:footnoteReference w:id="789"/>
      </w:r>
      <w:r>
        <w:rPr>
          <w:rFonts w:ascii="IRNazanin" w:hAnsi="IRNazanin" w:eastAsia="IRNazanin"/>
          <w:color w:val="111111"/>
          <w:sz w:val="28"/>
          <w:sz w:val="28"/>
          <w:szCs w:val="28"/>
          <w:rtl w:val="true"/>
          <w:lang w:bidi="fa-IR"/>
        </w:rPr>
        <w:t>والأخبار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في بعض الأخبار من إثبات نواقض</w:t>
      </w:r>
      <w:r>
        <w:rPr>
          <w:rStyle w:val="FootnoteAnchor"/>
          <w:rtl w:val="true"/>
        </w:rPr>
        <w:footnoteReference w:id="791"/>
      </w:r>
      <w:r>
        <w:rPr>
          <w:rFonts w:ascii="Amiri" w:hAnsi="Amiri" w:eastAsia="Amiri" w:cs="Amiri"/>
          <w:color w:val="111111"/>
          <w:sz w:val="28"/>
          <w:sz w:val="28"/>
          <w:szCs w:val="28"/>
          <w:rtl w:val="true"/>
          <w:lang w:bidi="ar-SA"/>
        </w:rPr>
        <w:t>لا نقول بها محمولةٌ على التقيّة أو مؤوّلة أو مطّرحة، ويحمل بعضها على الندب</w:t>
      </w:r>
      <w:r>
        <w:rPr>
          <w:rFonts w:eastAsia="Amiri" w:cs="Amiri" w:ascii="Amiri" w:hAnsi="Amiri"/>
          <w:color w:val="111111"/>
          <w:sz w:val="28"/>
          <w:szCs w:val="28"/>
          <w:rtl w:val="true"/>
          <w:lang w:bidi="ar-SA"/>
        </w:rPr>
        <w:t xml:space="preserve">. </w:t>
      </w:r>
      <w:bookmarkStart w:id="524" w:name="pg18988_203318"/>
    </w:p>
    <w:p>
      <w:pPr>
        <w:pStyle w:val="Heading4"/>
        <w:numPr>
          <w:ilvl w:val="3"/>
          <w:numId w:val="1"/>
        </w:numPr>
        <w:rPr/>
      </w:pPr>
      <w:bookmarkStart w:id="525" w:name="__RefHeading___Toc13197755_1280447820"/>
      <w:bookmarkStart w:id="526" w:name="_Toc204"/>
      <w:bookmarkEnd w:id="524"/>
      <w:bookmarkEnd w:id="525"/>
      <w:r>
        <w:rPr>
          <w:rtl w:val="true"/>
        </w:rPr>
        <w:t>بحث في أحكام التخلّي</w:t>
      </w:r>
      <w:bookmarkEnd w:id="526"/>
    </w:p>
    <w:p>
      <w:pPr>
        <w:pStyle w:val="Heading5"/>
        <w:numPr>
          <w:ilvl w:val="4"/>
          <w:numId w:val="1"/>
        </w:numPr>
        <w:rPr/>
      </w:pPr>
      <w:bookmarkStart w:id="527" w:name="__RefHeading___Toc13197757_1280447820"/>
      <w:bookmarkStart w:id="528" w:name="_Toc205"/>
      <w:bookmarkEnd w:id="527"/>
      <w:r>
        <w:rPr>
          <w:rtl w:val="true"/>
        </w:rPr>
        <w:t>وفيه مطالب</w:t>
      </w:r>
      <w:bookmarkEnd w:id="528"/>
    </w:p>
    <w:p>
      <w:pPr>
        <w:pStyle w:val="Heading5"/>
        <w:numPr>
          <w:ilvl w:val="4"/>
          <w:numId w:val="1"/>
        </w:numPr>
        <w:rPr/>
      </w:pPr>
      <w:bookmarkStart w:id="529" w:name="__RefHeading___Toc13197759_1280447820"/>
      <w:bookmarkStart w:id="530" w:name="_Toc206"/>
      <w:bookmarkEnd w:id="529"/>
      <w:r>
        <w:rPr>
          <w:rtl w:val="true"/>
        </w:rPr>
        <w:t>أحدها</w:t>
      </w:r>
      <w:r>
        <w:rPr>
          <w:rtl w:val="true"/>
        </w:rPr>
        <w:t xml:space="preserve">: </w:t>
      </w:r>
      <w:r>
        <w:rPr>
          <w:rtl w:val="true"/>
        </w:rPr>
        <w:t>يجب ستر العورة</w:t>
      </w:r>
      <w:bookmarkEnd w:id="530"/>
    </w:p>
    <w:p>
      <w:pPr>
        <w:pStyle w:val="BookText"/>
        <w:rPr/>
      </w:pPr>
      <w:r>
        <w:rPr>
          <w:rFonts w:ascii="Amiri" w:hAnsi="Amiri" w:eastAsia="Amiri" w:cs="Amiri"/>
          <w:color w:val="111111"/>
          <w:sz w:val="28"/>
          <w:sz w:val="28"/>
          <w:szCs w:val="28"/>
          <w:rtl w:val="true"/>
          <w:lang w:bidi="ar-SA"/>
        </w:rPr>
        <w:t>يجب ستر العورة إجماعاً محصّلاً ومنقولاً</w:t>
      </w:r>
      <w:r>
        <w:rPr>
          <w:rStyle w:val="FootnoteAnchor"/>
          <w:rtl w:val="true"/>
        </w:rPr>
        <w:footnoteReference w:id="792"/>
      </w:r>
      <w:r>
        <w:rPr>
          <w:rFonts w:ascii="Amiri" w:hAnsi="Amiri" w:eastAsia="Amiri" w:cs="Amiri"/>
          <w:color w:val="111111"/>
          <w:sz w:val="28"/>
          <w:sz w:val="28"/>
          <w:szCs w:val="28"/>
          <w:rtl w:val="true"/>
          <w:lang w:bidi="ar-SA"/>
        </w:rPr>
        <w:t xml:space="preserve">وكتاباً </w:t>
      </w:r>
      <w:r>
        <w:rPr>
          <w:rStyle w:val="FootnoteAnchor"/>
          <w:rtl w:val="true"/>
        </w:rPr>
        <w:footnoteReference w:id="793"/>
      </w:r>
      <w:r>
        <w:rPr>
          <w:rFonts w:ascii="Amiri" w:hAnsi="Amiri" w:eastAsia="Amiri" w:cs="Amiri"/>
          <w:color w:val="111111"/>
          <w:sz w:val="28"/>
          <w:sz w:val="28"/>
          <w:szCs w:val="28"/>
          <w:rtl w:val="true"/>
          <w:lang w:bidi="ar-SA"/>
        </w:rPr>
        <w:t xml:space="preserve">وسنّةً </w:t>
      </w:r>
      <w:r>
        <w:rPr>
          <w:rStyle w:val="FootnoteAnchor"/>
          <w:rtl w:val="true"/>
        </w:rPr>
        <w:footnoteReference w:id="794"/>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بالأمر بالغضّ في الكتاب</w:t>
      </w:r>
      <w:r>
        <w:rPr>
          <w:rStyle w:val="FootnoteAnchor"/>
          <w:rtl w:val="true"/>
        </w:rPr>
        <w:footnoteReference w:id="795"/>
      </w:r>
      <w:r>
        <w:rPr>
          <w:rFonts w:ascii="Amiri" w:hAnsi="Amiri" w:eastAsia="Amiri" w:cs="Amiri"/>
          <w:color w:val="111111"/>
          <w:sz w:val="28"/>
          <w:sz w:val="28"/>
          <w:szCs w:val="28"/>
          <w:rtl w:val="true"/>
          <w:lang w:bidi="ar-SA"/>
        </w:rPr>
        <w:t>، إلّا الغضّ عن العورة، والاعتبار الناشئ من قطع مادّة الفساد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تفسير حرمة عورة المؤمن بكشف سرّه وإظهار عيبه</w:t>
      </w:r>
      <w:r>
        <w:rPr>
          <w:rStyle w:val="FootnoteAnchor"/>
          <w:rtl w:val="true"/>
        </w:rPr>
        <w:footnoteReference w:id="796"/>
      </w:r>
      <w:r>
        <w:rPr>
          <w:rFonts w:ascii="Amiri" w:hAnsi="Amiri" w:eastAsia="Amiri" w:cs="Amiri"/>
          <w:color w:val="111111"/>
          <w:sz w:val="28"/>
          <w:sz w:val="28"/>
          <w:szCs w:val="28"/>
          <w:rtl w:val="true"/>
          <w:lang w:bidi="ar-SA"/>
        </w:rPr>
        <w:t>غير منافٍ؛ لأنّه من التفاسير للبطون</w:t>
      </w:r>
      <w:r>
        <w:rPr>
          <w:rStyle w:val="FootnoteAnchor"/>
          <w:rtl w:val="true"/>
        </w:rPr>
        <w:footnoteReference w:id="797"/>
      </w:r>
      <w:r>
        <w:rPr>
          <w:rFonts w:ascii="Amiri" w:hAnsi="Amiri" w:eastAsia="Amiri" w:cs="Amiri"/>
          <w:color w:val="111111"/>
          <w:sz w:val="28"/>
          <w:sz w:val="28"/>
          <w:szCs w:val="28"/>
          <w:rtl w:val="true"/>
          <w:lang w:bidi="ar-SA"/>
        </w:rPr>
        <w:t>الغير معارضة للأخذ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المسلم والكافر؛ لعموم الأدلّة وفتوى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بخصوص لفظ المسلم والمؤمن</w:t>
      </w:r>
      <w:r>
        <w:rPr>
          <w:rStyle w:val="FootnoteAnchor"/>
          <w:rtl w:val="true"/>
        </w:rPr>
        <w:footnoteReference w:id="798"/>
      </w:r>
      <w:r>
        <w:rPr>
          <w:rFonts w:ascii="Amiri" w:hAnsi="Amiri" w:eastAsia="Amiri" w:cs="Amiri"/>
          <w:color w:val="111111"/>
          <w:sz w:val="28"/>
          <w:sz w:val="28"/>
          <w:szCs w:val="28"/>
          <w:rtl w:val="true"/>
          <w:lang w:bidi="ar-SA"/>
        </w:rPr>
        <w:t>لا يخصِّص عمومَ التحريم؛ لأنّ العامّ والخاصّ مع عدم التنافي لا يُحمل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أنّ النظر إلى عورة الكافر كالنظر إلى عورة الحمار</w:t>
      </w:r>
      <w:r>
        <w:rPr>
          <w:rStyle w:val="FootnoteAnchor"/>
          <w:rtl w:val="true"/>
        </w:rPr>
        <w:footnoteReference w:id="799"/>
      </w:r>
      <w:r>
        <w:rPr>
          <w:rFonts w:ascii="Amiri" w:hAnsi="Amiri" w:eastAsia="Amiri" w:cs="Amiri"/>
          <w:color w:val="111111"/>
          <w:sz w:val="28"/>
          <w:sz w:val="28"/>
          <w:szCs w:val="28"/>
          <w:rtl w:val="true"/>
          <w:lang w:bidi="ar-SA"/>
        </w:rPr>
        <w:t>، ضعيفٌ لا يقاوم ما قدّمنا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بين الكبير والصغير، إلّا إذا كان الناظر غير مميّز من الأطفال، فإنّه لا يدخل تحت أدلّة التحريم، وكذا إذا كان المنظور صغيراً لم يبلغ الثلاث سنين؛ فإنّ السيرة قاضية بجواز النظر إلى عورته من الأُمّهات والمربّيات والقوابل</w:t>
      </w:r>
      <w:r>
        <w:rPr>
          <w:rFonts w:eastAsia="Amiri" w:cs="Amiri" w:ascii="Amiri" w:hAnsi="Amiri"/>
          <w:color w:val="111111"/>
          <w:sz w:val="28"/>
          <w:szCs w:val="28"/>
          <w:rtl w:val="true"/>
          <w:lang w:bidi="ar-SA"/>
        </w:rPr>
        <w:t xml:space="preserve">. </w:t>
      </w:r>
      <w:bookmarkStart w:id="531" w:name="pg18988_203319"/>
    </w:p>
    <w:p>
      <w:pPr>
        <w:pStyle w:val="BookText"/>
        <w:rPr/>
      </w:pPr>
      <w:bookmarkEnd w:id="531"/>
      <w:r>
        <w:rPr>
          <w:rFonts w:ascii="Amiri" w:hAnsi="Amiri" w:eastAsia="Amiri" w:cs="Amiri"/>
          <w:color w:val="111111"/>
          <w:sz w:val="28"/>
          <w:sz w:val="28"/>
          <w:szCs w:val="28"/>
          <w:rtl w:val="true"/>
          <w:lang w:bidi="ar-SA"/>
        </w:rPr>
        <w:t>وقد يدّعى قصر التحليل على ما جرت به السيرة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لعدم شمول أدلّة تحريم النظر إلى العورة للنظر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والأُنثيان وحلقة الدبر؛ للأخبار</w:t>
      </w:r>
      <w:r>
        <w:rPr>
          <w:rStyle w:val="FootnoteAnchor"/>
          <w:rtl w:val="true"/>
        </w:rPr>
        <w:footnoteReference w:id="800"/>
      </w:r>
      <w:r>
        <w:rPr>
          <w:rFonts w:ascii="Amiri" w:hAnsi="Amiri" w:eastAsia="Amiri" w:cs="Amiri"/>
          <w:color w:val="111111"/>
          <w:sz w:val="28"/>
          <w:sz w:val="28"/>
          <w:szCs w:val="28"/>
          <w:rtl w:val="true"/>
          <w:lang w:bidi="ar-SA"/>
        </w:rPr>
        <w:t>المنجبرة بالأصل وفتوى الأخيار، وللسيرة، ولدليل نفي العسر والحرج</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ستر الفخذين إلى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التحريم بين النظر بنفس العين أو بواسطة ٍكالمنظرة، ولا بين نفس الحجم وبين ما انعكس فيه كالمرآة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المعتاد للنظر إليه بانعكاسه كالماء وباقي المائعات إشكال والأحوط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يحرم النظر إليه نفس البشرة لا الحجم، سواء ستره ساتر فغطاه فالتصق به، أو كان يرى حجماً من وراء الساتر بحيث لا يقال عرفاً أنّه رأى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المفصول من العورة والموصول، ولا بين الجزء والكلّ، ولا بين الميّت والحيّ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نبت على العورة من لحم حكمه حكمها، وما نبت من شعرٍ لا يحرم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باطن العورة بظاهرها إشكال، والأحوط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النظر في الخنثى إلى الفرجين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الستر مع القطع بوجود النظر من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الظنّ أو الشكّ في النظر مع وجود الناظر يجب الستر أيضاً؛ لظاهر الأخبار وظاهر الأمر بالتستّر</w:t>
      </w:r>
      <w:r>
        <w:rPr>
          <w:rStyle w:val="FootnoteAnchor"/>
          <w:rtl w:val="true"/>
        </w:rPr>
        <w:footnoteReference w:id="802"/>
      </w:r>
      <w:r>
        <w:rPr>
          <w:rFonts w:ascii="Amiri" w:hAnsi="Amiri" w:eastAsia="Amiri" w:cs="Amiri"/>
          <w:color w:val="111111"/>
          <w:sz w:val="28"/>
          <w:sz w:val="28"/>
          <w:szCs w:val="28"/>
          <w:rtl w:val="true"/>
          <w:lang w:bidi="ar-SA"/>
        </w:rPr>
        <w:t>، وأمّا مع الشكّ بوجود الناظر أو الظن به فالأحوط التستر أيضاً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3197761_1280447820"/>
      <w:bookmarkStart w:id="533" w:name="_Toc207"/>
      <w:bookmarkEnd w:id="532"/>
      <w:r>
        <w:rPr>
          <w:rtl w:val="true"/>
        </w:rPr>
        <w:t>ثانيها</w:t>
      </w:r>
      <w:r>
        <w:rPr>
          <w:rtl w:val="true"/>
        </w:rPr>
        <w:t xml:space="preserve">: </w:t>
      </w:r>
      <w:r>
        <w:rPr>
          <w:rtl w:val="true"/>
        </w:rPr>
        <w:t>حرمۀ استقبال القبلة واستدبارها علی المتخلّی</w:t>
      </w:r>
      <w:bookmarkEnd w:id="53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على المتخلّي استقبال القبلة واستدبارها؛ وفاقاً للمشهور؛ وللأخبار</w:t>
      </w:r>
      <w:r>
        <w:rPr>
          <w:rStyle w:val="FootnoteAnchor"/>
          <w:rtl w:val="true"/>
        </w:rPr>
        <w:footnoteReference w:id="803"/>
      </w:r>
      <w:r>
        <w:rPr>
          <w:rFonts w:ascii="Amiri" w:hAnsi="Amiri" w:eastAsia="Amiri" w:cs="Amiri"/>
          <w:color w:val="111111"/>
          <w:sz w:val="28"/>
          <w:sz w:val="28"/>
          <w:szCs w:val="28"/>
          <w:rtl w:val="true"/>
          <w:lang w:bidi="ar-SA"/>
        </w:rPr>
        <w:t>الناهية عن ذلك، المعتبرةِ المنجبرة بأدلّة وجوب تعظيم الشعائر ، وبفتوى الأكثر، وبالإجماعات المنقولة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الأدلّة تحريم الاستقبال والاستدبار بما يُسمّى كذلك، ويختلف باختلاف القيام والجلوس والاضطجاع والاستلقاء، ويدور مدار مقاديم البدن وأغلب الصورة الشخصيّة، ولا عبرة بنفس العورة إذا لم تكن على القبلة بعد الاستقبال بمقاديم البدن، كما لا يضرّ الاستقبال بها إذا لم تكن المقاديم على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تجنّب الاستقبال بنفس العورة وإن كانت المقاديم منحرفةً عنها؛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بغائطٍ ولا بول</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إلحاق حالة الاستنجاء بحالة التغوّط ؛ لمناسبته لدليل التعظيم، ولخبر الساباطي من الأمر بالجلوس للمستنجي كالجلوس للغائط</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دار الأمر بين الاستقبال والاستدبار، رجّح الاستدبار؛ لكونه أهون في منافاته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اشتبهت جهة القبلة، تجنّب الجميع مع عدم الحاجة، ومع الحاجة إلى التخلّي تخيّر، واجتمال القرعة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حصل له ظنّ بجهةٍ خاصّة، عمل على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والاستدامة كالابتداء في وجوب 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حرمة الاستدبار بين لزومه استقبال بيت المقدس وبين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تحريم الاستقبال والاستدبار بين الصحاري والأبنية؛ لإطلاق الأخبار الناهية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اشتمالُ كثيرٍ منها على المكروه وكثيرٍ منها على الأُمور الندبيّة لا ينافي حمل النهي بخصوص الاستقبال والاستدبار على التحريم بعد الانجبار بأدلّة وجوب التعظيم وفتوى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فصّل، فأجاز في الثاني دون الأوّل، أو العكس</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خبر ابن بزيع من بناء كنيفٍ إلى القبلة في منزل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لا دلالة فيه على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القبلة فيه؛ لأنّ العامّ لا يدلّ على الخاصّ، مع ظهور أنّ البناء ليس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4" w:name="pg18988_203321"/>
    </w:p>
    <w:p>
      <w:pPr>
        <w:pStyle w:val="BookText"/>
        <w:rPr/>
      </w:pPr>
      <w:bookmarkEnd w:id="534"/>
      <w:r>
        <w:rPr>
          <w:rFonts w:ascii="Amiri" w:hAnsi="Amiri" w:eastAsia="Amiri" w:cs="Amiri"/>
          <w:color w:val="111111"/>
          <w:sz w:val="28"/>
          <w:sz w:val="28"/>
          <w:szCs w:val="28"/>
          <w:rtl w:val="true"/>
          <w:lang w:bidi="ar-SA"/>
        </w:rPr>
        <w:t>بل كان لغيره؛ لاستبعاد وقوع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للاتفاق على مرجوحيته، ومع احتمال إرادة بناء الباب على نفس القبلة لا الكنيف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استحباب التشريق والتغريب للأمر به</w:t>
      </w:r>
      <w:r>
        <w:rPr>
          <w:rStyle w:val="FootnoteAnchor"/>
          <w:rtl w:val="true"/>
        </w:rPr>
        <w:footnoteReference w:id="811"/>
      </w:r>
      <w:r>
        <w:rPr>
          <w:rFonts w:ascii="Amiri" w:hAnsi="Amiri" w:eastAsia="Amiri" w:cs="Amiri"/>
          <w:color w:val="111111"/>
          <w:sz w:val="28"/>
          <w:sz w:val="28"/>
          <w:szCs w:val="28"/>
          <w:rtl w:val="true"/>
          <w:lang w:bidi="ar-SA"/>
        </w:rPr>
        <w:t>المحمول على الندب؛ لعدم القائل بإرادة حقيقته، فيُحمل على أقرب المجازات وأشهرها</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3197763_1280447820"/>
      <w:bookmarkStart w:id="536" w:name="_Toc208"/>
      <w:bookmarkEnd w:id="535"/>
      <w:r>
        <w:rPr>
          <w:rtl w:val="true"/>
        </w:rPr>
        <w:t>ثالثها</w:t>
      </w:r>
      <w:r>
        <w:rPr>
          <w:rtl w:val="true"/>
        </w:rPr>
        <w:t xml:space="preserve">: </w:t>
      </w:r>
      <w:r>
        <w:rPr>
          <w:rtl w:val="true"/>
        </w:rPr>
        <w:t>يجب تطهير ظاهر المخرج من البول والغائط</w:t>
      </w:r>
      <w:bookmarkEnd w:id="536"/>
    </w:p>
    <w:p>
      <w:pPr>
        <w:pStyle w:val="BookText"/>
        <w:rPr/>
      </w:pPr>
      <w:r>
        <w:rPr>
          <w:rFonts w:ascii="Amiri" w:hAnsi="Amiri" w:eastAsia="Amiri" w:cs="Amiri"/>
          <w:color w:val="111111"/>
          <w:sz w:val="28"/>
          <w:sz w:val="28"/>
          <w:szCs w:val="28"/>
          <w:rtl w:val="true"/>
          <w:lang w:bidi="ar-SA"/>
        </w:rPr>
        <w:t>يجب تطهير ظاهر المخرج من البول والغائط إجماعاً محصّلاً ومنقولاً</w:t>
      </w:r>
      <w:r>
        <w:rPr>
          <w:rStyle w:val="FootnoteAnchor"/>
          <w:rtl w:val="true"/>
        </w:rPr>
        <w:footnoteReference w:id="812"/>
      </w:r>
      <w:r>
        <w:rPr>
          <w:rFonts w:ascii="Amiri" w:hAnsi="Amiri" w:eastAsia="Amiri" w:cs="Amiri"/>
          <w:color w:val="111111"/>
          <w:sz w:val="28"/>
          <w:sz w:val="28"/>
          <w:szCs w:val="28"/>
          <w:rtl w:val="true"/>
          <w:lang w:bidi="ar-SA"/>
        </w:rPr>
        <w:t>، وجوباً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للبول الماء إجماعاً، والنصوص</w:t>
      </w:r>
      <w:r>
        <w:rPr>
          <w:rStyle w:val="FootnoteAnchor"/>
          <w:rtl w:val="true"/>
        </w:rPr>
        <w:footnoteReference w:id="813"/>
      </w:r>
      <w:r>
        <w:rPr>
          <w:rFonts w:ascii="Amiri" w:hAnsi="Amiri" w:eastAsia="Amiri" w:cs="Amiri"/>
          <w:color w:val="111111"/>
          <w:sz w:val="28"/>
          <w:sz w:val="28"/>
          <w:szCs w:val="28"/>
          <w:rtl w:val="true"/>
          <w:lang w:bidi="ar-SA"/>
        </w:rPr>
        <w:t>مستفيضة به، والأُصول والقواعد تقضي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بعض الأخبار</w:t>
      </w:r>
      <w:r>
        <w:rPr>
          <w:rStyle w:val="FootnoteAnchor"/>
          <w:rtl w:val="true"/>
        </w:rPr>
        <w:footnoteReference w:id="814"/>
      </w:r>
      <w:r>
        <w:rPr>
          <w:rFonts w:ascii="Amiri" w:hAnsi="Amiri" w:eastAsia="Amiri" w:cs="Amiri"/>
          <w:color w:val="111111"/>
          <w:sz w:val="28"/>
          <w:sz w:val="28"/>
          <w:szCs w:val="28"/>
          <w:rtl w:val="true"/>
          <w:lang w:bidi="ar-SA"/>
        </w:rPr>
        <w:t>، ممّا يدلّ على خلافه مطرحٌ أو محمول على التقيّة؛ لموافقة ذلك لفتواهم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وليس له ماء فيمسح ذكره بالحائط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محمولٌ على إرادة عدم سريان النجاسة منه إلى غيره، لا طهارته في نفسه؛ لظهور أنّ اليبس ليس من المطهِّرات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وتمسّحت فامسح ذكرك بريقك فإن وجدت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محمول على إرادة وضع الريق على طرف الذكر الغير النجس، حتّى أنّه لو خرج بلل من الذكر لم يقطع به؛ لاحتمال استناده إلى الريق، فلا ينجس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 على إرادة الحيلة في رفع الخبث أو يقين الحدث بخروج المشكوك به قبل الاستبراء؛ لحصول الشكّ في خروجه عند وضع الريق على المخرج لاحتمال استناد البلل إليه، وإن كان مَحْمِلاً جيّداً لكنّه لا يُثبت الطهارة؛ لكفاية وضع الريق على المحلّ الطاهر في الخلاص من الشبهتين وتأدية الحيلتين معاً، وكفاية وضعه على النجس في التخلّص من شبهة نقض يقين ارتفاع الحدث وإن تنجّس به، ولا أقلّ من احتمال المعنيين، فيقع الإجمال في البين</w:t>
      </w:r>
      <w:r>
        <w:rPr>
          <w:rFonts w:eastAsia="Amiri" w:cs="Amiri" w:ascii="Amiri" w:hAnsi="Amiri"/>
          <w:color w:val="111111"/>
          <w:sz w:val="28"/>
          <w:szCs w:val="28"/>
          <w:rtl w:val="true"/>
          <w:lang w:bidi="ar-SA"/>
        </w:rPr>
        <w:t xml:space="preserve">. </w:t>
      </w:r>
      <w:bookmarkStart w:id="537" w:name="pg18988_203322"/>
    </w:p>
    <w:p>
      <w:pPr>
        <w:pStyle w:val="BookText"/>
        <w:rPr/>
      </w:pPr>
      <w:bookmarkEnd w:id="537"/>
      <w:r>
        <w:rPr>
          <w:rFonts w:ascii="Amiri" w:hAnsi="Amiri" w:eastAsia="Amiri" w:cs="Amiri"/>
          <w:color w:val="111111"/>
          <w:sz w:val="28"/>
          <w:sz w:val="28"/>
          <w:szCs w:val="28"/>
          <w:rtl w:val="true"/>
          <w:lang w:bidi="ar-SA"/>
        </w:rPr>
        <w:t>بل ربما يدّعى أنّ الظاهر أنّه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التخلّص عن التنجّس بمخرج البول من حيثيّة عدم غسله هو</w:t>
      </w:r>
      <w:r>
        <w:rPr>
          <w:rStyle w:val="FootnoteAnchor"/>
          <w:rtl w:val="true"/>
        </w:rPr>
        <w:footnoteReference w:id="817"/>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حيلة</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في تحصيل البقاء على الطهارة لما قدّم على الاستبراء المحصّل لذلك من دون احتيال، ولذكر الوضوء فيه، فظهر أنّه حيلة في رفع التنجّس بتلك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 بما ذكرنا أيضاً دعوى أنّ المتنجّس بعد زوال عين النجاسة لا ينجّس؛ استناداً لهذه الرواية، ولخبر سماعة، الدالّ على أنّ مَنْ تمسّح بالأحجار وجاءه البلل بعد استبرائه لا بأس عليه</w:t>
      </w:r>
      <w:r>
        <w:rPr>
          <w:rStyle w:val="FootnoteAnchor"/>
          <w:rtl w:val="true"/>
        </w:rPr>
        <w:footnoteReference w:id="819"/>
      </w:r>
      <w:r>
        <w:rPr>
          <w:rFonts w:ascii="Amiri" w:hAnsi="Amiri" w:eastAsia="Amiri" w:cs="Amiri"/>
          <w:color w:val="111111"/>
          <w:sz w:val="28"/>
          <w:sz w:val="28"/>
          <w:szCs w:val="28"/>
          <w:rtl w:val="true"/>
          <w:lang w:bidi="ar-SA"/>
        </w:rPr>
        <w:t>، والصحيحة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مسح ذكره بيده ثمّ عرقت يده فأصاب ثوبه يغسل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وللخبر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يدي شيء من البول فأمسحه بالحائط أو بالتراب ثمّ تعرق يدي فأمسح وجهي أو بعض جسدي أو يصيب ثوبي؟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دلالة الرواية الأُولى كما قدّمنا، ولظهور إرادة عدم تنجّسه وعدم نقضه بما يخرج جديداً بعد الاستبراء في خبر سماعة، ولعدم ظهور إرادة مماسّة النجس نفسه بعد العرق للثوب والوجه، بل هو أعمّ، والأصل الطهارة عند محلّ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سنداً ودلالةً وإعراضِ الأصحاب عن العمل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لمعارضة ما جاء من الأمر بغسل الأواني والفرش من النجاسة</w:t>
      </w:r>
      <w:r>
        <w:rPr>
          <w:rStyle w:val="FootnoteAnchor"/>
          <w:rtl w:val="true"/>
        </w:rPr>
        <w:footnoteReference w:id="822"/>
      </w:r>
      <w:r>
        <w:rPr>
          <w:rFonts w:ascii="Amiri" w:hAnsi="Amiri" w:eastAsia="Amiri" w:cs="Amiri"/>
          <w:color w:val="111111"/>
          <w:sz w:val="28"/>
          <w:sz w:val="28"/>
          <w:szCs w:val="28"/>
          <w:rtl w:val="true"/>
          <w:lang w:bidi="ar-SA"/>
        </w:rPr>
        <w:t>، فلو أنّها لا تنجس لعرى الأمر بالغسل عن الفائدة؛ لعدم إمكان لُبْسها ومصاحبتها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تُحمل هذه الأخبار على وجوب مسح الذكر عند تعذّر الماء لتخفيف النجاسة عند فعل ما هو مشروط بالطهارة ووجوب الغسل بعد الإمكان؛ جمعاً بين الأدلّة، ويكون استفادة الوجوب من مجموع السؤال والجواب المشعرين بمشروعيّته ذلك اليوم، لا من الأمر به؛ لخلوّها عن الأمر بذلك</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3197765_1280447820"/>
      <w:bookmarkStart w:id="539" w:name="_Toc209"/>
      <w:bookmarkEnd w:id="538"/>
      <w:r>
        <w:rPr>
          <w:rtl w:val="true"/>
        </w:rPr>
        <w:t>رابعها</w:t>
      </w:r>
      <w:r>
        <w:rPr>
          <w:rtl w:val="true"/>
        </w:rPr>
        <w:t xml:space="preserve">: </w:t>
      </w:r>
      <w:r>
        <w:rPr>
          <w:rtl w:val="true"/>
        </w:rPr>
        <w:t>يجب غسل مخرج الغائط عند التعدّي عن المحلّ المعتاد</w:t>
      </w:r>
      <w:bookmarkEnd w:id="5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غسل مخرج الغائط عند التعدّي عن المحلّ المعتاد أو مخالطة نجاسةٍ أُخرى بالماء؛ للاستصحاب، ولما ورد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يكفي أحدكم ثلاث أحجار إذا يتجاوز محلّ </w:t>
      </w:r>
      <w:bookmarkStart w:id="540" w:name="pg18988_203323"/>
    </w:p>
    <w:p>
      <w:pPr>
        <w:pStyle w:val="BookText"/>
        <w:rPr/>
      </w:pPr>
      <w:bookmarkEnd w:id="540"/>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وللإجماع المنقول على عدم إجزاء الأحجار عند التعدّي</w:t>
      </w:r>
      <w:r>
        <w:rPr>
          <w:rStyle w:val="FootnoteAnchor"/>
          <w:rtl w:val="true"/>
        </w:rPr>
        <w:footnoteReference w:id="824"/>
      </w:r>
      <w:r>
        <w:rPr>
          <w:rFonts w:ascii="Amiri" w:hAnsi="Amiri" w:eastAsia="Amiri" w:cs="Amiri"/>
          <w:color w:val="111111"/>
          <w:sz w:val="28"/>
          <w:sz w:val="28"/>
          <w:szCs w:val="28"/>
          <w:rtl w:val="true"/>
          <w:lang w:bidi="ar-SA"/>
        </w:rPr>
        <w:t>، ولأنّ المتعدّي كسائر النجاسات للبدن</w:t>
      </w:r>
      <w:r>
        <w:rPr>
          <w:rStyle w:val="FootnoteAnchor"/>
          <w:rtl w:val="true"/>
        </w:rPr>
        <w:footnoteReference w:id="825"/>
      </w:r>
      <w:r>
        <w:rPr>
          <w:rFonts w:ascii="IRNazanin" w:hAnsi="IRNazanin" w:eastAsia="IRNazanin"/>
          <w:color w:val="111111"/>
          <w:sz w:val="28"/>
          <w:sz w:val="28"/>
          <w:szCs w:val="28"/>
          <w:rtl w:val="true"/>
          <w:lang w:bidi="fa-IR"/>
        </w:rPr>
        <w:t>، فلا بدّ من غسلها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عدم إجزاء الأحجار مع التعدّي حتّى في نفس المخرج؛ للشكّ في تطهيره بها والحال أنّه 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بعدم التعدّي هو ما يُسمّى استنجاءً عرفاً، ولا يتفاحش عن حلقة الدبر تفاحشاً بيّناً، كما يصدر عن غير معتدل المزاج، لا مجرّد تجاوزه عن الحلقة، وإن كان الاقتصار عليه أحوط</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3197767_1280447820"/>
      <w:bookmarkStart w:id="542" w:name="_Toc210"/>
      <w:bookmarkEnd w:id="541"/>
      <w:r>
        <w:rPr>
          <w:rtl w:val="true"/>
        </w:rPr>
        <w:t>خامسها</w:t>
      </w:r>
      <w:r>
        <w:rPr>
          <w:rtl w:val="true"/>
        </w:rPr>
        <w:t xml:space="preserve">: </w:t>
      </w:r>
      <w:r>
        <w:rPr>
          <w:rtl w:val="true"/>
        </w:rPr>
        <w:t>کفایۀ في غسل الغائط ذهاب العين</w:t>
      </w:r>
      <w:bookmarkEnd w:id="542"/>
    </w:p>
    <w:p>
      <w:pPr>
        <w:pStyle w:val="BookText"/>
        <w:rPr/>
      </w:pPr>
      <w:r>
        <w:rPr>
          <w:rFonts w:ascii="IRNazanin" w:hAnsi="IRNazanin" w:eastAsia="IRNazanin"/>
          <w:color w:val="111111"/>
          <w:sz w:val="28"/>
          <w:sz w:val="28"/>
          <w:szCs w:val="28"/>
          <w:rtl w:val="true"/>
          <w:lang w:bidi="fa-IR"/>
        </w:rPr>
        <w:t>یکفی في غسل الغائط ذهاب العين لصدق الغسل معه؛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للاستنجاء 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ينقى ما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ينقى ما ثمّة ويبقى الريح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 ينظر إليها</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على أنّ الريح لا ينافي النقاء، وأمّا اللون فالظاهر أنّه كالريح لا اعتبار به؛ لما ورد من الأمر بصبغ الثوب من دم الحيض لتدليسه</w:t>
      </w:r>
      <w:r>
        <w:rPr>
          <w:rStyle w:val="FootnoteAnchor"/>
          <w:rtl w:val="true"/>
        </w:rPr>
        <w:footnoteReference w:id="827"/>
      </w:r>
      <w:r>
        <w:rPr>
          <w:rFonts w:ascii="Amiri" w:hAnsi="Amiri" w:eastAsia="Amiri" w:cs="Amiri"/>
          <w:color w:val="111111"/>
          <w:sz w:val="28"/>
          <w:sz w:val="28"/>
          <w:szCs w:val="28"/>
          <w:rtl w:val="true"/>
          <w:lang w:bidi="ar-SA"/>
        </w:rPr>
        <w:t>، والصدق زوال العين والنقاء وإن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مكتسب من أجزاء صغار متلاصقة بالمحلّ من عين النجاسة فلا يصدق معه زوال العين، مردودة بظهور العرف على خلافه، وبعدم دوران الأحكام الشرعيّة على التدقيقات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بقي على المحلّ أثر من عين النجاسة يمكن زواله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كالأجزاء اللطيفة اللزجة العالقة بالمحلّ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إزالته؛ لأنّه من عين النجاسة</w:t>
      </w:r>
      <w:r>
        <w:rPr>
          <w:rStyle w:val="FootnoteAnchor"/>
          <w:rtl w:val="true"/>
        </w:rPr>
        <w:footnoteReference w:id="828"/>
      </w:r>
      <w:r>
        <w:rPr>
          <w:rFonts w:ascii="Amiri" w:hAnsi="Amiri" w:eastAsia="Amiri" w:cs="Amiri"/>
          <w:color w:val="111111"/>
          <w:sz w:val="28"/>
          <w:sz w:val="28"/>
          <w:szCs w:val="28"/>
          <w:rtl w:val="true"/>
          <w:lang w:bidi="ar-SA"/>
        </w:rPr>
        <w:t>، وللفرق بينه وبين اللون عرفاً، وهو المراد بقول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زوال العين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خشونة المقعدة في الغسل أو حصول الصرير من مماسة الغاسل لها؛ للأصل، و لعدم توقّف الامتثال عليهما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3197769_1280447820"/>
      <w:bookmarkStart w:id="544" w:name="_Toc211"/>
      <w:bookmarkEnd w:id="543"/>
      <w:r>
        <w:rPr>
          <w:rtl w:val="true"/>
        </w:rPr>
        <w:t>سادسها</w:t>
      </w:r>
      <w:r>
        <w:rPr>
          <w:rtl w:val="true"/>
        </w:rPr>
        <w:t xml:space="preserve">: </w:t>
      </w:r>
      <w:r>
        <w:rPr>
          <w:rtl w:val="true"/>
        </w:rPr>
        <w:t>يكفي في استنجاء البول غسل المخرج مرّةً واحدة بحيث يجري عليه</w:t>
      </w:r>
      <w:bookmarkEnd w:id="5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استنجاء البول غسل المخرج مرّةً واحدة بحيث يجري عليه فيزيل ما به من البول، وبحيث لا يستهلكه البول أو يساويه، بل بحيث يغلب الماء عليه ويقهره؛ لإطلاقات أوامر الغسل من البول مطلقاً، وإطلاقات خصوص أوامر غسل مخرج البول في الاستنجاء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البول فلا بدّ من غسله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ذكرك، وأعد صلواتك</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يغسل ذكره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ويذهب الغائط</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ولا يعيد الوضوء</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ولا يعيد الصلاة</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إعادة الوضوء والصلاة وغسل ذكرك</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هذه الأخبار في مقام البيان بيان للاكتفاء بمسمّى الغسل، بل في خبر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يجزئ من الماء في الاستنجاء؟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مثلا ما على الحشفة من البلل </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البول أن يغسله بمثله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ظهورٌ بكفاية المرّة الواحدة؛ لأنّ السؤال وإن كان ظاهراً عن إجزاء قدر الماء المستعمل دون وحدة الغسل وتعدّده إلّا أنّهما من اللوازم للمسؤول عنه، فينبغي بيان أحدهما، ولمّا كان الإطلاق كافياً ببيان الوحدة اكتفي بها في المقام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وجوب التثنية في غسل الثوب والبدن والإجماع المنقول</w:t>
      </w:r>
      <w:r>
        <w:rPr>
          <w:rStyle w:val="FootnoteAnchor"/>
          <w:rtl w:val="true"/>
        </w:rPr>
        <w:footnoteReference w:id="839"/>
      </w:r>
      <w:r>
        <w:rPr>
          <w:rFonts w:ascii="Amiri" w:hAnsi="Amiri" w:eastAsia="Amiri" w:cs="Amiri"/>
          <w:color w:val="111111"/>
          <w:sz w:val="28"/>
          <w:sz w:val="28"/>
          <w:szCs w:val="28"/>
          <w:rtl w:val="true"/>
          <w:lang w:bidi="ar-SA"/>
        </w:rPr>
        <w:t>عليها، وتنقيح المناط بين مخرج البول وسائر البدن، وما ورد من الأمر بالصبّ مرّتين على البدن إذا أصابه بول</w:t>
      </w:r>
      <w:r>
        <w:rPr>
          <w:rStyle w:val="FootnoteAnchor"/>
          <w:rtl w:val="true"/>
        </w:rPr>
        <w:footnoteReference w:id="840"/>
      </w:r>
      <w:r>
        <w:rPr>
          <w:rFonts w:ascii="IRNazanin" w:hAnsi="IRNazanin" w:eastAsia="IRNazanin"/>
          <w:color w:val="111111"/>
          <w:sz w:val="28"/>
          <w:sz w:val="28"/>
          <w:szCs w:val="28"/>
          <w:rtl w:val="true"/>
          <w:lang w:bidi="fa-IR"/>
        </w:rPr>
        <w:t>، وخبر</w:t>
      </w:r>
      <w:r>
        <w:rPr>
          <w:rStyle w:val="FootnoteAnchor"/>
          <w:rtl w:val="true"/>
        </w:rPr>
        <w:footnoteReference w:id="841"/>
      </w:r>
      <w:r>
        <w:rPr>
          <w:rFonts w:ascii="Amiri" w:hAnsi="Amiri" w:eastAsia="Amiri" w:cs="Amiri"/>
          <w:color w:val="111111"/>
          <w:sz w:val="28"/>
          <w:sz w:val="28"/>
          <w:szCs w:val="28"/>
          <w:rtl w:val="true"/>
          <w:lang w:bidi="ar-SA"/>
        </w:rPr>
        <w:t xml:space="preserve">نشيط بحمل المثلين على إرادة الغسلتين دالّ على وجوب تثنية الغسل في </w:t>
      </w:r>
    </w:p>
    <w:p>
      <w:pPr>
        <w:pStyle w:val="BookText"/>
        <w:rPr/>
      </w:pPr>
      <w:r>
        <w:rPr>
          <w:rFonts w:ascii="Amiri" w:hAnsi="Amiri" w:eastAsia="Amiri" w:cs="Amiri"/>
          <w:color w:val="111111"/>
          <w:sz w:val="28"/>
          <w:sz w:val="28"/>
          <w:szCs w:val="28"/>
          <w:rtl w:val="true"/>
          <w:lang w:bidi="ar-SA"/>
        </w:rPr>
        <w:t>المخرج، مردودة بمنع شمول الإجماع والأخبار الدالّين على التثنية لمخرج البول، بل هي ظاهرة في غيره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المناط بين البدن ومخرج البول ممنوع؛ لمكان السهولة المطلوبة في الاستنجاء والتخفيف المراد من الشارع لكثرة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دلالة خبر نشيط على التثنية ممنوعة؛ لإفضائها إلى التجوّز في اللفظ، ولظهورها في الجواب عمّا يجزئ من قدر الماء، لا عمّا يجب من قدر الغسل وحدةً وتعدّداً، وللزوم الحمل على تثنية الغسل الاكتفاء بمثل ما على الحشفة من البلل بعد انقطاع البول، وهو مخالف لأوامر الغسل في الأخبار والإجماع؛ لعدم حصول مسمّى الغسل به، ولاستهلاكه بالبول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فيُحمل خبر</w:t>
      </w:r>
      <w:r>
        <w:rPr>
          <w:rStyle w:val="FootnoteAnchor"/>
          <w:rtl w:val="true"/>
        </w:rPr>
        <w:footnoteReference w:id="842"/>
      </w:r>
      <w:r>
        <w:rPr>
          <w:rFonts w:ascii="Amiri" w:hAnsi="Amiri" w:eastAsia="Amiri" w:cs="Amiri"/>
          <w:color w:val="111111"/>
          <w:sz w:val="28"/>
          <w:sz w:val="28"/>
          <w:szCs w:val="28"/>
          <w:rtl w:val="true"/>
          <w:lang w:bidi="ar-SA"/>
        </w:rPr>
        <w:t xml:space="preserve">نشيط الآخَر على الاستخدام بإرجاع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البول</w:t>
      </w:r>
      <w:r>
        <w:rPr>
          <w:rStyle w:val="FootnoteAnchor"/>
          <w:rtl w:val="true"/>
        </w:rPr>
        <w:footnoteReference w:id="843"/>
      </w:r>
      <w:r>
        <w:rPr>
          <w:rFonts w:ascii="Amiri" w:hAnsi="Amiri" w:eastAsia="Amiri" w:cs="Amiri"/>
          <w:color w:val="111111"/>
          <w:sz w:val="28"/>
          <w:sz w:val="28"/>
          <w:szCs w:val="28"/>
          <w:rtl w:val="true"/>
          <w:lang w:bidi="ar-SA"/>
        </w:rPr>
        <w:t>أو القطرة الأخيرة منه، وإرادة المخرج من مرجع الضمير أو إرادة البلل المتخلّف عليه ضرورة أنّ البول لا يكون مغسولاً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844"/>
      </w:r>
      <w:r>
        <w:rPr>
          <w:rFonts w:ascii="Amiri" w:hAnsi="Amiri" w:eastAsia="Amiri" w:cs="Amiri"/>
          <w:color w:val="111111"/>
          <w:sz w:val="28"/>
          <w:sz w:val="28"/>
          <w:szCs w:val="28"/>
          <w:rtl w:val="true"/>
          <w:lang w:bidi="ar-SA"/>
        </w:rPr>
        <w:t>إلى وجوب تعدّد الغسل في استنجاء البول، مقيّداً للمطلقات بما دلّ على وجوب المرّتين في غسل البول عن البدن من الأخبار</w:t>
      </w:r>
      <w:r>
        <w:rPr>
          <w:rStyle w:val="FootnoteAnchor"/>
          <w:rtl w:val="true"/>
        </w:rPr>
        <w:footnoteReference w:id="845"/>
      </w:r>
      <w:r>
        <w:rPr>
          <w:rFonts w:ascii="Amiri" w:hAnsi="Amiri" w:eastAsia="Amiri" w:cs="Amiri"/>
          <w:color w:val="111111"/>
          <w:sz w:val="28"/>
          <w:sz w:val="28"/>
          <w:szCs w:val="28"/>
          <w:rtl w:val="true"/>
          <w:lang w:bidi="ar-SA"/>
        </w:rPr>
        <w:t>، والإجماع، وتنقيحاً للمناط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بعدم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بانصراف ما دلّ على ذلك إلى غير مخرج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الاحتياط يقضي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فهل يشترط التعدّد والانفصال الحسّي أم يكفي التقديري لو حصل بغسلةٍ واحدة؟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بظاهر الأمر والاستصحاب والاحتياط، ومن تنقيح المناط وتسرية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وأحوط، وأحوط الكلّ الثلاث؛ لما ورد في الصحيح من الأمر به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واكتفى جمع من أصحابنا</w:t>
      </w:r>
      <w:r>
        <w:rPr>
          <w:rStyle w:val="FootnoteAnchor"/>
          <w:rtl w:val="true"/>
        </w:rPr>
        <w:footnoteReference w:id="847"/>
      </w:r>
      <w:r>
        <w:rPr>
          <w:rFonts w:ascii="Amiri" w:hAnsi="Amiri" w:eastAsia="Amiri" w:cs="Amiri"/>
          <w:color w:val="111111"/>
          <w:sz w:val="28"/>
          <w:sz w:val="28"/>
          <w:szCs w:val="28"/>
          <w:rtl w:val="true"/>
          <w:lang w:bidi="ar-SA"/>
        </w:rPr>
        <w:t>بغسل المخرج بمثلَي ما على الحشفة؛ استناداً للرواية المتقدّمة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تقاوم إطلاقات الغسل، فلا بدّ من حملها على الكشف عن حصول الغسل </w:t>
      </w:r>
      <w:bookmarkStart w:id="545" w:name="pg18988_203326"/>
    </w:p>
    <w:p>
      <w:pPr>
        <w:pStyle w:val="BookText"/>
        <w:rPr/>
      </w:pPr>
      <w:bookmarkEnd w:id="545"/>
      <w:r>
        <w:rPr>
          <w:rFonts w:ascii="Amiri" w:hAnsi="Amiri" w:eastAsia="Amiri" w:cs="Amiri"/>
          <w:color w:val="111111"/>
          <w:sz w:val="28"/>
          <w:sz w:val="28"/>
          <w:szCs w:val="28"/>
          <w:rtl w:val="true"/>
          <w:lang w:bidi="ar-SA"/>
        </w:rPr>
        <w:t>بذلك القدر، وأنّه أقلّ ما يُسمّى غسلاً عرفاً، أو على المبالغة والتقريب، أو على إرادة القطرات المتخلّفة لا البلل كما تُحمل الرواية الثانية</w:t>
      </w:r>
      <w:r>
        <w:rPr>
          <w:rStyle w:val="FootnoteAnchor"/>
          <w:rtl w:val="true"/>
        </w:rPr>
        <w:footnoteReference w:id="849"/>
      </w:r>
      <w:r>
        <w:rPr>
          <w:rFonts w:ascii="Amiri" w:hAnsi="Amiri" w:eastAsia="Amiri" w:cs="Amiri"/>
          <w:color w:val="111111"/>
          <w:sz w:val="28"/>
          <w:sz w:val="28"/>
          <w:szCs w:val="28"/>
          <w:rtl w:val="true"/>
          <w:lang w:bidi="ar-SA"/>
        </w:rPr>
        <w:t xml:space="preserve">المكتفية بالمثل على ذلك، أو على السهو من حذف الياء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بمضمونها لا وجه له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3197771_1280447820"/>
      <w:bookmarkStart w:id="547" w:name="_Toc212"/>
      <w:bookmarkEnd w:id="546"/>
      <w:r>
        <w:rPr>
          <w:rtl w:val="true"/>
        </w:rPr>
        <w:t>سابعها</w:t>
      </w:r>
      <w:r>
        <w:rPr>
          <w:rtl w:val="true"/>
        </w:rPr>
        <w:t xml:space="preserve">: </w:t>
      </w:r>
      <w:r>
        <w:rPr>
          <w:rtl w:val="true"/>
        </w:rPr>
        <w:t>الواجب في غسل المخرجين هو الظاهر</w:t>
      </w:r>
      <w:bookmarkEnd w:id="547"/>
    </w:p>
    <w:p>
      <w:pPr>
        <w:pStyle w:val="BookText"/>
        <w:rPr/>
      </w:pPr>
      <w:r>
        <w:rPr>
          <w:rFonts w:ascii="Amiri" w:hAnsi="Amiri" w:eastAsia="Amiri" w:cs="Amiri"/>
          <w:color w:val="111111"/>
          <w:sz w:val="28"/>
          <w:sz w:val="28"/>
          <w:szCs w:val="28"/>
          <w:rtl w:val="true"/>
          <w:lang w:bidi="ar-SA"/>
        </w:rPr>
        <w:t xml:space="preserve">الواجب في غسل المخرجين هو الظاهر؛ للنصّ </w:t>
      </w:r>
      <w:r>
        <w:rPr>
          <w:rStyle w:val="FootnoteAnchor"/>
          <w:rtl w:val="true"/>
        </w:rPr>
        <w:footnoteReference w:id="850"/>
      </w:r>
      <w:r>
        <w:rPr>
          <w:rFonts w:ascii="Amiri" w:hAnsi="Amiri" w:eastAsia="Amiri" w:cs="Amiri"/>
          <w:color w:val="111111"/>
          <w:sz w:val="28"/>
          <w:sz w:val="28"/>
          <w:szCs w:val="28"/>
          <w:rtl w:val="true"/>
          <w:lang w:bidi="ar-SA"/>
        </w:rPr>
        <w:t>والإجماع والأصل، دون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معرفتهما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إدخال جزء من الباطن من باب المقدّمة لإزالة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بأصالة الطهارة في المشكوك به أنّه من الظاهر أو الباطن، ولكنّ الاحتياط يقضى بغسله </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3197773_1280447820"/>
      <w:bookmarkStart w:id="549" w:name="_Toc213"/>
      <w:bookmarkEnd w:id="548"/>
      <w:r>
        <w:rPr>
          <w:rtl w:val="true"/>
        </w:rPr>
        <w:t>ثامنها</w:t>
      </w:r>
      <w:r>
        <w:rPr>
          <w:rtl w:val="true"/>
        </w:rPr>
        <w:t xml:space="preserve">: </w:t>
      </w:r>
      <w:r>
        <w:rPr>
          <w:rtl w:val="true"/>
        </w:rPr>
        <w:t>يجزئ في مخرج الغائط عند عدم التعدّي التمسّح</w:t>
      </w:r>
      <w:bookmarkEnd w:id="549"/>
    </w:p>
    <w:p>
      <w:pPr>
        <w:pStyle w:val="BookText"/>
        <w:rPr/>
      </w:pPr>
      <w:r>
        <w:rPr>
          <w:rFonts w:ascii="Amiri" w:hAnsi="Amiri" w:eastAsia="Amiri" w:cs="Amiri"/>
          <w:color w:val="111111"/>
          <w:sz w:val="28"/>
          <w:sz w:val="28"/>
          <w:szCs w:val="28"/>
          <w:rtl w:val="true"/>
          <w:lang w:bidi="ar-SA"/>
        </w:rPr>
        <w:t>يجزئ في مخرج الغائط عند عدم التعدّي التمسّح؛ للإجماع والأخبار،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يستنجئ من البول ثلاث مرّات، ومن الغائط بالمدر والخزف والخرق</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لا يتمسّح من الغائط بالكرسف</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الغائط بثلاث أحجار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الغائط المسح بالأحجار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دلّ على إعادة الوضوء والصلاة مع التمسّح</w:t>
      </w:r>
      <w:r>
        <w:rPr>
          <w:rStyle w:val="FootnoteAnchor"/>
          <w:rtl w:val="true"/>
        </w:rPr>
        <w:footnoteReference w:id="855"/>
      </w:r>
      <w:r>
        <w:rPr>
          <w:rFonts w:ascii="IRNazanin" w:hAnsi="IRNazanin" w:eastAsia="IRNazanin"/>
          <w:color w:val="111111"/>
          <w:sz w:val="28"/>
          <w:sz w:val="28"/>
          <w:szCs w:val="28"/>
          <w:rtl w:val="true"/>
          <w:lang w:bidi="fa-IR"/>
        </w:rPr>
        <w:t>أو على متابعته بالماء</w:t>
      </w:r>
      <w:r>
        <w:rPr>
          <w:rStyle w:val="FootnoteAnchor"/>
          <w:rtl w:val="true"/>
        </w:rPr>
        <w:footnoteReference w:id="856"/>
      </w:r>
      <w:r>
        <w:rPr>
          <w:rFonts w:ascii="Amiri" w:hAnsi="Amiri" w:eastAsia="Amiri" w:cs="Amiri"/>
          <w:color w:val="111111"/>
          <w:sz w:val="28"/>
          <w:sz w:val="28"/>
          <w:szCs w:val="28"/>
          <w:rtl w:val="true"/>
          <w:lang w:bidi="ar-SA"/>
        </w:rPr>
        <w:t>أو غير ذلك مطّرح أو محمول على صورة التعدّي أو الندب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،الماء أفضل؛ للأخبار</w:t>
      </w:r>
      <w:r>
        <w:rPr>
          <w:rStyle w:val="FootnoteAnchor"/>
          <w:rtl w:val="true"/>
        </w:rPr>
        <w:footnoteReference w:id="857"/>
      </w:r>
      <w:r>
        <w:rPr>
          <w:rFonts w:ascii="Amiri" w:hAnsi="Amiri" w:eastAsia="Amiri" w:cs="Amiri"/>
          <w:color w:val="111111"/>
          <w:sz w:val="28"/>
          <w:sz w:val="28"/>
          <w:szCs w:val="28"/>
          <w:rtl w:val="true"/>
          <w:lang w:bidi="ar-SA"/>
        </w:rPr>
        <w:t>، وكلام الأصحاب،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أكمل مع تقديم الأحجار؛ للأخبار </w:t>
      </w:r>
      <w:r>
        <w:rPr>
          <w:rStyle w:val="FootnoteAnchor"/>
          <w:rtl w:val="true"/>
        </w:rPr>
        <w:footnoteReference w:id="858"/>
      </w:r>
      <w:r>
        <w:rPr>
          <w:rFonts w:ascii="Amiri" w:hAnsi="Amiri" w:eastAsia="Amiri" w:cs="Amiri"/>
          <w:color w:val="111111"/>
          <w:sz w:val="28"/>
          <w:sz w:val="28"/>
          <w:szCs w:val="28"/>
          <w:rtl w:val="true"/>
          <w:lang w:bidi="ar-SA"/>
        </w:rPr>
        <w:t>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بأفضليّة أحد فردي الواجب التخييري؛لإمكانه ووقوعه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w:t>
      </w:r>
      <w:bookmarkStart w:id="550" w:name="pg18988_203327"/>
    </w:p>
    <w:p>
      <w:pPr>
        <w:pStyle w:val="BookText"/>
        <w:rPr/>
      </w:pPr>
      <w:bookmarkEnd w:id="550"/>
      <w:r>
        <w:rPr>
          <w:rFonts w:ascii="Amiri" w:hAnsi="Amiri" w:eastAsia="Amiri" w:cs="Amiri"/>
          <w:color w:val="111111"/>
          <w:sz w:val="28"/>
          <w:sz w:val="28"/>
          <w:szCs w:val="28"/>
          <w:rtl w:val="true"/>
          <w:lang w:bidi="ar-SA"/>
        </w:rPr>
        <w:t>منه اجتماع الوجوب والاستحباب في شخص واحد؛ لأنّ المراد بالأفضليّة زيادة ثواب أحدهما على الآخر، ولا مضادّة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باختلاف الاعتبار؛ لتعلّق الندب بالفرد والوجوب بالكلّي، ضعيف؛ لعدم ارتفاع تضادّ الحكمين، وامتناع اجتماعهما بالاختلاف بالاعتبار مع كون الفرد متّحداً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التمسّح هنا ذهاب العين ولا عبرة باللون والرائحة؛ لفتوى الأصحاب، ولزوم العسر والحرج لولاه، ولإشعار الأخبار</w:t>
      </w:r>
      <w:r>
        <w:rPr>
          <w:rStyle w:val="FootnoteAnchor"/>
          <w:rtl w:val="true"/>
        </w:rPr>
        <w:footnoteReference w:id="859"/>
      </w:r>
      <w:r>
        <w:rPr>
          <w:rFonts w:ascii="Amiri" w:hAnsi="Amiri" w:eastAsia="Amiri" w:cs="Amiri"/>
          <w:color w:val="111111"/>
          <w:sz w:val="28"/>
          <w:sz w:val="28"/>
          <w:szCs w:val="28"/>
          <w:rtl w:val="true"/>
          <w:lang w:bidi="ar-SA"/>
        </w:rPr>
        <w:t>به، بل ربما يدّعى عدم العبرة بالأثر الزائد على اللون؛ لحصوله غالباً، وعدم زواله بالثلاث فيطهر حينئذ المحلّ وإن بقي الأثر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3197775_1280447820"/>
      <w:bookmarkStart w:id="552" w:name="_Toc214"/>
      <w:bookmarkEnd w:id="551"/>
      <w:r>
        <w:rPr>
          <w:rtl w:val="true"/>
        </w:rPr>
        <w:t>تاسعها</w:t>
      </w:r>
      <w:r>
        <w:rPr>
          <w:rtl w:val="true"/>
        </w:rPr>
        <w:t xml:space="preserve">: </w:t>
      </w:r>
      <w:r>
        <w:rPr>
          <w:rtl w:val="true"/>
        </w:rPr>
        <w:t>يجوز التمسّح بالحجر والمدر والخزف والكرسف والخرق</w:t>
      </w:r>
      <w:bookmarkEnd w:id="552"/>
    </w:p>
    <w:p>
      <w:pPr>
        <w:pStyle w:val="BookText"/>
        <w:rPr/>
      </w:pPr>
      <w:r>
        <w:rPr>
          <w:rFonts w:ascii="Amiri" w:hAnsi="Amiri" w:eastAsia="Amiri" w:cs="Amiri"/>
          <w:color w:val="111111"/>
          <w:sz w:val="28"/>
          <w:sz w:val="28"/>
          <w:szCs w:val="28"/>
          <w:rtl w:val="true"/>
          <w:lang w:bidi="ar-SA"/>
        </w:rPr>
        <w:t>يجوز التمسّح بالحجر والمدر والخزف والكرسف والخرق؛ لفتوى الأصحاب، ونصوص الباب</w:t>
      </w:r>
      <w:r>
        <w:rPr>
          <w:rStyle w:val="FootnoteAnchor"/>
          <w:rtl w:val="true"/>
        </w:rPr>
        <w:footnoteReference w:id="860"/>
      </w:r>
      <w:r>
        <w:rPr>
          <w:rFonts w:ascii="Amiri" w:hAnsi="Amiri" w:eastAsia="Amiri" w:cs="Amiri"/>
          <w:color w:val="111111"/>
          <w:sz w:val="28"/>
          <w:sz w:val="28"/>
          <w:szCs w:val="28"/>
          <w:rtl w:val="true"/>
          <w:lang w:bidi="ar-SA"/>
        </w:rPr>
        <w:t>وإن كان الحجر أقواها فعلاً وأكثرها نصّاً</w:t>
      </w:r>
      <w:r>
        <w:rPr>
          <w:rStyle w:val="FootnoteAnchor"/>
          <w:rtl w:val="true"/>
        </w:rPr>
        <w:footnoteReference w:id="861"/>
      </w:r>
      <w:r>
        <w:rPr>
          <w:rFonts w:ascii="Amiri" w:hAnsi="Amiri" w:eastAsia="Amiri" w:cs="Amiri"/>
          <w:color w:val="111111"/>
          <w:sz w:val="28"/>
          <w:sz w:val="28"/>
          <w:szCs w:val="28"/>
          <w:rtl w:val="true"/>
          <w:lang w:bidi="ar-SA"/>
        </w:rPr>
        <w:t>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بكلّ جسمٍ عدا 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منع ممّا ليس بأرضٍ</w:t>
      </w:r>
      <w:r>
        <w:rPr>
          <w:rStyle w:val="FootnoteAnchor"/>
          <w:rtl w:val="true"/>
        </w:rPr>
        <w:footnoteReference w:id="862"/>
      </w:r>
      <w:r>
        <w:rPr>
          <w:rFonts w:ascii="Amiri" w:hAnsi="Amiri" w:eastAsia="Amiri" w:cs="Amiri"/>
          <w:color w:val="111111"/>
          <w:sz w:val="28"/>
          <w:sz w:val="28"/>
          <w:szCs w:val="28"/>
          <w:rtl w:val="true"/>
          <w:lang w:bidi="ar-SA"/>
        </w:rPr>
        <w:t>، أو منع من الآجر والخزف من دون ملابسة طين أو تراب يابس</w:t>
      </w:r>
      <w:r>
        <w:rPr>
          <w:rStyle w:val="FootnoteAnchor"/>
          <w:rtl w:val="true"/>
        </w:rPr>
        <w:footnoteReference w:id="863"/>
      </w:r>
      <w:r>
        <w:rPr>
          <w:rFonts w:ascii="Amiri" w:hAnsi="Amiri" w:eastAsia="Amiri" w:cs="Amiri"/>
          <w:color w:val="111111"/>
          <w:sz w:val="28"/>
          <w:sz w:val="28"/>
          <w:szCs w:val="28"/>
          <w:rtl w:val="true"/>
          <w:lang w:bidi="ar-SA"/>
        </w:rPr>
        <w:t>، ومن الكرسف وشبهه إلّا مع فقد الأحجار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ما قلنا فتوى المشهور، والإجماع المنقول</w:t>
      </w:r>
      <w:r>
        <w:rPr>
          <w:rStyle w:val="FootnoteAnchor"/>
          <w:rtl w:val="true"/>
        </w:rPr>
        <w:footnoteReference w:id="865"/>
      </w:r>
      <w:r>
        <w:rPr>
          <w:rFonts w:ascii="Amiri" w:hAnsi="Amiri" w:eastAsia="Amiri" w:cs="Amiri"/>
          <w:color w:val="111111"/>
          <w:sz w:val="28"/>
          <w:sz w:val="28"/>
          <w:szCs w:val="28"/>
          <w:rtl w:val="true"/>
          <w:lang w:bidi="ar-SA"/>
        </w:rPr>
        <w:t>، والأخبار الدالّة على وجوب المسح مطلقاً</w:t>
      </w:r>
      <w:r>
        <w:rPr>
          <w:rStyle w:val="FootnoteAnchor"/>
          <w:rtl w:val="true"/>
        </w:rPr>
        <w:footnoteReference w:id="866"/>
      </w:r>
      <w:r>
        <w:rPr>
          <w:rFonts w:ascii="Amiri" w:hAnsi="Amiri" w:eastAsia="Amiri" w:cs="Amiri"/>
          <w:color w:val="111111"/>
          <w:sz w:val="28"/>
          <w:sz w:val="28"/>
          <w:szCs w:val="28"/>
          <w:rtl w:val="true"/>
          <w:lang w:bidi="ar-SA"/>
        </w:rPr>
        <w:t>، والدالّة على جواز ثلاث حثيات من تراب أو من أعواد</w:t>
      </w:r>
      <w:r>
        <w:rPr>
          <w:rStyle w:val="FootnoteAnchor"/>
          <w:rtl w:val="true"/>
        </w:rPr>
        <w:footnoteReference w:id="867"/>
      </w:r>
      <w:r>
        <w:rPr>
          <w:rFonts w:ascii="Amiri" w:hAnsi="Amiri" w:eastAsia="Amiri" w:cs="Amiri"/>
          <w:color w:val="111111"/>
          <w:sz w:val="28"/>
          <w:sz w:val="28"/>
          <w:szCs w:val="28"/>
          <w:rtl w:val="true"/>
          <w:lang w:bidi="ar-SA"/>
        </w:rPr>
        <w:t xml:space="preserve">، والدالّة على جواز الاستنجاء بالخزف والقطن وأشباه ذلك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ضعفت سنداً مجبورة بفتوى المشهور وعمل الجمهور</w:t>
      </w:r>
      <w:r>
        <w:rPr>
          <w:rFonts w:eastAsia="Amiri" w:cs="Amiri" w:ascii="Amiri" w:hAnsi="Amiri"/>
          <w:color w:val="111111"/>
          <w:sz w:val="28"/>
          <w:szCs w:val="28"/>
          <w:rtl w:val="true"/>
          <w:lang w:bidi="ar-SA"/>
        </w:rPr>
        <w:t xml:space="preserve">. </w:t>
      </w:r>
      <w:bookmarkStart w:id="553" w:name="pg18988_203328"/>
    </w:p>
    <w:p>
      <w:pPr>
        <w:pStyle w:val="BookText"/>
        <w:rPr/>
      </w:pPr>
      <w:bookmarkEnd w:id="553"/>
      <w:r>
        <w:rPr>
          <w:rFonts w:ascii="Amiri" w:hAnsi="Amiri" w:eastAsia="Amiri" w:cs="Amiri"/>
          <w:color w:val="111111"/>
          <w:sz w:val="28"/>
          <w:sz w:val="28"/>
          <w:szCs w:val="28"/>
          <w:rtl w:val="true"/>
          <w:lang w:bidi="ar-SA"/>
        </w:rPr>
        <w:t>وربما كان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ينقى ما ثمّة</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الغائط</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دليل على ذلك، بل في أخبار النهي عن الاستنجاء بالعظم والروث</w:t>
      </w:r>
      <w:r>
        <w:rPr>
          <w:rStyle w:val="FootnoteAnchor"/>
          <w:rtl w:val="true"/>
        </w:rPr>
        <w:footnoteReference w:id="871"/>
      </w:r>
      <w:r>
        <w:rPr>
          <w:rFonts w:ascii="Amiri" w:hAnsi="Amiri" w:eastAsia="Amiri" w:cs="Amiri"/>
          <w:color w:val="111111"/>
          <w:sz w:val="28"/>
          <w:sz w:val="28"/>
          <w:szCs w:val="28"/>
          <w:rtl w:val="true"/>
          <w:lang w:bidi="ar-SA"/>
        </w:rPr>
        <w:t>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 حينئذٍ على خصوصيّة الأحجار أو خصوصيّة أشياء معيّنة لا يكون مقيّداً للإطلاقات المعتضدة بفهم المشهور والإجماع المنقول، فيُحمل المقيّد على الغالب ؛ لأنّ الغالب في الاستعمال الأحجار وشبهها، على أنّ ما جاء من المقيَّدات من حكايات الأفعال لا تصلح لتقييد مطلقات الأقوال</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3197777_1280447820"/>
      <w:bookmarkStart w:id="555" w:name="_Toc215"/>
      <w:bookmarkEnd w:id="554"/>
      <w:r>
        <w:rPr>
          <w:rtl w:val="true"/>
        </w:rPr>
        <w:t>عاشرها</w:t>
      </w:r>
      <w:r>
        <w:rPr>
          <w:rtl w:val="true"/>
        </w:rPr>
        <w:t xml:space="preserve">: </w:t>
      </w:r>
      <w:r>
        <w:rPr>
          <w:rtl w:val="true"/>
        </w:rPr>
        <w:t>يجب المسح بما يُسمّى مسحاً</w:t>
      </w:r>
      <w:bookmarkEnd w:id="555"/>
    </w:p>
    <w:p>
      <w:pPr>
        <w:pStyle w:val="BookText"/>
        <w:rPr/>
      </w:pPr>
      <w:r>
        <w:rPr>
          <w:rFonts w:ascii="Amiri" w:hAnsi="Amiri" w:eastAsia="Amiri" w:cs="Amiri"/>
          <w:color w:val="111111"/>
          <w:sz w:val="28"/>
          <w:sz w:val="28"/>
          <w:szCs w:val="28"/>
          <w:rtl w:val="true"/>
          <w:lang w:bidi="ar-SA"/>
        </w:rPr>
        <w:t>يجب المسح بما يُسمّى مسحاً، فلا يكفي الالتصاق؛ للاستصحاب، وظاهر الأخبار،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على النحو المتعارف، فلو تعدّى بالمسح إلى المحلّ الطاهر تنجّس الطاهر الخارج عن المحلّ المعتاد واحتاج إلى تطهيره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الاقتصار جدّاً بحيث لا يتعدّى عن المحلّ أبداً؛ للزوم الحرج والعسر، ولمخالفة السيرة الجارية في المسح، فلا يجب حينئذٍ وضع حافّة الحجر على حافّة النجاسة وإدارتها عليها بحيث لا يمسّ المحلّ الطاهر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تعدّد المسح بحيث تعدّ مسحات متمايزة متفاصلة؛ للاستصحاب، وظاهر الأخبار</w:t>
      </w:r>
      <w:r>
        <w:rPr>
          <w:rStyle w:val="FootnoteAnchor"/>
          <w:rtl w:val="true"/>
        </w:rPr>
        <w:footnoteReference w:id="872"/>
      </w:r>
      <w:r>
        <w:rPr>
          <w:rFonts w:ascii="Amiri" w:hAnsi="Amiri" w:eastAsia="Amiri" w:cs="Amiri"/>
          <w:color w:val="111111"/>
          <w:sz w:val="28"/>
          <w:sz w:val="28"/>
          <w:szCs w:val="28"/>
          <w:rtl w:val="true"/>
          <w:lang w:bidi="ar-SA"/>
        </w:rPr>
        <w:t>،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ألصق ثلاث أحجار ومسح بها دفعةً لم يُجزئ، وكان بحكم حجرٍ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مسح بالثلاث متعاقبةً من دون فاصل مرّةً واحدة قوي الإجزاء، والأحوط الفصل</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3197779_1280447820"/>
      <w:bookmarkStart w:id="557" w:name="_Toc216"/>
      <w:bookmarkEnd w:id="556"/>
      <w:r>
        <w:rPr>
          <w:rtl w:val="true"/>
        </w:rPr>
        <w:t>حادي عشرها</w:t>
      </w:r>
      <w:r>
        <w:rPr>
          <w:rtl w:val="true"/>
        </w:rPr>
        <w:t xml:space="preserve">: </w:t>
      </w:r>
      <w:r>
        <w:rPr>
          <w:rtl w:val="true"/>
        </w:rPr>
        <w:t>لا يجزئ المسح بالنجس ولا بالمتنجّس</w:t>
      </w:r>
      <w:bookmarkEnd w:id="557"/>
    </w:p>
    <w:p>
      <w:pPr>
        <w:pStyle w:val="BookText"/>
        <w:rPr/>
      </w:pPr>
      <w:r>
        <w:rPr>
          <w:rFonts w:ascii="Amiri" w:hAnsi="Amiri" w:eastAsia="Amiri" w:cs="Amiri"/>
          <w:color w:val="111111"/>
          <w:sz w:val="28"/>
          <w:sz w:val="28"/>
          <w:szCs w:val="28"/>
          <w:rtl w:val="true"/>
          <w:lang w:bidi="ar-SA"/>
        </w:rPr>
        <w:t>لا يجزئ المسح بالنجس ولا بالمتنجّس؛ للأصل، والشكّ في شمول الأدلّة للنجس، بل لظهورها في غيره؛ للإجماع المنقول</w:t>
      </w:r>
      <w:r>
        <w:rPr>
          <w:rStyle w:val="FootnoteAnchor"/>
          <w:rtl w:val="true"/>
        </w:rPr>
        <w:footnoteReference w:id="873"/>
      </w:r>
      <w:r>
        <w:rPr>
          <w:rFonts w:ascii="Amiri" w:hAnsi="Amiri" w:eastAsia="Amiri" w:cs="Amiri"/>
          <w:color w:val="111111"/>
          <w:sz w:val="28"/>
          <w:sz w:val="28"/>
          <w:szCs w:val="28"/>
          <w:rtl w:val="true"/>
          <w:lang w:bidi="ar-SA"/>
        </w:rPr>
        <w:t>،ولانفعاله بالخبث، فلا يصلح لأن يكون رافعاً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استنجى به لغا حكم الأحجار ولزم الاستنجاء بالماء؛ للاستصحاب، ولإفادة المحلّ نجاسة غريبة لا يرفعها سوى الماء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قويّاً الاجتزاء بالأحجار؛ لعدم تنجّس المتنجّس بنجاسةٍ أُخرى فتشمله الإطلاقات</w:t>
      </w:r>
      <w:r>
        <w:rPr>
          <w:rFonts w:eastAsia="Amiri" w:cs="Amiri" w:ascii="Amiri" w:hAnsi="Amiri"/>
          <w:color w:val="111111"/>
          <w:sz w:val="28"/>
          <w:szCs w:val="28"/>
          <w:rtl w:val="true"/>
          <w:lang w:bidi="ar-SA"/>
        </w:rPr>
        <w:t xml:space="preserve">. </w:t>
      </w:r>
      <w:bookmarkStart w:id="558" w:name="pg18988_203329"/>
    </w:p>
    <w:p>
      <w:pPr>
        <w:pStyle w:val="BookText"/>
        <w:rPr/>
      </w:pPr>
      <w:bookmarkEnd w:id="558"/>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يقبل الشدّة والضعف في قبول النجاسة وإن كان متنجّساً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نجاسة الغائط فتجزئ الأحجار لعدم تغاير النجاسة، وبين غيرها فلا تجزئ قريب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أظهر وأحوط</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3197781_1280447820"/>
      <w:bookmarkStart w:id="560" w:name="_Toc217"/>
      <w:bookmarkEnd w:id="559"/>
      <w:r>
        <w:rPr>
          <w:rtl w:val="true"/>
        </w:rPr>
        <w:t>ثاني عشرها</w:t>
      </w:r>
      <w:r>
        <w:rPr>
          <w:rtl w:val="true"/>
        </w:rPr>
        <w:t xml:space="preserve">: </w:t>
      </w:r>
      <w:r>
        <w:rPr>
          <w:rtl w:val="true"/>
        </w:rPr>
        <w:t>بیان أقلّ المجزئ فی المسح</w:t>
      </w:r>
      <w:bookmarkEnd w:id="560"/>
    </w:p>
    <w:p>
      <w:pPr>
        <w:pStyle w:val="BookText"/>
        <w:rPr/>
      </w:pPr>
      <w:r>
        <w:rPr>
          <w:rFonts w:ascii="Amiri" w:hAnsi="Amiri" w:eastAsia="Amiri" w:cs="Amiri"/>
          <w:color w:val="111111"/>
          <w:sz w:val="28"/>
          <w:sz w:val="28"/>
          <w:szCs w:val="28"/>
          <w:rtl w:val="true"/>
          <w:lang w:bidi="ar-SA"/>
        </w:rPr>
        <w:t>لا بدّ من تثليث المسح وإن نقي المحلّ ، بدونها، فيكون أقلّ المجزئ ثلاث مسحات بثلاث أحجار ، ولو لم يَنْقَ وجب الزائد إلى أن ينقى؛ للاستصحاب، وظاهر أخبار الباب وفتوى الأصحاب، ولما ورد بعدم إجزاء ما دون الثلاثة من الأخبار</w:t>
      </w:r>
      <w:r>
        <w:rPr>
          <w:rStyle w:val="FootnoteAnchor"/>
          <w:rtl w:val="true"/>
        </w:rPr>
        <w:footnoteReference w:id="874"/>
      </w:r>
      <w:r>
        <w:rPr>
          <w:rFonts w:ascii="Amiri" w:hAnsi="Amiri" w:eastAsia="Amiri" w:cs="Amiri"/>
          <w:color w:val="111111"/>
          <w:sz w:val="28"/>
          <w:sz w:val="28"/>
          <w:szCs w:val="28"/>
          <w:rtl w:val="true"/>
          <w:lang w:bidi="ar-SA"/>
        </w:rPr>
        <w:t>، وهي وإن ضعفت لكنّها قويّة بفتوى مشهور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بأخبار التثليث إمّا من جهة أنّها مقيِّدةٌ لإطلاق الأخبار</w:t>
      </w:r>
      <w:r>
        <w:rPr>
          <w:rStyle w:val="FootnoteAnchor"/>
          <w:rtl w:val="true"/>
        </w:rPr>
        <w:footnoteReference w:id="875"/>
      </w:r>
      <w:r>
        <w:rPr>
          <w:rFonts w:ascii="Amiri" w:hAnsi="Amiri" w:eastAsia="Amiri" w:cs="Amiri"/>
          <w:color w:val="111111"/>
          <w:sz w:val="28"/>
          <w:sz w:val="28"/>
          <w:szCs w:val="28"/>
          <w:rtl w:val="true"/>
          <w:lang w:bidi="ar-SA"/>
        </w:rPr>
        <w:t>، الدالّةِ على كفاية ذهاب الغائط وكفاية نقاء ما ثمّة، والآمرة بالاستنجاء مطلقاً، فيجب حمل المطلق على المقيد، وإمّا من جهة مفهوم العدد في مقام البيان؛ لوروده في مقام بيان المجزئ في الاستنجاء وظاهر الإجزاء هو أقلّ ما يتأدّى به الواجب، وفي مقام بيان ما جرت به السنّة وظاهر لفظ السنّة هنا إرادة الشريعة لا المسنون، وفي مقام حكاية فعل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المنبئ عن الاستمرار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يستنجون بثلاث أحجار</w:t>
      </w:r>
      <w:r>
        <w:rPr>
          <w:rStyle w:val="FootnoteAnchor"/>
          <w:rtl w:val="true"/>
        </w:rPr>
        <w:footnoteReference w:id="876"/>
      </w:r>
      <w:r>
        <w:rPr>
          <w:rFonts w:ascii="Amiri" w:hAnsi="Amiri" w:eastAsia="Amiri" w:cs="Amiri"/>
          <w:color w:val="111111"/>
          <w:sz w:val="28"/>
          <w:sz w:val="28"/>
          <w:szCs w:val="28"/>
          <w:rtl w:val="true"/>
          <w:lang w:bidi="ar-SA"/>
        </w:rPr>
        <w:t>، فلو لم يكن التثليث</w:t>
      </w:r>
    </w:p>
    <w:p>
      <w:pPr>
        <w:pStyle w:val="BookText"/>
        <w:rPr/>
      </w:pPr>
      <w:r>
        <w:rPr>
          <w:rFonts w:ascii="Amiri" w:hAnsi="Amiri" w:eastAsia="Amiri" w:cs="Amiri"/>
          <w:color w:val="111111"/>
          <w:sz w:val="28"/>
          <w:sz w:val="28"/>
          <w:szCs w:val="28"/>
          <w:rtl w:val="true"/>
          <w:lang w:bidi="ar-SA"/>
        </w:rPr>
        <w:t>لازماً لما استمرّ عليه الناس؛ لما نراهم من عدم الاستمرار على المسنونات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877"/>
      </w:r>
      <w:r>
        <w:rPr>
          <w:rFonts w:ascii="Amiri" w:hAnsi="Amiri" w:eastAsia="Amiri" w:cs="Amiri"/>
          <w:color w:val="111111"/>
          <w:sz w:val="28"/>
          <w:sz w:val="28"/>
          <w:szCs w:val="28"/>
          <w:rtl w:val="true"/>
          <w:lang w:bidi="ar-SA"/>
        </w:rPr>
        <w:t>إلى عدم اشتراط التثليث واكتفى بحصول مسمّى النقاء؛ استناداً للإطلاق، وتنزيلاً للمقيِّدات على الغالب من عدم حصول النقاء بدون التثليث، أو على الاستحباب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لظهور رواية النقاء في الاستنجاء بالماء، ولوجوب حمل المطلق على المقيّد عند المقاومة وإن كان المقيّد هو الفرد الغالب، بل الغلبة مرجّحة للحمل؛ لأنّ المطلق يحمل عليها من دون تقييدٍ بها، فكيف لو ظهر التقييد بها، وورود المقيّد مورد الغالب ممّا يلغي المفهوم لا يلغي التقييد به، والتقييد الوارد في الأحجار في صحيح الأخبار يضمّ إليه عدم القول بالفصل بالنسبة إلى غيرها، وأولويّة غيرها منها في التثليث</w:t>
      </w:r>
      <w:r>
        <w:rPr>
          <w:rFonts w:eastAsia="Amiri" w:cs="Amiri" w:ascii="Amiri" w:hAnsi="Amiri"/>
          <w:color w:val="111111"/>
          <w:sz w:val="28"/>
          <w:szCs w:val="28"/>
          <w:rtl w:val="true"/>
          <w:lang w:bidi="ar-SA"/>
        </w:rPr>
        <w:t xml:space="preserve">. </w:t>
      </w:r>
      <w:bookmarkStart w:id="561" w:name="pg18988_203330"/>
    </w:p>
    <w:p>
      <w:pPr>
        <w:pStyle w:val="BookText"/>
        <w:rPr/>
      </w:pPr>
      <w:bookmarkEnd w:id="561"/>
      <w:r>
        <w:rPr>
          <w:rFonts w:ascii="Amiri" w:hAnsi="Amiri" w:eastAsia="Amiri" w:cs="Amiri"/>
          <w:color w:val="111111"/>
          <w:sz w:val="28"/>
          <w:sz w:val="28"/>
          <w:szCs w:val="28"/>
          <w:rtl w:val="true"/>
          <w:lang w:bidi="ar-SA"/>
        </w:rPr>
        <w:t>وبالجملة، فالأدلّة الدالّة على أنّ المدار هو النقاء بينها وبين أدلّة التثليث عموم من وجه ولا يمكن تخصيصها بأدلّة الأحجار للإجماع على لزوم إزالة العين وإن زاد المسح على الثلاثة، فلابدّ من تخصيص أدلّة النقاء بأدلّة الأحجار؛ لقوّتها واعتضادها بالاستصحاب وفتوى المشهور، ولأنّ التطهير بالأحجار ظنّيٌّ ولا يزيل الأثر غالباً، فيؤخذ به المتيقّن من لزوم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التثليث هو حصول النقاء بها غالباً بالنسبة لأغلب الناس في أغلب الأوقات وأغلب الأحجار، وإلّا فقد يختلف الحال بالنسبة إلى شدّة الحرّ والبرد والهواء وعدمه، وخشونة الحجر ونعومته، وقوّة المسّ وضعفه، وذكاء الماسح وبلادته، وخشونة النجو ونعومته، ولزوجته وعدمها وكبر الحجر وصغره،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لا يلزم من عدمها العدم</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3197783_1280447820"/>
      <w:bookmarkStart w:id="563" w:name="_Toc218"/>
      <w:bookmarkEnd w:id="562"/>
      <w:r>
        <w:rPr>
          <w:rtl w:val="true"/>
        </w:rPr>
        <w:t>ثالث عشرها</w:t>
      </w:r>
      <w:r>
        <w:rPr>
          <w:rtl w:val="true"/>
        </w:rPr>
        <w:t xml:space="preserve">: </w:t>
      </w:r>
      <w:r>
        <w:rPr>
          <w:rtl w:val="true"/>
        </w:rPr>
        <w:t>يجب تثليث الماسح</w:t>
      </w:r>
      <w:bookmarkEnd w:id="563"/>
    </w:p>
    <w:p>
      <w:pPr>
        <w:pStyle w:val="BookText"/>
        <w:rPr/>
      </w:pPr>
      <w:r>
        <w:rPr>
          <w:rFonts w:ascii="Amiri" w:hAnsi="Amiri" w:eastAsia="Amiri" w:cs="Amiri"/>
          <w:color w:val="111111"/>
          <w:sz w:val="28"/>
          <w:sz w:val="28"/>
          <w:szCs w:val="28"/>
          <w:rtl w:val="true"/>
          <w:lang w:bidi="ar-SA"/>
        </w:rPr>
        <w:t xml:space="preserve">يجب تثليث الماسح بمعنى تعدّد مكان الماسح ومغايرته في المسح، فلا يجزئ الثلاث مسحات لموضعٍ واحد؛ لظهور الأخبار في تثليث الماسح، وكذا الأصحاب، ويدلّ عليه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ظهور الأخبار في تثليث الماسح، بل إنّما تدلّ على تثليث المسح،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عشرة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رميته عشرة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بفهم الأصحاب خلافَه أوّلاً، وبأنّه لا أقلّ من حصول الإجمال فيه فيؤخذ بالمتيقّن ثانياً، وبالفرق بين المجرور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العمدة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تكرّر الآلة، وبين المجرّد فلا يدلّ ثالثاً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3197785_1280447820"/>
      <w:bookmarkStart w:id="565" w:name="_Toc219"/>
      <w:bookmarkEnd w:id="564"/>
      <w:r>
        <w:rPr>
          <w:rtl w:val="true"/>
        </w:rPr>
        <w:t>رابع عشرها</w:t>
      </w:r>
      <w:r>
        <w:rPr>
          <w:rtl w:val="true"/>
        </w:rPr>
        <w:t xml:space="preserve">: </w:t>
      </w:r>
      <w:r>
        <w:rPr>
          <w:rtl w:val="true"/>
        </w:rPr>
        <w:t>عدم إجزاء الواحد ذي الجهات الثلاث من حجر أو مدر أو خزف أو غیره</w:t>
      </w:r>
      <w:bookmarkEnd w:id="5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والأحوط عدم إجزاء الواحد ذي الجهات الثلاث من حجر أو مدر أو خزف أو الطويل ذي الأمكنة المتعدّدة الممكن تغاير المسح بها؛ للاستصحاب، وظهور الأخبار في تعدّد الآلة وانفصالها؛ لأنّ المفهوم من ثلاثة أحجار تعدّدها وانفصالها، ولا يصدق على الواحد أنّه ثلاثة، ولأنّ المعهود التعدّد،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أحجار أبكار</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واستعمال الواحد مرّةً أُخرى بالجهة الثانية لا يصدق عليها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مؤيّد بفتوى المشهور نقلاً</w:t>
      </w:r>
      <w:r>
        <w:rPr>
          <w:rStyle w:val="FootnoteAnchor"/>
          <w:rtl w:val="true"/>
        </w:rPr>
        <w:footnoteReference w:id="879"/>
      </w:r>
      <w:r>
        <w:rPr>
          <w:rFonts w:ascii="Amiri" w:hAnsi="Amiri" w:eastAsia="Amiri" w:cs="Amiri"/>
          <w:color w:val="111111"/>
          <w:sz w:val="28"/>
          <w:sz w:val="28"/>
          <w:szCs w:val="28"/>
          <w:rtl w:val="true"/>
          <w:lang w:bidi="ar-SA"/>
        </w:rPr>
        <w:t>وتحصيلاً</w:t>
      </w:r>
      <w:r>
        <w:rPr>
          <w:rFonts w:eastAsia="Amiri" w:cs="Amiri" w:ascii="Amiri" w:hAnsi="Amiri"/>
          <w:color w:val="111111"/>
          <w:sz w:val="28"/>
          <w:szCs w:val="28"/>
          <w:rtl w:val="true"/>
          <w:lang w:bidi="ar-SA"/>
        </w:rPr>
        <w:t xml:space="preserve">. </w:t>
      </w:r>
      <w:bookmarkStart w:id="566" w:name="pg18988_203331"/>
    </w:p>
    <w:p>
      <w:pPr>
        <w:pStyle w:val="BookText"/>
        <w:rPr/>
      </w:pPr>
      <w:bookmarkEnd w:id="566"/>
      <w:r>
        <w:rPr>
          <w:rFonts w:ascii="Amiri" w:hAnsi="Amiri" w:eastAsia="Amiri" w:cs="Amiri"/>
          <w:color w:val="111111"/>
          <w:sz w:val="28"/>
          <w:sz w:val="28"/>
          <w:szCs w:val="28"/>
          <w:rtl w:val="true"/>
          <w:lang w:bidi="ar-SA"/>
        </w:rPr>
        <w:t xml:space="preserve">والمناقشة في الاستصحاب خروج عن مذاق الأصحاب؛ لشمول أدلّته للحكم الواحد أو المتعدّد المعيّن، أو المردّد المعلوم ثبوته من الشرع مرّةً، أو مع الاستمرار، أو إلى غاية، أو حالة واحدة، أو متعدّدة معلومة، أو مجهولة وشكّ في البراءة منه بوجود المعارض، أو بالشكّ </w:t>
      </w:r>
      <w:r>
        <w:rPr>
          <w:rStyle w:val="FootnoteAnchor"/>
          <w:rtl w:val="true"/>
        </w:rPr>
        <w:footnoteReference w:id="880"/>
      </w:r>
      <w:r>
        <w:rPr>
          <w:rFonts w:ascii="Amiri" w:hAnsi="Amiri" w:eastAsia="Amiri" w:cs="Amiri"/>
          <w:color w:val="111111"/>
          <w:sz w:val="28"/>
          <w:sz w:val="28"/>
          <w:szCs w:val="28"/>
          <w:rtl w:val="true"/>
          <w:lang w:bidi="ar-SA"/>
        </w:rPr>
        <w:t>في حصول الغاية، أو بأحد الأفراد المردّدة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ذلك؛ لبقاء حكم النجاسة إلى القطع بالمطهِّر، ولا قطع مع التمسّح بذي الثلاث فيكون ممّا علم ثبوته إلى حالة وشكّ في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طال الحجر أو الثوب قوي جواز الاستنجاء بأركانه الثلاث،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تكسّر الحجر وقد تمسّح بطرفٍ منه قوي إجزاء الباقي، والأحوط تركه؛ استصحاباً لحكمه مع الشكّ في تبدّل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واجتزاً جمع من الأصحاب</w:t>
      </w:r>
      <w:r>
        <w:rPr>
          <w:rStyle w:val="FootnoteAnchor"/>
          <w:rtl w:val="true"/>
        </w:rPr>
        <w:footnoteReference w:id="881"/>
      </w:r>
      <w:r>
        <w:rPr>
          <w:rFonts w:ascii="Amiri" w:hAnsi="Amiri" w:eastAsia="Amiri" w:cs="Amiri"/>
          <w:color w:val="111111"/>
          <w:sz w:val="28"/>
          <w:sz w:val="28"/>
          <w:szCs w:val="28"/>
          <w:rtl w:val="true"/>
          <w:lang w:bidi="ar-SA"/>
        </w:rPr>
        <w:t>بالحجر ذي الجهات الثلاث؛ لصدق التمسّح بالثلاث عند التمسّح به، ولإجزائه لثلاث أشخاص كلٌّ يتمسّح بركن، ولإجزائه عند تكسّره ثلاثة أجزاء لواحد أو 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منظورٌ فيه يُعلم ممّا تقدّم</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3197787_1280447820"/>
      <w:bookmarkStart w:id="568" w:name="_Toc220"/>
      <w:bookmarkEnd w:id="567"/>
      <w:r>
        <w:rPr>
          <w:rtl w:val="true"/>
        </w:rPr>
        <w:t>خامس عشرها</w:t>
      </w:r>
      <w:r>
        <w:rPr>
          <w:rtl w:val="true"/>
        </w:rPr>
        <w:t xml:space="preserve">: </w:t>
      </w:r>
      <w:r>
        <w:rPr>
          <w:rtl w:val="true"/>
        </w:rPr>
        <w:t>الأظهر والأحوط اشتراط البكارة في الأحجار بمعنى عدم استعمالها سابقاً في الاستنجاء</w:t>
      </w:r>
      <w:bookmarkEnd w:id="568"/>
    </w:p>
    <w:p>
      <w:pPr>
        <w:pStyle w:val="BookText"/>
        <w:rPr/>
      </w:pPr>
      <w:r>
        <w:rPr>
          <w:rFonts w:ascii="Amiri" w:hAnsi="Amiri" w:eastAsia="Amiri" w:cs="Amiri"/>
          <w:color w:val="111111"/>
          <w:sz w:val="28"/>
          <w:sz w:val="28"/>
          <w:szCs w:val="28"/>
          <w:rtl w:val="true"/>
          <w:lang w:bidi="ar-SA"/>
        </w:rPr>
        <w:t>لنفسه أو لغيره ؛ لاستصحاب النجاسة ، وللرواية السابقة</w:t>
      </w:r>
      <w:r>
        <w:rPr>
          <w:rStyle w:val="FootnoteAnchor"/>
          <w:rtl w:val="true"/>
        </w:rPr>
        <w:footnoteReference w:id="882"/>
      </w:r>
      <w:r>
        <w:rPr>
          <w:rFonts w:ascii="Amiri" w:hAnsi="Amiri" w:eastAsia="Amiri" w:cs="Amiri"/>
          <w:color w:val="111111"/>
          <w:sz w:val="28"/>
          <w:sz w:val="28"/>
          <w:szCs w:val="28"/>
          <w:rtl w:val="true"/>
          <w:lang w:bidi="ar-SA"/>
        </w:rPr>
        <w:t>الدالّة على وصفها بالأبكار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بين بقائها نجسةً وبين صيرورتها طاهرةً ، ولا بين تنجسّها سابقاً وبين عدمه إذا كانت من الثلاث، أمّا لو كانت زائدةً على الثلاث ولم تتنجّس، بل استُعملت لمجرد المبالغة التنظيف فلا بأس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استنجى ثلاثةٌ بحجرٍ واحد كلٌّ من جهةٍ، فالأحوط الحكم بعدم حصول التطهير لهم فيما عدا الأوّل؛ لصدق عدم البكريّة عليه بالنسبة إلى الثاني فما فوق، إلّا إذا كان طويلاً جدّاً بحيث لا يصدق عليهم أنّهم تمسحوا بحجرٍ واحد، فالأقوى جوازه</w:t>
      </w:r>
      <w:r>
        <w:rPr>
          <w:rFonts w:eastAsia="Amiri" w:cs="Amiri" w:ascii="Amiri" w:hAnsi="Amiri"/>
          <w:color w:val="111111"/>
          <w:sz w:val="28"/>
          <w:szCs w:val="28"/>
          <w:rtl w:val="true"/>
          <w:lang w:bidi="ar-SA"/>
        </w:rPr>
        <w:t xml:space="preserve">. </w:t>
      </w:r>
      <w:bookmarkStart w:id="569" w:name="pg18988_203332"/>
    </w:p>
    <w:p>
      <w:pPr>
        <w:pStyle w:val="BookText"/>
        <w:rPr/>
      </w:pPr>
      <w:bookmarkEnd w:id="569"/>
      <w:r>
        <w:rPr>
          <w:rFonts w:ascii="Amiri" w:hAnsi="Amiri" w:eastAsia="Amiri" w:cs="Amiri"/>
          <w:color w:val="111111"/>
          <w:sz w:val="28"/>
          <w:sz w:val="28"/>
          <w:szCs w:val="28"/>
          <w:rtl w:val="true"/>
          <w:lang w:bidi="ar-SA"/>
        </w:rPr>
        <w:t>ولو استنجى بإصبعه أو بجزءٍ من بدنه أو بدن غيره، لم يصحّ الاستنجاء به مرّةً ثانية لنفسه 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الأصابع بمنزلة أحجار متعدّدة، وبالطريق الأولى اليدين وأجزاء البدن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أنّ الإنسان كلَّه بمنزلة حجرٍ واحد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استحالت آلة المسح إلى نوعٍ آخَر، جاز الاستنجاء بها وحصل بها الإزالة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3197789_1280447820"/>
      <w:bookmarkStart w:id="571" w:name="_Toc221"/>
      <w:bookmarkEnd w:id="570"/>
      <w:r>
        <w:rPr>
          <w:rtl w:val="true"/>
        </w:rPr>
        <w:t>سادس عشرها</w:t>
      </w:r>
      <w:r>
        <w:rPr>
          <w:rtl w:val="true"/>
        </w:rPr>
        <w:t xml:space="preserve">: </w:t>
      </w:r>
      <w:r>
        <w:rPr>
          <w:rtl w:val="true"/>
        </w:rPr>
        <w:t>عدم إجزاء الثلاث على سبيل التوزيع على المحلّ</w:t>
      </w:r>
      <w:bookmarkEnd w:id="571"/>
    </w:p>
    <w:p>
      <w:pPr>
        <w:pStyle w:val="BookText"/>
        <w:rPr/>
      </w:pPr>
      <w:r>
        <w:rPr>
          <w:rFonts w:ascii="Amiri" w:hAnsi="Amiri" w:eastAsia="Amiri" w:cs="Amiri"/>
          <w:color w:val="111111"/>
          <w:sz w:val="28"/>
          <w:sz w:val="28"/>
          <w:szCs w:val="28"/>
          <w:rtl w:val="true"/>
          <w:lang w:bidi="ar-SA"/>
        </w:rPr>
        <w:t>الأظهر عدم إجزاء الثلاث على سبيل التوزيع على المحلّ، بل لا بدّ من إمرار كلٍّ على كلّ المحلّ؛ لأنّه هو المعهود من الأفعال، والمفهوم من الأخبار وفتاوى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واجتزأ بعضهم </w:t>
      </w:r>
      <w:r>
        <w:rPr>
          <w:rStyle w:val="FootnoteAnchor"/>
          <w:rtl w:val="true"/>
        </w:rPr>
        <w:footnoteReference w:id="883"/>
      </w:r>
      <w:r>
        <w:rPr>
          <w:rFonts w:ascii="Amiri" w:hAnsi="Amiri" w:eastAsia="Amiri" w:cs="Amiri"/>
          <w:color w:val="111111"/>
          <w:sz w:val="28"/>
          <w:sz w:val="28"/>
          <w:szCs w:val="28"/>
          <w:rtl w:val="true"/>
          <w:lang w:bidi="ar-SA"/>
        </w:rPr>
        <w:t>بذلك، وهو بعيد</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3197791_1280447820"/>
      <w:bookmarkStart w:id="573" w:name="_Toc222"/>
      <w:bookmarkEnd w:id="572"/>
      <w:r>
        <w:rPr>
          <w:rtl w:val="true"/>
        </w:rPr>
        <w:t>سابع عشرها</w:t>
      </w:r>
      <w:r>
        <w:rPr>
          <w:rtl w:val="true"/>
        </w:rPr>
        <w:t xml:space="preserve">: </w:t>
      </w:r>
      <w:r>
        <w:rPr>
          <w:rtl w:val="true"/>
        </w:rPr>
        <w:t>لا يجوز الاستنجاء بالعظم والروث ممّا يؤكل لحمه</w:t>
      </w:r>
      <w:bookmarkEnd w:id="573"/>
    </w:p>
    <w:p>
      <w:pPr>
        <w:pStyle w:val="BookText"/>
        <w:rPr/>
      </w:pPr>
      <w:r>
        <w:rPr>
          <w:rFonts w:ascii="Amiri" w:hAnsi="Amiri" w:eastAsia="Amiri" w:cs="Amiri"/>
          <w:color w:val="111111"/>
          <w:sz w:val="28"/>
          <w:sz w:val="28"/>
          <w:szCs w:val="28"/>
          <w:rtl w:val="true"/>
          <w:lang w:bidi="ar-SA"/>
        </w:rPr>
        <w:t>لا يجوز الاستنجاء بالعظم والروث ممّا يؤكل لحمه؛ للإجماع المنقول</w:t>
      </w:r>
      <w:r>
        <w:rPr>
          <w:rStyle w:val="FootnoteAnchor"/>
          <w:rtl w:val="true"/>
        </w:rPr>
        <w:footnoteReference w:id="884"/>
      </w:r>
      <w:r>
        <w:rPr>
          <w:rFonts w:ascii="IRNazanin" w:hAnsi="IRNazanin" w:eastAsia="IRNazanin"/>
          <w:color w:val="111111"/>
          <w:sz w:val="28"/>
          <w:sz w:val="28"/>
          <w:szCs w:val="28"/>
          <w:rtl w:val="true"/>
          <w:lang w:bidi="fa-IR"/>
        </w:rPr>
        <w:t>، وفتوى الجمهور، والأخبار الناهية عن ذلك، وهي متكثّرة معتبرة منجبرة معلّلة بأنّهما طعام الجنّ، وأنّهم طلبوا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حصول التطهير بهما، كما يستفاد من النهي في الأخبار الواردة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النهي وإن لم يدلّ بنفسه على الفساد لكنّه يستفاد منه من جهة استقراء الجزئيّات، ومن فتوى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الإجماعَ على عدم حصول التطهير بهما بعضُهم</w:t>
      </w:r>
      <w:r>
        <w:rPr>
          <w:rStyle w:val="FootnoteAnchor"/>
          <w:rtl w:val="true"/>
        </w:rPr>
        <w:footnoteReference w:id="886"/>
      </w:r>
      <w:r>
        <w:rPr>
          <w:rFonts w:ascii="Amiri" w:hAnsi="Amiri" w:eastAsia="Amiri" w:cs="Amiri"/>
          <w:color w:val="111111"/>
          <w:sz w:val="28"/>
          <w:sz w:val="28"/>
          <w:szCs w:val="28"/>
          <w:rtl w:val="true"/>
          <w:lang w:bidi="ar-SA"/>
        </w:rPr>
        <w:t>، وورد في بعض الأخبار أنّه لا يصلح الاستنجاء بهما</w:t>
      </w:r>
      <w:r>
        <w:rPr>
          <w:rStyle w:val="FootnoteAnchor"/>
          <w:rtl w:val="true"/>
        </w:rPr>
        <w:footnoteReference w:id="887"/>
      </w:r>
      <w:r>
        <w:rPr>
          <w:rFonts w:ascii="Amiri" w:hAnsi="Amiri" w:eastAsia="Amiri" w:cs="Amiri"/>
          <w:color w:val="111111"/>
          <w:sz w:val="28"/>
          <w:sz w:val="28"/>
          <w:szCs w:val="28"/>
          <w:rtl w:val="true"/>
          <w:lang w:bidi="ar-SA"/>
        </w:rPr>
        <w:t>، وفي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يطهّران</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وضعف السند والدلالة مجبوران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بالعظم ما يُسمّى عظماً عرفاً، فلا يدخل فيه الظفر وشبهه، والظاهر إلحاق القَرْطَمَة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بالروث رجيع ذي الحافر كما هو المفهوم عرفاً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إلحاق رجيع كلّ حيوان من ذي ظلف أو خفّ أو طائر؛ لورود النهي عنه</w:t>
      </w:r>
      <w:r>
        <w:rPr>
          <w:rStyle w:val="FootnoteAnchor"/>
          <w:rtl w:val="true"/>
        </w:rPr>
        <w:footnoteReference w:id="889"/>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bookmarkStart w:id="574" w:name="pg18988_203333"/>
    </w:p>
    <w:p>
      <w:pPr>
        <w:pStyle w:val="BookText"/>
        <w:rPr/>
      </w:pPr>
      <w:bookmarkEnd w:id="574"/>
      <w:r>
        <w:rPr>
          <w:rFonts w:ascii="Amiri" w:hAnsi="Amiri" w:eastAsia="Amiri" w:cs="Amiri"/>
          <w:color w:val="111111"/>
          <w:sz w:val="28"/>
          <w:sz w:val="28"/>
          <w:szCs w:val="28"/>
          <w:rtl w:val="true"/>
          <w:lang w:bidi="ar-SA"/>
        </w:rPr>
        <w:t>ولا فرق في المنع بين عظم ما يؤكل لحمه وما لا يؤكل لحمه مطلقاً، وكذا الروث؛ لإطلاق الأخبار والفتاوى</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3197793_1280447820"/>
      <w:bookmarkStart w:id="576" w:name="_Toc223"/>
      <w:bookmarkEnd w:id="575"/>
      <w:r>
        <w:rPr>
          <w:rtl w:val="true"/>
        </w:rPr>
        <w:t>ثامن عشرها</w:t>
      </w:r>
      <w:r>
        <w:rPr>
          <w:rtl w:val="true"/>
        </w:rPr>
        <w:t xml:space="preserve">: </w:t>
      </w:r>
      <w:r>
        <w:rPr>
          <w:rtl w:val="true"/>
        </w:rPr>
        <w:t>يحرم الاستنجاء بالمطعوم المعتاد فعلاً</w:t>
      </w:r>
      <w:bookmarkEnd w:id="576"/>
    </w:p>
    <w:p>
      <w:pPr>
        <w:pStyle w:val="BookText"/>
        <w:rPr/>
      </w:pPr>
      <w:r>
        <w:rPr>
          <w:rFonts w:ascii="Amiri" w:hAnsi="Amiri" w:eastAsia="Amiri" w:cs="Amiri"/>
          <w:color w:val="111111"/>
          <w:sz w:val="28"/>
          <w:sz w:val="28"/>
          <w:szCs w:val="28"/>
          <w:rtl w:val="true"/>
          <w:lang w:bidi="ar-SA"/>
        </w:rPr>
        <w:t>يحرم الاستنجاء بالمطعوم المعتاد فعلاً، كالخبز والعجين والتمر وشبهها؛ للإجماع المنقول</w:t>
      </w:r>
      <w:r>
        <w:rPr>
          <w:rStyle w:val="FootnoteAnchor"/>
          <w:rtl w:val="true"/>
        </w:rPr>
        <w:footnoteReference w:id="890"/>
      </w:r>
      <w:r>
        <w:rPr>
          <w:rFonts w:ascii="Amiri" w:hAnsi="Amiri" w:eastAsia="Amiri" w:cs="Amiri"/>
          <w:color w:val="111111"/>
          <w:sz w:val="28"/>
          <w:sz w:val="28"/>
          <w:szCs w:val="28"/>
          <w:rtl w:val="true"/>
          <w:lang w:bidi="ar-SA"/>
        </w:rPr>
        <w:t>، ولفتوى الفحول، ولفحوى أخبار النهي عن العظم والروث؛ لأنّه طعام الجنّ</w:t>
      </w:r>
      <w:r>
        <w:rPr>
          <w:rStyle w:val="FootnoteAnchor"/>
          <w:rtl w:val="true"/>
        </w:rPr>
        <w:footnoteReference w:id="891"/>
      </w:r>
      <w:r>
        <w:rPr>
          <w:rFonts w:ascii="IRNazanin" w:hAnsi="IRNazanin" w:eastAsia="IRNazanin"/>
          <w:color w:val="111111"/>
          <w:sz w:val="28"/>
          <w:sz w:val="28"/>
          <w:szCs w:val="28"/>
          <w:rtl w:val="true"/>
          <w:lang w:bidi="fa-IR"/>
        </w:rPr>
        <w:t xml:space="preserve">، ولما ورد من غضب الله تعالى على أهل الثرثار </w:t>
      </w:r>
      <w:r>
        <w:rPr>
          <w:rStyle w:val="FootnoteAnchor"/>
          <w:rtl w:val="true"/>
        </w:rPr>
        <w:footnoteReference w:id="892"/>
      </w:r>
      <w:r>
        <w:rPr>
          <w:rFonts w:ascii="Amiri" w:hAnsi="Amiri" w:eastAsia="Amiri" w:cs="Amiri"/>
          <w:color w:val="111111"/>
          <w:sz w:val="28"/>
          <w:sz w:val="28"/>
          <w:szCs w:val="28"/>
          <w:rtl w:val="true"/>
          <w:lang w:bidi="ar-SA"/>
        </w:rPr>
        <w:t>باستنجائهم بالخبز والعجين</w:t>
      </w:r>
      <w:r>
        <w:rPr>
          <w:rStyle w:val="FootnoteAnchor"/>
          <w:rtl w:val="true"/>
        </w:rPr>
        <w:footnoteReference w:id="893"/>
      </w:r>
      <w:r>
        <w:rPr>
          <w:rFonts w:ascii="Amiri" w:hAnsi="Amiri" w:eastAsia="Amiri" w:cs="Amiri"/>
          <w:color w:val="111111"/>
          <w:sz w:val="28"/>
          <w:sz w:val="28"/>
          <w:szCs w:val="28"/>
          <w:rtl w:val="true"/>
          <w:lang w:bidi="ar-SA"/>
        </w:rPr>
        <w:t>، ولرواية الدعائم</w:t>
      </w:r>
      <w:r>
        <w:rPr>
          <w:rStyle w:val="FootnoteAnchor"/>
          <w:rtl w:val="true"/>
        </w:rPr>
        <w:footnoteReference w:id="894"/>
      </w:r>
      <w:r>
        <w:rPr>
          <w:rFonts w:ascii="Amiri" w:hAnsi="Amiri" w:eastAsia="Amiri" w:cs="Amiri"/>
          <w:color w:val="111111"/>
          <w:sz w:val="28"/>
          <w:sz w:val="28"/>
          <w:szCs w:val="28"/>
          <w:rtl w:val="true"/>
          <w:lang w:bidi="ar-SA"/>
        </w:rPr>
        <w:t>، ولأنّه من المحترمات فلا يرضى بإهانته ربِّ السماوات، بل ربما يحرم تنجيسه مطلقاً، بل ربما يجب رفع النجاسة عنه مطلقاً؛ للاحترام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تجنّب المطعوم المقارب للخروج إلى الفعل، كالحنطة والشعير وباقي الحبوب؛ ولورود الذمّ لمن وطئ الحنطة والشعير بقدمه</w:t>
      </w:r>
      <w:r>
        <w:rPr>
          <w:rStyle w:val="FootnoteAnchor"/>
          <w:rtl w:val="true"/>
        </w:rPr>
        <w:footnoteReference w:id="895"/>
      </w:r>
      <w:r>
        <w:rPr>
          <w:rFonts w:ascii="IRNazanin" w:hAnsi="IRNazanin" w:eastAsia="IRNazanin"/>
          <w:color w:val="111111"/>
          <w:sz w:val="28"/>
          <w:sz w:val="28"/>
          <w:szCs w:val="28"/>
          <w:rtl w:val="true"/>
          <w:lang w:bidi="fa-IR"/>
        </w:rPr>
        <w:t>، فالاستنجاء أولى بالمنع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اجتناب جميع البقول والفواكه، بل الأحوط تجنّب اللحوم والشحوم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المطعوم العامّ من الحلوانات والأدوية والعقاقير وكذا الأحوط تجنّب ما لم يكن مطعوماً قبل ذلك فعاد مطعوماً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استنجى بالمطعوم عمداً أثم المستنجي، وحصلت الإزالة على الأظهر</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3197795_1280447820"/>
      <w:bookmarkStart w:id="578" w:name="_Toc224"/>
      <w:bookmarkEnd w:id="577"/>
      <w:r>
        <w:rPr>
          <w:rtl w:val="true"/>
        </w:rPr>
        <w:t>تاسع عشرها</w:t>
      </w:r>
      <w:r>
        <w:rPr>
          <w:rtl w:val="true"/>
        </w:rPr>
        <w:t xml:space="preserve">: </w:t>
      </w:r>
      <w:r>
        <w:rPr>
          <w:rtl w:val="true"/>
        </w:rPr>
        <w:t>يحرم الاستنجاء بكلّ محترم مادّةً</w:t>
      </w:r>
      <w:bookmarkEnd w:id="578"/>
    </w:p>
    <w:p>
      <w:pPr>
        <w:pStyle w:val="BookText"/>
        <w:rPr/>
      </w:pPr>
      <w:r>
        <w:rPr>
          <w:rFonts w:ascii="Amiri" w:hAnsi="Amiri" w:eastAsia="Amiri" w:cs="Amiri"/>
          <w:color w:val="111111"/>
          <w:sz w:val="28"/>
          <w:sz w:val="28"/>
          <w:szCs w:val="28"/>
          <w:rtl w:val="true"/>
          <w:lang w:bidi="ar-SA"/>
        </w:rPr>
        <w:t>يحرم الاستنجاء بكلّ محترم مادّةً، كالتربة الحسينيّة والمكتوب عليه قرآنٌ أو أسماء الله تعالى أو أسماء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وفحاوى الكتاب</w:t>
      </w:r>
      <w:r>
        <w:rPr>
          <w:rStyle w:val="FootnoteAnchor"/>
          <w:rtl w:val="true"/>
        </w:rPr>
        <w:footnoteReference w:id="896"/>
      </w:r>
      <w:r>
        <w:rPr>
          <w:rFonts w:ascii="Amiri" w:hAnsi="Amiri" w:eastAsia="Amiri" w:cs="Amiri"/>
          <w:color w:val="111111"/>
          <w:sz w:val="28"/>
          <w:sz w:val="28"/>
          <w:szCs w:val="28"/>
          <w:rtl w:val="true"/>
          <w:lang w:bidi="ar-SA"/>
        </w:rPr>
        <w:t xml:space="preserve">والسنّة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فعل حراماً واستنجی به حصلت به الإزالة وإن أثم بل وإن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السهو والغفلة لا إثم، وتحصل به الإزالة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الاستنجاء بما يستحبّ تعظيمه كالقرطاس وأحجار قبور المؤمنين، بل وثياب العلماء والسادة والصلحاء</w:t>
      </w:r>
      <w:r>
        <w:rPr>
          <w:rFonts w:eastAsia="Amiri" w:cs="Amiri" w:ascii="Amiri" w:hAnsi="Amiri"/>
          <w:color w:val="111111"/>
          <w:sz w:val="28"/>
          <w:szCs w:val="28"/>
          <w:rtl w:val="true"/>
          <w:lang w:bidi="ar-SA"/>
        </w:rPr>
        <w:t xml:space="preserve">. </w:t>
      </w:r>
      <w:bookmarkStart w:id="579" w:name="pg18988_203334"/>
    </w:p>
    <w:p>
      <w:pPr>
        <w:pStyle w:val="BookText"/>
        <w:rPr/>
      </w:pPr>
      <w:bookmarkEnd w:id="579"/>
      <w:r>
        <w:rPr>
          <w:rFonts w:ascii="IRNazanin" w:hAnsi="IRNazanin" w:eastAsia="IRNazanin"/>
          <w:color w:val="111111"/>
          <w:sz w:val="28"/>
          <w:sz w:val="28"/>
          <w:szCs w:val="28"/>
          <w:rtl w:val="true"/>
          <w:lang w:bidi="fa-IR"/>
        </w:rPr>
        <w:t>ويلحق بما احترمت مادّته ما احترمت هیئته، كآلات العبادة المتعارفة المتّخذة لها على الأظهر والأحوط</w:t>
      </w:r>
      <w:r>
        <w:rPr>
          <w:rFonts w:eastAsia="IRNazanin" w:cs="IRNazanin"/>
          <w:color w:val="111111"/>
          <w:sz w:val="28"/>
          <w:szCs w:val="28"/>
          <w:rtl w:val="true"/>
          <w:lang w:bidi="fa-IR"/>
        </w:rPr>
        <w:t>.</w:t>
      </w:r>
    </w:p>
    <w:p>
      <w:pPr>
        <w:pStyle w:val="Heading5"/>
        <w:numPr>
          <w:ilvl w:val="4"/>
          <w:numId w:val="1"/>
        </w:numPr>
        <w:rPr/>
      </w:pPr>
      <w:bookmarkStart w:id="580" w:name="__RefHeading___Toc13197797_1280447820"/>
      <w:bookmarkStart w:id="581" w:name="_Toc225"/>
      <w:bookmarkEnd w:id="580"/>
      <w:r>
        <w:rPr>
          <w:rtl w:val="true"/>
        </w:rPr>
        <w:t>العشرون</w:t>
      </w:r>
      <w:r>
        <w:rPr>
          <w:rtl w:val="true"/>
        </w:rPr>
        <w:t xml:space="preserve">: </w:t>
      </w:r>
      <w:r>
        <w:rPr>
          <w:rtl w:val="true"/>
        </w:rPr>
        <w:t>لا يجزئ التمسّح بالثلج ولا بالرطب الغير المتماسك</w:t>
      </w:r>
      <w:bookmarkEnd w:id="581"/>
    </w:p>
    <w:p>
      <w:pPr>
        <w:pStyle w:val="BookText"/>
        <w:rPr/>
      </w:pPr>
      <w:r>
        <w:rPr>
          <w:rFonts w:ascii="Amiri" w:hAnsi="Amiri" w:eastAsia="Amiri" w:cs="Amiri"/>
          <w:color w:val="111111"/>
          <w:sz w:val="28"/>
          <w:sz w:val="28"/>
          <w:szCs w:val="28"/>
          <w:rtl w:val="true"/>
          <w:lang w:bidi="ar-SA"/>
        </w:rPr>
        <w:t>لا يجزئ التمسّح بالثلج ولا بالرطب الغير المتماسك، والأحوط ترك الرطب المتماسك إذا كان ممّا يتفتّت وكذا التراب الناعم ؛ لعلوقه وعدم حسن إزالته، وكذا الصقيل الناعم وشبهها</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3197799_1280447820"/>
      <w:bookmarkStart w:id="583" w:name="_Toc226"/>
      <w:bookmarkEnd w:id="582"/>
      <w:r>
        <w:rPr>
          <w:rtl w:val="true"/>
        </w:rPr>
        <w:t>الحادي والعشرون</w:t>
      </w:r>
      <w:r>
        <w:rPr>
          <w:rtl w:val="true"/>
        </w:rPr>
        <w:t xml:space="preserve">: </w:t>
      </w:r>
      <w:r>
        <w:rPr>
          <w:rtl w:val="true"/>
        </w:rPr>
        <w:t>يستحبّ للرجل الاستبراء</w:t>
      </w:r>
      <w:bookmarkEnd w:id="583"/>
    </w:p>
    <w:p>
      <w:pPr>
        <w:pStyle w:val="BookText"/>
        <w:rPr/>
      </w:pPr>
      <w:r>
        <w:rPr>
          <w:rFonts w:ascii="Amiri" w:hAnsi="Amiri" w:eastAsia="Amiri" w:cs="Amiri"/>
          <w:color w:val="111111"/>
          <w:sz w:val="28"/>
          <w:sz w:val="28"/>
          <w:szCs w:val="28"/>
          <w:rtl w:val="true"/>
          <w:lang w:bidi="ar-SA"/>
        </w:rPr>
        <w:t>يستحبّ للرجل الاستبراء ؛للنصّ</w:t>
      </w:r>
      <w:r>
        <w:rPr>
          <w:rStyle w:val="FootnoteAnchor"/>
          <w:rtl w:val="true"/>
        </w:rPr>
        <w:footnoteReference w:id="898"/>
      </w:r>
      <w:r>
        <w:rPr>
          <w:rFonts w:ascii="Amiri" w:hAnsi="Amiri" w:eastAsia="Amiri" w:cs="Amiri"/>
          <w:color w:val="111111"/>
          <w:sz w:val="28"/>
          <w:sz w:val="28"/>
          <w:szCs w:val="28"/>
          <w:rtl w:val="true"/>
          <w:lang w:bidi="ar-SA"/>
        </w:rPr>
        <w:t>،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بالخارج بعده إذا لم يقطع ببوليّته، شكّ فيها أو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على الخارج قبله بالحدثيّة والخبثيّة، كما دلّت على ذلك الأخبار</w:t>
      </w:r>
      <w:r>
        <w:rPr>
          <w:rStyle w:val="FootnoteAnchor"/>
          <w:rtl w:val="true"/>
        </w:rPr>
        <w:footnoteReference w:id="899"/>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مختصّ بالرجل؛ اقتصاراً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يخرج من غيره لا حكم له عند الشكّ؛ للأصل، ولو كان 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تقديم الظاهر هاهنا على الأصل، واحتمال أنّ الاستصحاب يقضي ببقاء البول فيكون الخارج هو البول بعيدان، بل الظاهر أنّ الحكم بالبول تعبّديّ؛ للأخبار</w:t>
      </w:r>
      <w:r>
        <w:rPr>
          <w:rStyle w:val="FootnoteAnchor"/>
          <w:rtl w:val="true"/>
        </w:rPr>
        <w:footnoteReference w:id="900"/>
      </w:r>
      <w:r>
        <w:rPr>
          <w:rFonts w:ascii="Amiri" w:hAnsi="Amiri" w:eastAsia="Amiri" w:cs="Amiri"/>
          <w:color w:val="111111"/>
          <w:sz w:val="28"/>
          <w:sz w:val="28"/>
          <w:szCs w:val="28"/>
          <w:rtl w:val="true"/>
          <w:lang w:bidi="ar-SA"/>
        </w:rPr>
        <w:t>، ولا يجب وفاقاً للمشهور؛ للأصل، ولظهور الأخبار في الإرشاد والاستحباب، ولأنّه لو كان لما خفي حاله؛ لكثرة وقوعه والاحتياج إليه ودورانه، ولخلوّ أخبار الاستنجاء عن الأمر به في مقام البيان، ولما ورد من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استنجى بعد انقطاع البول</w:t>
      </w:r>
      <w:r>
        <w:rPr>
          <w:rStyle w:val="FootnoteAnchor"/>
          <w:rtl w:val="true"/>
        </w:rPr>
        <w:footnoteReference w:id="901"/>
      </w:r>
      <w:r>
        <w:rPr>
          <w:rFonts w:ascii="Amiri" w:hAnsi="Amiri" w:eastAsia="Amiri" w:cs="Amiri"/>
          <w:color w:val="111111"/>
          <w:sz w:val="28"/>
          <w:sz w:val="28"/>
          <w:szCs w:val="28"/>
          <w:rtl w:val="true"/>
          <w:lang w:bidi="ar-SA"/>
        </w:rPr>
        <w:t>، المشعر بتركه، ولإشعار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فخرط ما بين المقعدة والأُنثيين ثلاث مرّات وغمز ما بينهما ثمّ استنجى ثمّ سال حتّى يبلغ الساق فلا يبالي</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بالاستحباب والإرشاد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ورد ممّا ظاهره الأمر به</w:t>
      </w:r>
      <w:r>
        <w:rPr>
          <w:rStyle w:val="FootnoteAnchor"/>
          <w:rtl w:val="true"/>
        </w:rPr>
        <w:footnoteReference w:id="903"/>
      </w:r>
      <w:r>
        <w:rPr>
          <w:rFonts w:ascii="Amiri" w:hAnsi="Amiri" w:eastAsia="Amiri" w:cs="Amiri"/>
          <w:color w:val="111111"/>
          <w:sz w:val="28"/>
          <w:sz w:val="28"/>
          <w:szCs w:val="28"/>
          <w:rtl w:val="true"/>
          <w:lang w:bidi="ar-SA"/>
        </w:rPr>
        <w:t>محمول على الندب والإرشاد، كما أنّ مَنْ أفتى بالوجوب</w:t>
      </w:r>
      <w:r>
        <w:rPr>
          <w:rStyle w:val="FootnoteAnchor"/>
          <w:rtl w:val="true"/>
        </w:rPr>
        <w:footnoteReference w:id="904"/>
      </w:r>
      <w:r>
        <w:rPr>
          <w:rFonts w:ascii="Amiri" w:hAnsi="Amiri" w:eastAsia="Amiri" w:cs="Amiri"/>
          <w:color w:val="111111"/>
          <w:sz w:val="28"/>
          <w:sz w:val="28"/>
          <w:szCs w:val="28"/>
          <w:rtl w:val="true"/>
          <w:lang w:bidi="ar-SA"/>
        </w:rPr>
        <w:t xml:space="preserve">يمكن حمله على الوجوب الشرطي دون الشرعي، بمعنى شرطيّة استمرار الطهارة عند الشكّ </w:t>
      </w:r>
    </w:p>
    <w:p>
      <w:pPr>
        <w:pStyle w:val="BookText"/>
        <w:rPr/>
      </w:pPr>
      <w:r>
        <w:rPr>
          <w:rFonts w:ascii="Amiri" w:hAnsi="Amiri" w:eastAsia="Amiri" w:cs="Amiri"/>
          <w:color w:val="111111"/>
          <w:sz w:val="28"/>
          <w:sz w:val="28"/>
          <w:szCs w:val="28"/>
          <w:rtl w:val="true"/>
          <w:lang w:bidi="ar-SA"/>
        </w:rPr>
        <w:t>في الخارج، لا شرطيّة صحة الغسل؛ لدلالة الأخبار وفتاوى</w:t>
      </w:r>
      <w:r>
        <w:rPr>
          <w:rStyle w:val="FootnoteAnchor"/>
          <w:rtl w:val="true"/>
        </w:rPr>
        <w:footnoteReference w:id="905"/>
      </w:r>
      <w:r>
        <w:rPr>
          <w:rFonts w:ascii="IRNazanin" w:hAnsi="IRNazanin" w:eastAsia="IRNazanin"/>
          <w:color w:val="111111"/>
          <w:sz w:val="28"/>
          <w:sz w:val="28"/>
          <w:szCs w:val="28"/>
          <w:rtl w:val="true"/>
          <w:lang w:bidi="fa-IR"/>
        </w:rPr>
        <w:t>الأصحاب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من إطلاقات بعض الأخبار ويقضي به الاعتبار أنّ الاستبراء هو طلب براءة مجرى البول منه بعد انقطاع دريرته</w:t>
      </w:r>
      <w:r>
        <w:rPr>
          <w:rStyle w:val="FootnoteAnchor"/>
          <w:rtl w:val="true"/>
        </w:rPr>
        <w:footnoteReference w:id="906"/>
      </w:r>
      <w:r>
        <w:rPr>
          <w:rFonts w:ascii="Amiri" w:hAnsi="Amiri" w:eastAsia="Amiri" w:cs="Amiri"/>
          <w:color w:val="111111"/>
          <w:sz w:val="28"/>
          <w:sz w:val="28"/>
          <w:szCs w:val="28"/>
          <w:rtl w:val="true"/>
          <w:lang w:bidi="ar-SA"/>
        </w:rPr>
        <w:t>بأيّ نحوٍ كان ولو بخروج منيّ أو دم بعده أو حصاة أو عملٍ من عصرٍ أو نترٍ بنفسه أو بغيره بآلةٍ أو بدونها، بل لو حصل بمضيّ زمان كفى، وترتّب</w:t>
      </w:r>
      <w:r>
        <w:rPr>
          <w:rStyle w:val="FootnoteAnchor"/>
          <w:rtl w:val="true"/>
        </w:rPr>
        <w:footnoteReference w:id="907"/>
      </w:r>
      <w:r>
        <w:rPr>
          <w:rFonts w:ascii="Amiri" w:hAnsi="Amiri" w:eastAsia="Amiri" w:cs="Amiri"/>
          <w:color w:val="111111"/>
          <w:sz w:val="28"/>
          <w:sz w:val="28"/>
          <w:szCs w:val="28"/>
          <w:rtl w:val="true"/>
          <w:lang w:bidi="ar-SA"/>
        </w:rPr>
        <w:t>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الأخبار من بيان كيفيّته</w:t>
      </w:r>
      <w:r>
        <w:rPr>
          <w:rStyle w:val="FootnoteAnchor"/>
          <w:rtl w:val="true"/>
        </w:rPr>
        <w:footnoteReference w:id="908"/>
      </w:r>
      <w:r>
        <w:rPr>
          <w:rFonts w:ascii="Amiri" w:hAnsi="Amiri" w:eastAsia="Amiri" w:cs="Amiri"/>
          <w:color w:val="111111"/>
          <w:sz w:val="28"/>
          <w:sz w:val="28"/>
          <w:szCs w:val="28"/>
          <w:rtl w:val="true"/>
          <w:lang w:bidi="ar-SA"/>
        </w:rPr>
        <w:t>إرشاد لما هو الأسهل في تحصيله والأقوى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وأجود كيفيّاته أن يخرط أصل ذكره من طرف المقعدة إلى الأُنثيين ثلاثاً بإصبعه الوسطى أو غيرها، والوسطى أكمل، وينتر القضيب من أصله إلى رأس الحشفة ثلاثاً بعصر وجذب بذلك الإصبع، ثمّ ينتر الحشفة وحدها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الأوّلان فيدلّ عليهما فتوى المشهور،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فخرط ما بین المقعدة والأُنثيين ثلاث مرّات وغمز ما بينهما</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بإرجاع ضمير التثنية للأُنثيين؛ لقربهما كنايةً عن الذكر، إرجاعه للمقعدة والأُنثيين، 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ينتره ثلاثاً</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بإرجاع الضمير إلى الذكر  أو إلى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الثالث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يعصر أصل ذكره إلى طرفه ثلاث عصرات وینتر طرفه</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لظهور إرادة نفس القضيب من لفظ الذكر، وظهور إرادة الحشفة من طرفه، وظهور التثليث من العطف مع عدم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في الأخذ بهذه الأخبار هو الإتيان بالتسع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الإتيان بستّ إذا جمع المستبرئ بين عصر القضيب ونتره دفعةً واحدة على الأقوى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لزوم الترتيب فيها بتقديم الثلاثة الأُول على المتوسّطة كلّاً، وتقديم الوسطى على الأخيرة لو كانت تسعاً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والصور المحتملة إحدى وثمانون صورة، أبلغها ما ذكرناه، وأكثرها على الظاهر جائزة ما عدا ما يتأخّر منها جميع الخرطات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العصرات</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والنترات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الترتيب أحوط وأبلغ، وإضافة التنحنح إليها أجمل، وإضافة عصر نفسه أكمل، والصبر بعد انقطاع دريرة البول هنيئةً ثمّ الاستبراء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بالاكتفاء بالخرطات الثلاث الأوّليّة، ثمّ عصر الذكر بقوّةٍ مرّةً واحدة يجمع فيها بين العصر والنتر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لهم في بيان الاستبراء اختلاف واضطراب، منشؤه اختلاف الروايات واختلاف الأنظار بما يحصل به براءة المجرى من البول والأحوط والأظهر ما ذكرناه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وللمتخلّي مسنونات ومكروهات ذكرها الفقهاء في المطوّلات</w:t>
      </w:r>
      <w:r>
        <w:rPr>
          <w:rFonts w:eastAsia="Amiri" w:cs="Amiri" w:ascii="Amiri" w:hAnsi="Amiri"/>
          <w:color w:val="111111"/>
          <w:sz w:val="28"/>
          <w:szCs w:val="28"/>
          <w:rtl w:val="true"/>
          <w:lang w:bidi="ar-SA"/>
        </w:rPr>
        <w:t xml:space="preserve">. </w:t>
      </w:r>
      <w:bookmarkStart w:id="584" w:name="pg18988_203337"/>
    </w:p>
    <w:p>
      <w:pPr>
        <w:pStyle w:val="Heading4"/>
        <w:numPr>
          <w:ilvl w:val="3"/>
          <w:numId w:val="1"/>
        </w:numPr>
        <w:rPr/>
      </w:pPr>
      <w:bookmarkStart w:id="585" w:name="__RefHeading___Toc13197801_1280447820"/>
      <w:bookmarkStart w:id="586" w:name="_Toc227"/>
      <w:bookmarkEnd w:id="584"/>
      <w:bookmarkEnd w:id="585"/>
      <w:r>
        <w:rPr>
          <w:rtl w:val="true"/>
        </w:rPr>
        <w:t>القول في الوضوء</w:t>
      </w:r>
      <w:bookmarkEnd w:id="586"/>
    </w:p>
    <w:p>
      <w:pPr>
        <w:pStyle w:val="Heading5"/>
        <w:numPr>
          <w:ilvl w:val="4"/>
          <w:numId w:val="1"/>
        </w:numPr>
        <w:rPr/>
      </w:pPr>
      <w:bookmarkStart w:id="587" w:name="__RefHeading___Toc13197803_1280447820"/>
      <w:bookmarkStart w:id="588" w:name="_Toc228"/>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وهو اسم لغَسْل و مسح متعلّقين بأعضاء مخصوصة جامعين لشرائط الصحّة، بناء منّا على ثبوت الحقيقة الشرعيّة، وأن أسماء العبادات موضوعة للصحيح لا الأعمّ منه ومن الفاسد</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3197805_1280447820"/>
      <w:bookmarkStart w:id="590" w:name="_Toc229"/>
      <w:bookmarkEnd w:id="589"/>
      <w:r>
        <w:rPr>
          <w:rtl w:val="true"/>
        </w:rPr>
        <w:t>فروض الوضوء</w:t>
      </w:r>
      <w:bookmarkEnd w:id="590"/>
    </w:p>
    <w:p>
      <w:pPr>
        <w:pStyle w:val="BookText"/>
        <w:rPr/>
      </w:pPr>
      <w:r>
        <w:rPr>
          <w:rFonts w:ascii="Amiri" w:hAnsi="Amiri" w:eastAsia="Amiri" w:cs="Amiri"/>
          <w:color w:val="111111"/>
          <w:sz w:val="28"/>
          <w:sz w:val="28"/>
          <w:szCs w:val="28"/>
          <w:rtl w:val="true"/>
          <w:lang w:bidi="ar-SA"/>
        </w:rPr>
        <w:t>وفروضه المستفادة من الدليل القطعى أو من الكتاب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وهي مستفادة من الإجماع والسنّة</w:t>
      </w:r>
      <w:r>
        <w:rPr>
          <w:rStyle w:val="FootnoteAnchor"/>
          <w:rtl w:val="true"/>
        </w:rPr>
        <w:footnoteReference w:id="913"/>
      </w:r>
      <w:r>
        <w:rPr>
          <w:rFonts w:ascii="Amiri" w:hAnsi="Amiri" w:eastAsia="Amiri" w:cs="Amiri"/>
          <w:color w:val="111111"/>
          <w:sz w:val="28"/>
          <w:sz w:val="28"/>
          <w:szCs w:val="28"/>
          <w:rtl w:val="true"/>
          <w:lang w:bidi="ar-SA"/>
        </w:rPr>
        <w:t>والكتاب</w:t>
      </w:r>
      <w:r>
        <w:rPr>
          <w:rStyle w:val="FootnoteAnchor"/>
          <w:rtl w:val="true"/>
        </w:rPr>
        <w:footnoteReference w:id="914"/>
      </w:r>
      <w:r>
        <w:rPr>
          <w:rFonts w:ascii="Amiri" w:hAnsi="Amiri" w:eastAsia="Amiri" w:cs="Amiri"/>
          <w:color w:val="111111"/>
          <w:sz w:val="28"/>
          <w:sz w:val="28"/>
          <w:szCs w:val="28"/>
          <w:rtl w:val="true"/>
          <w:lang w:bidi="ar-SA"/>
        </w:rPr>
        <w:t>للأمر فيه بالإخلاص والعبوديّة والطاعة، وهي معنى النيّة أو لازمها التي لا تنفكّ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الوجه واليدين ومسح الرأس والرِّجْلين، وهذه الأربعة مستفادة من الإجماع والكتاب</w:t>
      </w:r>
      <w:r>
        <w:rPr>
          <w:rStyle w:val="FootnoteAnchor"/>
          <w:rtl w:val="true"/>
        </w:rPr>
        <w:footnoteReference w:id="915"/>
      </w:r>
      <w:r>
        <w:rPr>
          <w:rFonts w:ascii="Amiri" w:hAnsi="Amiri" w:eastAsia="Amiri" w:cs="Amiri"/>
          <w:color w:val="111111"/>
          <w:sz w:val="28"/>
          <w:sz w:val="28"/>
          <w:szCs w:val="28"/>
          <w:rtl w:val="true"/>
          <w:lang w:bidi="ar-SA"/>
        </w:rPr>
        <w:t>والسنّة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والترتيب والموالاة والمباشرة، وهذه الثلاثة مستفادة من الإجماع والسنّة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استفادتها من الكتاب، فيستفاد الترتيب منه؛ بناءً على أنّ الترتيب الذكري يفيد الترتيب الحكمي ؛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بما بدأ الله تعالى</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أو لإشعار لفظ الواو به وإن لم تكن حقيقةً فيه</w:t>
      </w:r>
      <w:r>
        <w:rPr>
          <w:rFonts w:eastAsia="Amiri" w:cs="Amiri" w:ascii="Amiri" w:hAnsi="Amiri"/>
          <w:color w:val="111111"/>
          <w:sz w:val="28"/>
          <w:szCs w:val="28"/>
          <w:rtl w:val="true"/>
          <w:lang w:bidi="ar-SA"/>
        </w:rPr>
        <w:t xml:space="preserve">. </w:t>
      </w:r>
      <w:bookmarkStart w:id="591" w:name="pg18988_203338"/>
    </w:p>
    <w:p>
      <w:pPr>
        <w:pStyle w:val="BookText"/>
        <w:rPr/>
      </w:pPr>
      <w:bookmarkEnd w:id="591"/>
      <w:r>
        <w:rPr>
          <w:rFonts w:ascii="Amiri" w:hAnsi="Amiri" w:eastAsia="Amiri" w:cs="Amiri"/>
          <w:color w:val="111111"/>
          <w:sz w:val="28"/>
          <w:sz w:val="28"/>
          <w:szCs w:val="28"/>
          <w:rtl w:val="true"/>
          <w:lang w:bidi="ar-SA"/>
        </w:rPr>
        <w:t>وتستفاد الموالاة؛ بناءً على أنّ ما تعقّب فاء التعقيب يقضي بتعاقب أجزائه وتلاحقه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وتستفاد المباشرة؛ بناء على أنّ ظهور الخطاب في المباشرة دون إرادة مجرّد إيجاد الفعل وإيقاعه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3197807_1280447820"/>
      <w:bookmarkStart w:id="593" w:name="_Toc230"/>
      <w:bookmarkEnd w:id="592"/>
      <w:r>
        <w:rPr>
          <w:rtl w:val="true"/>
        </w:rPr>
        <w:t>الأوّل</w:t>
      </w:r>
      <w:r>
        <w:rPr>
          <w:rtl w:val="true"/>
        </w:rPr>
        <w:t xml:space="preserve">: </w:t>
      </w:r>
      <w:r>
        <w:rPr>
          <w:rtl w:val="true"/>
        </w:rPr>
        <w:t>في النيّة  والكلام  في مقامات</w:t>
      </w:r>
      <w:bookmarkEnd w:id="593"/>
    </w:p>
    <w:p>
      <w:pPr>
        <w:pStyle w:val="Heading6"/>
        <w:numPr>
          <w:ilvl w:val="5"/>
          <w:numId w:val="1"/>
        </w:numPr>
        <w:rPr/>
      </w:pPr>
      <w:bookmarkStart w:id="594" w:name="__RefHeading___Toc13197809_1280447820"/>
      <w:bookmarkStart w:id="595" w:name="_Toc231"/>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والكلام فيها يقع في مقامات</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3197811_1280447820"/>
      <w:bookmarkStart w:id="597" w:name="_Toc232"/>
      <w:bookmarkEnd w:id="596"/>
      <w:r>
        <w:rPr>
          <w:rtl w:val="true"/>
        </w:rPr>
        <w:t>أحدها</w:t>
      </w:r>
      <w:r>
        <w:rPr>
          <w:rtl w:val="true"/>
        </w:rPr>
        <w:t xml:space="preserve">: </w:t>
      </w:r>
      <w:r>
        <w:rPr>
          <w:rtl w:val="true"/>
        </w:rPr>
        <w:t>وجوب النيّة في الطهارات الثلاث</w:t>
      </w:r>
      <w:bookmarkEnd w:id="597"/>
    </w:p>
    <w:p>
      <w:pPr>
        <w:pStyle w:val="BookText"/>
        <w:rPr/>
      </w:pPr>
      <w:r>
        <w:rPr>
          <w:rFonts w:ascii="Amiri" w:hAnsi="Amiri" w:eastAsia="Amiri" w:cs="Amiri"/>
          <w:color w:val="111111"/>
          <w:sz w:val="28"/>
          <w:sz w:val="28"/>
          <w:szCs w:val="28"/>
          <w:rtl w:val="true"/>
          <w:lang w:bidi="ar-SA"/>
        </w:rPr>
        <w:t xml:space="preserve">تجب النيّة في الطهارات الحدثيّة إجماعاً، وكتاباً </w:t>
      </w:r>
      <w:r>
        <w:rPr>
          <w:rStyle w:val="FootnoteAnchor"/>
          <w:rtl w:val="true"/>
        </w:rPr>
        <w:footnoteReference w:id="919"/>
      </w:r>
      <w:r>
        <w:rPr>
          <w:rFonts w:ascii="Amiri" w:hAnsi="Amiri" w:eastAsia="Amiri" w:cs="Amiri"/>
          <w:color w:val="111111"/>
          <w:sz w:val="28"/>
          <w:sz w:val="28"/>
          <w:szCs w:val="28"/>
          <w:rtl w:val="true"/>
          <w:lang w:bidi="ar-SA"/>
        </w:rPr>
        <w:t xml:space="preserve">وسنّةً </w:t>
      </w:r>
      <w:r>
        <w:rPr>
          <w:rStyle w:val="FootnoteAnchor"/>
          <w:rtl w:val="true"/>
        </w:rPr>
        <w:footnoteReference w:id="920"/>
      </w:r>
      <w:r>
        <w:rPr>
          <w:rFonts w:ascii="Amiri" w:hAnsi="Amiri" w:eastAsia="Amiri" w:cs="Amiri"/>
          <w:color w:val="111111"/>
          <w:sz w:val="28"/>
          <w:sz w:val="28"/>
          <w:szCs w:val="28"/>
          <w:rtl w:val="true"/>
          <w:lang w:bidi="ar-SA"/>
        </w:rPr>
        <w:t>متواترة، وجميع ما ورد من الأمر بالطاعة والامتثال والانقياد والعبوديّة والإخلاص</w:t>
      </w:r>
      <w:r>
        <w:rPr>
          <w:rStyle w:val="FootnoteAnchor"/>
          <w:rtl w:val="true"/>
        </w:rPr>
        <w:footnoteReference w:id="921"/>
      </w:r>
      <w:r>
        <w:rPr>
          <w:rFonts w:ascii="Amiri" w:hAnsi="Amiri" w:eastAsia="Amiri" w:cs="Amiri"/>
          <w:color w:val="111111"/>
          <w:sz w:val="28"/>
          <w:sz w:val="28"/>
          <w:szCs w:val="28"/>
          <w:rtl w:val="true"/>
          <w:lang w:bidi="ar-SA"/>
        </w:rPr>
        <w:t>دالّ عليها؛ لأنّ الفعل إذا لم يقع بقصد أصلاً أو وقع بقصدٍ أنه لغير الله تعالى لم يسمّ عرفاً أنّه مطيع به وممتثل فيه وعابد ومخلص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جميع ما جاء من النهي عن الرياء، والأمر بمجاهدة النفس ودفع وساوس الشيطان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اللهَ أَعْبُدُ مُخْلِصاً لَهُ دِينِي</w:t>
      </w:r>
      <w:r>
        <w:rPr>
          <w:rStyle w:val="FootnoteAnchor"/>
          <w:rtl w:val="true"/>
        </w:rPr>
        <w:footnoteReference w:id="923"/>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لِيَعْبُدُوا اللهَ مُخْلِصِينَ لَهُ الدِّينَ</w:t>
      </w:r>
      <w:r>
        <w:rPr>
          <w:rStyle w:val="FootnoteAnchor"/>
          <w:rtl w:val="true"/>
        </w:rPr>
        <w:footnoteReference w:id="924"/>
      </w:r>
      <w:r>
        <w:rPr>
          <w:rFonts w:ascii="Amiri" w:hAnsi="Amiri" w:eastAsia="Amiri" w:cs="Amiri"/>
          <w:color w:val="111111"/>
          <w:sz w:val="28"/>
          <w:sz w:val="28"/>
          <w:szCs w:val="28"/>
          <w:rtl w:val="true"/>
          <w:lang w:bidi="ar-SA"/>
        </w:rPr>
        <w:t>ظاهرٌ في إرادة الإخلاص في العبادة، وهو موقوف على النيّة، بل يكفي في الاستدلال بالآية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 اللهفإنّ العبادة الله لا تتحقّق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أورده بعضهم</w:t>
      </w:r>
      <w:r>
        <w:rPr>
          <w:rStyle w:val="FootnoteAnchor"/>
          <w:rtl w:val="true"/>
        </w:rPr>
        <w:footnoteReference w:id="925"/>
      </w:r>
      <w:r>
        <w:rPr>
          <w:rFonts w:ascii="Amiri" w:hAnsi="Amiri" w:eastAsia="Amiri" w:cs="Amiri"/>
          <w:color w:val="111111"/>
          <w:sz w:val="28"/>
          <w:sz w:val="28"/>
          <w:szCs w:val="28"/>
          <w:rtl w:val="true"/>
          <w:lang w:bidi="ar-SA"/>
        </w:rPr>
        <w:t>من أنّ الإخلاص في الدين لا يستلزم الإخلاص في العبادة؛ لاحتمال إرادة الملة من لفظ الدين، مدفوع بما ذكرناه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ظاهر في نفي الصحّة؛ لأنّه أقرب المجازات عند تعذّر الحمل على الحقيقة، وهو نفى الذات، بل يراد منه نفى الذات بالنسبة إلى العبادات؛ بناءً على وضعها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التخصيص في الرواية بإخراج المعاملات بالدليل الدالّ على عدم لزومها </w:t>
      </w:r>
      <w:bookmarkStart w:id="598" w:name="pg18988_203339"/>
    </w:p>
    <w:p>
      <w:pPr>
        <w:pStyle w:val="BookText"/>
        <w:rPr/>
      </w:pPr>
      <w:bookmarkEnd w:id="598"/>
      <w:r>
        <w:rPr>
          <w:rFonts w:ascii="Amiri" w:hAnsi="Amiri" w:eastAsia="Amiri" w:cs="Amiri"/>
          <w:color w:val="111111"/>
          <w:sz w:val="28"/>
          <w:sz w:val="28"/>
          <w:szCs w:val="28"/>
          <w:rtl w:val="true"/>
          <w:lang w:bidi="ar-SA"/>
        </w:rPr>
        <w:t>فيها خير من ارتكاب التجوّز بإرادة نفي الكمال الشامل للعبادات وغيرها، وحينئذٍ لا يكون في الحديث دلالة على وجوبها في العبادات؛ لأنّ التخصيص خير من المجاز، ولأنّ فهم الأصحاب من أعظم القرائن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أردنا بالنيّة المعنى الأخصّ المشترط في العبادات، وإن أردنا بها المعنى الأعمّ الشامل للقصد الخاصّ المقترن بقصد القربة في العبادة، وللقصد المطلق الخالي عنها في غيرها، بقي اللفظ على حاله، ولم يحتج إلى تخصيص؛ لأنّ العقود والإيقاعات مفتقرة أيضاً إلى النيّة بمعنى القصد المطلق المقارن للمقصود، فيبقى نفي الصحة في الحديث على عمومه</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3197813_1280447820"/>
      <w:bookmarkStart w:id="600" w:name="_Toc233"/>
      <w:bookmarkEnd w:id="599"/>
      <w:r>
        <w:rPr>
          <w:rtl w:val="true"/>
        </w:rPr>
        <w:t>الثاني</w:t>
      </w:r>
      <w:r>
        <w:rPr>
          <w:rtl w:val="true"/>
        </w:rPr>
        <w:t xml:space="preserve">: </w:t>
      </w:r>
      <w:r>
        <w:rPr>
          <w:rtl w:val="true"/>
        </w:rPr>
        <w:t>افتقار كلّ مأمور به إلى نيّته بالمعنى الخاصّ</w:t>
      </w:r>
      <w:bookmarkEnd w:id="600"/>
    </w:p>
    <w:p>
      <w:pPr>
        <w:pStyle w:val="BookText"/>
        <w:rPr/>
      </w:pPr>
      <w:r>
        <w:rPr>
          <w:rFonts w:ascii="Amiri" w:hAnsi="Amiri" w:eastAsia="Amiri" w:cs="Amiri"/>
          <w:color w:val="111111"/>
          <w:sz w:val="28"/>
          <w:sz w:val="28"/>
          <w:szCs w:val="28"/>
          <w:rtl w:val="true"/>
          <w:lang w:bidi="ar-SA"/>
        </w:rPr>
        <w:t>الأصل في كلّ مأمور به أن يفتقر إلى نيّته بالمعنى الخاصّ؛ لتوقّف الطاعة وامتثال الأمر عليها، وهما واجبان قطعاً، فالأصل في كلّ مأمور به أن يكون عبادةً بالمعنى الأخصّ؛ لما قلناه، ولأنّ الشكّ في كون الشيء عبادةً أو غيرها يعود إلى الشكّ في الجزئيّة، وهو يعود إلى الشكّ في الماهيّة، واللازم من ذلك الإتيان بما يقطع فيه بحصول الماهيّة، وهو لا يتمّ إلّا بالإتيان بالمشكوك به في الجزئية، فلا يتمّ إلّا بالإتيان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 الدليل على خلاف ذلك من إجماعٍ وغيره أخذنا به، كما قام الدليل على كثير من المأمور به أنّ المراد منه مجرّد إيجاده في الخارج، أو فهمنا من الأوامر عدمَ إرادة الطلب منها بل مجرّد الإرشاد أو بيان الحكم الوضعي كما فهمنا في كثير من المعاملات ذلك</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13197815_1280447820"/>
      <w:bookmarkStart w:id="602" w:name="_Toc234"/>
      <w:bookmarkEnd w:id="601"/>
      <w:r>
        <w:rPr>
          <w:rtl w:val="true"/>
        </w:rPr>
        <w:t xml:space="preserve">الثالث </w:t>
      </w:r>
      <w:r>
        <w:rPr>
          <w:rtl w:val="true"/>
        </w:rPr>
        <w:t xml:space="preserve">: </w:t>
      </w:r>
      <w:r>
        <w:rPr>
          <w:rtl w:val="true"/>
        </w:rPr>
        <w:t>فی أنّ النيّة حقيقة شرعيّة في القصد المقارن للقربة</w:t>
      </w:r>
      <w:bookmarkEnd w:id="602"/>
    </w:p>
    <w:p>
      <w:pPr>
        <w:pStyle w:val="BookText"/>
        <w:rPr/>
      </w:pPr>
      <w:r>
        <w:rPr>
          <w:rFonts w:ascii="Amiri" w:hAnsi="Amiri" w:eastAsia="Amiri" w:cs="Amiri"/>
          <w:color w:val="111111"/>
          <w:sz w:val="28"/>
          <w:sz w:val="28"/>
          <w:szCs w:val="28"/>
          <w:rtl w:val="true"/>
          <w:lang w:bidi="ar-SA"/>
        </w:rPr>
        <w:t>الأظهر أنّ النيّة حقيقة شرعيّة في القصد المقارن للقربة ، فهي من خصائص العبادات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ببقائها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نقلها للقصد المقارن للقربة في العبادات وللقصد المطلق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بدّ من مقارنتها للمقصود بخلاف لفظ القصد، ولا يشترط فيها سبق التردّد بخلاف العزم، ولا يشترط فيها الميل النفساني والانبعاث القلبي بخلاف الإرادة والميل</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3197817_1280447820"/>
      <w:bookmarkStart w:id="604" w:name="_Toc235"/>
      <w:bookmarkEnd w:id="603"/>
      <w:r>
        <w:rPr>
          <w:rtl w:val="true"/>
        </w:rPr>
        <w:t>الرابع</w:t>
      </w:r>
      <w:r>
        <w:rPr>
          <w:rtl w:val="true"/>
        </w:rPr>
        <w:t xml:space="preserve">: </w:t>
      </w:r>
      <w:r>
        <w:rPr>
          <w:rtl w:val="true"/>
        </w:rPr>
        <w:t>اشتراط قصدُ نفس الفعل جزماً في نيّة العبادة</w:t>
      </w:r>
      <w:bookmarkEnd w:id="60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نيّة العبادة قصدُ نفس الفعل جزماً، وهو أمر قلّما ينفكّ عنه الفعل الاختياري الصادر عن شعور من المكلّف، وهو المعنيّ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العمل من دون نيّة تكليف 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وقصدُ التقرّب به، وهو روح العبادة وريحانها، وهو قصد أنّ العمل</w:t>
      </w:r>
      <w:r>
        <w:rPr>
          <w:rStyle w:val="FootnoteAnchor"/>
          <w:rtl w:val="true"/>
        </w:rPr>
        <w:footnoteReference w:id="927"/>
      </w:r>
      <w:r>
        <w:rPr>
          <w:rFonts w:ascii="Amiri" w:hAnsi="Amiri" w:eastAsia="Amiri" w:cs="Amiri"/>
          <w:color w:val="111111"/>
          <w:sz w:val="28"/>
          <w:sz w:val="28"/>
          <w:szCs w:val="28"/>
          <w:rtl w:val="true"/>
          <w:lang w:bidi="ar-SA"/>
        </w:rPr>
        <w:t>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أهل للعبادة، أو لأنّ العابد أهل لذلك، أو شكراً لنعمته، أو طلباً لرضاه، أو دفعاً لسخطه، أو طلباً لمثوبته، أو غير ذلك من الغايات اللاحقة لكون العمل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العمل للثواب الأُخروي أو الدنيوي بحيث جعل العمل في مقابلتهما وصيّر العمل لهما شبه المعاوضة، فسد العمل على الأظهر؛ لمنافاته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الأخبار والآيات الظاهرة في جواز العبادة للخوف أو الطمع، وللجنّة أو النار</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رَبَّهُمْ خَوْفاً وَطَمَعاً</w:t>
      </w:r>
      <w:r>
        <w:rPr>
          <w:rStyle w:val="FootnoteAnchor"/>
          <w:rtl w:val="true"/>
        </w:rPr>
        <w:footnoteReference w:id="92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وغير ذلك، محمول على جَعْل ذلك غايةً للغاية، وعلى جعل ذلك باعثاً للعبادة</w:t>
      </w:r>
      <w:r>
        <w:rPr>
          <w:rStyle w:val="FootnoteAnchor"/>
          <w:rtl w:val="true"/>
        </w:rPr>
        <w:footnoteReference w:id="931"/>
      </w:r>
      <w:r>
        <w:rPr>
          <w:rFonts w:ascii="Amiri" w:hAnsi="Amiri" w:eastAsia="Amiri" w:cs="Amiri"/>
          <w:color w:val="111111"/>
          <w:sz w:val="28"/>
          <w:sz w:val="28"/>
          <w:szCs w:val="28"/>
          <w:rtl w:val="true"/>
          <w:lang w:bidi="ar-SA"/>
        </w:rPr>
        <w:t>لوجه الله تعالى، كما يشعر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r>
        <w:rPr>
          <w:rStyle w:val="FootnoteAnchor"/>
          <w:rtl w:val="true"/>
        </w:rPr>
        <w:footnoteReference w:id="932"/>
      </w:r>
      <w:r>
        <w:rPr>
          <w:rFonts w:ascii="IRNazanin" w:hAnsi="IRNazanin" w:eastAsia="IRNazanin"/>
          <w:color w:val="111111"/>
          <w:sz w:val="28"/>
          <w:sz w:val="28"/>
          <w:szCs w:val="28"/>
          <w:rtl w:val="true"/>
          <w:lang w:bidi="fa-IR"/>
        </w:rPr>
        <w:t>، مع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نَخَافُ مِنْ رَبِّنَا يَوْماً</w:t>
      </w:r>
      <w:r>
        <w:rPr>
          <w:rStyle w:val="FootnoteAnchor"/>
          <w:rtl w:val="true"/>
        </w:rPr>
        <w:footnoteReference w:id="933"/>
      </w:r>
      <w:r>
        <w:rPr>
          <w:rFonts w:ascii="Amiri" w:hAnsi="Amiri" w:eastAsia="Amiri" w:cs="Amiri"/>
          <w:color w:val="111111"/>
          <w:sz w:val="28"/>
          <w:sz w:val="28"/>
          <w:szCs w:val="28"/>
          <w:rtl w:val="true"/>
          <w:lang w:bidi="ar-SA"/>
        </w:rPr>
        <w:t>لا على أنّ العبادة للطمع وللخوف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عبادة العوام من هذا القبيل وقد أقرهم العلماء على ذلك، ممنوعة؛ لعدم معرفة العلماء بما عليه العوام، لأصالة صحة عملهم ككثير ما يقع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العمل للثواب الدنيوي أو لرفع عقابه على طريقة المعاوضة، فسد العمل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وتعيينُ المقصود بنوعه وشخصه، أو بلازمه أو وصفه إذا لم يكن متعيّناً في نفسه، كما إذا كان دائراً بين فردين قابلاً ذلك الزمان أو ذلك المحلّ لوقوع كلِّ منهما؛ لأنّ العمل في المشترك لا يتشخّص إلّا بالوصف الخاصّ، وإلّا وقع مبهماً، والمبهم لا وجود له في الخارج</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متعيّناً بزمان أو مكان كفى نيّة النوع والتقرّب بما تعلّق به الخطاب واشتغلت الذمّة به، فينصرف المنويّ إلى ما تعلّق به الخطاب وصحّ فعله؛ لاقتران نيّة النوع بنيّة فعل ما تعلّق به الخطاب، فيكون من قبيل نيّة الوصف اللازم</w:t>
      </w:r>
      <w:r>
        <w:rPr>
          <w:rFonts w:eastAsia="Amiri" w:cs="Amiri" w:ascii="Amiri" w:hAnsi="Amiri"/>
          <w:color w:val="111111"/>
          <w:sz w:val="28"/>
          <w:szCs w:val="28"/>
          <w:rtl w:val="true"/>
          <w:lang w:bidi="ar-SA"/>
        </w:rPr>
        <w:t xml:space="preserve">. </w:t>
      </w:r>
      <w:bookmarkStart w:id="605" w:name="pg18988_203341"/>
    </w:p>
    <w:p>
      <w:pPr>
        <w:pStyle w:val="BookText"/>
        <w:rPr/>
      </w:pPr>
      <w:bookmarkEnd w:id="605"/>
      <w:r>
        <w:rPr>
          <w:rFonts w:ascii="Amiri" w:hAnsi="Amiri" w:eastAsia="Amiri" w:cs="Amiri"/>
          <w:color w:val="111111"/>
          <w:sz w:val="28"/>
          <w:sz w:val="28"/>
          <w:szCs w:val="28"/>
          <w:rtl w:val="true"/>
          <w:lang w:bidi="ar-SA"/>
        </w:rPr>
        <w:t>والأحوط تعيين المنويّ حتّى في المتعيّن واقعاً شخصه أو وصفه اللازم مع الإمكان، بل مع عدم الإمكان أيضاً كمن فاتته رباعية مردّدة، فإنّه يقوى عدم وجوب التعيين، وكفاية الإطلاق، وعدم وجوب التكرير، ولكنّ الاحتياط بالتكرير محافظة على التعيين</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13197819_1280447820"/>
      <w:bookmarkStart w:id="607" w:name="_Toc236"/>
      <w:bookmarkEnd w:id="606"/>
      <w:r>
        <w:rPr>
          <w:rtl w:val="true"/>
        </w:rPr>
        <w:t>الخامس</w:t>
      </w:r>
      <w:r>
        <w:rPr>
          <w:rtl w:val="true"/>
        </w:rPr>
        <w:t xml:space="preserve">: </w:t>
      </w:r>
      <w:r>
        <w:rPr>
          <w:rtl w:val="true"/>
        </w:rPr>
        <w:t>تجب استدامة حكم النيّة في جميع الأجزاء العبادۀ</w:t>
      </w:r>
      <w:bookmarkEnd w:id="607"/>
    </w:p>
    <w:p>
      <w:pPr>
        <w:pStyle w:val="BookText"/>
        <w:rPr/>
      </w:pPr>
      <w:r>
        <w:rPr>
          <w:rFonts w:ascii="Amiri" w:hAnsi="Amiri" w:eastAsia="Amiri" w:cs="Amiri"/>
          <w:color w:val="111111"/>
          <w:sz w:val="28"/>
          <w:sz w:val="28"/>
          <w:szCs w:val="28"/>
          <w:rtl w:val="true"/>
          <w:lang w:bidi="ar-SA"/>
        </w:rPr>
        <w:t>تجب استدامة حكم النيّة في جميع الأجزاء بمعنى أن لا يقطعها بنيّة غيرها تخالفها من رياء ونحوه، ولا ينوي قطع العمل فيعمل، فإنّ العمل يبطل في مثل الصلاة ونحوها، ويجب العود إليها وإلى العمل المقارن لنيّة القطع في مثل الوضوء وشبهه، وأن لا تغرب عنه أصلاً ورأساً بنسيان وشبهه بحيث يقع العمل منه من غير شعور، كلّ ذلك لعموم أدلّة النيّة الشامل للكلّ والأجزاء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سها عنها مع بقاء التذكّر في خزانة الخيال بحيث أنّه يتفطّن للعمل بأدنى شعور به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الاستدامة على القول بكفاية الداعي في النيّة لا كلفة فيه؛ لإمكان استمراره مع جميع أجزاء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بوجوب الإخطار يكون معنى اشتراطه هو عدم زوالها عن القوّة المدركة أصلاً ورأساً، وعدم نيّة خلافها</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13197821_1280447820"/>
      <w:bookmarkStart w:id="609" w:name="_Toc237"/>
      <w:bookmarkEnd w:id="608"/>
      <w:r>
        <w:rPr>
          <w:rtl w:val="true"/>
        </w:rPr>
        <w:t>السادس</w:t>
      </w:r>
      <w:r>
        <w:rPr>
          <w:rtl w:val="true"/>
        </w:rPr>
        <w:t xml:space="preserve">:  </w:t>
      </w:r>
      <w:r>
        <w:rPr>
          <w:rtl w:val="true"/>
        </w:rPr>
        <w:t>فی انّه يكفي في قصد الفعل شعور النفس به بأدنى تفطّنٍ والتفات</w:t>
      </w:r>
      <w:bookmarkEnd w:id="609"/>
    </w:p>
    <w:p>
      <w:pPr>
        <w:pStyle w:val="BookText"/>
        <w:rPr/>
      </w:pPr>
      <w:r>
        <w:rPr>
          <w:rFonts w:ascii="Amiri" w:hAnsi="Amiri" w:eastAsia="Amiri" w:cs="Amiri"/>
          <w:color w:val="111111"/>
          <w:sz w:val="28"/>
          <w:sz w:val="28"/>
          <w:szCs w:val="28"/>
          <w:rtl w:val="true"/>
          <w:lang w:bidi="ar-SA"/>
        </w:rPr>
        <w:t>يكفي في قصد الفعل شعور النفس به بأدنى تفطّنٍ والتفات، والقصد إليه في خزانة الخيال وإرادة النفس لوقوعه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يكفي في قصد القربة كونها هي الداعي والباعث لصدور الفعل من المختار،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قد وقع لأجل هذا دون ذلك، وإنّ المحرّك على صدور هذا الفعل هي هذه الغاية دون تلك، فليست النيّة في العبادات الّأ كسائر أحوالها في باقي الأفعال من قيام لغرضٍ دون آخَر، ولشخصٍ دون آخَر، ومن قعودٍ كذلك، ومن مشي، ومن ضربٍ وغيرها، فكما أنّ البواعث والغايات المحرزة في النفس مقوِّمة لصدور تلك الأفعال ومشخِّصة لكلّ نوعٍ عن آخّر في تلك الأحوال، فكذلك داعي القربة مقوِّم لنفس العمل وكافٍ في تعيينه للعبوديّة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ذكرناه لا حاجة إلى الإخطار، وهو تصوّر الفعل فعلاً، وتصوّر القربة والوجه، بناءً على وجوبه وإخطارهما عند العمل واستحضار معانيهما في الذهن بتوسّط تصوّر ألفاظهما أو بدون ذلك وإن كان هو أحوط ما لم يؤدِّ إلى الوسواس</w:t>
      </w:r>
      <w:r>
        <w:rPr>
          <w:rFonts w:eastAsia="Amiri" w:cs="Amiri" w:ascii="Amiri" w:hAnsi="Amiri"/>
          <w:color w:val="111111"/>
          <w:sz w:val="28"/>
          <w:szCs w:val="28"/>
          <w:rtl w:val="true"/>
          <w:lang w:bidi="ar-SA"/>
        </w:rPr>
        <w:t xml:space="preserve">. </w:t>
      </w:r>
      <w:bookmarkStart w:id="610" w:name="pg18988_203342"/>
    </w:p>
    <w:p>
      <w:pPr>
        <w:pStyle w:val="BookText"/>
        <w:rPr/>
      </w:pPr>
      <w:bookmarkEnd w:id="610"/>
      <w:r>
        <w:rPr>
          <w:rFonts w:ascii="Amiri" w:hAnsi="Amiri" w:eastAsia="Amiri" w:cs="Amiri"/>
          <w:color w:val="111111"/>
          <w:sz w:val="28"/>
          <w:sz w:val="28"/>
          <w:szCs w:val="28"/>
          <w:rtl w:val="true"/>
          <w:lang w:bidi="ar-SA"/>
        </w:rPr>
        <w:t>والدليل على عدم وجوب هذا الإخطار خلوّ الأخبار وكلام الأخيار عنه، ولزوم العسر والحرج به في مثل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والأوراد وكثيرٍ من الأدعية وقراءة القرآن، وجريان السيرة على خلافه في كثير من العبادات، على أنّ جميع ما جاء في النيّة لا يدلّ عليه، وإنّما يدلّ على المعنى الأوّل، فإيجاب شيء زائد على ذلك مفتقر إلى دليل، وليس فليس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القول بالإخطار فلابدّ من الاقتصار على إيجابه في أوّل العمل وكفاية الداعي والباعث فی أثنائه؛ للزوم العسر والحرج لو التزمنا بوجوب استمراره، ويصير معنى وجوب الاستدامة الحكميّة في النيّة هو بقاء الداعي فيها وإن زال الإخطار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الأصحاب أنّ الاستدامة الحكميّة هي أن لا ينوي ما يخالفها ولا ينوي قطعها، ولا ينساها نسياناً كلّيّاً بحيث لا يبقى لها أثر في القوّة المدركة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3197823_1280447820"/>
      <w:bookmarkStart w:id="612" w:name="_Toc238"/>
      <w:bookmarkEnd w:id="611"/>
      <w:r>
        <w:rPr>
          <w:rtl w:val="true"/>
        </w:rPr>
        <w:t>السابع</w:t>
      </w:r>
      <w:r>
        <w:rPr>
          <w:rtl w:val="true"/>
        </w:rPr>
        <w:t xml:space="preserve">: </w:t>
      </w:r>
      <w:r>
        <w:rPr>
          <w:rtl w:val="true"/>
        </w:rPr>
        <w:t>وجوب مقارنة النيّة لأوّل أجزاء العمل، ثمّ استمرار حكمها بعد ذلك</w:t>
      </w:r>
      <w:bookmarkEnd w:id="612"/>
    </w:p>
    <w:p>
      <w:pPr>
        <w:pStyle w:val="BookText"/>
        <w:rPr/>
      </w:pPr>
      <w:r>
        <w:rPr>
          <w:rFonts w:ascii="IRNazanin" w:hAnsi="IRNazanin" w:eastAsia="IRNazanin"/>
          <w:color w:val="111111"/>
          <w:sz w:val="28"/>
          <w:sz w:val="28"/>
          <w:szCs w:val="28"/>
          <w:rtl w:val="true"/>
          <w:lang w:bidi="fa-IR"/>
        </w:rPr>
        <w:t>یجب مقارنة النيّة لأوّل أجزاء العمل، ثمّ استمرار حكمها بعد ذلك؛ لأنّه لو تقارن أوّل أجزائه</w:t>
      </w:r>
      <w:r>
        <w:rPr>
          <w:rStyle w:val="FootnoteAnchor"/>
          <w:rtl w:val="true"/>
        </w:rPr>
        <w:footnoteReference w:id="934"/>
      </w:r>
      <w:r>
        <w:rPr>
          <w:rFonts w:ascii="Amiri" w:hAnsi="Amiri" w:eastAsia="Amiri" w:cs="Amiri"/>
          <w:color w:val="111111"/>
          <w:sz w:val="28"/>
          <w:sz w:val="28"/>
          <w:szCs w:val="28"/>
          <w:rtl w:val="true"/>
          <w:lang w:bidi="ar-SA"/>
        </w:rPr>
        <w:t>بل تقدّمت أو تأخّرت لم يستند العمل إليها، فيقع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أجزاء العمل بين واجبه وبين مندوبه، فمثل غسل الكفّين أو المضمضة أو الاستنشاق لو قارنتها نيّة الوضوء كان مجزئاً عن تجديدها عند غسل الوجه، ولكنّ الاحتياط التجديد عند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 النيّة هي الداعي تقلّ ثمرة هذا البحث من أصله؛ لأنّ الداعي مستمرً غالباً</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13197825_1280447820"/>
      <w:bookmarkStart w:id="614" w:name="_Toc239"/>
      <w:bookmarkEnd w:id="613"/>
      <w:r>
        <w:rPr>
          <w:rtl w:val="true"/>
        </w:rPr>
        <w:t>الثامن</w:t>
      </w:r>
      <w:r>
        <w:rPr>
          <w:rtl w:val="true"/>
        </w:rPr>
        <w:t xml:space="preserve">: </w:t>
      </w:r>
      <w:r>
        <w:rPr>
          <w:rtl w:val="true"/>
        </w:rPr>
        <w:t>عدم وجوب نیّۀ وجه الفعل من الوجوب والندب</w:t>
      </w:r>
      <w:bookmarkEnd w:id="614"/>
    </w:p>
    <w:p>
      <w:pPr>
        <w:pStyle w:val="BookText"/>
        <w:rPr/>
      </w:pPr>
      <w:r>
        <w:rPr>
          <w:rFonts w:ascii="Amiri" w:hAnsi="Amiri" w:eastAsia="Amiri" w:cs="Amiri"/>
          <w:color w:val="111111"/>
          <w:sz w:val="28"/>
          <w:sz w:val="28"/>
          <w:szCs w:val="28"/>
          <w:rtl w:val="true"/>
          <w:lang w:bidi="ar-SA"/>
        </w:rPr>
        <w:t>لا تجب نيّة وجه الفعل من الوجوب والندب إلّا إذا توقّف عليه التعيين، كأن يتعلّق بالمكلّف خطابان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 بفعلين متساويين من كلّ جهةٍ سوى وصفي الوجوب والندب، فيحتاج لنيّة أحدهما للتعيين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عدم وجوب نيّة الوجه بين أخذ الوجوب والندب غايةً لفعل الفاعل،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 الوجوبه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أخذهما قيداً له،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الأخبار عن وجوب ذلك، ولصدق أنّه عمل منويّ، فيدخل تحت أدلّة وجوب النيّة، ولا دليل على وجوب غير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النيّة مجملة، فما شكّ في جزئيّته لها أو شرطيّته نحكم بالجزئيّة والشرطيّة، أو دعوى أنّ الصلاة مجملة، فما شكّ في شرطيّته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كالشكّ في شرطيّة نيّة 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 شرطاً، ممنوعتان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كون</w:t>
      </w:r>
      <w:r>
        <w:rPr>
          <w:rStyle w:val="FootnoteAnchor"/>
          <w:rtl w:val="true"/>
        </w:rPr>
        <w:footnoteReference w:id="935"/>
      </w:r>
      <w:r>
        <w:rPr>
          <w:rFonts w:ascii="Amiri" w:hAnsi="Amiri" w:eastAsia="Amiri" w:cs="Amiri"/>
          <w:color w:val="111111"/>
          <w:sz w:val="28"/>
          <w:sz w:val="28"/>
          <w:szCs w:val="28"/>
          <w:rtl w:val="true"/>
          <w:lang w:bidi="ar-SA"/>
        </w:rPr>
        <w:t>النيّة مجملةً إمّا لكونها باقيةً على المعنى اللغوي، و إمّا لكون معناها الشرعي مبيّناً بما جاء من الأدلّة الدالّة على وجوب الإخلاص والامتثال والطاعة، فإنّه يُفهم منها عدم إرادة الشارع شيئاً آخَر وراء ذلك، فيكون ذلك الإجمال مرتفعاً بذلك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الشكّ في شرطيّة نيّة الوجه، بل المظنون من الأخبار والآثار هو عدم الاشتراط؛ لأنّ نيّة الوجه لو كانت شرطاً لأكثر الشارع من بيانه، وأوجب العلمَ به والتعلّمَ والعملَ لشدّة الحاجة إليه، ولاشتهر أمره غاية الاشتهار؛ لتوفّر الدواعي إلى معرفة حكمه، ولأنّه ممّا تعمّ به البلوى، ولما أمر الشارع بعدّة أشياء فيها الواجب وفيها المندوب بأمرٍ واحد، كالتكبيرات السبع والتسبيحات الثلاث من دون تمييزٍ بين الواجب والندب، ولما أمر في كثير من المندوبات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نصب قرينةٍ على إرادة الندب حتى أنّ كثيراً من السائلين يكرّرون عليهم السؤال أنّ هذا واجبٌ أو ندب؟ فيجيبونهم بعد ذلك ببيان الندب وأنّه ليس في تركه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ولانّا نرى أنّ العبد لو أتى بما أراد مولاه لا يحسن أن يسأله إنّك هل أتيتَ به بعنوان الوجوب أو الندب؟ بعد أن عرف أنّ العبد ما أتى بذلك الفعل إلّا طلباً لامتثال إرادة مولاه واتّباعاً لهواه، ولا يحسن من المولى نقض فعل العبد معلّلاً له بأنّك لم تنوِ وجهَ إرادتي و وصفَها من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ولأنّا لا نرى فرقاً بين وصفي الوجوب والندب وبين الأوصاف الأُخر من شدّة الطلب وضعفه، وعظم المطلوب وعدم عظمه، وأدائيّة الفعل وقضائيّته، وكونه بمكان شريف وعدمه، وكونه في زمان كذلك وعدمه، ولا نعقل من وصفي</w:t>
      </w:r>
      <w:r>
        <w:rPr>
          <w:rStyle w:val="FootnoteAnchor"/>
          <w:rtl w:val="true"/>
        </w:rPr>
        <w:footnoteReference w:id="936"/>
      </w:r>
      <w:r>
        <w:rPr>
          <w:rFonts w:ascii="Amiri" w:hAnsi="Amiri" w:eastAsia="Amiri" w:cs="Amiri"/>
          <w:color w:val="111111"/>
          <w:sz w:val="28"/>
          <w:sz w:val="28"/>
          <w:szCs w:val="28"/>
          <w:rtl w:val="true"/>
          <w:lang w:bidi="ar-SA"/>
        </w:rPr>
        <w:t>الوجوب والندب إلّا شدّة تأكّد الطلب وعدمه، وهو لا يصلح لأن يكون موجباً لنيّته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ولأنّا لا نفهم ممّا جاء في الكتاب وفي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بالعبوديّة والإخلاص والامتثال ومدح العابدين والمتّقين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مراد الشارع الإتيان بالعمل لوجهه وفعله لأجله، فيُحمل مطلق ما جاء في النيّة ومجمله على مقيّد ذلك ومفصّله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اعتبار نيّة الوجه؛ تفصّياً عن شبهة فتوى كثير من الأصحاب</w:t>
      </w:r>
      <w:r>
        <w:rPr>
          <w:rStyle w:val="FootnoteAnchor"/>
          <w:rtl w:val="true"/>
        </w:rPr>
        <w:footnoteReference w:id="937"/>
      </w:r>
      <w:r>
        <w:rPr>
          <w:rFonts w:ascii="Amiri" w:hAnsi="Amiri" w:eastAsia="Amiri" w:cs="Amiri"/>
          <w:color w:val="111111"/>
          <w:sz w:val="28"/>
          <w:sz w:val="28"/>
          <w:szCs w:val="28"/>
          <w:rtl w:val="true"/>
          <w:lang w:bidi="ar-SA"/>
        </w:rPr>
        <w:t xml:space="preserve">، وشبهة ما يظهر من </w:t>
      </w:r>
      <w:bookmarkStart w:id="615" w:name="pg18988_203344"/>
    </w:p>
    <w:p>
      <w:pPr>
        <w:pStyle w:val="BookText"/>
        <w:rPr/>
      </w:pPr>
      <w:bookmarkEnd w:id="615"/>
      <w:r>
        <w:rPr>
          <w:rFonts w:ascii="IRNazanin" w:hAnsi="IRNazanin" w:eastAsia="IRNazanin"/>
          <w:color w:val="111111"/>
          <w:sz w:val="28"/>
          <w:sz w:val="28"/>
          <w:szCs w:val="28"/>
          <w:rtl w:val="true"/>
          <w:lang w:bidi="fa-IR"/>
        </w:rPr>
        <w:t>بعضهم</w:t>
      </w:r>
      <w:r>
        <w:rPr>
          <w:rStyle w:val="FootnoteAnchor"/>
          <w:rtl w:val="true"/>
        </w:rPr>
        <w:footnoteReference w:id="938"/>
      </w:r>
      <w:r>
        <w:rPr>
          <w:rFonts w:ascii="Amiri" w:hAnsi="Amiri" w:eastAsia="Amiri" w:cs="Amiri"/>
          <w:color w:val="111111"/>
          <w:sz w:val="28"/>
          <w:sz w:val="28"/>
          <w:szCs w:val="28"/>
          <w:rtl w:val="true"/>
          <w:lang w:bidi="ar-SA"/>
        </w:rPr>
        <w:t>من دعوى الإجماع، وشبهة شمول أدلّة النيّة لاعتبار الوجه، وشبهة أنّ الفعل إذا لم ينوَ على وجهه لم يكن مشخّصاً ولا مميّزاً، وشبهة أنّ ما شكّ في شرطيّته شرط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أخذ الوجوب قيداً وغايةٌ؛ للتخلّص من شبهة مَنْ أوجب كلاً منهما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13197827_1280447820"/>
      <w:bookmarkStart w:id="617" w:name="_Toc240"/>
      <w:bookmarkEnd w:id="616"/>
      <w:r>
        <w:rPr>
          <w:rtl w:val="true"/>
        </w:rPr>
        <w:t>التاسع</w:t>
      </w:r>
      <w:r>
        <w:rPr>
          <w:rtl w:val="true"/>
        </w:rPr>
        <w:t xml:space="preserve">: </w:t>
      </w:r>
      <w:r>
        <w:rPr>
          <w:rtl w:val="true"/>
        </w:rPr>
        <w:t>عدم تجب في الوضوء نيّة الرفع ولا نية الاستباحة</w:t>
      </w:r>
      <w:bookmarkEnd w:id="617"/>
    </w:p>
    <w:p>
      <w:pPr>
        <w:pStyle w:val="BookText"/>
        <w:rPr/>
      </w:pPr>
      <w:r>
        <w:rPr>
          <w:rFonts w:ascii="Amiri" w:hAnsi="Amiri" w:eastAsia="Amiri" w:cs="Amiri"/>
          <w:color w:val="111111"/>
          <w:sz w:val="28"/>
          <w:sz w:val="28"/>
          <w:szCs w:val="28"/>
          <w:rtl w:val="true"/>
          <w:lang w:bidi="ar-SA"/>
        </w:rPr>
        <w:t>لاتجب في الوضوء نيّة الرفع ولا نية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أوجب أحدَهما لا بعينه</w:t>
      </w:r>
      <w:r>
        <w:rPr>
          <w:rStyle w:val="FootnoteAnchor"/>
          <w:rtl w:val="true"/>
        </w:rPr>
        <w:footnoteReference w:id="940"/>
      </w:r>
      <w:r>
        <w:rPr>
          <w:rFonts w:ascii="Amiri" w:hAnsi="Amiri" w:eastAsia="Amiri" w:cs="Amiri"/>
          <w:color w:val="111111"/>
          <w:sz w:val="28"/>
          <w:sz w:val="28"/>
          <w:szCs w:val="28"/>
          <w:rtl w:val="true"/>
          <w:lang w:bidi="ar-SA"/>
        </w:rPr>
        <w:t>، ونقل الإجماع على ذلك</w:t>
      </w:r>
      <w:r>
        <w:rPr>
          <w:rStyle w:val="FootnoteAnchor"/>
          <w:rtl w:val="true"/>
        </w:rPr>
        <w:footnoteReference w:id="941"/>
      </w:r>
      <w:r>
        <w:rPr>
          <w:rFonts w:ascii="IRNazanin" w:hAnsi="IRNazanin" w:eastAsia="IRNazanin"/>
          <w:color w:val="111111"/>
          <w:sz w:val="28"/>
          <w:sz w:val="28"/>
          <w:szCs w:val="28"/>
          <w:rtl w:val="true"/>
          <w:lang w:bidi="fa-IR"/>
        </w:rPr>
        <w:t>، وخلافاً لمن أوجبهما معاً</w:t>
      </w:r>
      <w:r>
        <w:rPr>
          <w:rStyle w:val="FootnoteAnchor"/>
          <w:rtl w:val="true"/>
        </w:rPr>
        <w:footnoteReference w:id="942"/>
      </w:r>
      <w:r>
        <w:rPr>
          <w:rFonts w:ascii="Amiri" w:hAnsi="Amiri" w:eastAsia="Amiri" w:cs="Amiri"/>
          <w:color w:val="111111"/>
          <w:sz w:val="28"/>
          <w:sz w:val="28"/>
          <w:szCs w:val="28"/>
          <w:rtl w:val="true"/>
          <w:lang w:bidi="ar-SA"/>
        </w:rPr>
        <w:t>، وخلافاً لمن أوجب أحدهما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943"/>
      </w:r>
      <w:r>
        <w:rPr>
          <w:rFonts w:ascii="Amiri" w:hAnsi="Amiri" w:eastAsia="Amiri" w:cs="Amiri"/>
          <w:color w:val="111111"/>
          <w:sz w:val="28"/>
          <w:sz w:val="28"/>
          <w:szCs w:val="28"/>
          <w:rtl w:val="true"/>
          <w:lang w:bidi="ar-SA"/>
        </w:rPr>
        <w:t>أو الثاني</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وضعف الإجماع المنقول بمصير الكثير</w:t>
      </w:r>
      <w:r>
        <w:rPr>
          <w:rStyle w:val="FootnoteAnchor"/>
          <w:rtl w:val="true"/>
        </w:rPr>
        <w:footnoteReference w:id="945"/>
      </w:r>
      <w:r>
        <w:rPr>
          <w:rFonts w:ascii="Amiri" w:hAnsi="Amiri" w:eastAsia="Amiri" w:cs="Amiri"/>
          <w:color w:val="111111"/>
          <w:sz w:val="28"/>
          <w:sz w:val="28"/>
          <w:szCs w:val="28"/>
          <w:rtl w:val="true"/>
          <w:lang w:bidi="ar-SA"/>
        </w:rPr>
        <w:t>إلى خلافه، ولحصول المقصود مع قصد الوضوء وقصد التقرّب به قهراً؛ لأنّ رفع الحدث من آثاره اللازمة له شرعاً، كرفع الخبث بالغسل، ومع حصول المقصود برفع الحدث لا معنى لاشتراط شيءٍ آخَر؛ لعدم توقّف صحّة الصلاة على شيءٍ آخَر سوى رفع الحدث، ولخلوّ الأخبار في مقام البيان عن ذكرهما، ولعدم اشتهار وجوبهما مع توفّر الدواعي إلى اشتهاره، ولصيرورة العمل منويّاً، فتشمله أخبار النيّة وإن لم يدخلا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استدلّوا به من أنّ استباحة الصلاة غايةً للأمر بالوضوء؛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الصَّلوةِ</w:t>
      </w:r>
      <w:r>
        <w:rPr>
          <w:rStyle w:val="FootnoteAnchor"/>
          <w:rtl w:val="true"/>
        </w:rPr>
        <w:footnoteReference w:id="946"/>
      </w:r>
      <w:r>
        <w:rPr>
          <w:rFonts w:ascii="Amiri" w:hAnsi="Amiri" w:eastAsia="Amiri" w:cs="Amiri"/>
          <w:color w:val="111111"/>
          <w:sz w:val="28"/>
          <w:sz w:val="28"/>
          <w:szCs w:val="28"/>
          <w:rtl w:val="true"/>
          <w:lang w:bidi="ar-SA"/>
        </w:rPr>
        <w:t>فإنّه يُفهم منه أنّ الغسل للصلاة،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الأسدَ فخُذْ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الغاية مقوّمة للفعل؛ لأنّ مَنْ فَعَلَ الفِعْلَ المغیّى من دون نيّة غايةٍ له أو بنيّة غايةٍ أُخرى لم يعدّ ممتثلاً، مردود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الغاية غايةً للأمر والإيجاب من الآمر ، فالمقصود نفس الفعل، لا غاية للمأمور به بحيث تدخل في أمر الأمر بحيث يكون الفعل لهذه الغاية مأموراً به</w:t>
      </w:r>
      <w:r>
        <w:rPr>
          <w:rFonts w:eastAsia="Amiri" w:cs="Amiri" w:ascii="Amiri" w:hAnsi="Amiri"/>
          <w:color w:val="111111"/>
          <w:sz w:val="28"/>
          <w:szCs w:val="28"/>
          <w:rtl w:val="true"/>
          <w:lang w:bidi="ar-SA"/>
        </w:rPr>
        <w:t xml:space="preserve">. </w:t>
      </w:r>
      <w:bookmarkStart w:id="618" w:name="pg18988_203345"/>
    </w:p>
    <w:p>
      <w:pPr>
        <w:pStyle w:val="BookText"/>
        <w:rPr/>
      </w:pPr>
      <w:bookmarkEnd w:id="618"/>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تسليم أنّ الصلاة غاية للأمر به، بل المقصود من الآية بيان الشرطيّة، والتوقّف بمعنى أنّه لا تصحّ الصلاة بدون الوضوء، لا لأنّ الوضوء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بيان الغاية واقعاً، وهو لا يستلزم وجوب نيّة كلّ غاية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علينا بالنقض بالقربة باستلزام ما ذكرناه لعدم وجوبها، مردود بظهور الفرق بين الغايتين؛ فإنّ غاية القربة قضى بها دليلُ الإخلاص، وهو لا يمكن إلّا بنيّة أنّ الفعل له عزّ وجلّ، و غاية الاستباحة قضى بها دليلُ اشتراط صحّة الصلاة بالوضوء، وهو لا يتوقّف على نيّة كون الوضوء لها ولاستباحتها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لا تدلّ إلّا على اشتراط نيّة الاستباحة، والمدّعى أعمّ منها ومن نيّة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 كونهما متلازمين؛ إذ الحدث حالة تمنع من العبادة، فإذا ارتفع استبيحت العبادة، مردودة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التلازم غير مُجْدٍ في النيّة؛ للزوم نيّة الشيء على ما وقع عليه لا على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 أنّ الرفع إزالة المانع، والاستباحة إزالة المنع، والثاني قد ينفكّ عن الأوّل، كما في المتيمّم ودائم الحدث</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3197829_1280447820"/>
      <w:bookmarkStart w:id="620" w:name="_Toc241"/>
      <w:bookmarkEnd w:id="619"/>
      <w:r>
        <w:rPr>
          <w:rtl w:val="true"/>
        </w:rPr>
        <w:t>العاشر</w:t>
      </w:r>
      <w:r>
        <w:rPr>
          <w:rtl w:val="true"/>
        </w:rPr>
        <w:t xml:space="preserve">: </w:t>
      </w:r>
      <w:r>
        <w:rPr>
          <w:rtl w:val="true"/>
        </w:rPr>
        <w:t>حکم نیّۀ الوجوب في مقام الندب وبالعكس وکذا نیّۀ عدم الرفع وعدم الاستباحة بعد نيّة الفعل على وجه القربة</w:t>
      </w:r>
      <w:bookmarkEnd w:id="620"/>
    </w:p>
    <w:p>
      <w:pPr>
        <w:pStyle w:val="BookText"/>
        <w:rPr/>
      </w:pPr>
      <w:r>
        <w:rPr>
          <w:rFonts w:ascii="Amiri" w:hAnsi="Amiri" w:eastAsia="Amiri" w:cs="Amiri"/>
          <w:color w:val="111111"/>
          <w:sz w:val="28"/>
          <w:sz w:val="28"/>
          <w:szCs w:val="28"/>
          <w:rtl w:val="true"/>
          <w:lang w:bidi="ar-SA"/>
        </w:rPr>
        <w:t>لا بأس بنيّة الوجوب في مقام الندب وبالعكس، عمداً أو سهواً أو جهلاً، على القول بعدم اشتراط نيّة الوجه، إلّا إذا أدّت نيّة الخلاف إلى عدم نيّة الفعل المتقرّب به، كأن يقول عالماً عامداً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أتوضّأ الوضوء المندوب لا الذي أوجبه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الوجوب، فإنّه لا يصحّ منه الوضوء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بأس بنيّة عدم الرفع وعدم الاستباحة بعد نيّة الفعل على وجه القربة، بل تقع لاغيةً، إلّا إذا أدّت إلى عدم نيّة الفعل المتقرّب به،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باشتراط أحدهما مطلقاً أو معيّناً يقع العمل باطلاً؛ لخلوّ العمل عن النيّة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رفعَ حدثٍ معيّن لا بشرط، ارتفع غيره على القولين، سواء كان المنويّ آخِر الأحداث أم غيره على الأظهر؛ لأنّها متداخلة الآثار، فلا يرتفع أثر واحد منها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مطلقاً؛ لعدم حصول النيّة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ارتفاع المنويّ دون غيره، فيفتقر في رفعه إلى وضوءٍ آخَر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التفصيل بين الحدث الأخير فيرتفع الكلّ، وبين غيره فيبطل</w:t>
      </w:r>
      <w:r>
        <w:rPr>
          <w:rFonts w:eastAsia="Amiri" w:cs="Amiri" w:ascii="Amiri" w:hAnsi="Amiri"/>
          <w:color w:val="111111"/>
          <w:sz w:val="28"/>
          <w:szCs w:val="28"/>
          <w:rtl w:val="true"/>
          <w:lang w:bidi="ar-SA"/>
        </w:rPr>
        <w:t xml:space="preserve">. </w:t>
      </w:r>
      <w:bookmarkStart w:id="621" w:name="pg18988_203346"/>
    </w:p>
    <w:p>
      <w:pPr>
        <w:pStyle w:val="BookText"/>
        <w:rPr/>
      </w:pPr>
      <w:bookmarkEnd w:id="621"/>
      <w:r>
        <w:rPr>
          <w:rFonts w:ascii="Amiri" w:hAnsi="Amiri" w:eastAsia="Amiri" w:cs="Amiri"/>
          <w:color w:val="111111"/>
          <w:sz w:val="28"/>
          <w:sz w:val="28"/>
          <w:szCs w:val="28"/>
          <w:rtl w:val="true"/>
          <w:lang w:bidi="ar-SA"/>
        </w:rPr>
        <w:t>أمّا لو نوى رفعَ حدثٍ معيّن بشرط بقاء غيره، احتُملت الصحّة على القول باشتراط نيّة الرفع؛ تغليباً لجانب الصحّة من ارتفاع الحدث المنويّ، فيرتفع غيره قهراً؛ لتداخل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البطلان؛ للزوم التناقض في نيّته، فيبقى العمل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نوى رفعَ حدثٍ غير واقع لا بشرط أو بشرط لا،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على قولهم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استباحةَ شيء خاصّ لا بشرط، فالأقوى الصحّة، واستباحة كلّ مشروطٍ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نواها بشرط عدم استباحة غيرها قوي احتمال البطلان؛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الصحّة لما نواه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رفعَ كلّ حدث واستباحة شيء خاصّ دون غيره، أو نوى استباحة كلّ مشروطٍ ورفع حدثٍ خاصّ تناقضت نيّة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تغليب جانب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تغليب جانب الفساد، كلّ ذلك على القول باشتراط نيّة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بعدمها يكون احتمال البطلان ضعيفاً في جميع الصور ما لم يؤدّ إلى بطلان أصل النيّة</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3197831_1280447820"/>
      <w:bookmarkStart w:id="623" w:name="_Toc242"/>
      <w:bookmarkEnd w:id="622"/>
      <w:r>
        <w:rPr>
          <w:rtl w:val="true"/>
        </w:rPr>
        <w:t>الحادي عشر</w:t>
      </w:r>
      <w:r>
        <w:rPr>
          <w:rtl w:val="true"/>
        </w:rPr>
        <w:t xml:space="preserve">: </w:t>
      </w:r>
      <w:r>
        <w:rPr>
          <w:rtl w:val="true"/>
        </w:rPr>
        <w:t>فی إنّه علی القول بوجوب نیّۀ استباحة یکفی نیّۀ استباحۀ أیّ مشروط بالوضوء</w:t>
      </w:r>
      <w:bookmarkEnd w:id="623"/>
    </w:p>
    <w:p>
      <w:pPr>
        <w:pStyle w:val="BookText"/>
        <w:rPr/>
      </w:pPr>
      <w:r>
        <w:rPr>
          <w:rFonts w:ascii="Amiri" w:hAnsi="Amiri" w:eastAsia="Amiri" w:cs="Amiri"/>
          <w:color w:val="111111"/>
          <w:sz w:val="28"/>
          <w:sz w:val="28"/>
          <w:szCs w:val="28"/>
          <w:rtl w:val="true"/>
          <w:lang w:bidi="ar-SA"/>
        </w:rPr>
        <w:t>على القول بوجوب نيّة الاستباحة يكفي نيّة استباحة أيّ مشروط بالوضوء ولو امتنع تحصيله، كاستباحة الطواف لمن كان بالغريّ على إشكال؛ لأنّ قصد المحال 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على القول بوجوب نيّة أحدهما عيناً نيّة الآخر؛ لمكان التلازم بينهما، لأنّ رفع المانع مبيح والمبيح يرتفع المانع معه، ولا يعقل من رفع الحدث إلّا رفع ما كان مانعاً شرعاً لا رفع نفس الشيء الواقع، ورفع المانع الشرعي قاضٍ بالإباحة، أو لا يكفي؛ لعدم تسليم أنّ رفع الحدث هو رفع المانع الشرعي، وعدم تسليم أنّ نيّة اللازم تكفي في نيّة الملزوم؟</w:t>
      </w:r>
    </w:p>
    <w:p>
      <w:pPr>
        <w:pStyle w:val="BookText"/>
        <w:rPr/>
      </w:pPr>
      <w:r>
        <w:rPr>
          <w:rFonts w:ascii="Amiri" w:hAnsi="Amiri" w:eastAsia="Amiri" w:cs="Amiri"/>
          <w:color w:val="111111"/>
          <w:sz w:val="28"/>
          <w:sz w:val="28"/>
          <w:szCs w:val="28"/>
          <w:rtl w:val="true"/>
          <w:lang w:bidi="ar-SA"/>
        </w:rPr>
        <w:t xml:space="preserve">فمستديم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كالمبطون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الاستباحة فلا بأس، وإن نوى رفع الحدث احتُملت الصحّة؛ لأنّه بمنزلة رفع المانع المُنزَّل منزلة رفع المنع الذي هو بمعنى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البطلان؛ لظهور الحدث في الأمر الواقع الغير الممكن ارتفاعه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التفصيل بين نيّة رفع الحدث السابق فيصحّ؛ لإمكان رفعه، وبين رفع الجميع أو اللاحق أو الإطلاق إذا لم يُنزَّل على السابق فيبطل</w:t>
      </w:r>
      <w:r>
        <w:rPr>
          <w:rFonts w:eastAsia="Amiri" w:cs="Amiri" w:ascii="Amiri" w:hAnsi="Amiri"/>
          <w:color w:val="111111"/>
          <w:sz w:val="28"/>
          <w:szCs w:val="28"/>
          <w:rtl w:val="true"/>
          <w:lang w:bidi="ar-SA"/>
        </w:rPr>
        <w:t xml:space="preserve">. </w:t>
      </w:r>
      <w:bookmarkStart w:id="624" w:name="pg18988_203347"/>
    </w:p>
    <w:p>
      <w:pPr>
        <w:pStyle w:val="BookText"/>
        <w:rPr/>
      </w:pPr>
      <w:bookmarkEnd w:id="62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رفع الحدث السابق يخلّي اللاحق عن نيّة الرفع والاستباحة، فلا فائدة فيه</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3197833_1280447820"/>
      <w:bookmarkStart w:id="626" w:name="_Toc243"/>
      <w:bookmarkEnd w:id="625"/>
      <w:r>
        <w:rPr>
          <w:rtl w:val="true"/>
        </w:rPr>
        <w:t xml:space="preserve">الثاني عشر </w:t>
      </w:r>
      <w:r>
        <w:rPr>
          <w:rtl w:val="true"/>
        </w:rPr>
        <w:t>:</w:t>
      </w:r>
      <w:r>
        <w:rPr>
          <w:rtl w:val="true"/>
        </w:rPr>
        <w:t>فی أنّ مَنْ وجب عليه الوضوء لغايةٍ وجب عليه نيّة الوجوب إذا نواه لتلك الغاية</w:t>
      </w:r>
      <w:bookmarkEnd w:id="626"/>
    </w:p>
    <w:p>
      <w:pPr>
        <w:pStyle w:val="BookText"/>
        <w:rPr/>
      </w:pPr>
      <w:r>
        <w:rPr>
          <w:rFonts w:ascii="Amiri" w:hAnsi="Amiri" w:eastAsia="Amiri" w:cs="Amiri"/>
          <w:color w:val="111111"/>
          <w:sz w:val="28"/>
          <w:sz w:val="28"/>
          <w:szCs w:val="28"/>
          <w:rtl w:val="true"/>
          <w:lang w:bidi="ar-SA"/>
        </w:rPr>
        <w:t>مَنْ وجب عليه الوضوء لغايةٍ وجب عليه نيّة الوجوب إذا نواه لتلك الغاية، بناء على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تجوز نيّته ندباً لغايةٍ أُخرى مندوبة، أم لا تجوز؟ وعلى الجواز، فهل تكفي لفعل الغاية الواجبة أم لا بدّ من التجديد؟</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الندب وكفاية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نيّة الندب للغاية المندوبة إذا تعلّق به الخطاب الوجوبي، بل لا بدّ من نيّة الوجوب للغاية الواجبة، بل عدم جواز نيّة الوجوب والندب معاً؛ لعدم جواز اجتماع الجهتين، وكلاهما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فريضة</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لمثل هذا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لاقتضاء الأمر بالشيء النهيَ عن الضدّ غير معقول إلّا مع ضيق الوقت وليس الفرض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بناءٌ منهم على أنّ غايات الوضوء لا تنوّعه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كغايات الغسل من زيارة وجمعة وجنابة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تنوّعه الغايات كان واحداً، فإذا اتّصف بالوجوب لا يتّصف بَعْدُ بشيءٍ آخَر من ندبٍ أو غيره، فلا يصحّ عند اتّصافه بالوجوب فعله بنيّة الندب لغايةٍ مندوبة، ولكن هذا يحتاج إلى تأمّلٍ أيضاً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3197835_1280447820"/>
      <w:bookmarkStart w:id="628" w:name="_Toc244"/>
      <w:bookmarkEnd w:id="627"/>
      <w:r>
        <w:rPr>
          <w:rtl w:val="true"/>
        </w:rPr>
        <w:t xml:space="preserve">الثالث عشر </w:t>
      </w:r>
      <w:r>
        <w:rPr>
          <w:rtl w:val="true"/>
        </w:rPr>
        <w:t xml:space="preserve">: </w:t>
      </w:r>
      <w:r>
        <w:rPr>
          <w:rtl w:val="true"/>
        </w:rPr>
        <w:t>فی أنّ العمل المشتمل على واجب ومندوب كالوضوء يجوز نيّة وعه قربةً من غير ذكر الوجه</w:t>
      </w:r>
      <w:r>
        <w:rPr>
          <w:rtl w:val="true"/>
        </w:rPr>
        <w:t>.</w:t>
      </w:r>
      <w:bookmarkEnd w:id="628"/>
    </w:p>
    <w:p>
      <w:pPr>
        <w:pStyle w:val="BookText"/>
        <w:rPr/>
      </w:pPr>
      <w:r>
        <w:rPr>
          <w:rFonts w:ascii="Amiri" w:hAnsi="Amiri" w:eastAsia="Amiri" w:cs="Amiri"/>
          <w:color w:val="111111"/>
          <w:sz w:val="28"/>
          <w:sz w:val="28"/>
          <w:szCs w:val="28"/>
          <w:rtl w:val="true"/>
          <w:lang w:bidi="ar-SA"/>
        </w:rPr>
        <w:t>العمل المشتمل على واجب ومندوب كالوضوء يجوز نيّة مجموعه قربةً من غير ذكر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اشتراطه يحتمل كفاية القربة؛ لعدم إمكان اتّصاف الجميع بوصفٍ، فيسقط اعتبار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نيّته على وجه الوجوب؛ لأنّ المجموع واجب، لدخول الواجب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نيّته على وجه الندب؛ لأنّ جميعه مندوب، لدخول المندوب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التوزيع على الوجهين عند ابتداء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نيّة الواجب ابتداءً، والمندوب عند فعله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 هذه الوجوه صحيح</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3197837_1280447820"/>
      <w:bookmarkStart w:id="630" w:name="_Toc245"/>
      <w:bookmarkEnd w:id="629"/>
      <w:r>
        <w:rPr>
          <w:rtl w:val="true"/>
        </w:rPr>
        <w:t>الرابع عشر</w:t>
      </w:r>
      <w:r>
        <w:rPr>
          <w:rtl w:val="true"/>
        </w:rPr>
        <w:t xml:space="preserve">: </w:t>
      </w:r>
      <w:r>
        <w:rPr>
          <w:rtl w:val="true"/>
        </w:rPr>
        <w:t>عدم البأس بتفريق النيّة على أجزاء العمل بعد نيّة المجموع</w:t>
      </w:r>
      <w:bookmarkEnd w:id="63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تفريق النيّة على أجزاء العمل بعد نيّة المجموع لا بأس به، وبدون ذلك يحتمل الصحّة مطلقاً؛ لحصول العمل متقرّباً به</w:t>
      </w:r>
      <w:r>
        <w:rPr>
          <w:rFonts w:eastAsia="Amiri" w:cs="Amiri" w:ascii="Amiri" w:hAnsi="Amiri"/>
          <w:color w:val="111111"/>
          <w:sz w:val="28"/>
          <w:szCs w:val="28"/>
          <w:rtl w:val="true"/>
          <w:lang w:bidi="ar-SA"/>
        </w:rPr>
        <w:t xml:space="preserve">. </w:t>
      </w:r>
      <w:bookmarkStart w:id="631" w:name="pg18988_203348"/>
    </w:p>
    <w:p>
      <w:pPr>
        <w:pStyle w:val="BookText"/>
        <w:rPr/>
      </w:pPr>
      <w:bookmarkEnd w:id="631"/>
      <w:r>
        <w:rPr>
          <w:rFonts w:ascii="Amiri" w:hAnsi="Amiri" w:eastAsia="Amiri" w:cs="Amiri"/>
          <w:color w:val="111111"/>
          <w:sz w:val="28"/>
          <w:sz w:val="28"/>
          <w:szCs w:val="28"/>
          <w:rtl w:val="true"/>
          <w:lang w:bidi="ar-SA"/>
        </w:rPr>
        <w:t>ويحتمل البطلان؛ لعدم نيّة المأمور به جملة جملة، والعمل على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نيّة الجزء بشرط الانضمام إلى ما بعده فيصحّ، وبين نيّته لا بشرط أو بشرط عدم الانضمام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أنّه لا إشكال في البطلان لو نوى الجزء بشرط عدم الانضمام أو على أنّه عبادة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المجموع متقرّباً به ثمّ فرّق نيّة الوجوب أو الندب على الأبعاض عمداً أو جهلاً أو سهواً، أو فرّق نيّة الرفع أو الاستباحة عليها، أو نوى رفع الحدث عن بعضٍ دون بعضٍ من الأعضاء المغسولة أو غيرها على نحو ما ذكرنا، فالأقوى الصحّة،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هذه النيّات على نقض نيّة القربة وصيرورة المنويّ غير مشروع، فسد العمل</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3197839_1280447820"/>
      <w:bookmarkStart w:id="633" w:name="_Toc246"/>
      <w:bookmarkEnd w:id="632"/>
      <w:r>
        <w:rPr>
          <w:rtl w:val="true"/>
        </w:rPr>
        <w:t xml:space="preserve">الخامس عشر </w:t>
      </w:r>
      <w:r>
        <w:rPr>
          <w:rtl w:val="true"/>
        </w:rPr>
        <w:t xml:space="preserve">: </w:t>
      </w:r>
      <w:r>
        <w:rPr>
          <w:rtl w:val="true"/>
        </w:rPr>
        <w:t>لو نوى استباحة ما يكمل بالوضوء من الغايات</w:t>
      </w:r>
      <w:bookmarkEnd w:id="633"/>
    </w:p>
    <w:p>
      <w:pPr>
        <w:pStyle w:val="BookText"/>
        <w:rPr/>
      </w:pPr>
      <w:r>
        <w:rPr>
          <w:rFonts w:ascii="Amiri" w:hAnsi="Amiri" w:eastAsia="Amiri" w:cs="Amiri"/>
          <w:color w:val="111111"/>
          <w:sz w:val="28"/>
          <w:sz w:val="28"/>
          <w:szCs w:val="28"/>
          <w:rtl w:val="true"/>
          <w:lang w:bidi="ar-SA"/>
        </w:rPr>
        <w:t>لو نوى استباحة ما يكمل بالوضوء من الغايات، صحّ حتّى على القول باشتراط نيّة الاستباحة، وبالطريق الأولى لو نوى استباحة نفس الكمال لا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اشتراط الاستباحة لو قلنا به فإنّما نشترطه في المطلق، وأمّا ما كان له غاية منصوصة فقَصَد الفاعلُ تلك الغايةَ فقد حصل له الامتثال، وهو يقتضي وقوعه كاملاً، وهو يستلزم الرفع، فنيّة الرفع تحصل ضمناً أيضاً، وهو كافٍ في المنصوص على غايته، بخلاف ما كانت غايته الرفع أو الدخول في الصلاة</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13197841_1280447820"/>
      <w:bookmarkStart w:id="635" w:name="_Toc247"/>
      <w:bookmarkEnd w:id="634"/>
      <w:r>
        <w:rPr>
          <w:rtl w:val="true"/>
        </w:rPr>
        <w:t>السادس عشر</w:t>
      </w:r>
      <w:r>
        <w:rPr>
          <w:rtl w:val="true"/>
        </w:rPr>
        <w:t xml:space="preserve">: </w:t>
      </w:r>
      <w:r>
        <w:rPr>
          <w:rtl w:val="true"/>
        </w:rPr>
        <w:t>يجزئ الوضوء التجديدي عن الوضوء الرافع لو تبيّن بطلان الأوّل</w:t>
      </w:r>
      <w:bookmarkEnd w:id="635"/>
    </w:p>
    <w:p>
      <w:pPr>
        <w:pStyle w:val="BookText"/>
        <w:rPr/>
      </w:pPr>
      <w:r>
        <w:rPr>
          <w:rFonts w:ascii="Amiri" w:hAnsi="Amiri" w:eastAsia="Amiri" w:cs="Amiri"/>
          <w:color w:val="111111"/>
          <w:sz w:val="28"/>
          <w:sz w:val="28"/>
          <w:szCs w:val="28"/>
          <w:rtl w:val="true"/>
          <w:lang w:bidi="ar-SA"/>
        </w:rPr>
        <w:t>يجزئ الوضوء التجديدي عن الوضوء الرافع لو تبيّن بطلان الأوّل، على ما ذهبنا إليه من عدم اشتراط نيّة الوجه واشتراط نيّة الرفع والاستباحة؛ لأنّه وضوء وكلّ وضوءٍ رافعٌ على ما يُفهم من الأخبار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مذهب المشترطين يحتمل الصحّة مطلقاً؛ لعدم إمكان معرفة الوجه وعدم إمكان معرفة ما عليه الوضوء الأوّل من الانتقاض وعدمه كي يمكن في حقّه نيّة الرفع وعدمه واشتراط نيّة الوجه، و نيّة الرفع إنّما تلزم مع الإمكان، وبدونه تصحّ النيّة بدونهما؛ لشمول أدلّة النيّة له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البطلان؛ لعدم حصول النيّة المطلوبة شرعاً فيفسد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ما دلّ على اشتراطهما بحالة الإمكان تخصيصٌ من غير مخصِّص</w:t>
      </w:r>
      <w:r>
        <w:rPr>
          <w:rFonts w:eastAsia="Amiri" w:cs="Amiri" w:ascii="Amiri" w:hAnsi="Amiri"/>
          <w:color w:val="111111"/>
          <w:sz w:val="28"/>
          <w:szCs w:val="28"/>
          <w:rtl w:val="true"/>
          <w:lang w:bidi="ar-SA"/>
        </w:rPr>
        <w:t xml:space="preserve">. </w:t>
      </w:r>
      <w:bookmarkStart w:id="636" w:name="pg18988_203349"/>
    </w:p>
    <w:p>
      <w:pPr>
        <w:pStyle w:val="BookText"/>
        <w:rPr/>
      </w:pPr>
      <w:bookmarkEnd w:id="636"/>
      <w:r>
        <w:rPr>
          <w:rFonts w:ascii="Amiri" w:hAnsi="Amiri" w:eastAsia="Amiri" w:cs="Amiri"/>
          <w:color w:val="111111"/>
          <w:sz w:val="28"/>
          <w:sz w:val="28"/>
          <w:szCs w:val="28"/>
          <w:rtl w:val="true"/>
          <w:lang w:bidi="ar-SA"/>
        </w:rPr>
        <w:t>ويحتمل التفصيل بين ما إذا نوى إيقاع الصلاة على الوجه الأكمل فيصحّ ويجزئ عن الأوّل؛ لتضمّنه لنيّة الاستباحة في الجملة، وبين ما لم يَنْوِ ذلك فلا يصحّ ولا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التفصيل بين ما إذا نوى الاستباحة 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ينوي به تدارك ما يحتمل انتقاضه بالحدث، أو بطلانه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لحصول نيّة الوجه والرفع في الجملة، وبين ما يَنْوِ ذلك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لإيماء الأخبار إلى أنّ مشروعيّة التجديدي لتدارك الخلل الحاصل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يؤيّده إجزاء صوم يوم الشكّ ندباً عن رمضان، وما ورد من إجزاء غسل يوم الجمعة عن غسل الجنابة مع نسيانه</w:t>
      </w:r>
      <w:r>
        <w:rPr>
          <w:rStyle w:val="FootnoteAnchor"/>
          <w:rtl w:val="true"/>
        </w:rPr>
        <w:footnoteReference w:id="948"/>
      </w:r>
      <w:r>
        <w:rPr>
          <w:rFonts w:ascii="Amiri" w:hAnsi="Amiri" w:eastAsia="Amiri" w:cs="Amiri"/>
          <w:color w:val="111111"/>
          <w:sz w:val="28"/>
          <w:sz w:val="28"/>
          <w:szCs w:val="28"/>
          <w:rtl w:val="true"/>
          <w:lang w:bidi="ar-SA"/>
        </w:rPr>
        <w:t>، ومن استحباب الغسل في أوّل شهر رمضان</w:t>
      </w:r>
      <w:r>
        <w:rPr>
          <w:rStyle w:val="FootnoteAnchor"/>
          <w:rtl w:val="true"/>
        </w:rPr>
        <w:footnoteReference w:id="949"/>
      </w:r>
      <w:r>
        <w:rPr>
          <w:rFonts w:ascii="Amiri" w:hAnsi="Amiri" w:eastAsia="Amiri" w:cs="Amiri"/>
          <w:color w:val="111111"/>
          <w:sz w:val="28"/>
          <w:sz w:val="28"/>
          <w:szCs w:val="28"/>
          <w:rtl w:val="true"/>
          <w:lang w:bidi="ar-SA"/>
        </w:rPr>
        <w:t>، تلافياً لما احتمل فواته من الأغسال السابقة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3197843_1280447820"/>
      <w:bookmarkStart w:id="638" w:name="_Toc248"/>
      <w:bookmarkEnd w:id="637"/>
      <w:r>
        <w:rPr>
          <w:rtl w:val="true"/>
        </w:rPr>
        <w:t>السابع عشر</w:t>
      </w:r>
      <w:r>
        <w:rPr>
          <w:rtl w:val="true"/>
        </w:rPr>
        <w:t xml:space="preserve">: </w:t>
      </w:r>
      <w:r>
        <w:rPr>
          <w:rtl w:val="true"/>
        </w:rPr>
        <w:t>مَنْ وجب عليه العمل في الأثناء بعد أن كان مندوباً بنذرٍ وشبهه، أو كأيّام الاعتكاف لا يجب عليه تجديد النيّة على مذهبنا</w:t>
      </w:r>
      <w:r>
        <w:rPr>
          <w:rtl w:val="true"/>
        </w:rPr>
        <w:t>.</w:t>
      </w:r>
      <w:bookmarkEnd w:id="638"/>
    </w:p>
    <w:p>
      <w:pPr>
        <w:pStyle w:val="BookText"/>
        <w:rPr/>
      </w:pPr>
      <w:r>
        <w:rPr>
          <w:rFonts w:ascii="Amiri" w:hAnsi="Amiri" w:eastAsia="Amiri" w:cs="Amiri"/>
          <w:color w:val="111111"/>
          <w:sz w:val="28"/>
          <w:sz w:val="28"/>
          <w:szCs w:val="28"/>
          <w:rtl w:val="true"/>
          <w:lang w:bidi="ar-SA"/>
        </w:rPr>
        <w:t>مَنْ وجب عليه العمل في الأثناء بعد أن كان مندوباً بنذرٍ وشبهه، أو كأيّام الاعتكاف لا يجب عليه تجديد النيّة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مذهب المشترطين لنيّة الوجه احتُمل وجوبُ تجديد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لبناء النيّة على النية السابقة، والمتيقّن من إيجاب اشتراط نيّة الوجه إنّما هو في الابتداء دون الاستدامة</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3197845_1280447820"/>
      <w:bookmarkStart w:id="640" w:name="_Toc249"/>
      <w:bookmarkEnd w:id="639"/>
      <w:r>
        <w:rPr>
          <w:rtl w:val="true"/>
        </w:rPr>
        <w:t xml:space="preserve">الثامن عشر </w:t>
      </w:r>
      <w:r>
        <w:rPr>
          <w:rtl w:val="true"/>
        </w:rPr>
        <w:t xml:space="preserve">: </w:t>
      </w:r>
      <w:r>
        <w:rPr>
          <w:rtl w:val="true"/>
        </w:rPr>
        <w:t>نيّة الوجه من الصبيّ هي الندب</w:t>
      </w:r>
      <w:bookmarkEnd w:id="640"/>
    </w:p>
    <w:p>
      <w:pPr>
        <w:pStyle w:val="BookText"/>
        <w:rPr/>
      </w:pPr>
      <w:r>
        <w:rPr>
          <w:rFonts w:ascii="Amiri" w:hAnsi="Amiri" w:eastAsia="Amiri" w:cs="Amiri"/>
          <w:color w:val="111111"/>
          <w:sz w:val="28"/>
          <w:sz w:val="28"/>
          <w:szCs w:val="28"/>
          <w:rtl w:val="true"/>
          <w:lang w:bidi="ar-SA"/>
        </w:rPr>
        <w:t>نيّة الوجه من الصبيّ هي الندب؛ لكونه المخاطب به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أنّه ينوي الوجوب بمعنى اللابديّة الشرطيّة في الوضوء أو اللابديّة العباديّة في مثل هذه الصلاة، أو الوجوب المتعلّق بالمكلّفين ليتمّ له التمرين حتّى بالنيّة؛ لأنّ التمرين هو الحمل على أداء التكليف المشتمل على المشقّة، وهو لا يحصل إلّا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ذلك كافٍ فيه نفس القربة والفعل، وما عداهما لا دليل عليه من كتاب ولا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 نيّة الوجوب بمعنى اللابديّة والشرطيّة أو بمعنى الوجوب على المكلّفين شيئاً عن نيّة الوجوب بالمعنى المصطلح، ونيّة الوجوب بالمعنى المصطلح لا معنى لها حقّه، فلا يجب عليه شيء آخَر</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3197847_1280447820"/>
      <w:bookmarkStart w:id="642" w:name="_Toc250"/>
      <w:bookmarkEnd w:id="641"/>
      <w:r>
        <w:rPr>
          <w:rtl w:val="true"/>
        </w:rPr>
        <w:t xml:space="preserve">التاسع عشر </w:t>
      </w:r>
      <w:r>
        <w:rPr>
          <w:rtl w:val="true"/>
        </w:rPr>
        <w:t>:</w:t>
      </w:r>
      <w:r>
        <w:rPr>
          <w:rtl w:val="true"/>
        </w:rPr>
        <w:t>فی انّه ینوی الأجیر الوجوبَ والمتبرع الندب</w:t>
      </w:r>
      <w:bookmarkEnd w:id="64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ينوي الأجير الوجوبَ على القول بوجوب نيّة الوجه؛ لوجوب العمل في </w:t>
      </w:r>
      <w:bookmarkStart w:id="643" w:name="pg18988_203350"/>
    </w:p>
    <w:p>
      <w:pPr>
        <w:pStyle w:val="BookText"/>
        <w:rPr/>
      </w:pPr>
      <w:bookmarkEnd w:id="643"/>
      <w:r>
        <w:rPr>
          <w:rFonts w:ascii="Amiri" w:hAnsi="Amiri" w:eastAsia="Amiri" w:cs="Amiri"/>
          <w:color w:val="111111"/>
          <w:sz w:val="28"/>
          <w:sz w:val="28"/>
          <w:szCs w:val="28"/>
          <w:rtl w:val="true"/>
          <w:lang w:bidi="ar-SA"/>
        </w:rPr>
        <w:t>حقّه وإن كان المستأجر عليه مندوباً، ويتقرّب إلى الله تعالى بعمله وإن كان العمل عن غيره، ويقرّب غيره بتقرّبه بالعمل النائب عن غيره؛ للدليل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وينوي المتبرّع الندبَ وإن كان ما تبرّع به واجباً على غيره، ويتقرّب إلى الله تعالى بذلك العمل الذي عمله عن الغير، ويقرّبه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ينوي المستأجِر الوجوبَ في الفعل المندوب عن نائبه وإن كان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ينوي المتبرّع الندبَ في الفعل الواجب على المنوب عنه وإن كان واجباً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3197849_1280447820"/>
      <w:bookmarkStart w:id="645" w:name="_Toc251"/>
      <w:bookmarkEnd w:id="644"/>
      <w:r>
        <w:rPr>
          <w:rtl w:val="true"/>
        </w:rPr>
        <w:t>العشرون</w:t>
      </w:r>
      <w:r>
        <w:rPr>
          <w:rtl w:val="true"/>
        </w:rPr>
        <w:t xml:space="preserve">: </w:t>
      </w:r>
      <w:r>
        <w:rPr>
          <w:rtl w:val="true"/>
        </w:rPr>
        <w:t>نيّة الرياء والسمعة مفسِدةٌ للعمل</w:t>
      </w:r>
      <w:bookmarkEnd w:id="645"/>
    </w:p>
    <w:p>
      <w:pPr>
        <w:pStyle w:val="BookText"/>
        <w:rPr/>
      </w:pPr>
      <w:r>
        <w:rPr>
          <w:rFonts w:ascii="Amiri" w:hAnsi="Amiri" w:eastAsia="Amiri" w:cs="Amiri"/>
          <w:color w:val="111111"/>
          <w:sz w:val="28"/>
          <w:sz w:val="28"/>
          <w:szCs w:val="28"/>
          <w:rtl w:val="true"/>
          <w:lang w:bidi="ar-SA"/>
        </w:rPr>
        <w:t xml:space="preserve">نيّة الرياء ليروه الناس، والسمعة ليسمعوه مفسِدةٌ للعمل سواء نوى أصالةً أو ضميمةً ، فإن نوى الرياء بكلّ العمل فسد كلّه، وإن نوى ببعضه وكان موصولاً كالصلاة، فإن نواه بواجباته فسد أيضاً، وإن نواه بمندوباته كالقنوت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الفساد،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الفساد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موصولاً، فسد ذلك البعض وأعاده، ولم يفسد الكلّ ما لم تَفُتْ موالاة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المرتضى من صحّة العمل المرائى فيه وإن لم يكن مقبولاً ومثاباً عليه</w:t>
      </w:r>
      <w:r>
        <w:rPr>
          <w:rStyle w:val="FootnoteAnchor"/>
          <w:rtl w:val="true"/>
        </w:rPr>
        <w:footnoteReference w:id="950"/>
      </w:r>
      <w:r>
        <w:rPr>
          <w:rFonts w:ascii="Amiri" w:hAnsi="Amiri" w:eastAsia="Amiri" w:cs="Amiri"/>
          <w:color w:val="111111"/>
          <w:sz w:val="28"/>
          <w:sz w:val="28"/>
          <w:szCs w:val="28"/>
          <w:rtl w:val="true"/>
          <w:lang w:bidi="ar-SA"/>
        </w:rPr>
        <w:t>، يردّه الإجماع، والأخبار</w:t>
      </w:r>
      <w:r>
        <w:rPr>
          <w:rStyle w:val="FootnoteAnchor"/>
          <w:rtl w:val="true"/>
        </w:rPr>
        <w:footnoteReference w:id="951"/>
      </w:r>
      <w:r>
        <w:rPr>
          <w:rFonts w:ascii="Amiri" w:hAnsi="Amiri" w:eastAsia="Amiri" w:cs="Amiri"/>
          <w:color w:val="111111"/>
          <w:sz w:val="28"/>
          <w:sz w:val="28"/>
          <w:szCs w:val="28"/>
          <w:rtl w:val="true"/>
          <w:lang w:bidi="ar-SA"/>
        </w:rPr>
        <w:t>الناهية عنه، والكتاب</w:t>
      </w:r>
      <w:r>
        <w:rPr>
          <w:rStyle w:val="FootnoteAnchor"/>
          <w:rtl w:val="true"/>
        </w:rPr>
        <w:footnoteReference w:id="952"/>
      </w:r>
      <w:r>
        <w:rPr>
          <w:rFonts w:ascii="Amiri" w:hAnsi="Amiri" w:eastAsia="Amiri" w:cs="Amiri"/>
          <w:color w:val="111111"/>
          <w:sz w:val="28"/>
          <w:sz w:val="28"/>
          <w:szCs w:val="28"/>
          <w:rtl w:val="true"/>
          <w:lang w:bidi="ar-SA"/>
        </w:rPr>
        <w:t>، والسنّة الآمرة بالإخلاص</w:t>
      </w:r>
      <w:r>
        <w:rPr>
          <w:rStyle w:val="FootnoteAnchor"/>
          <w:rtl w:val="true"/>
        </w:rPr>
        <w:footnoteReference w:id="953"/>
      </w:r>
      <w:r>
        <w:rPr>
          <w:rFonts w:ascii="Amiri" w:hAnsi="Amiri" w:eastAsia="Amiri" w:cs="Amiri"/>
          <w:color w:val="111111"/>
          <w:sz w:val="28"/>
          <w:sz w:val="28"/>
          <w:szCs w:val="28"/>
          <w:rtl w:val="true"/>
          <w:lang w:bidi="ar-SA"/>
        </w:rPr>
        <w:t>، والناهية عن الإشراك في العبادة</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بديهيٌّ لا يفتقر في إثباته إلى نظرٍ و تأمّلٍ</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3197851_1280447820"/>
      <w:bookmarkStart w:id="647" w:name="_Toc252"/>
      <w:bookmarkEnd w:id="646"/>
      <w:r>
        <w:rPr>
          <w:rtl w:val="true"/>
        </w:rPr>
        <w:t>الحادي والعشرون</w:t>
      </w:r>
      <w:r>
        <w:rPr>
          <w:rtl w:val="true"/>
        </w:rPr>
        <w:t xml:space="preserve">: </w:t>
      </w:r>
      <w:r>
        <w:rPr>
          <w:rtl w:val="true"/>
        </w:rPr>
        <w:t>حکم نيّة الضمائم الراجحة للعبادة وغیر الراجحة لها</w:t>
      </w:r>
      <w:bookmarkEnd w:id="647"/>
    </w:p>
    <w:p>
      <w:pPr>
        <w:pStyle w:val="BookText"/>
        <w:rPr/>
      </w:pPr>
      <w:r>
        <w:rPr>
          <w:rFonts w:ascii="Amiri" w:hAnsi="Amiri" w:eastAsia="Amiri" w:cs="Amiri"/>
          <w:color w:val="111111"/>
          <w:sz w:val="28"/>
          <w:sz w:val="28"/>
          <w:szCs w:val="28"/>
          <w:rtl w:val="true"/>
          <w:lang w:bidi="ar-SA"/>
        </w:rPr>
        <w:t>نيّة الضمائم الراجحة للعبادة تزيدها رجحاناً، وأمّا نيّة غير الراجحة فإن كانت محرّمةً أفسدت العبادة لمكان النهي وإن كانت مباحةً فإن كانت هي الباعثة والقربة ضميمة تابعة، فسدت على الأظهر؛ لمنافاتها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المجموع سبباً لا كلّ واحد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تساويا في الباعثيّة بحيث كان كلٌّ منهما باعثاً مستقلّاً، قوي القول بالصحّة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البناء على البطلان، وإن كان الأصل في الباعثيّة هو القربة</w:t>
      </w:r>
      <w:r>
        <w:rPr>
          <w:rFonts w:eastAsia="Amiri" w:cs="Amiri" w:ascii="Amiri" w:hAnsi="Amiri"/>
          <w:color w:val="111111"/>
          <w:sz w:val="28"/>
          <w:szCs w:val="28"/>
          <w:rtl w:val="true"/>
          <w:lang w:bidi="ar-SA"/>
        </w:rPr>
        <w:t xml:space="preserve">. </w:t>
      </w:r>
      <w:bookmarkStart w:id="648" w:name="pg18988_203351"/>
    </w:p>
    <w:p>
      <w:pPr>
        <w:pStyle w:val="BookText"/>
        <w:rPr/>
      </w:pPr>
      <w:bookmarkEnd w:id="648"/>
      <w:r>
        <w:rPr>
          <w:rFonts w:ascii="Amiri" w:hAnsi="Amiri" w:eastAsia="Amiri" w:cs="Amiri"/>
          <w:color w:val="111111"/>
          <w:sz w:val="28"/>
          <w:sz w:val="28"/>
          <w:szCs w:val="28"/>
          <w:rtl w:val="true"/>
          <w:lang w:bidi="ar-SA"/>
        </w:rPr>
        <w:t>والمباح تابع ملحوظ بالعرض فلا بأس؛ لعدم منافاته الإخلاص، وجريان السيرة على فعله، كنيّة التبرّد في الماء والتسخّن به والتنظيف، والجهر بالصلاة للإيقاظ، والتطويل في الركوع والسجود لانتظار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منصوصاً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الحاجة والاستسقاء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ينوي بها التقرّب بالموصل دون الفعل للتوصّل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ترك الضمائم في غير المنصوص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أيضاً في الضميمة الراجحة جَعْلها تابعةً لا مقصودةً بالأصالة، فلو نوى في قيامه إكرام المؤمن والصلاة تبعاً، كان خلاف الاحتياط</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3197853_1280447820"/>
      <w:bookmarkStart w:id="650" w:name="_Toc253"/>
      <w:bookmarkEnd w:id="649"/>
      <w:r>
        <w:rPr>
          <w:rtl w:val="true"/>
        </w:rPr>
        <w:t>الثاني والعشرون</w:t>
      </w:r>
      <w:r>
        <w:rPr>
          <w:rtl w:val="true"/>
        </w:rPr>
        <w:t xml:space="preserve">: </w:t>
      </w:r>
      <w:r>
        <w:rPr>
          <w:rtl w:val="true"/>
        </w:rPr>
        <w:t>حکم الرياء المتأخّر عن العمل والعجب المقارن له</w:t>
      </w:r>
      <w:bookmarkEnd w:id="650"/>
    </w:p>
    <w:p>
      <w:pPr>
        <w:pStyle w:val="BookText"/>
        <w:rPr/>
      </w:pPr>
      <w:r>
        <w:rPr>
          <w:rFonts w:ascii="Amiri" w:hAnsi="Amiri" w:eastAsia="Amiri" w:cs="Amiri"/>
          <w:color w:val="111111"/>
          <w:sz w:val="28"/>
          <w:sz w:val="28"/>
          <w:szCs w:val="28"/>
          <w:rtl w:val="true"/>
          <w:lang w:bidi="ar-SA"/>
        </w:rPr>
        <w:t>الرياء المتأخّر عن العمل ليس مفسداً له؛ لاستصحاب صحّته، فإفساده يحتاج إلى الدليل، والمنهيّ عنه كتاباً وسنّةٌ هو المقارن، فلا دليل على إبطال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معرفة الناس بعمله وحبّ ظهور تقواه وتقدّسه لا ينافي العمل والقربة،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ما يدلّ على نفى البأس عنه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المقارن ألحقه بعض الأصحاب</w:t>
      </w:r>
      <w:r>
        <w:rPr>
          <w:rStyle w:val="FootnoteAnchor"/>
          <w:rtl w:val="true"/>
        </w:rPr>
        <w:footnoteReference w:id="956"/>
      </w:r>
      <w:r>
        <w:rPr>
          <w:rFonts w:ascii="Amiri" w:hAnsi="Amiri" w:eastAsia="Amiri" w:cs="Amiri"/>
          <w:color w:val="111111"/>
          <w:sz w:val="28"/>
          <w:sz w:val="28"/>
          <w:szCs w:val="28"/>
          <w:rtl w:val="true"/>
          <w:lang w:bidi="ar-SA"/>
        </w:rPr>
        <w:t>بالرياء في التحريم، وتشعر به بعض الأخبار</w:t>
      </w:r>
      <w:r>
        <w:rPr>
          <w:rStyle w:val="FootnoteAnchor"/>
          <w:rtl w:val="true"/>
        </w:rPr>
        <w:footnoteReference w:id="95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تجنّبه، وإن قوي القول بعدم إفساده، كما هو ظاهر الأصحاب، وضعف الأخبار عن إثبات الفساد</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3197855_1280447820"/>
      <w:bookmarkStart w:id="652" w:name="_Toc254"/>
      <w:bookmarkEnd w:id="651"/>
      <w:r>
        <w:rPr>
          <w:rtl w:val="true"/>
        </w:rPr>
        <w:t>الثالث والعشرون</w:t>
      </w:r>
      <w:r>
        <w:rPr>
          <w:rtl w:val="true"/>
        </w:rPr>
        <w:t xml:space="preserve">: </w:t>
      </w:r>
      <w:r>
        <w:rPr>
          <w:rtl w:val="true"/>
        </w:rPr>
        <w:t>قد تقدّم اشتراط الاستدامة الحكميّة فى النية، والظاهر أنّه لا خلاف بينهم فيها، ولكنّ الشأن في معناها</w:t>
      </w:r>
      <w:r>
        <w:rPr>
          <w:rtl w:val="true"/>
        </w:rPr>
        <w:t>.</w:t>
      </w:r>
      <w:bookmarkEnd w:id="65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اشتراط الاستدامة الحكميّة فى النية، والظاهر أنّه لا خلاف بينهم فيها، ولكنّ الشأن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إبقاء الداعي والقصد إلى الفعل على نحو ما وقع، فلا ينقضه بالعدول عنه إلى غيره إلّا فيما دلّ الدليل عليه، ولا ينقضه بالرياء بل كلّ ما ينافي الإخلاص، ولا ينوي قطعه، فيقع العمل منه مقارناً لنيّة القطع، ولا ينوي القاطع، فيقع منه العمل مصاحباً لتلك النيّة، ولا يتردّد في الأثناء في فعله وعدمه، فيقع منه العمل مقارناً للتردّد، ولا ينسَ العمل نسياناً لم يبقَ له أثر في خزانة الخيال أصلاً ورأساً، فيقع منه العمل بلا نيّةٍ، لكن على إشكالٍ في المتردّد</w:t>
      </w:r>
      <w:r>
        <w:rPr>
          <w:rFonts w:eastAsia="Amiri" w:cs="Amiri" w:ascii="Amiri" w:hAnsi="Amiri"/>
          <w:color w:val="111111"/>
          <w:sz w:val="28"/>
          <w:szCs w:val="28"/>
          <w:rtl w:val="true"/>
          <w:lang w:bidi="ar-SA"/>
        </w:rPr>
        <w:t xml:space="preserve">. </w:t>
      </w:r>
      <w:bookmarkStart w:id="653" w:name="pg18988_203352"/>
    </w:p>
    <w:p>
      <w:pPr>
        <w:pStyle w:val="BookText"/>
        <w:rPr/>
      </w:pPr>
      <w:bookmarkEnd w:id="653"/>
      <w:r>
        <w:rPr>
          <w:rFonts w:ascii="Amiri" w:hAnsi="Amiri" w:eastAsia="Amiri" w:cs="Amiri"/>
          <w:color w:val="111111"/>
          <w:sz w:val="28"/>
          <w:sz w:val="28"/>
          <w:szCs w:val="28"/>
          <w:rtl w:val="true"/>
          <w:lang w:bidi="ar-SA"/>
        </w:rPr>
        <w:t>وعلى القول بأنّ النيّة هي الإخطار الفعلي يحتمل إرادة ما ذكرناه من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لزوم عدم الذهول والغفلة عن الفعل وإن ذهب الإخطار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العسر والحرج، والتزام فساد أكثر عبادات العالم،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بقاء التذكّر الإجمالي للفعل وإن ذهب التذكّر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الضعف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تجديد العزم كلّما ذكر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خلاف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الاستمرار على استناد صدور الفعل إلى النيّة الابتدائيّة، بحيث تكون مؤثّرةً في جميع العمل الصادر إن كانت العلّة الموجدة هي العلّة المبقية، أو مؤثّرةً في إيجاد العمل ابتداءً من غير نقضٍ لها، وباقي العمل يستغني عن المؤثّر؛ بناءً على استغناء الباقي عن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جيّد، ولكنّه يؤول إلى ما قدّمناه من المعاني</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13197857_1280447820"/>
      <w:bookmarkStart w:id="655" w:name="_Toc255"/>
      <w:bookmarkEnd w:id="654"/>
      <w:r>
        <w:rPr>
          <w:rtl w:val="true"/>
        </w:rPr>
        <w:t>الرابع والعشرون</w:t>
      </w:r>
      <w:r>
        <w:rPr>
          <w:rtl w:val="true"/>
        </w:rPr>
        <w:t xml:space="preserve">: </w:t>
      </w:r>
      <w:r>
        <w:rPr>
          <w:rtl w:val="true"/>
        </w:rPr>
        <w:t>إذا اجتمعت في المنويّ جهات مندوبة وواجبة</w:t>
      </w:r>
      <w:bookmarkEnd w:id="655"/>
    </w:p>
    <w:p>
      <w:pPr>
        <w:pStyle w:val="BookText"/>
        <w:rPr/>
      </w:pPr>
      <w:r>
        <w:rPr>
          <w:rFonts w:ascii="Amiri" w:hAnsi="Amiri" w:eastAsia="Amiri" w:cs="Amiri"/>
          <w:color w:val="111111"/>
          <w:sz w:val="28"/>
          <w:sz w:val="28"/>
          <w:szCs w:val="28"/>
          <w:rtl w:val="true"/>
          <w:lang w:bidi="ar-SA"/>
        </w:rPr>
        <w:t>إذا اجتمعت في المنويّ جهات مندوبة وواجبة، جاز أن ينوي الوجوب، وجاز أن ينوي الندب، وجاز أن ينويهما معاً، وجاز أن ينوي القربة، بناءً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ما اجتمعت فيه الجهات هو الوجوب لا غير؛ لعدم إمكان اجتماع الحكمين في شخصٍ واحد، وعدم إمكان تغليب جانب الندب فيغلب جانب الوجوب، ويكون من باب أفضل أفراد الواجب المخيّر ، كالصلاة في المسجد والصلاة أوّل الوقت، أو من باب الواجب المسقط للندب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في مسألة التداخل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أظهر على القول بعدم جواز اجتماع الوجوب والندب في شخصٍ واحد لجهتين تعليليّتين أو جهتين تقييديّتين، كما اختاره الكثير من أصحابنا</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3197859_1280447820"/>
      <w:bookmarkStart w:id="657" w:name="_Toc256"/>
      <w:bookmarkEnd w:id="656"/>
      <w:r>
        <w:rPr>
          <w:rtl w:val="true"/>
        </w:rPr>
        <w:t>الخامس والعشرون</w:t>
      </w:r>
      <w:r>
        <w:rPr>
          <w:rtl w:val="true"/>
        </w:rPr>
        <w:t xml:space="preserve">: </w:t>
      </w:r>
      <w:r>
        <w:rPr>
          <w:rtl w:val="true"/>
        </w:rPr>
        <w:t>صدور أفراد الحدث من نوعٍ واحد أو صدورها من أنواع متعدّدة في أكبر أو أصغر</w:t>
      </w:r>
      <w:bookmarkEnd w:id="657"/>
    </w:p>
    <w:p>
      <w:pPr>
        <w:pStyle w:val="BookText"/>
        <w:rPr/>
      </w:pPr>
      <w:r>
        <w:rPr>
          <w:rFonts w:ascii="Amiri" w:hAnsi="Amiri" w:eastAsia="Amiri" w:cs="Amiri"/>
          <w:color w:val="111111"/>
          <w:sz w:val="28"/>
          <w:sz w:val="28"/>
          <w:szCs w:val="28"/>
          <w:rtl w:val="true"/>
          <w:lang w:bidi="ar-SA"/>
        </w:rPr>
        <w:t>صدور أفراد الحدث من نوعٍ واحد أو صدورها من أنواع متعدّدة في أكبر أو أصغر سبب في إيجاد طبيعة الحدث الأصغر في الأسباب الصغريات والأكبر في الأسباب الكبريات، وطبيعة الحدث الأصغر سبب في الطهارة الصغرى، وطبيعة الأكبر سبب في الطهارة الكبرى أو الطهارتين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والقاعدة في الأسباب الواقعيّة العقليّة عدم التداخل؛ لاحتياج كلّ سببٍ إلى مسبّبه بانفراده؛ </w:t>
      </w:r>
    </w:p>
    <w:p>
      <w:pPr>
        <w:pStyle w:val="BookText"/>
        <w:rPr/>
      </w:pPr>
      <w:r>
        <w:rPr>
          <w:rFonts w:ascii="Amiri" w:hAnsi="Amiri" w:eastAsia="Amiri" w:cs="Amiri"/>
          <w:color w:val="111111"/>
          <w:sz w:val="28"/>
          <w:sz w:val="28"/>
          <w:szCs w:val="28"/>
          <w:rtl w:val="true"/>
          <w:lang w:bidi="ar-SA"/>
        </w:rPr>
        <w:t>لا متناع اجتماع العلل المستقلّة على معلولٍ واحد خارجيّ، ومع تعدّد المسبّبات بتعدّد أسبابها يمتنع التداخل بينها عقلاً؛ لامتناع صيرورة الواحد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في الأسباب الذهنيّة التي هي المعرّفات جواز التداخل لكون المعرّف علّةً للوجود الذهني، ومعلوليّة موجودٍ واحد ذهنيّ لمعرّفاتٍ متعدّدة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في الأسباب الشرعيّة أيضاً هي جواز التداخل إذا لم يعلم أنّها أسباب واقعيّة؛ وذلك لأنّ الأسباب الشرعيّة قد تكون أسباباً واقعيّة فيمتنع فيها التداخل، وقد تكون معرّفاتٍ فلا يمتنع فيها ذلك، والأصل عدم كونها أسباباً واقعيّة عند الشكّ كي يمتنع فيها التداخل، إلّا أنّ ظواهر الخطابات الشرعيّة أثبتت هاهنا أصلاً آخَر، وهو أنّ الظاهر من الخطاب ترتّب كلّ مسبّبٍ استقلالاً على سببه، وتعدّد المسبّبات بتعدّد أسبابها؛ لأنّ تعدّد الخطاب يقضي بتعدّد الإرادة، وتعدّد الإرادة يقضي بتعدّد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الخطابات إرادة التأسيس دون التأكيد، وإذ قد أثبتت ظواهر الخطابات أصلاً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الحكم به إلّا ما أخرجه الدليل، كما أخرجٍ الدليل من إجماع وشبهه أفراد الأحداث الصغريات من نوعٍ واحد أو أنواع متعدّدة في كونها سبباً لحدثٍ واحد، وهو كلّيّ الحدث وطبيعته، وكون الحدث وطبيعته سبباً للطهارة الصغرى الرافعة أو المبيحة، فلا يتعدّد الحدث الأصغر بتعدّد أفراده، ولا تتعدّد الطهارة الصغرى بتعدّدها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أفراد الأحداث الكبريات من نوع واحد كجنابات متعدّدة أو حيض متعدّد، فإنّها توجب غسلاً واحداً؛ للدليل، وبقيت أفراد الأنواع المختلفة على القاعدة من أصالة عدم التداخل، واحتياج كلّ سبب إلى مسبّبه، ووجوب تعدّد المأمور بتعدّد الأمر، فيجب تعدّد الفعل بتعدّد ذلك النوع، وتجب النيّة في كلّ غسل لما يرفعه من النوع الخاصّ؛ لعموم أدلّة النيّة ووجوب تعيين المنويّ عند الاشتراك بين فردين؛ لأنّ المطلوب متعدّد بتعدّد سببه، واحدٌ سبُبه حدثٌ</w:t>
      </w:r>
    </w:p>
    <w:p>
      <w:pPr>
        <w:pStyle w:val="BookText"/>
        <w:rPr/>
      </w:pPr>
      <w:r>
        <w:rPr>
          <w:rFonts w:ascii="Amiri" w:hAnsi="Amiri" w:eastAsia="Amiri" w:cs="Amiri"/>
          <w:color w:val="111111"/>
          <w:sz w:val="28"/>
          <w:sz w:val="28"/>
          <w:szCs w:val="28"/>
          <w:rtl w:val="true"/>
          <w:lang w:bidi="ar-SA"/>
        </w:rPr>
        <w:t>واحد، كما بيّنا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أصالة وجوب التعدّد بين نيّة رفع جميع أنواع الحدث بذلك الغسل الواحد، وبين عدم نيّة شيء، وبين نيّة رفع حدثٍ معيّن لا بشرط، وبين نيّة رفع حدثٍ معيّن بشرط لا، وبين أن تكون الأسباب كلُّها موجبةً، وبين أن تكون كلّها مندبةً، وبين أن تكون ملفّقةً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الحكم في الأغسال الغير الرافعة من الواجبة والمندوبة؛ فإنّ الأصل فيها التعدّد بتعدّد أسبابها، سواء اجتمعت مع أغسال واجبة رافعة أو أغسال رافعة مندوبة، أو انفردت عنها، وسواء نوى الجميع، أو البعض لا بشرط، أو بشرط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الأصحاب</w:t>
      </w:r>
      <w:r>
        <w:rPr>
          <w:rStyle w:val="FootnoteAnchor"/>
          <w:rtl w:val="true"/>
        </w:rPr>
        <w:footnoteReference w:id="958"/>
      </w:r>
      <w:r>
        <w:rPr>
          <w:rFonts w:ascii="Amiri" w:hAnsi="Amiri" w:eastAsia="Amiri" w:cs="Amiri"/>
          <w:color w:val="111111"/>
          <w:sz w:val="28"/>
          <w:sz w:val="28"/>
          <w:szCs w:val="28"/>
          <w:rtl w:val="true"/>
          <w:lang w:bidi="ar-SA"/>
        </w:rPr>
        <w:t>إلى أصالة التداخل في الأسباب مطلقاً، وفي الأغسال خصوصاً واجبة أو مندوبة؛ لأصالة عدم تعدّد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المطلوب في كلّ أمرٍ إيجاد طبيعة المأمور به، وقد وجدت الطبيعة فيحصل الامتثال للكلّ، ولأنّ سبب الغسل طبيعة الحدث، فإذا تعدّدت أفراده لا يتعدّد الغسل؛ للزوم تحصيل الحاصل، ولأنّ أنواع الحدث أسباب شرعيّة، وهي معرّفات يجوز اجتماعها على مسبّبٍ واحد وهو طبيعة الحدث، ولأنّ مشروعيّة الأغسال للتنظيف وسببها القذارة، فإذا حصل رفع القذارة بمماسّة الماء بغسلٍ واحد حصل المطلوب؛ لما أشعرت به الأخبار</w:t>
      </w:r>
      <w:r>
        <w:rPr>
          <w:rStyle w:val="FootnoteAnchor"/>
          <w:rtl w:val="true"/>
        </w:rPr>
        <w:footnoteReference w:id="959"/>
      </w:r>
      <w:r>
        <w:rPr>
          <w:rFonts w:ascii="Amiri" w:hAnsi="Amiri" w:eastAsia="Amiri" w:cs="Amiri"/>
          <w:color w:val="111111"/>
          <w:sz w:val="28"/>
          <w:sz w:val="28"/>
          <w:szCs w:val="28"/>
          <w:rtl w:val="true"/>
          <w:lang w:bidi="ar-SA"/>
        </w:rPr>
        <w:t>من أنّ علّة غُسل الجنابة هي التنظيف، وعلّة غسل الجمعة هو رفع أرياح الآباط، وغير ذلك، ولأنّ الحدث نوع واحد فلا يرتفع منه شيء ويبقى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في حسنة زرارة من إجزاء غسل واحد للجنابة والجمعة وعرفة والنحر والذبح والزيارة، وإجزاء غسل واحد للمرأة عن جنابتها وإحرامها وجمعتها وغسلها من حيضها، وإذا اجتمعت الله عليك حقوق أجزاك عنها غسل واحد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رواية معتبرة مشتهرة فتوىً و نقلاً، منقولة من أُصول معتمدة، موصوفة عند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رحمۀ الله </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بالصحّة؛ لظهور عدالة إبراهيم بن هاشم من القرائن المتكثّرة المتظافرة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من التعليل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غسل واحد للجنابة وغسل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حرمتان اجتمعتا في حرمة واحدة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ولخبر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غسل ميّتاً و توضّأ ثمّ أتى أهله يجزئه غسل واحد</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الجنابة والحيض واحد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وللموثّق في الجنب والحائض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أجزأها غسل واحد </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ولكثير ممّا ورد بإجزاء غسل واحد للجنابة والحيض</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واختصاصه بالجنابة والحيض لا يقدح في إثبات تمام المطلوب؛ إذ الظاهر عدم القائل بالفصل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القول ومقتضى أدلّته أنّ ارتفاع جميع الأحداث بغسلٍ واحد قهريّ يكفي فيه مجرّد نيّة الفعل للتقرّب من غير تفاوتٍ بين نيّة رفع الجميع أو نيّة رفع البعض لا بشرط أو بشرط لا، وبين الواجب وبين غيره، وبين الرافع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هذه الأدلّة عن إثبات هذا الأصل مطلقاً؛ لضعفها عن مقاومة ظواهر الخطابات، وأصالة شغل الذمّة بظاهر الخطاب المحتاج إلى الفراغ اليقيني، وعن أخبار النيّة</w:t>
      </w:r>
      <w:r>
        <w:rPr>
          <w:rStyle w:val="FootnoteAnchor"/>
          <w:rtl w:val="true"/>
        </w:rPr>
        <w:footnoteReference w:id="968"/>
      </w:r>
      <w:r>
        <w:rPr>
          <w:rFonts w:ascii="Amiri" w:hAnsi="Amiri" w:eastAsia="Amiri" w:cs="Amiri"/>
          <w:color w:val="111111"/>
          <w:sz w:val="28"/>
          <w:sz w:val="28"/>
          <w:szCs w:val="28"/>
          <w:rtl w:val="true"/>
          <w:lang w:bidi="ar-SA"/>
        </w:rPr>
        <w:t>، الدالّة على أنّ لكلّ امرئٍ ما نواه، وعن القواعد المحكّمة القاضية بأصالة عدم إجزاء فعلٍ عن غيره، وعدم إجزاء واجبٍ عن مندوبٍ وإجزاء مندوبٍ عن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أُصولهم مقلوبة عليهم وقواعدهم مردودة إليهم بما ذكرناه من اقتضاء ظاهر الخطاب التعدّد، فلا يبقى مجال لأصلهم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تسليم دعوى أنّ سبب الغسل طبيعة الحدث في الأكبر بحيث إنّه لم تكن للخصوصيّة مدخليّة، بل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 أنّ الغسل معلول للتنظيف ورفع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استشهدوا به على ذلك لضعفه لا ينهض بالحجّيّة، ولمخالفته لفتوى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 أنّ الحدث نوع واحد لا يتبعّض؛ إذ هي أوّل المسألة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استدلّوا به من الأخبار؛ فإنّها غاية ما تدلّ على جواز الاجتماع في الجملة، ونحن </w:t>
      </w:r>
    </w:p>
    <w:p>
      <w:pPr>
        <w:pStyle w:val="BookText"/>
        <w:rPr/>
      </w:pPr>
      <w:r>
        <w:rPr>
          <w:rFonts w:ascii="Amiri" w:hAnsi="Amiri" w:eastAsia="Amiri" w:cs="Amiri"/>
          <w:color w:val="111111"/>
          <w:sz w:val="28"/>
          <w:sz w:val="28"/>
          <w:szCs w:val="28"/>
          <w:rtl w:val="true"/>
          <w:lang w:bidi="ar-SA"/>
        </w:rPr>
        <w:t>لا ننكره، ولا تدلّ على كلّيّة ما ذكروا، بل هي بالنسبة إلى تلك مجملة لا تصلح لإثبات الحكم فيها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بجواز التداخل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الأغسال إمّا واجبة أو مندوبة أو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والأخير فإمّا أن يكون معها غسل الجنابة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فالنيّة إمّا أن تتعلّق بالجميع أو البعض لا بشرط أو البعض بشرط لا، أو بالمطلق، والبعض إمّا أن يكون هو الجنابة أو غيرها، فصور المسألة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واجبةً و فيها غسل الجنابة فينوي الناوي الجنابة وغيرها بنوعه ممّا هو عليه ويداخل بنيّته في الجميع، والحكم فيها جواز التداخل وهو المتيقّن من الأخبار المتقدّمة</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والمتّفق عليه بين الأصحاب ظاهراً، والمنقول عليه الإجماع</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رفع الجنابة فقط من دون ملاحظة نيّة رفع غيرها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جملة من أصحابنا </w:t>
      </w:r>
      <w:r>
        <w:rPr>
          <w:rStyle w:val="FootnoteAnchor"/>
          <w:rtl w:val="true"/>
        </w:rPr>
        <w:footnoteReference w:id="971"/>
      </w:r>
      <w:r>
        <w:rPr>
          <w:rFonts w:ascii="Amiri" w:hAnsi="Amiri" w:eastAsia="Amiri" w:cs="Amiri"/>
          <w:color w:val="111111"/>
          <w:sz w:val="28"/>
          <w:sz w:val="28"/>
          <w:szCs w:val="28"/>
          <w:rtl w:val="true"/>
          <w:lang w:bidi="ar-SA"/>
        </w:rPr>
        <w:t>فيها بالتداخل وإجزاء غسل الجنابة عن غيره، ونقل عليه الإجماع</w:t>
      </w:r>
      <w:r>
        <w:rPr>
          <w:rStyle w:val="FootnoteAnchor"/>
          <w:rtl w:val="true"/>
        </w:rPr>
        <w:footnoteReference w:id="972"/>
      </w:r>
      <w:r>
        <w:rPr>
          <w:rFonts w:ascii="Amiri" w:hAnsi="Amiri" w:eastAsia="Amiri" w:cs="Amiri"/>
          <w:color w:val="111111"/>
          <w:sz w:val="28"/>
          <w:sz w:val="28"/>
          <w:szCs w:val="28"/>
          <w:rtl w:val="true"/>
          <w:lang w:bidi="ar-SA"/>
        </w:rPr>
        <w:t>، ودلّت عليه بعض الأخبار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يخلو من إشكال؛ لمعارضته لأصالة عدم إجزاء فعل عن غيره، ولعدم إجزاء المنويّ عن غير المنويّ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 به القائل بارتفاع غير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الحدث متّحد فرفع الأقوى يستلزم رفع الأضعف وإن منع العكس، ومن أصالة البراءة وصدق الامتثال؛ لأنّ الآتي بالمطلوب يعد ممتثلاً و إن لم يأتِ به لذلك الطلب، ومن أنّ أخبار النيّة إمّا مجملةٌ فلا يصلح بها الاستدلال على </w:t>
      </w:r>
    </w:p>
    <w:p>
      <w:pPr>
        <w:pStyle w:val="BookText"/>
        <w:rPr/>
      </w:pPr>
      <w:r>
        <w:rPr>
          <w:rFonts w:ascii="Amiri" w:hAnsi="Amiri" w:eastAsia="Amiri" w:cs="Amiri"/>
          <w:color w:val="111111"/>
          <w:sz w:val="28"/>
          <w:sz w:val="28"/>
          <w:szCs w:val="28"/>
          <w:rtl w:val="true"/>
          <w:lang w:bidi="ar-SA"/>
        </w:rPr>
        <w:t xml:space="preserve">وجوب نيّة الجميع، أو ظاهرةٌ في قصد التقّرب و الإخلاص، أو مطلقةٌ في لزوم قصد الفعل ومع الإتيان به يحصل الامتثال؛ لعدم دخول قصد الخصوصيّة فيها، أو أنّ الخصوصيّة مقصودة ضمناً في نيّة رفع حدث الجنابة، ولا دليل على لزوم القصد الصريح لا من الأخبار ولا من العرف واللغة؛ و من أنّ ما دلّ على لزوم التعيين في أخبار النيّة مخصَّصٌ بأخبار التداخل، وتخصيص أخبار التداخل بأخبار النيّة وحملها على ما إذا نوى الجميع وإن كان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الأدلّة بينها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 أرجح؛ للإجماع المنقول، ولظهور بعض الأخبار أجزا في الإجزاء مع عدم نيّة الجميع، كمرسلة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عنه ذلك الغسل عن كلّ غسل يلزمه ذلك اليوم</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والآخر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غسل يومك لليلتك، وغسل ليلتك ليومك</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وظاهر الأخير كغيره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بالغسل المعيّن عن كلّ غسلٍ حتّى ما تجدّد سببه بعد وقوعه، حتّى أنّ بعضهم</w:t>
      </w:r>
      <w:r>
        <w:rPr>
          <w:rStyle w:val="FootnoteAnchor"/>
          <w:rtl w:val="true"/>
        </w:rPr>
        <w:footnoteReference w:id="978"/>
      </w:r>
      <w:r>
        <w:rPr>
          <w:rFonts w:ascii="Amiri" w:hAnsi="Amiri" w:eastAsia="Amiri" w:cs="Amiri"/>
          <w:color w:val="111111"/>
          <w:sz w:val="28"/>
          <w:sz w:val="28"/>
          <w:szCs w:val="28"/>
          <w:rtl w:val="true"/>
          <w:lang w:bidi="ar-SA"/>
        </w:rPr>
        <w:t>أفتى بذلك، ولكنّا حيث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الإجماعَ ظاهراً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اقتصرنا على المتيقّن ممّا تقدّم سببه، هذا إن جعلنا المراد من الليلة واليوم اللاحقين، وإن جعلناهما السابقين كان شاهداً لنا ولا إشكال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979"/>
      </w:r>
      <w:r>
        <w:rPr>
          <w:rFonts w:ascii="Amiri" w:hAnsi="Amiri" w:eastAsia="Amiri" w:cs="Amiri"/>
          <w:color w:val="111111"/>
          <w:sz w:val="28"/>
          <w:sz w:val="28"/>
          <w:szCs w:val="28"/>
          <w:rtl w:val="true"/>
          <w:lang w:bidi="ar-SA"/>
        </w:rPr>
        <w:t>لا نرتضيه، مبنىّ على أُصول لا نقول بها، سيّما دعوى تخصيص أخبار النيّة بأخبار التداخل فإنّها ممنوعة؛ لعدم قابلية أخبار التداخل لتخصيص أخبارها المشتهرة المتكثّرة الموافقة للمشهور، مع أنّ أخبار التداخل ليست صريحةً بعدم نيّة الجميع كي تعارض أخبار النيّة والإجماع ممنوع؛ لمعارضته بفتوى الفحول بخلافه، فالأظهر عدم الإجزاء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الجنابة فقط نافياً لنيّة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أيضاً هاهنا عدم الإجزاء؛ للأصل، ولأخبار النيّة الموجبة للتعيين في العمل، والدالّة بمفهومها على أنّ ما لم ينوَ لم يحتسب، وأنّ المنفي بالنيّة ينتفى، كما أنّ الموجد بها يوجد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شمول إطلاق الأخبار التداخل لها وحصول الامتثال بوقوع الفعل مطلقاً ووقوع المنفي قهراً؛ لأنّ الناوي إذا علم إجزاء غسل الجنابة عن غيره لم يكن قصد نفي غيره قصداً </w:t>
      </w:r>
    </w:p>
    <w:p>
      <w:pPr>
        <w:pStyle w:val="BookText"/>
        <w:rPr/>
      </w:pPr>
      <w:r>
        <w:rPr>
          <w:rFonts w:ascii="Amiri" w:hAnsi="Amiri" w:eastAsia="Amiri" w:cs="Amiri"/>
          <w:color w:val="111111"/>
          <w:sz w:val="28"/>
          <w:sz w:val="28"/>
          <w:szCs w:val="28"/>
          <w:rtl w:val="true"/>
          <w:lang w:bidi="ar-SA"/>
        </w:rPr>
        <w:t>حقيقيّاً، ولأنّ تخصيص أخبار النيّة بإطلاق أخبار التداخل أولى من تخصيص أخبار التداخل بأخبار النيّة، لاعتضاد أخبار التداخل بإطلاق الإجماع المنقول، ولأنّ أخبار التداخل إنّما تدلّ على سقوط غير الجنابة بنيّة الجنابة تعبّداً، لا لحصول الامتثال كي تعارض أخبار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ذُكر لا يعارض أدلّة النيّة المشتهرة المتكرّرة، وفتوى المشهور بعدم الإجزاء، وبأنّ أخبار النيّة كما تدلّ على توقّف الامتثال على نيّة الجميع، كذلك تدلّ على عدم سقوط غير المنويّ بالمنويّ، وعدم إجزاء المنويّ عن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حصول التداخل بنيّة الجميع يكون معنى التداخل الاجتزاء عن المأمور به في سقوط العقاب وترتّب الثواب وامتثال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بحصوله بنيّة الجنابة مطلقاً يحتمل الاجتزاء به بهذا المعنى؛ لحصول القصد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الاجتزاء به بمعنى سقوط الخطاب وعدم ترتّب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بحصوله مع نيّة نفي غيره فالأظهر الاجتزاء به بالمعنى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غُسلاً مّا مع وجود الجنابة وغيرها من دون ملاحظة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فساد الغسل؛ لعدم تعيين المنويّ المتعدّد النوع ونيّة المطلق والمشترك غير صحيحة، كما تدلّ عليها أخبار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إلى الصحّة والإجزاء عن الجميع لحصول الامتثال</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مع وجود الجنابة وغيرها غسلاً لرفع الحدث المطلق، أو لرفع حدثٍ مّا، أو لاستباحة مشروطٍ بالغسل لو كان عليه أغسال متعدّدة رافعة أو مبيحة، فإنّ غسله يقع فاسداً، إلّا إذا آلت نيّة رفع الحدث المطلق إلى نيّة رفع طبيعة الحدث المنحلّة إلى رفع كلّ حدث أو إلى نيّة رفع خصوصية الجنابة؛ لعدم اجتماع غيرها من الروافع معها، فالأقوى الصحّة حينئذٍ</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هاهنا إلى الصحّة</w:t>
      </w:r>
      <w:r>
        <w:rPr>
          <w:rStyle w:val="FootnoteAnchor"/>
          <w:rtl w:val="true"/>
        </w:rPr>
        <w:footnoteReference w:id="981"/>
      </w:r>
      <w:r>
        <w:rPr>
          <w:rFonts w:ascii="Amiri" w:hAnsi="Amiri" w:eastAsia="Amiri" w:cs="Amiri"/>
          <w:color w:val="111111"/>
          <w:sz w:val="28"/>
          <w:sz w:val="28"/>
          <w:szCs w:val="28"/>
          <w:rtl w:val="true"/>
          <w:lang w:bidi="ar-SA"/>
        </w:rPr>
        <w:t xml:space="preserve">لإطلاق أخبار التداخل والحصول الامتثال بنيّة الاستباحة أو الرفع في الجملة، ونقل عليه ظاهر الوفاق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 ضعيف يظهر وجهه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غير الجنابة مع تحقّقها وتحقّق غيرها بشرط عدم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هاهنا الإجزاء عمّا نواه دون الجنابة، ويجب له الوضوء حينئذٍ؛ بناءً على وجوب الوضوء لكلّ غسلٍ ما عدا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الاجتزاء به عمّا لم ينوه من الجنابة أو غيرها؛ لأصالة البراءة، وحصول الامتثال، وإطلاق بعض أخبار التداخل، تبيّن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غير الجنابة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الاجتزاء به عن الجنابة؛ لأصالة عدم الإجزاء، وللمفهوم من أخبار النيّة أنّ لكلّ امرئ ما نوى، ولفتوى عمدة الأصحاب، ولضعف شمول أخبار التداخل لما خلا عن غسل الجنابة، ولأنّ غير الجنابة أضعف؛ لاحتياجه إلى الغسل والوضوء، وغسل الجنابة أقوى؛ لرفعه الحدثين من غير وضوء، ورفع الأضعف لا يستلزم رفع الأقوى؛ ولاستصحاب حدث الجنابة إلى أن يعلم المزيل، ولأنّ 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بإجزائه عن الجنابة وغيرها ممّا لم ينوهِ</w:t>
      </w:r>
      <w:r>
        <w:rPr>
          <w:rStyle w:val="FootnoteAnchor"/>
          <w:rtl w:val="true"/>
        </w:rPr>
        <w:footnoteReference w:id="983"/>
      </w:r>
      <w:r>
        <w:rPr>
          <w:rFonts w:ascii="Amiri" w:hAnsi="Amiri" w:eastAsia="Amiri" w:cs="Amiri"/>
          <w:color w:val="111111"/>
          <w:sz w:val="28"/>
          <w:sz w:val="28"/>
          <w:szCs w:val="28"/>
          <w:rtl w:val="true"/>
          <w:lang w:bidi="ar-SA"/>
        </w:rPr>
        <w:t>للأصل، وحصول الامتثال لأوامر الغسل بإيجاد طبيعته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984"/>
      </w:r>
      <w:r>
        <w:rPr>
          <w:rFonts w:ascii="Amiri" w:hAnsi="Amiri" w:eastAsia="Amiri" w:cs="Amiri"/>
          <w:color w:val="111111"/>
          <w:sz w:val="28"/>
          <w:sz w:val="28"/>
          <w:szCs w:val="28"/>
          <w:rtl w:val="true"/>
          <w:lang w:bidi="ar-SA"/>
        </w:rPr>
        <w:t>وقد حصل، فلا يشترط نيّة كونه للجنابة، ولأنّ الحدث معنى واحد فقَصْد رفع بعضها يوجب قَصْد رفع المشترك فيرتفع الكلّ، ولمنع ضعف غير الجنابة سيّما الحيض؛ لما يُفهم من بعض الأخبار أنّه أعظم منها</w:t>
      </w:r>
      <w:r>
        <w:rPr>
          <w:rStyle w:val="FootnoteAnchor"/>
          <w:rtl w:val="true"/>
        </w:rPr>
        <w:footnoteReference w:id="985"/>
      </w:r>
      <w:r>
        <w:rPr>
          <w:rFonts w:ascii="Amiri" w:hAnsi="Amiri" w:eastAsia="Amiri" w:cs="Amiri"/>
          <w:color w:val="111111"/>
          <w:sz w:val="28"/>
          <w:sz w:val="28"/>
          <w:szCs w:val="28"/>
          <w:rtl w:val="true"/>
          <w:lang w:bidi="ar-SA"/>
        </w:rPr>
        <w:t>، واحتياجه إلى الغسل والوضوء له لا يدلّ على ضعفه؛ إذ لعلّه لزيادة قوّته احتاج للأمرين معاً، على أنّ الدليل لا يفيد قوّة الجنابة وإنّما يفيد قوّة رافعها، والتلازم بين القوّتين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يظهر ضعفه ممّا قدّمنا من الأخبار وكلام الأخيار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كلّ موضع يجتمع فيه غسل الجنابة مع غيره أو يسقط بفعله غيره فالظاهر عدم احتياجه للوضوء؛ لعدم الاحتياج للوضوء في غسل الجنابة، وكونه رافعاً للأصغر فلا يفتقر إلى وضوء آخَر رافعٍ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يخصَّص ما جاء من أنّ كلّ غسل معه وضوء</w:t>
      </w:r>
      <w:r>
        <w:rPr>
          <w:rStyle w:val="FootnoteAnchor"/>
          <w:rtl w:val="true"/>
        </w:rPr>
        <w:footnoteReference w:id="986"/>
      </w:r>
      <w:r>
        <w:rPr>
          <w:rFonts w:ascii="Amiri" w:hAnsi="Amiri" w:eastAsia="Amiri" w:cs="Amiri"/>
          <w:color w:val="111111"/>
          <w:sz w:val="28"/>
          <w:sz w:val="28"/>
          <w:szCs w:val="28"/>
          <w:rtl w:val="true"/>
          <w:lang w:bidi="ar-SA"/>
        </w:rPr>
        <w:t>، فيصدق أنّه غسل لغير الجنابة، كما يصدق أنّه غسل لها فلا ترجيح، ويبقى عموم الأمر بالوضوء، لأنّا نفهم ممّا دلّ على عدم الوضوء مع الجنابة</w:t>
      </w:r>
      <w:r>
        <w:rPr>
          <w:rStyle w:val="FootnoteAnchor"/>
          <w:rtl w:val="true"/>
        </w:rPr>
        <w:footnoteReference w:id="987"/>
      </w:r>
      <w:r>
        <w:rPr>
          <w:rFonts w:ascii="Amiri" w:hAnsi="Amiri" w:eastAsia="Amiri" w:cs="Amiri"/>
          <w:color w:val="111111"/>
          <w:sz w:val="28"/>
          <w:sz w:val="28"/>
          <w:szCs w:val="28"/>
          <w:rtl w:val="true"/>
          <w:lang w:bidi="ar-SA"/>
        </w:rPr>
        <w:t>أنّه لمكان رفعه للأصغر، وممّا دلّ على وجوبه لغيره</w:t>
      </w:r>
      <w:r>
        <w:rPr>
          <w:rStyle w:val="FootnoteAnchor"/>
          <w:rtl w:val="true"/>
        </w:rPr>
        <w:footnoteReference w:id="988"/>
      </w:r>
      <w:r>
        <w:rPr>
          <w:rFonts w:ascii="Amiri" w:hAnsi="Amiri" w:eastAsia="Amiri" w:cs="Amiri"/>
          <w:color w:val="111111"/>
          <w:sz w:val="28"/>
          <w:sz w:val="28"/>
          <w:szCs w:val="28"/>
          <w:rtl w:val="true"/>
          <w:lang w:bidi="ar-SA"/>
        </w:rPr>
        <w:t>أنّه لمكان عدم رفعه له، فإذا اجتمعا وحصل الرفع لا حاجة إلى رافع آخَر؛ للزوم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الأصغر بين المستقلّ وبين المنضمّ للأكبر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يوجد فيها الجنابة وكلّها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صحّة التداخل مع نيّة الجميع؛ استناداً لما دلّ على جواز التداخل</w:t>
      </w:r>
      <w:r>
        <w:rPr>
          <w:rStyle w:val="FootnoteAnchor"/>
          <w:rtl w:val="true"/>
        </w:rPr>
        <w:footnoteReference w:id="989"/>
      </w:r>
      <w:r>
        <w:rPr>
          <w:rFonts w:ascii="Amiri" w:hAnsi="Amiri" w:eastAsia="Amiri" w:cs="Amiri"/>
          <w:color w:val="111111"/>
          <w:sz w:val="28"/>
          <w:sz w:val="28"/>
          <w:szCs w:val="28"/>
          <w:rtl w:val="true"/>
          <w:lang w:bidi="ar-SA"/>
        </w:rPr>
        <w:t>من عموم أو إطلاق، مع سلامته عن معارضة أخبار النيّة</w:t>
      </w:r>
      <w:r>
        <w:rPr>
          <w:rStyle w:val="FootnoteAnchor"/>
          <w:rtl w:val="true"/>
        </w:rPr>
        <w:footnoteReference w:id="990"/>
      </w:r>
      <w:r>
        <w:rPr>
          <w:rFonts w:ascii="Amiri" w:hAnsi="Amiri" w:eastAsia="Amiri" w:cs="Amiri"/>
          <w:color w:val="111111"/>
          <w:sz w:val="28"/>
          <w:sz w:val="28"/>
          <w:szCs w:val="28"/>
          <w:rtl w:val="true"/>
          <w:lang w:bidi="ar-SA"/>
        </w:rPr>
        <w:t>لأنّ المفروض نيّة الجميع، وعدم صحّته لو نوى المطلق أو أحد الأحداث أو حدثاً معيّناً لا بشرط أو معيّناً بشرط لا، أو نوى القربة المطلقة في الفعل؛ للأصل، وللشكّ في حصول الامتثال ولأخبار النيّة</w:t>
      </w:r>
      <w:r>
        <w:rPr>
          <w:rStyle w:val="FootnoteAnchor"/>
          <w:rtl w:val="true"/>
        </w:rPr>
        <w:footnoteReference w:id="991"/>
      </w:r>
      <w:r>
        <w:rPr>
          <w:rFonts w:ascii="Amiri" w:hAnsi="Amiri" w:eastAsia="Amiri" w:cs="Amiri"/>
          <w:color w:val="111111"/>
          <w:sz w:val="28"/>
          <w:sz w:val="28"/>
          <w:szCs w:val="28"/>
          <w:rtl w:val="true"/>
          <w:lang w:bidi="ar-SA"/>
        </w:rPr>
        <w:t>، وللاحتياط، ولاستصحاب بقاء الحدث إلى يقين الفراغ، ولفتوى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بالإجزاء في جميع الصور</w:t>
      </w:r>
      <w:r>
        <w:rPr>
          <w:rStyle w:val="FootnoteAnchor"/>
          <w:rtl w:val="true"/>
        </w:rPr>
        <w:footnoteReference w:id="992"/>
      </w:r>
      <w:r>
        <w:rPr>
          <w:rFonts w:ascii="Amiri" w:hAnsi="Amiri" w:eastAsia="Amiri" w:cs="Amiri"/>
          <w:color w:val="111111"/>
          <w:sz w:val="28"/>
          <w:sz w:val="28"/>
          <w:szCs w:val="28"/>
          <w:rtl w:val="true"/>
          <w:lang w:bidi="ar-SA"/>
        </w:rPr>
        <w:t>لأصالة البراءة، وحصول الامتثال، وإطلاق الأخبار بالنسبة إلى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لا يُلتفت إليه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نيّة الاستباحة أو رفع الحدث فيحصل التداخل، وبين عدمه ونيّة قصد الفعل مطلقاً للتقرّب فلا يحصل وجهٌ، ولكنّه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المعيّن ارتفع ما نواه وبقي الباقي؛ لعموم الأدلّة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استحالة ارتفاع حدثٍ دون آخَر ممنوعة؛ قضاءً لحقّ الأدلّة الدالّة على حصول كلّ مسبّب بعد سببه ولا سببه، ولأنّ أحداثها أنواع متغايرة فيصحّ رفع شيء منها دون الآخَر، كدعوى أن نيّة الجميع ولزوم التداخل عزيمة لا رخصة كي يصحّ فيها نيّة رفع البعض دون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جميع الأغسال مندوبةً ليس فيها جنابة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تداخلها مع نيّة الجميع رخصةً لا عزيمة؛ لظاهر أخبار التداخل</w:t>
      </w:r>
      <w:r>
        <w:rPr>
          <w:rStyle w:val="FootnoteAnchor"/>
          <w:rtl w:val="true"/>
        </w:rPr>
        <w:footnoteReference w:id="993"/>
      </w:r>
      <w:r>
        <w:rPr>
          <w:rFonts w:ascii="Amiri" w:hAnsi="Amiri" w:eastAsia="Amiri" w:cs="Amiri"/>
          <w:color w:val="111111"/>
          <w:sz w:val="28"/>
          <w:sz w:val="28"/>
          <w:szCs w:val="28"/>
          <w:rtl w:val="true"/>
          <w:lang w:bidi="ar-SA"/>
        </w:rPr>
        <w:t>من دون معارض لها من أخبار النيّة الدالّة على أنّ لكلّ امرئ ما نوى</w:t>
      </w:r>
      <w:r>
        <w:rPr>
          <w:rStyle w:val="FootnoteAnchor"/>
          <w:rtl w:val="true"/>
        </w:rPr>
        <w:footnoteReference w:id="994"/>
      </w:r>
      <w:r>
        <w:rPr>
          <w:rFonts w:ascii="Amiri" w:hAnsi="Amiri" w:eastAsia="Amiri" w:cs="Amiri"/>
          <w:color w:val="111111"/>
          <w:sz w:val="28"/>
          <w:sz w:val="28"/>
          <w:szCs w:val="28"/>
          <w:rtl w:val="true"/>
          <w:lang w:bidi="ar-SA"/>
        </w:rPr>
        <w:t>، وعدم صحّة تداخلها لو نوى واحداً بعينه لا بشرط أو بشرط لا أو واحداً مطلقاً أو غُسلاً مّا؛ للشكّ في شمول أخبار التداخل لهذه الصور، ولدلالة أخبار النيّة على منعها، ولأصالة عدم الإجزاء، ولاستصحاب بقاء الحكم الندبي حتّى يحصل اليقين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واحداً بعينه، أجزاً عن ذلك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استباحة غاية ذلك الواحد بين أن يجامع الحدث الأصغر أو لا يجامع، وبين أن يتعقبّه حدث أصغر أم لا ما لم يتعقبّه فاصلة طويلة بينه وبين غايته بحيث يخرج بها عن اسم كونه له كأن يغتسل للزيارة أو الطواف أو الحاجة قبل شهر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جواز التداخل في الغايات مع نيّتها في صورة اجتماعها قبل الغسل، فلو اغتسل لغايةٍ ثمّ تجدّدت أُخرى لم يجز لها الغسل الأوّل ولو نواها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بعض الأخبار لزوم تجديد الغسل للطواف إذا تخلّل النوم بينه وبينه </w:t>
      </w:r>
      <w:r>
        <w:rPr>
          <w:rStyle w:val="FootnoteAnchor"/>
          <w:rtl w:val="true"/>
        </w:rPr>
        <w:footnoteReference w:id="995"/>
      </w:r>
      <w:r>
        <w:rPr>
          <w:rFonts w:ascii="Amiri" w:hAnsi="Amiri" w:eastAsia="Amiri" w:cs="Amiri"/>
          <w:color w:val="111111"/>
          <w:sz w:val="28"/>
          <w:sz w:val="28"/>
          <w:szCs w:val="28"/>
          <w:rtl w:val="true"/>
          <w:lang w:bidi="ar-SA"/>
        </w:rPr>
        <w:t>، وكذا غسل الإحرام</w:t>
      </w:r>
      <w:r>
        <w:rPr>
          <w:rStyle w:val="FootnoteAnchor"/>
          <w:rtl w:val="true"/>
        </w:rPr>
        <w:footnoteReference w:id="996"/>
      </w:r>
      <w:r>
        <w:rPr>
          <w:rFonts w:ascii="Amiri" w:hAnsi="Amiri" w:eastAsia="Amiri" w:cs="Amiri"/>
          <w:color w:val="111111"/>
          <w:sz w:val="28"/>
          <w:sz w:val="28"/>
          <w:szCs w:val="28"/>
          <w:rtl w:val="true"/>
          <w:lang w:bidi="ar-SA"/>
        </w:rPr>
        <w:t>، وغسل دخول مكّة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الأفضليّة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w:t>
      </w:r>
      <w:r>
        <w:rPr>
          <w:rStyle w:val="FootnoteAnchor"/>
          <w:rtl w:val="true"/>
        </w:rPr>
        <w:footnoteReference w:id="998"/>
      </w:r>
      <w:r>
        <w:rPr>
          <w:rFonts w:ascii="Amiri" w:hAnsi="Amiri" w:eastAsia="Amiri" w:cs="Amiri"/>
          <w:color w:val="111111"/>
          <w:sz w:val="28"/>
          <w:sz w:val="28"/>
          <w:szCs w:val="28"/>
          <w:rtl w:val="true"/>
          <w:lang w:bidi="ar-SA"/>
        </w:rPr>
        <w:t>إلى صحّة التداخل هاهنا بجميع الأقسام المتقدّمة؛ لحصول الامتثال وصدق الإتيان بالمأمور به وأصالة البراءة، ولأنّ مشروعيّة الغسل لأجل التنظيف ورفع القذارة، وهي تحصل بقصد الفعل على أيّ نحوٍ وقع، إلّا أنّ القربة لا بدّ منها في حصول الامتثال فيبقى الباقي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وتسرّى بعضهم</w:t>
      </w:r>
      <w:r>
        <w:rPr>
          <w:rStyle w:val="FootnoteAnchor"/>
          <w:rtl w:val="true"/>
        </w:rPr>
        <w:footnoteReference w:id="999"/>
      </w:r>
      <w:r>
        <w:rPr>
          <w:rFonts w:ascii="Amiri" w:hAnsi="Amiri" w:eastAsia="Amiri" w:cs="Amiri"/>
          <w:color w:val="111111"/>
          <w:sz w:val="28"/>
          <w:sz w:val="28"/>
          <w:szCs w:val="28"/>
          <w:rtl w:val="true"/>
          <w:lang w:bidi="ar-SA"/>
        </w:rPr>
        <w:t>إلى صحّة التداخل في الغايات المتجدّدة؛ لحصول التنظيف،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غسل يومك لليلتك، وليلتك ليومك</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كما ترى ضعيف مبنيّ على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الأغسال مختلفةً وفيها الجنابة وغيرها وينوي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الأقوى جواز التداخل رخصةً لا عزيمة، أمّا مع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المنقول</w:t>
      </w:r>
      <w:r>
        <w:rPr>
          <w:rStyle w:val="FootnoteAnchor"/>
          <w:rtl w:val="true"/>
        </w:rPr>
        <w:footnoteReference w:id="1001"/>
      </w:r>
      <w:r>
        <w:rPr>
          <w:rFonts w:ascii="Amiri" w:hAnsi="Amiri" w:eastAsia="Amiri" w:cs="Amiri"/>
          <w:color w:val="111111"/>
          <w:sz w:val="28"/>
          <w:sz w:val="28"/>
          <w:szCs w:val="28"/>
          <w:rtl w:val="true"/>
          <w:lang w:bidi="ar-SA"/>
        </w:rPr>
        <w:t>، والأخبار المتقدّمة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أخبار التداخل الشامل لذلك من غير معارض حتّى أخبار النيّة؛ لأنّ المفروض تحقّق نيّة الجميع، وإشكال لزوم اجتماع الواجب والمندوب في واحد شخصي تقدّم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مختلفةً وينوي الواجب غير الجنابة بشرط لا أو لا بشرط، فالأقوى عدم إجزائه عن غيره من واجب ومندوبٍ، ويجزئ عن نفسه ويبقى غيره؛ لما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بالاجتزاء مطلقاً ضعيف، وقد تبيّن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إلى وضوء على المختار من احتياج كلّ غسل إلى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مختلفةً وينوي المندوب بعينه بشرط لا أو لا بشرط، سواء كان معها جنابة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الإجزاء عن غير ما نواه؛ لما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بعضهم الإجزاء</w:t>
      </w:r>
      <w:r>
        <w:rPr>
          <w:rStyle w:val="FootnoteAnchor"/>
          <w:rtl w:val="true"/>
        </w:rPr>
        <w:footnoteReference w:id="1003"/>
      </w:r>
      <w:r>
        <w:rPr>
          <w:rFonts w:ascii="Amiri" w:hAnsi="Amiri" w:eastAsia="Amiri" w:cs="Amiri"/>
          <w:color w:val="111111"/>
          <w:sz w:val="28"/>
          <w:sz w:val="28"/>
          <w:szCs w:val="28"/>
          <w:rtl w:val="true"/>
          <w:lang w:bidi="ar-SA"/>
        </w:rPr>
        <w:t>لحصول الامتثال وعدم مدخليّة النيّة فيه، ولحصول التنظيف المطلوب في أوامر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بعضهم</w:t>
      </w:r>
      <w:r>
        <w:rPr>
          <w:rStyle w:val="FootnoteAnchor"/>
          <w:rtl w:val="true"/>
        </w:rPr>
        <w:footnoteReference w:id="1004"/>
      </w:r>
      <w:r>
        <w:rPr>
          <w:rFonts w:ascii="Amiri" w:hAnsi="Amiri" w:eastAsia="Amiri" w:cs="Amiri"/>
          <w:color w:val="111111"/>
          <w:sz w:val="28"/>
          <w:sz w:val="28"/>
          <w:szCs w:val="28"/>
          <w:rtl w:val="true"/>
          <w:lang w:bidi="ar-SA"/>
        </w:rPr>
        <w:t>على إجزاء المندوب عن الواجب بالخبر الوارد في إجزاء غسل الجمعة عمّن نسي غسل الجنابة في شهر رمضان</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658" w:name="pg18988_203363"/>
    </w:p>
    <w:p>
      <w:pPr>
        <w:pStyle w:val="BookText"/>
        <w:rPr/>
      </w:pPr>
      <w:bookmarkEnd w:id="658"/>
      <w:r>
        <w:rPr>
          <w:rFonts w:ascii="Amiri" w:hAnsi="Amiri" w:eastAsia="Amiri" w:cs="Amiri"/>
          <w:color w:val="111111"/>
          <w:sz w:val="28"/>
          <w:sz w:val="28"/>
          <w:szCs w:val="28"/>
          <w:rtl w:val="true"/>
          <w:lang w:bidi="ar-SA"/>
        </w:rPr>
        <w:t>والخبر ضعيف لا يصلح لأن يستدلّ به على إثبات المطلوب، ولئن صلح لذلك فلا بدّ من لزوم الاقتصار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أن لا يجتزئ المغتسِل بنيّة المندوب عن نفسه إذا كان عليه غسل رافع؛ لبُعْد ترتّب أثر المندوب مع بقاء الحدث الأكبر، بل الأحوط ضمّ الوضوء إليه في استباحة ما شرّع له؛ لشبهة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معه وضوء إلّا الجنابة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وإن كان الظاهر من الفتوى والنصّ لزوم الوضوء للمشروط به كالصلاة ونحوها لا لغايته، لكنّ الاحتياط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مختلفةً وينوي المطلق من الغسل مع ضمّ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الغسل من أصله؛ لعدم التعيين في النيّة للمنويّ، وكذا لو نوى المردّد؛ لحصول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مختلفةً وفيها الجنابة فينوي رفع الجنابة بالخصوص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الجنابة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بحصول التداخل هاهنا وارتفاع الكلّ</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بعضهم</w:t>
      </w:r>
      <w:r>
        <w:rPr>
          <w:rStyle w:val="FootnoteAnchor"/>
          <w:rtl w:val="true"/>
        </w:rPr>
        <w:footnoteReference w:id="1008"/>
      </w:r>
      <w:r>
        <w:rPr>
          <w:rFonts w:ascii="Amiri" w:hAnsi="Amiri" w:eastAsia="Amiri" w:cs="Amiri"/>
          <w:color w:val="111111"/>
          <w:sz w:val="28"/>
          <w:sz w:val="28"/>
          <w:szCs w:val="28"/>
          <w:rtl w:val="true"/>
          <w:lang w:bidi="ar-SA"/>
        </w:rPr>
        <w:t>الإجماع على ذلك، و نُسب للمشهور</w:t>
      </w:r>
      <w:r>
        <w:rPr>
          <w:rStyle w:val="FootnoteAnchor"/>
          <w:rtl w:val="true"/>
        </w:rPr>
        <w:footnoteReference w:id="1009"/>
      </w:r>
      <w:r>
        <w:rPr>
          <w:rFonts w:ascii="Amiri" w:hAnsi="Amiri" w:eastAsia="Amiri" w:cs="Amiri"/>
          <w:color w:val="111111"/>
          <w:sz w:val="28"/>
          <w:sz w:val="28"/>
          <w:szCs w:val="28"/>
          <w:rtl w:val="true"/>
          <w:lang w:bidi="ar-SA"/>
        </w:rPr>
        <w:t>، واستدلّ عليه 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مختلفةً وينوي الجنابة بشرط عدم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أظهر في عدم الاجتزاء به وعدم جواز التداخل فيه، غير أنّه يرتفع ما نواه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بحصول التداخل فيه قهراً</w:t>
      </w:r>
      <w:r>
        <w:rPr>
          <w:rStyle w:val="FootnoteAnchor"/>
          <w:rtl w:val="true"/>
        </w:rPr>
        <w:footnoteReference w:id="1010"/>
      </w:r>
      <w:r>
        <w:rPr>
          <w:rFonts w:ascii="Amiri" w:hAnsi="Amiri" w:eastAsia="Amiri" w:cs="Amiri"/>
          <w:color w:val="111111"/>
          <w:sz w:val="28"/>
          <w:sz w:val="28"/>
          <w:szCs w:val="28"/>
          <w:rtl w:val="true"/>
          <w:lang w:bidi="ar-SA"/>
        </w:rPr>
        <w:t>؛ استناداً إلى ما قدّمنا، وفيه ما قدّمنا</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3197861_1280447820"/>
      <w:bookmarkStart w:id="660" w:name="_Toc257"/>
      <w:bookmarkEnd w:id="659"/>
      <w:r>
        <w:rPr>
          <w:rtl w:val="true"/>
        </w:rPr>
        <w:t xml:space="preserve">الثاني </w:t>
      </w:r>
      <w:r>
        <w:rPr>
          <w:rtl w:val="true"/>
        </w:rPr>
        <w:t xml:space="preserve">- </w:t>
      </w:r>
      <w:r>
        <w:rPr>
          <w:rtl w:val="true"/>
        </w:rPr>
        <w:t xml:space="preserve">من فروض الوضوء </w:t>
      </w:r>
      <w:r>
        <w:rPr>
          <w:rtl w:val="true"/>
        </w:rPr>
        <w:t xml:space="preserve">- : </w:t>
      </w:r>
      <w:r>
        <w:rPr>
          <w:rtl w:val="true"/>
        </w:rPr>
        <w:t>غسْل الوجه</w:t>
      </w:r>
      <w:bookmarkEnd w:id="660"/>
    </w:p>
    <w:p>
      <w:pPr>
        <w:pStyle w:val="Heading6"/>
        <w:numPr>
          <w:ilvl w:val="5"/>
          <w:numId w:val="1"/>
        </w:numPr>
        <w:rPr/>
      </w:pPr>
      <w:bookmarkStart w:id="661" w:name="__RefHeading___Toc13197863_1280447820"/>
      <w:bookmarkStart w:id="662" w:name="_Toc258"/>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3197865_1280447820"/>
      <w:bookmarkStart w:id="664" w:name="_Toc259"/>
      <w:bookmarkEnd w:id="663"/>
      <w:r>
        <w:rPr>
          <w:rtl w:val="true"/>
        </w:rPr>
        <w:t>أحدها</w:t>
      </w:r>
      <w:r>
        <w:rPr>
          <w:rtl w:val="true"/>
        </w:rPr>
        <w:t>:</w:t>
      </w:r>
      <w:r>
        <w:rPr>
          <w:rtl w:val="true"/>
        </w:rPr>
        <w:t>حقیقۀ الغَسْل</w:t>
      </w:r>
      <w:bookmarkEnd w:id="6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هو إجراء جزءٍ من الماء على جزئين من البشرة بمعاون أو غيره، فينغسل حينئذٍ المنتقل منه والمنتقل إليه ولو كان هو الأخير، إلّا أنّ الأحوط لزوم انفصال ماء الغسالة </w:t>
      </w:r>
      <w:bookmarkStart w:id="665" w:name="pg18988_203364"/>
    </w:p>
    <w:p>
      <w:pPr>
        <w:pStyle w:val="BookText"/>
        <w:rPr/>
      </w:pPr>
      <w:bookmarkEnd w:id="665"/>
      <w:r>
        <w:rPr>
          <w:rFonts w:ascii="Amiri" w:hAnsi="Amiri" w:eastAsia="Amiri" w:cs="Amiri"/>
          <w:color w:val="111111"/>
          <w:sz w:val="28"/>
          <w:sz w:val="28"/>
          <w:szCs w:val="28"/>
          <w:rtl w:val="true"/>
          <w:lang w:bidi="ar-SA"/>
        </w:rPr>
        <w:t>عنه في تحقّق الغَسْل سيّما في غَسْل الأخباث، وإن كان الأقوى صدق الغَسْل على الجزء الأخير وإن انتهى إليه الماء سيّما في الغسل عن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يكتفى في مسمّى الغَسْل بمجرّد الإصابة فيما لا يمكن الإجراء فيه عرفاً، كغَسْل ما تحت الجبيرة و غَسْل البواطن؛ لتسميته غَسْلاً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الغَسْل أيضاً بالارتماس في الماء القليل أو الكثير بما يُسمّى ارتماساً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نيّة الغَسْل بالإدخال والإخراج والكون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فيما يتعقّبه مسح من غَسْل اليدين نيّة الغسل في الإخراج؛ للتخلّص من شبهة المسح بالماء الجديد، ولكنّه يعارضه احتياطٌ آخَر، وهو ضعف صدق الغَسْل على الإخراج، فالأحوط تجنّب غَسْل الارتماسي في الوضوء</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3197867_1280447820"/>
      <w:bookmarkStart w:id="667" w:name="_Toc260"/>
      <w:bookmarkEnd w:id="666"/>
      <w:r>
        <w:rPr>
          <w:rtl w:val="true"/>
        </w:rPr>
        <w:t>ثانيها</w:t>
      </w:r>
      <w:r>
        <w:rPr>
          <w:rtl w:val="true"/>
        </w:rPr>
        <w:t xml:space="preserve">: </w:t>
      </w:r>
      <w:r>
        <w:rPr>
          <w:rtl w:val="true"/>
        </w:rPr>
        <w:t>فی انّه لا يكفي من الماء ما يحصل به الانتشار لا الجريان</w:t>
      </w:r>
      <w:bookmarkEnd w:id="667"/>
    </w:p>
    <w:p>
      <w:pPr>
        <w:pStyle w:val="BookText"/>
        <w:rPr/>
      </w:pPr>
      <w:r>
        <w:rPr>
          <w:rFonts w:ascii="Amiri" w:hAnsi="Amiri" w:eastAsia="Amiri" w:cs="Amiri"/>
          <w:color w:val="111111"/>
          <w:sz w:val="28"/>
          <w:sz w:val="28"/>
          <w:szCs w:val="28"/>
          <w:rtl w:val="true"/>
          <w:lang w:bidi="ar-SA"/>
        </w:rPr>
        <w:t>لا يكفي من الماء ما يحصل به الانتشار لا الجريان، وذلك كالدهن؛ لعدم صدق اسم الغَسْل عليه، ولو فرضنا صدق اسمه عليه فهو لعدم دخول الجريان في مفهومه كما قيل</w:t>
      </w:r>
      <w:r>
        <w:rPr>
          <w:rStyle w:val="FootnoteAnchor"/>
          <w:rtl w:val="true"/>
        </w:rPr>
        <w:footnoteReference w:id="1011"/>
      </w:r>
      <w:r>
        <w:rPr>
          <w:rFonts w:ascii="Amiri" w:hAnsi="Amiri" w:eastAsia="Amiri" w:cs="Amiri"/>
          <w:color w:val="111111"/>
          <w:sz w:val="28"/>
          <w:sz w:val="28"/>
          <w:szCs w:val="28"/>
          <w:rtl w:val="true"/>
          <w:lang w:bidi="ar-SA"/>
        </w:rPr>
        <w:t>، فلا يجزئ أيضاً، بل لو حصل معه إجراء خفيف أيضاً كذلك؛ لعدم انصراف الإطلاق إليه في الكتاب</w:t>
      </w:r>
      <w:r>
        <w:rPr>
          <w:rStyle w:val="FootnoteAnchor"/>
          <w:rtl w:val="true"/>
        </w:rPr>
        <w:footnoteReference w:id="1012"/>
      </w:r>
      <w:r>
        <w:rPr>
          <w:rFonts w:ascii="Amiri" w:hAnsi="Amiri" w:eastAsia="Amiri" w:cs="Amiri"/>
          <w:color w:val="111111"/>
          <w:sz w:val="28"/>
          <w:sz w:val="28"/>
          <w:szCs w:val="28"/>
          <w:rtl w:val="true"/>
          <w:lang w:bidi="ar-SA"/>
        </w:rPr>
        <w:t>والسنّة</w:t>
      </w:r>
      <w:r>
        <w:rPr>
          <w:rStyle w:val="FootnoteAnchor"/>
          <w:rtl w:val="true"/>
        </w:rPr>
        <w:footnoteReference w:id="1013"/>
      </w:r>
      <w:r>
        <w:rPr>
          <w:rFonts w:ascii="Amiri" w:hAnsi="Amiri" w:eastAsia="Amiri" w:cs="Amiri"/>
          <w:color w:val="111111"/>
          <w:sz w:val="28"/>
          <w:sz w:val="28"/>
          <w:szCs w:val="28"/>
          <w:rtl w:val="true"/>
          <w:lang w:bidi="ar-SA"/>
        </w:rPr>
        <w:t>المأمور فيهما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تسمية ذلك غسلاً بل هو مسحٌ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الصحيح وغيره من إجزاء إجراء الماء ولو كالدهن</w:t>
      </w:r>
      <w:r>
        <w:rPr>
          <w:rStyle w:val="FootnoteAnchor"/>
          <w:rtl w:val="true"/>
        </w:rPr>
        <w:footnoteReference w:id="1014"/>
      </w:r>
      <w:r>
        <w:rPr>
          <w:rFonts w:ascii="Amiri" w:hAnsi="Amiri" w:eastAsia="Amiri" w:cs="Amiri"/>
          <w:color w:val="111111"/>
          <w:sz w:val="28"/>
          <w:sz w:val="28"/>
          <w:szCs w:val="28"/>
          <w:rtl w:val="true"/>
          <w:lang w:bidi="ar-SA"/>
        </w:rPr>
        <w:t>، محمول على المبالغة؛ لعدم مقاومته لعمومات الأدلّة الآمرة بالغّسْل، أو محمول على حالة الضرورة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 بعضهم</w:t>
      </w:r>
      <w:r>
        <w:rPr>
          <w:rStyle w:val="FootnoteAnchor"/>
          <w:rtl w:val="true"/>
        </w:rPr>
        <w:footnoteReference w:id="1015"/>
      </w:r>
      <w:r>
        <w:rPr>
          <w:rFonts w:ascii="Amiri" w:hAnsi="Amiri" w:eastAsia="Amiri" w:cs="Amiri"/>
          <w:color w:val="111111"/>
          <w:sz w:val="28"/>
          <w:sz w:val="28"/>
          <w:szCs w:val="28"/>
          <w:rtl w:val="true"/>
          <w:lang w:bidi="ar-SA"/>
        </w:rPr>
        <w:t>منع كون الإجراء داخلاً في مفهوم الغسل فيكفي فيه الدهن أو الإصابة، مدفوعة؛ بفهم العرف خلاف ذلك، وبما ورد من الأخبار الصحيحة الآمرة بالإجراء،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يجري عليه الماء</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وظاهر الإجراء هو الإجراء المعتاد الظاهر دون الخفي، وبما دلّ </w:t>
      </w:r>
      <w:bookmarkStart w:id="668" w:name="pg18988_203365"/>
    </w:p>
    <w:p>
      <w:pPr>
        <w:pStyle w:val="BookText"/>
        <w:rPr/>
      </w:pPr>
      <w:bookmarkEnd w:id="668"/>
      <w:r>
        <w:rPr>
          <w:rFonts w:ascii="Amiri" w:hAnsi="Amiri" w:eastAsia="Amiri" w:cs="Amiri"/>
          <w:color w:val="111111"/>
          <w:sz w:val="28"/>
          <w:sz w:val="28"/>
          <w:szCs w:val="28"/>
          <w:rtl w:val="true"/>
          <w:lang w:bidi="ar-SA"/>
        </w:rPr>
        <w:t>على أنّ المسح غير الغَسْل وأنّ مَنْ غسل موضع المسح ما قَبِل الله تعالى منه صلاة</w:t>
      </w:r>
      <w:r>
        <w:rPr>
          <w:rStyle w:val="FootnoteAnchor"/>
          <w:rtl w:val="true"/>
        </w:rPr>
        <w:footnoteReference w:id="1017"/>
      </w:r>
      <w:r>
        <w:rPr>
          <w:rFonts w:ascii="Amiri" w:hAnsi="Amiri" w:eastAsia="Amiri" w:cs="Amiri"/>
          <w:color w:val="111111"/>
          <w:sz w:val="28"/>
          <w:sz w:val="28"/>
          <w:szCs w:val="28"/>
          <w:rtl w:val="true"/>
          <w:lang w:bidi="ar-SA"/>
        </w:rPr>
        <w:t>، وظاهره أنّ الفرق بينهما حصول الجريان الظاهر في الغُسْل دون المسح حتّى لو كان في المسح جريان لكان الخفاء مأخوذاً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الفرق بينهما وجواز تصادقهما في موردٍ واحد وعدمه كلام 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مقام الضرورة الجمع بين ما كان كالدهن وبين التيمّم</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3197869_1280447820"/>
      <w:bookmarkStart w:id="670" w:name="_Toc261"/>
      <w:bookmarkEnd w:id="669"/>
      <w:r>
        <w:rPr>
          <w:rtl w:val="true"/>
        </w:rPr>
        <w:t xml:space="preserve">ثالثها </w:t>
      </w:r>
      <w:r>
        <w:rPr>
          <w:rtl w:val="true"/>
        </w:rPr>
        <w:t xml:space="preserve">: </w:t>
      </w:r>
      <w:r>
        <w:rPr>
          <w:rtl w:val="true"/>
        </w:rPr>
        <w:t>بیان حدّ الوجه المأمور بغسله فی الوضوء</w:t>
      </w:r>
      <w:bookmarkEnd w:id="670"/>
    </w:p>
    <w:p>
      <w:pPr>
        <w:pStyle w:val="BookText"/>
        <w:rPr/>
      </w:pPr>
      <w:r>
        <w:rPr>
          <w:rFonts w:ascii="Amiri" w:hAnsi="Amiri" w:eastAsia="Amiri" w:cs="Amiri"/>
          <w:color w:val="111111"/>
          <w:sz w:val="28"/>
          <w:sz w:val="28"/>
          <w:szCs w:val="28"/>
          <w:rtl w:val="true"/>
          <w:lang w:bidi="ar-SA"/>
        </w:rPr>
        <w:t>الوجه في الوضوء المأمور بغسله له حدّ طوليّ وحدّ عرضّي دلّ عليهما الإجماع والروايات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التحديد يحتمل أنّه حدّ لما وجب غسله منه، فهو أضيق دائرة من المحدود عرفاً،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دون منابت الشعر معتاداً إلى الأُذنين والجبينين والذقن</w:t>
      </w:r>
      <w:r>
        <w:rPr>
          <w:rStyle w:val="FootnoteAnchor"/>
          <w:rtl w:val="true"/>
        </w:rPr>
        <w:footnoteReference w:id="1019"/>
      </w:r>
      <w:r>
        <w:rPr>
          <w:rFonts w:ascii="Amiri" w:hAnsi="Amiri" w:eastAsia="Amiri" w:cs="Amiri"/>
          <w:color w:val="111111"/>
          <w:sz w:val="28"/>
          <w:sz w:val="28"/>
          <w:szCs w:val="28"/>
          <w:rtl w:val="true"/>
          <w:lang w:bidi="ar-SA"/>
        </w:rPr>
        <w:t>، وأضيق دائرة من المحدود لغةً،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التحديد الشرعي كاشف عن المعنى العرفي العامّ، فهو تحديد له لا للمغسول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الطولي فهو من منابت الشعر المعتاد لمستوى الخلقة إلى محادر الذقن، فلا عبرة بالأغمّ والأصلح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تختلف محالّ الشعر لمستوى الخلقة علوّاً و هبوطاً في الجملة، فيؤخذ بأعلاها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عرضاً يُعلم بوضع وسط ما بين طرفي الإبهام والوسطى على وسط القصاص على وجهٍ يؤخذ به شيء من القصاص ليعلم الإحاطة، ثمّ يجرّهما إلى منتهى الذقن، فما دخل تحتهما داخل وما خرج عنهما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التحديد فتوى الأصحاب والإجماعات المنقولة</w:t>
      </w:r>
      <w:r>
        <w:rPr>
          <w:rStyle w:val="FootnoteAnchor"/>
          <w:rtl w:val="true"/>
        </w:rPr>
        <w:footnoteReference w:id="1020"/>
      </w:r>
      <w:r>
        <w:rPr>
          <w:rFonts w:ascii="Amiri" w:hAnsi="Amiri" w:eastAsia="Amiri" w:cs="Amiri"/>
          <w:color w:val="111111"/>
          <w:sz w:val="28"/>
          <w:sz w:val="28"/>
          <w:szCs w:val="28"/>
          <w:rtl w:val="true"/>
          <w:lang w:bidi="ar-SA"/>
        </w:rPr>
        <w:t>، في الباب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الوجه الذي ينبغي أن يوضّاً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دارت عليه الإبهام والوسطى من قصاص شعر الرأس إلى الذقن، وما جرت عليه الإصبعان مستديراً فهو من الوجه، وما </w:t>
      </w:r>
      <w:bookmarkStart w:id="671" w:name="pg18988_203366"/>
    </w:p>
    <w:p>
      <w:pPr>
        <w:pStyle w:val="BookText"/>
        <w:rPr/>
      </w:pPr>
      <w:bookmarkEnd w:id="671"/>
      <w:r>
        <w:rPr>
          <w:rFonts w:ascii="Amiri" w:hAnsi="Amiri" w:eastAsia="Amiri" w:cs="Amiri"/>
          <w:color w:val="111111"/>
          <w:sz w:val="28"/>
          <w:sz w:val="28"/>
          <w:szCs w:val="28"/>
          <w:rtl w:val="true"/>
          <w:lang w:bidi="ar-SA"/>
        </w:rPr>
        <w:t>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الصدغ من الوجه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فظاهر الخبر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العرض،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للطول، وهو إمّا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حالٌ من الموصول الواقع خبراً عن الوجه إن جوّزنا الحال عن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وفهم بعض الأصحاب</w:t>
      </w:r>
      <w:r>
        <w:rPr>
          <w:rStyle w:val="FootnoteAnchor"/>
          <w:rtl w:val="true"/>
        </w:rPr>
        <w:footnoteReference w:id="1022"/>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على نحو الدائرة البُركانيّة، وذلك بإثبات وسط للخطّ المتوهمّ من القصاص إلى الذقن ويدار عليه دائرة، فما دخل فيها داخل وما خرج عنها خارج، وطريقها أن يجعل طرف الوسطى على قصاص الناصية، وطرف الإبهام على طرف الذقن ويثبت وسط انفراجها ويدار الوسطى على الجانب الأيسر، والإبهام على الأيمن حتّى تتمّ الدائرة، فما دخل فهو داخل وما خرج فهو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لبُعْده عن فهم المشهور وفهم القدماء من أصحاب اللسان، ولعدم مناسبة الدائرة البُركاليّة للخطابات الشرعيّة المبنيّة على الظهور ، ولخروج كثير من الجبهة من الجانبين وكثير من صفحتي الخدّين، ولدخول ما خرج ممّا حول الصدغين، فلا يناسبه سؤال زرارة، ولعدم الفائدة في التحديد الطولي حينئذٍ، وللزوم مساواة الوجوه في الحكم مع أنّ الغالب اختلافها، وللزوم كون ذكر الابتداء بقصاص الشعر لا فائدة فيه؛ لكفاية الابتداء في تحصيل الدائرة من أيّ موضع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دخول النزعتين والعذارين، فالعذر عنهم أن الخبر مسوق لبيان المشتبه في الحكم، أو أنّ الدخول ممنوع</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3197871_1280447820"/>
      <w:bookmarkStart w:id="673" w:name="_Toc262"/>
      <w:bookmarkEnd w:id="672"/>
      <w:r>
        <w:rPr>
          <w:rtl w:val="true"/>
        </w:rPr>
        <w:t>رابعها</w:t>
      </w:r>
      <w:r>
        <w:rPr>
          <w:rtl w:val="true"/>
        </w:rPr>
        <w:t xml:space="preserve">: </w:t>
      </w:r>
      <w:r>
        <w:rPr>
          <w:rtl w:val="true"/>
        </w:rPr>
        <w:t>يخرج عن حدّ الوجه النزعتان</w:t>
      </w:r>
      <w:bookmarkEnd w:id="6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عن حدّ الوجه النزعتان ،و هُما البياضان المكتنفان بالناصية على الجبينين؛ لدخولهما في محلّ تدوير الرأس، فلا يدخلان في تحديد المشهور وإن وصل إليهما الإصبعان، ولئن دخل بعضهما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خارجان حكماً؛ لأنّ التحديد للمشتبه ولا شبهة في خروجهما؛ إذ المتبادر من القصاص ما يكون منتهى الناصية وما يحاذيه وما يسامته، لاكلّ ما كان تحت قصاص الشعر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ويخرج الصدغان أيضاً، كما قطع به بعض الأصحاب</w:t>
      </w:r>
      <w:r>
        <w:rPr>
          <w:rStyle w:val="FootnoteAnchor"/>
          <w:rtl w:val="true"/>
        </w:rPr>
        <w:footnoteReference w:id="1025"/>
      </w:r>
      <w:r>
        <w:rPr>
          <w:rFonts w:ascii="IRNazanin" w:hAnsi="IRNazanin" w:eastAsia="IRNazanin"/>
          <w:color w:val="111111"/>
          <w:sz w:val="28"/>
          <w:sz w:val="28"/>
          <w:szCs w:val="28"/>
          <w:rtl w:val="true"/>
          <w:lang w:bidi="fa-IR"/>
        </w:rPr>
        <w:t>، ونُسب لجمهور العلماء</w:t>
      </w:r>
      <w:r>
        <w:rPr>
          <w:rStyle w:val="FootnoteAnchor"/>
          <w:rtl w:val="true"/>
        </w:rPr>
        <w:footnoteReference w:id="1026"/>
      </w:r>
      <w:r>
        <w:rPr>
          <w:rFonts w:ascii="Amiri" w:hAnsi="Amiri" w:eastAsia="Amiri" w:cs="Amiri"/>
          <w:color w:val="111111"/>
          <w:sz w:val="28"/>
          <w:sz w:val="28"/>
          <w:szCs w:val="28"/>
          <w:rtl w:val="true"/>
          <w:lang w:bidi="ar-SA"/>
        </w:rPr>
        <w:t>ونُقل عليه الإجماع</w:t>
      </w:r>
      <w:r>
        <w:rPr>
          <w:rStyle w:val="FootnoteAnchor"/>
          <w:rtl w:val="true"/>
        </w:rPr>
        <w:footnoteReference w:id="1027"/>
      </w:r>
      <w:r>
        <w:rPr>
          <w:rFonts w:ascii="Amiri" w:hAnsi="Amiri" w:eastAsia="Amiri" w:cs="Amiri"/>
          <w:color w:val="111111"/>
          <w:sz w:val="28"/>
          <w:sz w:val="28"/>
          <w:szCs w:val="28"/>
          <w:rtl w:val="true"/>
          <w:lang w:bidi="ar-SA"/>
        </w:rPr>
        <w:t>، ودلّ عليه الصحيح</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محلّ الشعر المتّصل بمنتهى العذار المنتهي إلى محاذي الأُذن النازل عن رأسها قليلاً، أو جانبا الأُذن كما عن بعضهم</w:t>
      </w:r>
      <w:r>
        <w:rPr>
          <w:rStyle w:val="FootnoteAnchor"/>
          <w:rtl w:val="true"/>
        </w:rPr>
        <w:footnoteReference w:id="1029"/>
      </w:r>
      <w:r>
        <w:rPr>
          <w:rFonts w:ascii="Amiri" w:hAnsi="Amiri" w:eastAsia="Amiri" w:cs="Amiri"/>
          <w:color w:val="111111"/>
          <w:sz w:val="28"/>
          <w:sz w:val="28"/>
          <w:szCs w:val="28"/>
          <w:rtl w:val="true"/>
          <w:lang w:bidi="ar-SA"/>
        </w:rPr>
        <w:t xml:space="preserve">، وعليهما فلا إشكال في خروجه عن التحديد، وإما ما بين العين والأذن، كما نُسب لجمع من أهل اللغة </w:t>
      </w:r>
      <w:r>
        <w:rPr>
          <w:rStyle w:val="FootnoteAnchor"/>
          <w:rtl w:val="true"/>
        </w:rPr>
        <w:footnoteReference w:id="1030"/>
      </w:r>
      <w:r>
        <w:rPr>
          <w:rFonts w:ascii="Amiri" w:hAnsi="Amiri" w:eastAsia="Amiri" w:cs="Amiri"/>
          <w:color w:val="111111"/>
          <w:sz w:val="28"/>
          <w:sz w:val="28"/>
          <w:szCs w:val="28"/>
          <w:rtl w:val="true"/>
          <w:lang w:bidi="ar-SA"/>
        </w:rPr>
        <w:t>، أو الشعر المتدلّي ما بينهما، كما قيل</w:t>
      </w:r>
      <w:r>
        <w:rPr>
          <w:rStyle w:val="FootnoteAnchor"/>
          <w:rtl w:val="true"/>
        </w:rPr>
        <w:footnoteReference w:id="1031"/>
      </w:r>
      <w:r>
        <w:rPr>
          <w:rFonts w:ascii="Amiri" w:hAnsi="Amiri" w:eastAsia="Amiri" w:cs="Amiri"/>
          <w:color w:val="111111"/>
          <w:sz w:val="28"/>
          <w:sz w:val="28"/>
          <w:szCs w:val="28"/>
          <w:rtl w:val="true"/>
          <w:lang w:bidi="ar-SA"/>
        </w:rPr>
        <w:t>، أو المحلّ المنخفض بين أعلى الأُذن ومؤخّر العين، أو المنخفض بين أعلى الأُذن وطرف الحاجب، أو ما حاذى العذار مطلقاً، أو ما حاذاه فوقه كما نقله بعض المتأخّرين</w:t>
      </w:r>
      <w:r>
        <w:rPr>
          <w:rStyle w:val="FootnoteAnchor"/>
          <w:rtl w:val="true"/>
        </w:rPr>
        <w:footnoteReference w:id="1032"/>
      </w:r>
      <w:r>
        <w:rPr>
          <w:rFonts w:ascii="Amiri" w:hAnsi="Amiri" w:eastAsia="Amiri" w:cs="Amiri"/>
          <w:color w:val="111111"/>
          <w:sz w:val="28"/>
          <w:sz w:val="28"/>
          <w:szCs w:val="28"/>
          <w:rtl w:val="true"/>
          <w:lang w:bidi="ar-SA"/>
        </w:rPr>
        <w:t>وجعلها أقوالاً، وعليها فيدخل بعضه في التحديد، ولكنّه يخرج عن حكم الوجه بالإجماع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بياض الأُذنين عن التحديد وعن الحكم إجماعاً منقولاً </w:t>
      </w:r>
      <w:r>
        <w:rPr>
          <w:rStyle w:val="FootnoteAnchor"/>
          <w:rtl w:val="true"/>
        </w:rPr>
        <w:footnoteReference w:id="1033"/>
      </w:r>
      <w:r>
        <w:rPr>
          <w:rFonts w:ascii="Amiri" w:hAnsi="Amiri" w:eastAsia="Amiri" w:cs="Amiri"/>
          <w:color w:val="111111"/>
          <w:sz w:val="28"/>
          <w:sz w:val="28"/>
          <w:szCs w:val="28"/>
          <w:rtl w:val="true"/>
          <w:lang w:bidi="ar-SA"/>
        </w:rPr>
        <w:t>بل محصّلاً، وهُما البياضان اللذان بين العذارين والأُذنين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العذاران، وهما الشعر المحاذي للأُذنين يتّصل أعلاه بالصدغ وأسفله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العظم الذي يحاذي وتد الأُذن</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والإجماع منقول على خروجه</w:t>
      </w:r>
      <w:r>
        <w:rPr>
          <w:rStyle w:val="FootnoteAnchor"/>
          <w:rtl w:val="true"/>
        </w:rPr>
        <w:footnoteReference w:id="1035"/>
      </w:r>
      <w:r>
        <w:rPr>
          <w:rFonts w:ascii="Amiri" w:hAnsi="Amiri" w:eastAsia="Amiri" w:cs="Amiri"/>
          <w:color w:val="111111"/>
          <w:sz w:val="28"/>
          <w:sz w:val="28"/>
          <w:szCs w:val="28"/>
          <w:rtl w:val="true"/>
          <w:lang w:bidi="ar-SA"/>
        </w:rPr>
        <w:t>، والصحيحة الأُولى</w:t>
      </w:r>
      <w:r>
        <w:rPr>
          <w:rStyle w:val="FootnoteAnchor"/>
          <w:rtl w:val="true"/>
        </w:rPr>
        <w:footnoteReference w:id="1036"/>
      </w:r>
      <w:r>
        <w:rPr>
          <w:rFonts w:ascii="Amiri" w:hAnsi="Amiri" w:eastAsia="Amiri" w:cs="Amiri"/>
          <w:color w:val="111111"/>
          <w:sz w:val="28"/>
          <w:sz w:val="28"/>
          <w:szCs w:val="28"/>
          <w:rtl w:val="true"/>
          <w:lang w:bidi="ar-SA"/>
        </w:rPr>
        <w:t>الدالّة على خروج الصدغ تدلّ على خروجه بالأولويّة، وأصل البراءة دليل على خروجه، فخروجه عن الحكم أولى وإن دخل بعضه في التحديد</w:t>
      </w:r>
      <w:r>
        <w:rPr>
          <w:rFonts w:eastAsia="Amiri" w:cs="Amiri" w:ascii="Amiri" w:hAnsi="Amiri"/>
          <w:color w:val="111111"/>
          <w:sz w:val="28"/>
          <w:szCs w:val="28"/>
          <w:rtl w:val="true"/>
          <w:lang w:bidi="ar-SA"/>
        </w:rPr>
        <w:t xml:space="preserve">. </w:t>
      </w:r>
      <w:bookmarkStart w:id="674" w:name="pg18988_203368"/>
    </w:p>
    <w:p>
      <w:pPr>
        <w:pStyle w:val="BookText"/>
        <w:rPr/>
      </w:pPr>
      <w:bookmarkEnd w:id="674"/>
      <w:r>
        <w:rPr>
          <w:rFonts w:ascii="Amiri" w:hAnsi="Amiri" w:eastAsia="Amiri" w:cs="Amiri"/>
          <w:color w:val="111111"/>
          <w:sz w:val="28"/>
          <w:sz w:val="28"/>
          <w:szCs w:val="28"/>
          <w:rtl w:val="true"/>
          <w:lang w:bidi="ar-SA"/>
        </w:rPr>
        <w:t>وأدخله جملة من أصحابنا</w:t>
      </w:r>
      <w:r>
        <w:rPr>
          <w:rStyle w:val="FootnoteAnchor"/>
          <w:rtl w:val="true"/>
        </w:rPr>
        <w:footnoteReference w:id="1037"/>
      </w:r>
      <w:r>
        <w:rPr>
          <w:rFonts w:ascii="Amiri" w:hAnsi="Amiri" w:eastAsia="Amiri" w:cs="Amiri"/>
          <w:color w:val="111111"/>
          <w:sz w:val="28"/>
          <w:sz w:val="28"/>
          <w:szCs w:val="28"/>
          <w:rtl w:val="true"/>
          <w:lang w:bidi="ar-SA"/>
        </w:rPr>
        <w:t>في وجوب الغَسْل؛ لشمول لفظ الوجه له ولا أقلّ من الشكّ في شموله له، فالاحتياط والفراغ اليقيني القاضي به شغل الذمّة يقضيان بدخوله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الداخل في التحديد بحيث تشمله الإصبعان يجب غَسْله والخارج منه لا يجب</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يقضي بدخول الجميع في حكم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ما يشمله التحديد من العارضين، وهُما ما تحت العذارين من جانبي اللحية إلى شعر الذقن؛ للاحتياط، والخبر</w:t>
      </w:r>
      <w:r>
        <w:rPr>
          <w:rStyle w:val="FootnoteAnchor"/>
          <w:rtl w:val="true"/>
        </w:rPr>
        <w:footnoteReference w:id="1039"/>
      </w:r>
      <w:r>
        <w:rPr>
          <w:rFonts w:ascii="Amiri" w:hAnsi="Amiri" w:eastAsia="Amiri" w:cs="Amiri"/>
          <w:color w:val="111111"/>
          <w:sz w:val="28"/>
          <w:sz w:val="28"/>
          <w:szCs w:val="28"/>
          <w:rtl w:val="true"/>
          <w:lang w:bidi="ar-SA"/>
        </w:rPr>
        <w:t>، وفتوى جُلّ الأصحاب</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بخروجه عن الحكم</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بدخوله مطلقاً</w:t>
      </w:r>
      <w:r>
        <w:rPr>
          <w:rStyle w:val="FootnoteAnchor"/>
          <w:rtl w:val="true"/>
        </w:rPr>
        <w:footnoteReference w:id="1042"/>
      </w:r>
      <w:r>
        <w:rPr>
          <w:rFonts w:ascii="Amiri" w:hAnsi="Amiri" w:eastAsia="Amiri" w:cs="Amiri"/>
          <w:color w:val="111111"/>
          <w:sz w:val="28"/>
          <w:sz w:val="28"/>
          <w:szCs w:val="28"/>
          <w:rtl w:val="true"/>
          <w:lang w:bidi="ar-SA"/>
        </w:rPr>
        <w:t>، ونُقل عليه الإجماع</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شيء من مواضع التحذيف وهو ما يشمله الحدّ؛ للخبر</w:t>
      </w:r>
      <w:r>
        <w:rPr>
          <w:rStyle w:val="FootnoteAnchor"/>
          <w:rtl w:val="true"/>
        </w:rPr>
        <w:footnoteReference w:id="1044"/>
      </w:r>
      <w:r>
        <w:rPr>
          <w:rFonts w:ascii="Amiri" w:hAnsi="Amiri" w:eastAsia="Amiri" w:cs="Amiri"/>
          <w:color w:val="111111"/>
          <w:sz w:val="28"/>
          <w:sz w:val="28"/>
          <w:szCs w:val="28"/>
          <w:rtl w:val="true"/>
          <w:lang w:bidi="ar-SA"/>
        </w:rPr>
        <w:t>والاحتياط، وهي منابت الشعر الخفيف بين النزعة والصدغ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بدخولها بتمامها</w:t>
      </w:r>
      <w:r>
        <w:rPr>
          <w:rStyle w:val="FootnoteAnchor"/>
          <w:rtl w:val="true"/>
        </w:rPr>
        <w:footnoteReference w:id="1045"/>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بخروجها بتمامها؛ لنبات الشعر عليها متّصلاً بشعر الرأس</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3197873_1280447820"/>
      <w:bookmarkStart w:id="676" w:name="_Toc263"/>
      <w:bookmarkEnd w:id="675"/>
      <w:r>
        <w:rPr>
          <w:rtl w:val="true"/>
        </w:rPr>
        <w:t>خامسها</w:t>
      </w:r>
      <w:r>
        <w:rPr>
          <w:rtl w:val="true"/>
        </w:rPr>
        <w:t xml:space="preserve">: </w:t>
      </w:r>
      <w:r>
        <w:rPr>
          <w:rtl w:val="true"/>
        </w:rPr>
        <w:t>يرجع صغير الوجه وكبيره إلى التحديد بيد تناسب وجهه</w:t>
      </w:r>
      <w:bookmarkEnd w:id="676"/>
    </w:p>
    <w:p>
      <w:pPr>
        <w:pStyle w:val="BookText"/>
        <w:rPr/>
      </w:pPr>
      <w:r>
        <w:rPr>
          <w:rFonts w:ascii="Amiri" w:hAnsi="Amiri" w:eastAsia="Amiri" w:cs="Amiri"/>
          <w:color w:val="111111"/>
          <w:sz w:val="28"/>
          <w:sz w:val="28"/>
          <w:szCs w:val="28"/>
          <w:rtl w:val="true"/>
          <w:lang w:bidi="ar-SA"/>
        </w:rPr>
        <w:t>يرجع صغير الوجه وكبيره إلى التحديد بيد تناسب وجهه لا إلى يد مستوى الخلقة، وإلّا لزاد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يرجع صغير اليد وطويلها إلى يد تناسب وجهه، فإن كان وجهه مستوى الخلقة، رجع إلى يد مستوى الخلقة، وإلّا رجع إلى يد تناسبه، كلّ ذلك لأصل البراءة في الزائد، وشغل الذمّة، والاحتياط في الناقص</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13197875_1280447820"/>
      <w:bookmarkStart w:id="678" w:name="_Toc264"/>
      <w:bookmarkEnd w:id="677"/>
      <w:r>
        <w:rPr>
          <w:rtl w:val="true"/>
        </w:rPr>
        <w:t>سادسها</w:t>
      </w:r>
      <w:r>
        <w:rPr>
          <w:rtl w:val="true"/>
        </w:rPr>
        <w:t xml:space="preserve">: </w:t>
      </w:r>
      <w:r>
        <w:rPr>
          <w:rtl w:val="true"/>
        </w:rPr>
        <w:t>لا يجب غَسْل الباطن عرفاً</w:t>
      </w:r>
      <w:bookmarkEnd w:id="67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غَسْل الباطن عرفاً، كباطن المنخرين والعينين والشفتين؛ لانصراف </w:t>
      </w:r>
      <w:bookmarkStart w:id="679" w:name="pg18988_203369"/>
    </w:p>
    <w:p>
      <w:pPr>
        <w:pStyle w:val="BookText"/>
        <w:rPr/>
      </w:pPr>
      <w:bookmarkEnd w:id="679"/>
      <w:r>
        <w:rPr>
          <w:rFonts w:ascii="Amiri" w:hAnsi="Amiri" w:eastAsia="Amiri" w:cs="Amiri"/>
          <w:color w:val="111111"/>
          <w:sz w:val="28"/>
          <w:sz w:val="28"/>
          <w:szCs w:val="28"/>
          <w:rtl w:val="true"/>
          <w:lang w:bidi="ar-SA"/>
        </w:rPr>
        <w:t>أوامر الغَسْل للوجه إليه، ولدلالة لفظ الوجه؛ لأنّه ما يواجه به عليه، ولظاهر الصحيحة المتقدّمة</w:t>
      </w:r>
      <w:r>
        <w:rPr>
          <w:rStyle w:val="FootnoteAnchor"/>
          <w:rtl w:val="true"/>
        </w:rPr>
        <w:footnoteReference w:id="1047"/>
      </w:r>
      <w:r>
        <w:rPr>
          <w:rFonts w:ascii="Amiri" w:hAnsi="Amiri" w:eastAsia="Amiri" w:cs="Amiri"/>
          <w:color w:val="111111"/>
          <w:sz w:val="28"/>
          <w:sz w:val="28"/>
          <w:szCs w:val="28"/>
          <w:rtl w:val="true"/>
          <w:lang w:bidi="ar-SA"/>
        </w:rPr>
        <w:t>،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جرت عليه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ولأدلّة اليسر</w:t>
      </w:r>
      <w:r>
        <w:rPr>
          <w:rStyle w:val="FootnoteAnchor"/>
          <w:rtl w:val="true"/>
        </w:rPr>
        <w:footnoteReference w:id="1048"/>
      </w:r>
      <w:r>
        <w:rPr>
          <w:rFonts w:ascii="Amiri" w:hAnsi="Amiri" w:eastAsia="Amiri" w:cs="Amiri"/>
          <w:color w:val="111111"/>
          <w:sz w:val="28"/>
          <w:sz w:val="28"/>
          <w:szCs w:val="28"/>
          <w:rtl w:val="true"/>
          <w:lang w:bidi="ar-SA"/>
        </w:rPr>
        <w:t>، وللسيرة الدالّة على العدم مع توفّر الدواعي إلى بيان حكمه لو وجب غَسْله، ولظاهر بعض الأخبار النافية للطلب عمّا تحت الظاهر</w:t>
      </w:r>
      <w:r>
        <w:rPr>
          <w:rStyle w:val="FootnoteAnchor"/>
          <w:rtl w:val="true"/>
        </w:rPr>
        <w:footnoteReference w:id="1049"/>
      </w:r>
      <w:r>
        <w:rPr>
          <w:rFonts w:ascii="Amiri" w:hAnsi="Amiri" w:eastAsia="Amiri" w:cs="Amiri"/>
          <w:color w:val="111111"/>
          <w:sz w:val="28"/>
          <w:sz w:val="28"/>
          <w:szCs w:val="28"/>
          <w:rtl w:val="true"/>
          <w:lang w:bidi="ar-SA"/>
        </w:rPr>
        <w:t>ويؤيّد جميع ذلك الأصل</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13197877_1280447820"/>
      <w:bookmarkStart w:id="681" w:name="_Toc265"/>
      <w:bookmarkEnd w:id="680"/>
      <w:r>
        <w:rPr>
          <w:rtl w:val="true"/>
        </w:rPr>
        <w:t>سابعها</w:t>
      </w:r>
      <w:r>
        <w:rPr>
          <w:rtl w:val="true"/>
        </w:rPr>
        <w:t xml:space="preserve">: </w:t>
      </w:r>
      <w:r>
        <w:rPr>
          <w:rtl w:val="true"/>
        </w:rPr>
        <w:t>الشعر النابت على الوجه من المعتاد أو غيره إن خرج عن الحدّ</w:t>
      </w:r>
      <w:bookmarkEnd w:id="681"/>
    </w:p>
    <w:p>
      <w:pPr>
        <w:pStyle w:val="BookText"/>
        <w:rPr/>
      </w:pPr>
      <w:r>
        <w:rPr>
          <w:rFonts w:ascii="Amiri" w:hAnsi="Amiri" w:eastAsia="Amiri" w:cs="Amiri"/>
          <w:color w:val="111111"/>
          <w:sz w:val="28"/>
          <w:sz w:val="28"/>
          <w:szCs w:val="28"/>
          <w:rtl w:val="true"/>
          <w:lang w:bidi="ar-SA"/>
        </w:rPr>
        <w:t>الشعر النابت على الوجه من المعتاد أو غيره إن خرج عن الحدّ لا يجب غسله؛ للأصل، وفتوى الأصحاب وأخبار الباب</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دخل في الحدّ، وجب غَسْل ظاهره، ويكتفى به عن غَسْل ما تحته من البشرة أو من شعر آخَر خفيفاً كان الشعر أو كثيفاً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w:t>
      </w:r>
      <w:r>
        <w:rPr>
          <w:rStyle w:val="FootnoteAnchor"/>
          <w:rtl w:val="true"/>
        </w:rPr>
        <w:footnoteReference w:id="1051"/>
      </w:r>
      <w:r>
        <w:rPr>
          <w:rFonts w:ascii="Amiri" w:hAnsi="Amiri" w:eastAsia="Amiri" w:cs="Amiri"/>
          <w:color w:val="111111"/>
          <w:sz w:val="28"/>
          <w:sz w:val="28"/>
          <w:szCs w:val="28"/>
          <w:rtl w:val="true"/>
          <w:lang w:bidi="ar-SA"/>
        </w:rPr>
        <w:t>على عدم وجوب تخليل الكثيف، وعلى عدم وجوب تخليل الشعر مطلقاً، ونقل الشهرة</w:t>
      </w:r>
      <w:r>
        <w:rPr>
          <w:rStyle w:val="FootnoteAnchor"/>
          <w:rtl w:val="true"/>
        </w:rPr>
        <w:footnoteReference w:id="1052"/>
      </w:r>
      <w:r>
        <w:rPr>
          <w:rFonts w:ascii="IRNazanin" w:hAnsi="IRNazanin" w:eastAsia="IRNazanin"/>
          <w:color w:val="111111"/>
          <w:sz w:val="28"/>
          <w:sz w:val="28"/>
          <w:szCs w:val="28"/>
          <w:rtl w:val="true"/>
          <w:lang w:bidi="fa-IR"/>
        </w:rPr>
        <w:t>وفتوى المعظم</w:t>
      </w:r>
      <w:r>
        <w:rPr>
          <w:rStyle w:val="FootnoteAnchor"/>
          <w:rtl w:val="true"/>
        </w:rPr>
        <w:footnoteReference w:id="1053"/>
      </w:r>
      <w:r>
        <w:rPr>
          <w:rFonts w:ascii="Amiri" w:hAnsi="Amiri" w:eastAsia="Amiri" w:cs="Amiri"/>
          <w:color w:val="111111"/>
          <w:sz w:val="28"/>
          <w:sz w:val="28"/>
          <w:szCs w:val="28"/>
          <w:rtl w:val="true"/>
          <w:lang w:bidi="ar-SA"/>
        </w:rPr>
        <w:t>على عدم وجوب تخليل الخفيف، وهو ما يرى منه البشرة غالباً في مجلس التخاطب، ولأنّ الوجه هو ما يواجه به، وقد انتقل من البشرة إلى الشعر، واستصحاب حكم البشرة مقطوع بتبدّل الموضوع، ولخلوّ الأخبار عن وجوب التخليل مع توفّر الدواعي لنقله لو كان، ولما دلّ على الاجتزاء بغرفة</w:t>
      </w:r>
      <w:r>
        <w:rPr>
          <w:rStyle w:val="FootnoteAnchor"/>
          <w:rtl w:val="true"/>
        </w:rPr>
        <w:footnoteReference w:id="1054"/>
      </w:r>
      <w:r>
        <w:rPr>
          <w:rFonts w:ascii="Amiri" w:hAnsi="Amiri" w:eastAsia="Amiri" w:cs="Amiri"/>
          <w:color w:val="111111"/>
          <w:sz w:val="28"/>
          <w:sz w:val="28"/>
          <w:szCs w:val="28"/>
          <w:rtl w:val="true"/>
          <w:lang w:bidi="ar-SA"/>
        </w:rPr>
        <w:t>، والغالب عدم كفايتها لغسل الشعر ظاهراً وباطناً، ولما دلّ على الاجتزاء بكفٍّ واحد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وثلثان لليدين</w:t>
      </w:r>
      <w:r>
        <w:rPr>
          <w:rStyle w:val="FootnoteAnchor"/>
          <w:rtl w:val="true"/>
        </w:rPr>
        <w:footnoteReference w:id="1055"/>
      </w:r>
      <w:r>
        <w:rPr>
          <w:rFonts w:ascii="Amiri" w:hAnsi="Amiri" w:eastAsia="Amiri" w:cs="Amiri"/>
          <w:color w:val="111111"/>
          <w:sz w:val="28"/>
          <w:sz w:val="28"/>
          <w:szCs w:val="28"/>
          <w:rtl w:val="true"/>
          <w:lang w:bidi="ar-SA"/>
        </w:rPr>
        <w:t>، ولخصوص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أحاط به الشعر فليس على العباد أن يطلبوه</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والصحيح الآخَر الدالّ على عدم تبطين اللحية</w:t>
      </w:r>
      <w:r>
        <w:rPr>
          <w:rStyle w:val="FootnoteAnchor"/>
          <w:rtl w:val="true"/>
        </w:rPr>
        <w:footnoteReference w:id="1057"/>
      </w:r>
      <w:r>
        <w:rPr>
          <w:rFonts w:ascii="Amiri" w:hAnsi="Amiri" w:eastAsia="Amiri" w:cs="Amiri"/>
          <w:color w:val="111111"/>
          <w:sz w:val="28"/>
          <w:sz w:val="28"/>
          <w:szCs w:val="28"/>
          <w:rtl w:val="true"/>
          <w:lang w:bidi="ar-SA"/>
        </w:rPr>
        <w:t>، والقويّ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682" w:name="pg18988_203370"/>
    </w:p>
    <w:p>
      <w:pPr>
        <w:pStyle w:val="BookText"/>
        <w:rPr/>
      </w:pPr>
      <w:bookmarkEnd w:id="682"/>
      <w:r>
        <w:rPr>
          <w:rFonts w:ascii="Amiri" w:hAnsi="Amiri" w:eastAsia="Amiri" w:cs="Amiri"/>
          <w:color w:val="111111"/>
          <w:sz w:val="28"/>
          <w:sz w:val="28"/>
          <w:szCs w:val="28"/>
          <w:rtl w:val="true"/>
          <w:lang w:bidi="ar-SA"/>
        </w:rPr>
        <w:t>هذا كلّه فيما ستره الشعر، وأمّا ما يرى في خلال الشعر من البشرة دائماً أو أحياناً أو وقت الوضوء، فالظاهر وجوب إيصال الماء إليه للشكّ في بدليّة الشعر عنه، والاستصحاب، والاحتياط يقضي بوجوب غسله ونقل الإجماع على وجوب غسل ما يرى من البشرة بين الشعور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ستره المتدلّي من الشعر فحكمه حكم ما ستره الشعر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المتدلّي على غير موقعه المعتاد، فالظاهر وجوب رفعه وغَسْل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كشف المتوضّئ الشعر حين الوضوء عن البشرة، فالظاهر لزوم أحد الأمرين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إرجاع الشعر وغَسْل ظاهره، أو غَسْل البشرة المكشوفة، كما أنّ الظاهر أنّ غَسْل ظاهر الشعر رخصة لا عزيمة، وكذا غَسْل الظاهر من باطن الشعر في 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غَسْل ما يجب غَسْله في الوضوء بعد الأخذ من باب المقدّمة لما يحصل به يقين دخول الوجه المأمور به واقعاً، ولا يحتاج إلى تعيين الحدود من مجتهد أو مقلّد، سواء عرف الحدود وجهل تطبيقها على المحدود، أو جهل الحدود من أصلها، على إشكالٍ فيه من جهة دخوله في عبادات الجاهل حينئذٍ</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3197879_1280447820"/>
      <w:bookmarkStart w:id="684" w:name="_Toc266"/>
      <w:bookmarkEnd w:id="683"/>
      <w:r>
        <w:rPr>
          <w:rtl w:val="true"/>
        </w:rPr>
        <w:t xml:space="preserve">الثالث </w:t>
      </w:r>
      <w:r>
        <w:rPr>
          <w:rtl w:val="true"/>
        </w:rPr>
        <w:t xml:space="preserve">- </w:t>
      </w:r>
      <w:r>
        <w:rPr>
          <w:rtl w:val="true"/>
        </w:rPr>
        <w:t xml:space="preserve">من فروض الوضوء </w:t>
      </w:r>
      <w:r>
        <w:rPr>
          <w:rtl w:val="true"/>
        </w:rPr>
        <w:t xml:space="preserve">- : </w:t>
      </w:r>
      <w:r>
        <w:rPr>
          <w:rtl w:val="true"/>
        </w:rPr>
        <w:t>غَسل اليدين</w:t>
      </w:r>
      <w:bookmarkEnd w:id="684"/>
    </w:p>
    <w:p>
      <w:pPr>
        <w:pStyle w:val="Heading6"/>
        <w:numPr>
          <w:ilvl w:val="5"/>
          <w:numId w:val="1"/>
        </w:numPr>
        <w:rPr/>
      </w:pPr>
      <w:bookmarkStart w:id="685" w:name="__RefHeading___Toc13197881_1280447820"/>
      <w:bookmarkStart w:id="686" w:name="_Toc267"/>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3197883_1280447820"/>
      <w:bookmarkStart w:id="688" w:name="_Toc268"/>
      <w:bookmarkEnd w:id="687"/>
      <w:r>
        <w:rPr>
          <w:rtl w:val="true"/>
        </w:rPr>
        <w:t>أحدها</w:t>
      </w:r>
      <w:r>
        <w:rPr>
          <w:rtl w:val="true"/>
        </w:rPr>
        <w:t xml:space="preserve">: </w:t>
      </w:r>
      <w:r>
        <w:rPr>
          <w:rtl w:val="true"/>
        </w:rPr>
        <w:t>تعریف اليد بحسب اللغة والعرف العامّ</w:t>
      </w:r>
      <w:bookmarkEnd w:id="688"/>
    </w:p>
    <w:p>
      <w:pPr>
        <w:pStyle w:val="BookText"/>
        <w:rPr/>
      </w:pPr>
      <w:r>
        <w:rPr>
          <w:rFonts w:ascii="Amiri" w:hAnsi="Amiri" w:eastAsia="Amiri" w:cs="Amiri"/>
          <w:color w:val="111111"/>
          <w:sz w:val="28"/>
          <w:sz w:val="28"/>
          <w:szCs w:val="28"/>
          <w:rtl w:val="true"/>
          <w:lang w:bidi="ar-SA"/>
        </w:rPr>
        <w:t>الظاهر أنّ اليدين بحسب اللغة والعرف العامّ هما العضوان من المنكبين إلى أطراف الأصابع مقابلاً للرِّجلين، وإطلاقهما على الأبعاض في الوضوء والتيمم والسرقة وغيرها مجازٌ، أو المراد به الحقيقة والتحديد للحكم المتعلّق بهما لا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الاشتراك اللفظي بين الكلّ والأبعاض الخاصّة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الاشتراك المعنوى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الحقيقة الشرعيّة في خصوص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 الاشتراك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فالواجب غسله هاهنا هو العضو من المرفق إلى أطراف الأصابع</w:t>
      </w:r>
      <w:r>
        <w:rPr>
          <w:rFonts w:eastAsia="Amiri" w:cs="Amiri" w:ascii="Amiri" w:hAnsi="Amiri"/>
          <w:color w:val="111111"/>
          <w:sz w:val="28"/>
          <w:szCs w:val="28"/>
          <w:rtl w:val="true"/>
          <w:lang w:bidi="ar-SA"/>
        </w:rPr>
        <w:t xml:space="preserve">. </w:t>
      </w:r>
      <w:bookmarkStart w:id="689" w:name="pg18988_203371"/>
    </w:p>
    <w:p>
      <w:pPr>
        <w:pStyle w:val="BookText"/>
        <w:rPr/>
      </w:pPr>
      <w:bookmarkEnd w:id="689"/>
      <w:r>
        <w:rPr>
          <w:rFonts w:ascii="IRNazanin" w:hAnsi="IRNazanin" w:eastAsia="IRNazanin"/>
          <w:color w:val="111111"/>
          <w:sz w:val="28"/>
          <w:sz w:val="28"/>
          <w:szCs w:val="28"/>
          <w:rtl w:val="true"/>
          <w:lang w:bidi="fa-IR"/>
        </w:rPr>
        <w:t>والمراد بالمرفق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الذراع والعضد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الذراع والعضد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مفصل الذراع والعضد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آخَرين إنّه مفصل الساعد والعضد</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 عبائرهم أنّه موصل الذراع في العضد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بعضهم بأنّه مجمع العظمين</w:t>
      </w:r>
      <w:r>
        <w:rPr>
          <w:rStyle w:val="FootnoteAnchor"/>
          <w:rtl w:val="true"/>
        </w:rPr>
        <w:footnoteReference w:id="1064"/>
      </w:r>
      <w:r>
        <w:rPr>
          <w:rFonts w:ascii="Amiri" w:hAnsi="Amiri" w:eastAsia="Amiri" w:cs="Amiri"/>
          <w:color w:val="111111"/>
          <w:sz w:val="28"/>
          <w:sz w:val="28"/>
          <w:szCs w:val="28"/>
          <w:rtl w:val="true"/>
          <w:lang w:bidi="ar-SA"/>
        </w:rPr>
        <w:t>، أي رأساهما المتلاقيان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التفاسير المتقدّمة للأخير، فيكون المرفق عبارةً عن أمرٍ محسوس،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متلاقيان أو متداخلان، فالمرفق هو مجموع الطرفين ولو انفصلا انفصلت أجزاؤه فيريدون بالمجمع والمفصل والموصل مكان الاجتماع والفصل والوصل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الأوّلون المعنى الوهمي، وهو نفس الوصل ونفس الفصل ونفس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عن ظاهر أوضاع اللغة والعرف، وعن جعله حدّاً في لسان الشارع؛ لخفائه على العوام</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3197885_1280447820"/>
      <w:bookmarkStart w:id="691" w:name="_Toc269"/>
      <w:bookmarkEnd w:id="690"/>
      <w:r>
        <w:rPr>
          <w:rtl w:val="true"/>
        </w:rPr>
        <w:t>ثانيها</w:t>
      </w:r>
      <w:r>
        <w:rPr>
          <w:rtl w:val="true"/>
        </w:rPr>
        <w:t xml:space="preserve">: </w:t>
      </w:r>
      <w:r>
        <w:rPr>
          <w:rtl w:val="true"/>
        </w:rPr>
        <w:t>هل یجب غسل المرفق أصالة أو تبعاً من باب المقدّمة</w:t>
      </w:r>
      <w:bookmarkEnd w:id="691"/>
    </w:p>
    <w:p>
      <w:pPr>
        <w:pStyle w:val="BookText"/>
        <w:rPr/>
      </w:pPr>
      <w:r>
        <w:rPr>
          <w:rFonts w:ascii="Amiri" w:hAnsi="Amiri" w:eastAsia="Amiri" w:cs="Amiri"/>
          <w:color w:val="111111"/>
          <w:sz w:val="28"/>
          <w:sz w:val="28"/>
          <w:szCs w:val="28"/>
          <w:rtl w:val="true"/>
          <w:lang w:bidi="ar-SA"/>
        </w:rPr>
        <w:t>لا كلام لأحد في وجوب غَسْل المرفق، إنّما الكلام في وجوبه أصالة أو تبعاً من باب المقدّمة لتحصيل العلم بغَسْل المأمور بغسله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إطلاقات الإجماعات المنقولة </w:t>
      </w:r>
      <w:r>
        <w:rPr>
          <w:rStyle w:val="FootnoteAnchor"/>
          <w:rtl w:val="true"/>
        </w:rPr>
        <w:footnoteReference w:id="1065"/>
      </w:r>
      <w:r>
        <w:rPr>
          <w:rFonts w:ascii="Amiri" w:hAnsi="Amiri" w:eastAsia="Amiri" w:cs="Amiri"/>
          <w:color w:val="111111"/>
          <w:sz w:val="28"/>
          <w:sz w:val="28"/>
          <w:szCs w:val="28"/>
          <w:rtl w:val="true"/>
          <w:lang w:bidi="ar-SA"/>
        </w:rPr>
        <w:t>وفتوى الأصحاب والاحتياط في العبادة بعد شغل الذمّة اليقيني، والأخبار الدالّة على أنّ الأقطع يغسل ما بقي من عضده</w:t>
      </w:r>
      <w:r>
        <w:rPr>
          <w:rStyle w:val="FootnoteAnchor"/>
          <w:rtl w:val="true"/>
        </w:rPr>
        <w:footnoteReference w:id="1066"/>
      </w:r>
      <w:r>
        <w:rPr>
          <w:rFonts w:ascii="IRNazanin" w:hAnsi="IRNazanin" w:eastAsia="IRNazanin"/>
          <w:color w:val="111111"/>
          <w:sz w:val="28"/>
          <w:sz w:val="28"/>
          <w:szCs w:val="28"/>
          <w:rtl w:val="true"/>
          <w:lang w:bidi="fa-IR"/>
        </w:rPr>
        <w:t>، والدالّة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يغسل المرفق مع يده</w:t>
      </w:r>
      <w:r>
        <w:rPr>
          <w:rStyle w:val="FootnoteAnchor"/>
          <w:rtl w:val="true"/>
        </w:rPr>
        <w:footnoteReference w:id="1067"/>
      </w:r>
      <w:r>
        <w:rPr>
          <w:rFonts w:ascii="Amiri" w:hAnsi="Amiri" w:eastAsia="Amiri" w:cs="Amiri"/>
          <w:color w:val="111111"/>
          <w:sz w:val="28"/>
          <w:sz w:val="28"/>
          <w:szCs w:val="28"/>
          <w:rtl w:val="true"/>
          <w:lang w:bidi="ar-SA"/>
        </w:rPr>
        <w:t>،والدالّة على أنّه كان يغسل من المرفق</w:t>
      </w:r>
      <w:r>
        <w:rPr>
          <w:rStyle w:val="FootnoteAnchor"/>
          <w:rtl w:val="true"/>
        </w:rPr>
        <w:footnoteReference w:id="1068"/>
      </w:r>
      <w:r>
        <w:rPr>
          <w:rFonts w:ascii="Amiri" w:hAnsi="Amiri" w:eastAsia="Amiri" w:cs="Amiri"/>
          <w:color w:val="111111"/>
          <w:sz w:val="28"/>
          <w:sz w:val="28"/>
          <w:szCs w:val="28"/>
          <w:rtl w:val="true"/>
          <w:lang w:bidi="ar-SA"/>
        </w:rPr>
        <w:t xml:space="preserve">، وظاهر البدأة الدخول، والتأسّي الواجب فيما كان بياناً للواجب، وظهور دخول الغاية في المغيّى مطلقاً، </w:t>
      </w:r>
      <w:bookmarkStart w:id="692" w:name="pg18988_203372"/>
    </w:p>
    <w:p>
      <w:pPr>
        <w:pStyle w:val="BookText"/>
        <w:rPr/>
      </w:pPr>
      <w:bookmarkEnd w:id="692"/>
      <w:r>
        <w:rPr>
          <w:rFonts w:ascii="Amiri" w:hAnsi="Amiri" w:eastAsia="Amiri" w:cs="Amiri"/>
          <w:color w:val="111111"/>
          <w:sz w:val="28"/>
          <w:sz w:val="28"/>
          <w:szCs w:val="28"/>
          <w:rtl w:val="true"/>
          <w:lang w:bidi="ar-SA"/>
        </w:rPr>
        <w:t>أو فيما إذا لم يكن له مفصل محسوس، أو فيما إذا كان من الجنس، وما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ثبت عن الأئمة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غسل المرفق أصلي تبعي، قضى به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وجوب غَسْل شيء ممّا فوقه مقدّمةً له، وعدمه، فعلى الأوّل الأوّل، وعلى الثاني الثاني، وفيما لو قطع العضو من المرفق نفسه، فإنّه يجب غَسْل جزءٍ من العضد، بناءً على أنّ المرفق مجموع طرفي العظمين المتّصلين، وكذلك بناءً على أنّه نفس الوصل الحاصل بين طرفي العظمين؛ وذلك لأنّ الوصل لا يأمر بغَسْله حقيقة، بل المأمور بغسله إمّا طرفا العظمين الحاصل منهما الوصل، أو سطحهما، والسطح لا يمكن غَسْله؛ لعدم القدرة على الوصول إليه، فيكون المأمور به نفس الخطّين المستديرين من العظمين</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13197887_1280447820"/>
      <w:bookmarkStart w:id="694" w:name="_Toc270"/>
      <w:bookmarkEnd w:id="693"/>
      <w:r>
        <w:rPr>
          <w:rtl w:val="true"/>
        </w:rPr>
        <w:t>ثالثها</w:t>
      </w:r>
      <w:r>
        <w:rPr>
          <w:rtl w:val="true"/>
        </w:rPr>
        <w:t xml:space="preserve">: </w:t>
      </w:r>
      <w:r>
        <w:rPr>
          <w:rtl w:val="true"/>
        </w:rPr>
        <w:t>يجب الابتداء بالأعلى في غَسْل الوجه واليدين</w:t>
      </w:r>
      <w:bookmarkEnd w:id="694"/>
    </w:p>
    <w:p>
      <w:pPr>
        <w:pStyle w:val="BookText"/>
        <w:rPr/>
      </w:pPr>
      <w:r>
        <w:rPr>
          <w:rFonts w:ascii="Amiri" w:hAnsi="Amiri" w:eastAsia="Amiri" w:cs="Amiri"/>
          <w:color w:val="111111"/>
          <w:sz w:val="28"/>
          <w:sz w:val="28"/>
          <w:szCs w:val="28"/>
          <w:rtl w:val="true"/>
          <w:lang w:bidi="ar-SA"/>
        </w:rPr>
        <w:t>يجب الابتداء بالأعلى في غَسْل الوجه واليدين، وفاقاً لفتوى المشهور نقلاً</w:t>
      </w:r>
      <w:r>
        <w:rPr>
          <w:rStyle w:val="FootnoteAnchor"/>
          <w:rtl w:val="true"/>
        </w:rPr>
        <w:footnoteReference w:id="1070"/>
      </w:r>
      <w:r>
        <w:rPr>
          <w:rFonts w:ascii="Amiri" w:hAnsi="Amiri" w:eastAsia="Amiri" w:cs="Amiri"/>
          <w:color w:val="111111"/>
          <w:sz w:val="28"/>
          <w:sz w:val="28"/>
          <w:szCs w:val="28"/>
          <w:rtl w:val="true"/>
          <w:lang w:bidi="ar-SA"/>
        </w:rPr>
        <w:t xml:space="preserve">بل تحصيلاً، وللإجماع منقولاً </w:t>
      </w:r>
      <w:r>
        <w:rPr>
          <w:rStyle w:val="FootnoteAnchor"/>
          <w:rtl w:val="true"/>
        </w:rPr>
        <w:footnoteReference w:id="1071"/>
      </w:r>
      <w:r>
        <w:rPr>
          <w:rFonts w:ascii="Amiri" w:hAnsi="Amiri" w:eastAsia="Amiri" w:cs="Amiri"/>
          <w:color w:val="111111"/>
          <w:sz w:val="28"/>
          <w:sz w:val="28"/>
          <w:szCs w:val="28"/>
          <w:rtl w:val="true"/>
          <w:lang w:bidi="ar-SA"/>
        </w:rPr>
        <w:t xml:space="preserve">ظاهراً، ولأصالة بقاء الحدث وشغل الذمّة بالوضوء والصلاة، ولإجمال الوضوء كما في سائر أسماء العبادات، فما شكّ في شرطيّته له نجعله شرطاً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ولصحيح زرارة في حكاية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أسدل الماء على وجهه من أعلى الوجه</w:t>
      </w:r>
      <w:r>
        <w:rPr>
          <w:rStyle w:val="FootnoteAnchor"/>
          <w:rtl w:val="true"/>
        </w:rPr>
        <w:footnoteReference w:id="1072"/>
      </w:r>
      <w:r>
        <w:rPr>
          <w:rFonts w:ascii="Amiri" w:hAnsi="Amiri" w:eastAsia="Amiri" w:cs="Amiri"/>
          <w:color w:val="111111"/>
          <w:sz w:val="28"/>
          <w:sz w:val="28"/>
          <w:szCs w:val="28"/>
          <w:rtl w:val="true"/>
          <w:lang w:bidi="ar-SA"/>
        </w:rPr>
        <w:t>، واستفادة الوجوب إمّا من دليل التأسّي، أو من أجل كونه بياناً للمجمل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وللصحيح المرويّ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فوضعها على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عن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الهيثم في تنزيل قوله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المرافق</w:t>
      </w:r>
      <w:r>
        <w:rPr>
          <w:rStyle w:val="FootnoteAnchor"/>
          <w:rtl w:val="true"/>
        </w:rPr>
        <w:footnoteReference w:id="1074"/>
      </w:r>
      <w:r>
        <w:rPr>
          <w:rFonts w:ascii="IRNazanin" w:hAnsi="IRNazanin" w:eastAsia="IRNazanin"/>
          <w:color w:val="111111"/>
          <w:sz w:val="28"/>
          <w:sz w:val="28"/>
          <w:szCs w:val="28"/>
          <w:rtl w:val="true"/>
          <w:lang w:bidi="fa-IR"/>
        </w:rPr>
        <w:t>أنّها من المرافق</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صفوان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يفيضه على المرفق</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وضعه على مرفقه</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ولرواية الهيثم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يده من مرفقه إلى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الهيثم حيث عكس ذلك</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المركّب المنقول</w:t>
      </w:r>
      <w:r>
        <w:rPr>
          <w:rStyle w:val="FootnoteAnchor"/>
          <w:rtl w:val="true"/>
        </w:rPr>
        <w:footnoteReference w:id="1079"/>
      </w:r>
      <w:r>
        <w:rPr>
          <w:rFonts w:ascii="Amiri" w:hAnsi="Amiri" w:eastAsia="Amiri" w:cs="Amiri"/>
          <w:color w:val="111111"/>
          <w:sz w:val="28"/>
          <w:sz w:val="28"/>
          <w:szCs w:val="28"/>
          <w:rtl w:val="true"/>
          <w:lang w:bidi="ar-SA"/>
        </w:rPr>
        <w:t>على عدم الفصل بين الوجه واليدين في إيجاب الابتداء بالأعلى فيهما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من أعلى وجهك إلى أسفله</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ومدبراً</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 في الرِّجْلين موسّع</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فمفهومه مشعر بأنّ الغسل له كيفيّة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ولانصراف إطلاق أوامر الغسل للابتداء بالأعلى؛ لأنّه الفرد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ولرجحانيّة الابتداء بالأعلى فيحصل اليقين باستمرار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فيجب التأسّي به واتّباعه؛ لكونه بياناً للمجمل،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يقبل الله الصلاة إلّا به</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بعد وضوئه، والمقطوع به ابتداؤه بالأعلى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وبمجموع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اتّجهت المناقشة في كثيرٍ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الظنّ القويّ بوجوب الابتداء بالأعلى، وبه يُقيّد إطلاق الغَسْل المأمور به في الآية والروايات، إن لم نوهن الإطلاق بعوده إلى الإجمال؛ لكثرة وقوع المقيّد له، ولعدم إرادة إطلاقه قطعاً، فيضعف الظنّ بإرادته ولا أقلّ من توهينه بفهم المشهور وفتواهم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فوجوب الابتداء بالأعلى يراد به الأعلى الحقيقي لا العرفي، فيجب أخذ شيء له من باب المقدّمة؛ للاحتياط الواجب في مقام شغل الذمّة، ولحمل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على المعنى الحقيقي دون المسامحات العرفيّة، ولظاهر خبر زرارة؛ حيث ذكر بعد غَسْل الأعلى غَسْل الجانبين ثمّ غَسْل اليد اليمنى</w:t>
      </w:r>
      <w:r>
        <w:rPr>
          <w:rStyle w:val="FootnoteAnchor"/>
          <w:rtl w:val="true"/>
        </w:rPr>
        <w:footnoteReference w:id="1084"/>
      </w:r>
      <w:r>
        <w:rPr>
          <w:rFonts w:ascii="Amiri" w:hAnsi="Amiri" w:eastAsia="Amiri" w:cs="Amiri"/>
          <w:color w:val="111111"/>
          <w:sz w:val="28"/>
          <w:sz w:val="28"/>
          <w:szCs w:val="28"/>
          <w:rtl w:val="true"/>
          <w:lang w:bidi="ar-SA"/>
        </w:rPr>
        <w:t>، ولو لم يكن حقيقيّاً لعاد إلى المتروك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يجب غَسْل أعلى الأعلى بل يتخيّر في الابتداء من أيّ أعلى كان، وإذا ابتدأ بالأعلى ابتداءً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الابتداء ولو كان بمقدار شعرة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غَسْل العضو إلى الأسفل </w:t>
      </w:r>
    </w:p>
    <w:p>
      <w:pPr>
        <w:pStyle w:val="BookText"/>
        <w:rPr/>
      </w:pPr>
      <w:r>
        <w:rPr>
          <w:rFonts w:ascii="Amiri" w:hAnsi="Amiri" w:eastAsia="Amiri" w:cs="Amiri"/>
          <w:color w:val="111111"/>
          <w:sz w:val="28"/>
          <w:sz w:val="28"/>
          <w:szCs w:val="28"/>
          <w:rtl w:val="true"/>
          <w:lang w:bidi="ar-SA"/>
        </w:rPr>
        <w:t>ثمّ العود إلى بعض الأعلى المتروك، وجاز غَسْل كلّ أسفل قبل أعلاه مسامتاً له أو غير مسامت في جانبٍ واحد أو جانبين، كلّ ذلك لحصول الامتثال بإطلاق الأوامر مع عدم الشكّ المعتبر فيها، ولخلوّ الأخبار عن بيان ذلك مع توفّر الدواعي على نقله، ولعدم تعرّض الأصحاب لوجوب الترتيب في العلوّ، وخلوّ كلماتهم عنه، وللسيرة القاضية بالخلاف، ولنفي العسر والحرج اللازمين من ترتيب الأعلى فالأعلى، ولصحيح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وضع اليسرى في الماء فأسدلها على اليمنى ثم مسح جوانبها</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ولما دلّ على أنّ الرجال يبدأون بظاهر الذراع، والنساء بباطنه</w:t>
      </w:r>
      <w:r>
        <w:rPr>
          <w:rStyle w:val="FootnoteAnchor"/>
          <w:rtl w:val="true"/>
        </w:rPr>
        <w:footnoteReference w:id="1086"/>
      </w:r>
      <w:r>
        <w:rPr>
          <w:rFonts w:ascii="Amiri" w:hAnsi="Amiri" w:eastAsia="Amiri" w:cs="Amiri"/>
          <w:color w:val="111111"/>
          <w:sz w:val="28"/>
          <w:sz w:val="28"/>
          <w:szCs w:val="28"/>
          <w:rtl w:val="true"/>
          <w:lang w:bidi="ar-SA"/>
        </w:rPr>
        <w:t>، ومن البعيد استيعاب الظاهر والباطن، ولما ورد من الاكتفاء بثلاث غرفات</w:t>
      </w:r>
      <w:r>
        <w:rPr>
          <w:rStyle w:val="FootnoteAnchor"/>
          <w:rtl w:val="true"/>
        </w:rPr>
        <w:footnoteReference w:id="1087"/>
      </w:r>
      <w:r>
        <w:rPr>
          <w:rFonts w:ascii="Amiri" w:hAnsi="Amiri" w:eastAsia="Amiri" w:cs="Amiri"/>
          <w:color w:val="111111"/>
          <w:sz w:val="28"/>
          <w:sz w:val="28"/>
          <w:szCs w:val="28"/>
          <w:rtl w:val="true"/>
          <w:lang w:bidi="ar-SA"/>
        </w:rPr>
        <w:t>، ولو وجب ترتيب الأعلى فالأعلى لاستوعب ماؤها من أوّل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بالاحتياط في شأن المسامت؛ لظهور بعض الأخبار في الإجراء من فوق إلى اللحية </w:t>
      </w:r>
      <w:r>
        <w:rPr>
          <w:rStyle w:val="FootnoteAnchor"/>
          <w:rtl w:val="true"/>
        </w:rPr>
        <w:footnoteReference w:id="1088"/>
      </w:r>
      <w:r>
        <w:rPr>
          <w:rFonts w:ascii="Amiri" w:hAnsi="Amiri" w:eastAsia="Amiri" w:cs="Amiri"/>
          <w:color w:val="111111"/>
          <w:sz w:val="28"/>
          <w:sz w:val="28"/>
          <w:szCs w:val="28"/>
          <w:rtl w:val="true"/>
          <w:lang w:bidi="ar-SA"/>
        </w:rPr>
        <w:t>في مقام البيان، ولإمكان وقوعه، وإمكان دعوى فعل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ولإشعار بعض عبائر الفقهاء به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يمكن الأعلى الحقيقي وجب الأعلى الإضافي للاحتياط،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ولأنّ ما شكّ في شرطيّته شرط، ولأنّه أقرب المجازات إلى الحقيقة إن جعلنا أسماء العبادات أسماء للاختياريّ منها وحكمنا بعموم الخطاب لسائر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الواجب الابتداء بالأعلى أو عدم الابتداء بالأسفل، وعليه فلو غسل الأعلى مع الأسفل صحّ؟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عدم وجوب الابتداء بالأعلى</w:t>
      </w:r>
      <w:r>
        <w:rPr>
          <w:rStyle w:val="FootnoteAnchor"/>
          <w:rtl w:val="true"/>
        </w:rPr>
        <w:footnoteReference w:id="1091"/>
      </w:r>
      <w:r>
        <w:rPr>
          <w:rFonts w:ascii="IRNazanin" w:hAnsi="IRNazanin" w:eastAsia="IRNazanin"/>
          <w:color w:val="111111"/>
          <w:sz w:val="28"/>
          <w:sz w:val="28"/>
          <w:szCs w:val="28"/>
          <w:rtl w:val="true"/>
          <w:lang w:bidi="fa-IR"/>
        </w:rPr>
        <w:t>، أخذاً بالإطلاق المبيّن لإجمال الوضوء، ولأنّ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به التأسّي مع عدم العلم بوجهه من الوجوب والندب، مع احتمال كون فعله أفضل الفردين أو أقربهما إلى العادة أو من الجبلّيّات الاتفاقيّة، أو من أحد الأفراد للكلّيّ المأمور به</w:t>
      </w:r>
      <w:r>
        <w:rPr>
          <w:rFonts w:eastAsia="IRNazanin" w:cs="IRNazanin"/>
          <w:color w:val="111111"/>
          <w:sz w:val="28"/>
          <w:szCs w:val="28"/>
          <w:rtl w:val="true"/>
          <w:lang w:bidi="fa-IR"/>
        </w:rPr>
        <w:t xml:space="preserve">. </w:t>
      </w:r>
      <w:bookmarkStart w:id="695" w:name="pg18988_203375"/>
    </w:p>
    <w:p>
      <w:pPr>
        <w:pStyle w:val="BookText"/>
        <w:rPr/>
      </w:pPr>
      <w:bookmarkEnd w:id="695"/>
      <w:r>
        <w:rPr>
          <w:rFonts w:ascii="IRNazanin" w:hAnsi="IRNazanin" w:eastAsia="IRNazanin"/>
          <w:color w:val="111111"/>
          <w:sz w:val="28"/>
          <w:sz w:val="28"/>
          <w:szCs w:val="28"/>
          <w:rtl w:val="true"/>
          <w:lang w:bidi="fa-IR"/>
        </w:rPr>
        <w:t>وفي الجميع نظر ؛ لضعف الإطلاق عن الأخذ بإطلاقه، بل يعود مجملاً لما ذكرناه، ولأنّ استمرار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 شيء ينفي كونه من العاديّات أو الاتفاقيّات، ولوقوعه في مقام البيان للواجب يجب التأسّي به وإلّا لزم الإغراء بالجهل، ولأنّ 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يقبل الله الصلاة إلّا به</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 xml:space="preserve">مع فتوى المشهور ممّا ينفي الندب، وصدور إمرار اليد منهم </w:t>
      </w:r>
      <w:r>
        <w:rPr>
          <w:rStyle w:val="FootnoteAnchor"/>
          <w:rtl w:val="true"/>
        </w:rPr>
        <w:footnoteReference w:id="1093"/>
      </w:r>
      <w:r>
        <w:rPr>
          <w:rFonts w:ascii="Amiri" w:hAnsi="Amiri" w:eastAsia="Amiri" w:cs="Amiri"/>
          <w:color w:val="111111"/>
          <w:sz w:val="28"/>
          <w:sz w:val="28"/>
          <w:szCs w:val="28"/>
          <w:rtl w:val="true"/>
          <w:lang w:bidi="ar-SA"/>
        </w:rPr>
        <w:t>لو لم ينعقد الإجماع على استحبابه ويرد النصّ الصحيح على إجزاء الوضوء بماء المطر بمجرّد تساقطه</w:t>
      </w:r>
      <w:r>
        <w:rPr>
          <w:rStyle w:val="FootnoteAnchor"/>
          <w:rtl w:val="true"/>
        </w:rPr>
        <w:footnoteReference w:id="1094"/>
      </w:r>
      <w:r>
        <w:rPr>
          <w:rFonts w:ascii="Amiri" w:hAnsi="Amiri" w:eastAsia="Amiri" w:cs="Amiri"/>
          <w:color w:val="111111"/>
          <w:sz w:val="28"/>
          <w:sz w:val="28"/>
          <w:szCs w:val="28"/>
          <w:rtl w:val="true"/>
          <w:lang w:bidi="ar-SA"/>
        </w:rPr>
        <w:t>لأوجبناه، كالابتداء بالأعلى</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13197889_1280447820"/>
      <w:bookmarkStart w:id="697" w:name="_Toc271"/>
      <w:bookmarkEnd w:id="696"/>
      <w:r>
        <w:rPr>
          <w:rtl w:val="true"/>
        </w:rPr>
        <w:t>رابعها</w:t>
      </w:r>
      <w:r>
        <w:rPr>
          <w:rtl w:val="true"/>
        </w:rPr>
        <w:t xml:space="preserve">: </w:t>
      </w:r>
      <w:r>
        <w:rPr>
          <w:rtl w:val="true"/>
        </w:rPr>
        <w:t>حکم مقطوع اليد من دون المرفق أو من فوقها</w:t>
      </w:r>
      <w:bookmarkEnd w:id="697"/>
    </w:p>
    <w:p>
      <w:pPr>
        <w:pStyle w:val="BookText"/>
        <w:rPr/>
      </w:pPr>
      <w:r>
        <w:rPr>
          <w:rFonts w:ascii="Amiri" w:hAnsi="Amiri" w:eastAsia="Amiri" w:cs="Amiri"/>
          <w:color w:val="111111"/>
          <w:sz w:val="28"/>
          <w:sz w:val="28"/>
          <w:szCs w:val="28"/>
          <w:rtl w:val="true"/>
          <w:lang w:bidi="ar-SA"/>
        </w:rPr>
        <w:t>لو قطعت اليد من دون المرفق وجب غسل ما بقي من محلّ الفرض كلّه؛ للإجماع المنقول</w:t>
      </w:r>
      <w:r>
        <w:rPr>
          <w:rStyle w:val="FootnoteAnchor"/>
          <w:rtl w:val="true"/>
        </w:rPr>
        <w:footnoteReference w:id="1095"/>
      </w:r>
      <w:r>
        <w:rPr>
          <w:rFonts w:ascii="Amiri" w:hAnsi="Amiri" w:eastAsia="Amiri" w:cs="Amiri"/>
          <w:color w:val="111111"/>
          <w:sz w:val="28"/>
          <w:sz w:val="28"/>
          <w:szCs w:val="28"/>
          <w:rtl w:val="true"/>
          <w:lang w:bidi="ar-SA"/>
        </w:rPr>
        <w:t>بل المحصّل، وللاحتياط، ولتعلّق الأمر به قبل القطع فيستصحب، والموضوع لم يتبدّل؛ لأنّ المجموعيّة ليست شرطاً في الأمر بالكلّ، ولأنّ الأمر بالكلّ أمر بالأجزاء ضمناً أصالةً لا تبعاً، كالأمر بالجمع والأمر بالمعدود، فلا يسقط الأمر الثاني بسقوط الأمر الأوّل ما لم يفهم شرط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صحاح الأخبار أنّ مقطوع اليد والرِّجْل والأقطع يغسل ما قطع منه أو المكان الذي قطع منه</w:t>
      </w:r>
      <w:r>
        <w:rPr>
          <w:rStyle w:val="FootnoteAnchor"/>
          <w:rtl w:val="true"/>
        </w:rPr>
        <w:footnoteReference w:id="1096"/>
      </w:r>
      <w:r>
        <w:rPr>
          <w:rFonts w:ascii="Amiri" w:hAnsi="Amiri" w:eastAsia="Amiri" w:cs="Amiri"/>
          <w:color w:val="111111"/>
          <w:sz w:val="28"/>
          <w:sz w:val="28"/>
          <w:szCs w:val="28"/>
          <w:rtl w:val="true"/>
          <w:lang w:bidi="ar-SA"/>
        </w:rPr>
        <w:t>، يراد به أنّه يغسل ذلك فما فوقه إلى محلّ الفرض، ومثله في التعبير غير عزيزٍ، على أنّ ما ذكرناه مبيّن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في حسنة ابن مسلم في الأقطع اليد والرِّجْل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قطعت من فوق المرفق، لم يجب غَسْله إجماعاً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ندبه؛ لفتوى بعض الفقهاء</w:t>
      </w:r>
      <w:r>
        <w:rPr>
          <w:rStyle w:val="FootnoteAnchor"/>
          <w:rtl w:val="true"/>
        </w:rPr>
        <w:footnoteReference w:id="1098"/>
      </w:r>
      <w:r>
        <w:rPr>
          <w:rFonts w:ascii="Amiri" w:hAnsi="Amiri" w:eastAsia="Amiri" w:cs="Amiri"/>
          <w:color w:val="111111"/>
          <w:sz w:val="28"/>
          <w:sz w:val="28"/>
          <w:szCs w:val="28"/>
          <w:rtl w:val="true"/>
          <w:lang w:bidi="ar-SA"/>
        </w:rPr>
        <w:t>بذلك، ولإطلاق الأخبار السابقة بحملها على مطلق الطلب، فيجب في مقام الوجوب ويندب في مقام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تقديم التخصيص بحمله على القطع ممّا دون المرفق على المجاز، وهو استعمال اللفظ في المجازي الشامل للوجوب والندب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قطعت من المرفق نفسه، وجب غَسْل ما بقى من عضده، كما هو منطوق صحيحة علي بن جعفر</w:t>
      </w:r>
      <w:r>
        <w:rPr>
          <w:rStyle w:val="FootnoteAnchor"/>
          <w:rtl w:val="true"/>
        </w:rPr>
        <w:footnoteReference w:id="1099"/>
      </w:r>
      <w:r>
        <w:rPr>
          <w:rFonts w:ascii="Amiri" w:hAnsi="Amiri" w:eastAsia="Amiri" w:cs="Amiri"/>
          <w:color w:val="111111"/>
          <w:sz w:val="28"/>
          <w:sz w:val="28"/>
          <w:szCs w:val="28"/>
          <w:rtl w:val="true"/>
          <w:lang w:bidi="ar-SA"/>
        </w:rPr>
        <w:t>، سواء كان المرفق بنفسه مقطوعاً أو كان القطع تحته، بناء على خروج البداءة، كما هو الظاهر هنا من تعلّق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البداءة داخلةً في القطع ، كان حكم الرواية حكم الروايات الآمرة بغَسْل ما فوق المرفق بإطلاقها، فتُحمل على الندب؛ للاتّفاق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المشهور يؤيّد إرادة القطع منه نفسه أو ممّا تحته،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رأسه المتّصل بالذراع الذي كان يغسل سابقاً؛ لأنّ المرفق إمّا مجموع طرفي العظمين المتلاصقين أو المتداخلين أو الخطّ الوصلي ما بينهما، وهو لا يتحقّق غسله إلّا بغسل جزء من كلٍّ من الطرفين المتلاصقين، فإذا لم يمكن غَسْل كلٍّ منهما وجب غسل ما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وجوب غَسْل الباقي من طرف العضد على القول بأنّ المرفق هو الخطّ المحيط والموصل بين الذراع والعضد؛ لأنّه عند انفصاله يرتفع الوصل فيرتفع ذلك الخطّ فلا يجب غَسْل شيء لتحصيله،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ارتفاع الوصل لا يستلزم ارتفاع الحكم الذي كان متعلّقاً بغيره حال وجوده، فيستصحب الحكم الأوّل بالنسبة إلى ما بقي من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يجب غَسْل سطح عظم العضد؛ لأنّ الوصل بينه وبين سطح عظم الذراع به، أو يكفي غسل الخّط الدائر؛ لأنّه هو المأمور بغسله حال الاتّصال دون السطوح المتلاقية؟</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السطح؛ للاحتياط، ولقيامه مقام المأمور به كما لو ظهر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w:t>
      </w:r>
      <w:r>
        <w:rPr>
          <w:rStyle w:val="FootnoteAnchor"/>
          <w:rtl w:val="true"/>
        </w:rPr>
        <w:footnoteReference w:id="1100"/>
      </w:r>
      <w:r>
        <w:rPr>
          <w:rFonts w:ascii="Amiri" w:hAnsi="Amiri" w:eastAsia="Amiri" w:cs="Amiri"/>
          <w:color w:val="111111"/>
          <w:sz w:val="28"/>
          <w:sz w:val="28"/>
          <w:szCs w:val="28"/>
          <w:rtl w:val="true"/>
          <w:lang w:bidi="ar-SA"/>
        </w:rPr>
        <w:t xml:space="preserve">إلى عدم وجوب غَسْل ما بقي؛ لفوات الأمر بفوات المأمور به، وفوات حكم الجزء بفوات حكم الكلّ، ولبطلان الاستصحاب بتبدّل الموضوع، ولظهور رواية </w:t>
      </w:r>
      <w:r>
        <w:rPr>
          <w:rStyle w:val="FootnoteAnchor"/>
          <w:rtl w:val="true"/>
        </w:rPr>
        <w:footnoteReference w:id="1101"/>
      </w:r>
      <w:r>
        <w:rPr>
          <w:rFonts w:ascii="Amiri" w:hAnsi="Amiri" w:eastAsia="Amiri" w:cs="Amiri"/>
          <w:color w:val="111111"/>
          <w:sz w:val="28"/>
          <w:sz w:val="28"/>
          <w:szCs w:val="28"/>
          <w:rtl w:val="true"/>
          <w:lang w:bidi="ar-SA"/>
        </w:rPr>
        <w:t>عليّ بن جعفر في وجوب غسل العضد كملاً ولا قائل به، فتُحمل على الندب، وحمله على طرف العضد مجاز، وليس بأولى من التجوّز بإرادة الندب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 كما تقدّم</w:t>
      </w:r>
      <w:r>
        <w:rPr>
          <w:rFonts w:eastAsia="Amiri" w:cs="Amiri" w:ascii="Amiri" w:hAnsi="Amiri"/>
          <w:color w:val="111111"/>
          <w:sz w:val="28"/>
          <w:szCs w:val="28"/>
          <w:rtl w:val="true"/>
          <w:lang w:bidi="ar-SA"/>
        </w:rPr>
        <w:t xml:space="preserve">. </w:t>
      </w:r>
      <w:bookmarkStart w:id="698" w:name="pg18988_203377"/>
    </w:p>
    <w:p>
      <w:pPr>
        <w:pStyle w:val="Heading6"/>
        <w:numPr>
          <w:ilvl w:val="5"/>
          <w:numId w:val="1"/>
        </w:numPr>
        <w:rPr/>
      </w:pPr>
      <w:bookmarkStart w:id="699" w:name="__RefHeading___Toc13197891_1280447820"/>
      <w:bookmarkStart w:id="700" w:name="_Toc272"/>
      <w:bookmarkEnd w:id="698"/>
      <w:bookmarkEnd w:id="699"/>
      <w:r>
        <w:rPr>
          <w:rtl w:val="true"/>
        </w:rPr>
        <w:t>خامسها</w:t>
      </w:r>
      <w:r>
        <w:rPr>
          <w:rtl w:val="true"/>
        </w:rPr>
        <w:t xml:space="preserve">: </w:t>
      </w:r>
      <w:r>
        <w:rPr>
          <w:rtl w:val="true"/>
        </w:rPr>
        <w:t>وجوب غسل كلّ ما نبت على اليد من تحت المرفق</w:t>
      </w:r>
      <w:bookmarkEnd w:id="700"/>
    </w:p>
    <w:p>
      <w:pPr>
        <w:pStyle w:val="BookText"/>
        <w:rPr/>
      </w:pPr>
      <w:r>
        <w:rPr>
          <w:rFonts w:ascii="Amiri" w:hAnsi="Amiri" w:eastAsia="Amiri" w:cs="Amiri"/>
          <w:color w:val="111111"/>
          <w:sz w:val="28"/>
          <w:sz w:val="28"/>
          <w:szCs w:val="28"/>
          <w:rtl w:val="true"/>
          <w:lang w:bidi="ar-SA"/>
        </w:rPr>
        <w:t>كلّ ما نبت على اليد من تحت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لحم أو إصبع أو غدد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غسله؛ لصيرورته جزء يد، ولقيامه مقام منبته، وللاحتياط الواجب في مقام 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نبت فوق المرفق لا يجب غسله، إلّا إذا كانت يداً مشتبهةً بالأصليّة، فإنّه يجب غسلها؛ للاحتياط الواجب من باب المقدّمة، لأنّ تركهما يؤدّي إلى ترك غسل اليد، وغَسْل أحدهما معيّناً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عُلمت زيادتها على الأصليّة بالقرائن الخلقيّة أو الضعف والقوّة ونحو ذلك، لم يجب غسلها؛ لانصراف الأوامر بالغسل للمعهود من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غسلها؛ لشبهة دخولها تحت عموم وأيديكم</w:t>
      </w:r>
      <w:r>
        <w:rPr>
          <w:rStyle w:val="FootnoteAnchor"/>
          <w:rtl w:val="true"/>
        </w:rPr>
        <w:footnoteReference w:id="1102"/>
      </w:r>
      <w:r>
        <w:rPr>
          <w:rFonts w:ascii="IRNazanin" w:hAnsi="IRNazanin" w:eastAsia="IRNazanin"/>
          <w:color w:val="111111"/>
          <w:sz w:val="28"/>
          <w:sz w:val="28"/>
          <w:szCs w:val="28"/>
          <w:rtl w:val="true"/>
          <w:lang w:bidi="fa-IR"/>
        </w:rPr>
        <w:t>بناءً على فهم العموم من الجمع المضاف دون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بعضهم </w:t>
      </w:r>
      <w:r>
        <w:rPr>
          <w:rStyle w:val="FootnoteAnchor"/>
          <w:rtl w:val="true"/>
        </w:rPr>
        <w:footnoteReference w:id="1103"/>
      </w:r>
      <w:r>
        <w:rPr>
          <w:rFonts w:ascii="Amiri" w:hAnsi="Amiri" w:eastAsia="Amiri" w:cs="Amiri"/>
          <w:color w:val="111111"/>
          <w:sz w:val="28"/>
          <w:sz w:val="28"/>
          <w:szCs w:val="28"/>
          <w:rtl w:val="true"/>
          <w:lang w:bidi="ar-SA"/>
        </w:rPr>
        <w:t>في الزائدة بين ما يكون لها مرفق فيجب غسلها؛ لما ذكرناه، وبين ما لا يكون لها كذلك فلا يجب قطعاً؛ لأنّ وجوب غسل اليد إلى المرافق، وحيث لا مرفق 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عدم وجوب غسل اليد الواحدة إذا لم يكن مرفق،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بالتزام ذلك إن لم يقم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خلوّ الواحدة عن المرفق، وبين خلوّ الثانية؛ لأنّ خلوّ الواحدة لا يقضى بنفي غسلها المأمور به؛ لأنّ المغيّى ليس كالموصوف ينتفي الحكم عند انتفاء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 قدر المغسول منه، فهل هو الكلّ أو القدر المتعارف المحدود بالمرفق؟ والظاهر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خلوّ الثانية عنه فيقضي بعدم وجوب غسلها؛ لحصول الغسل لليد إلى المرافق في الأُولى وصدق الامتثال، إلّا إذا اشتبهت بالأصليّة لو جوّزنا وقوع ذلك فيجب غسلها</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13197893_1280447820"/>
      <w:bookmarkStart w:id="702" w:name="_Toc273"/>
      <w:bookmarkEnd w:id="701"/>
      <w:r>
        <w:rPr>
          <w:rtl w:val="true"/>
        </w:rPr>
        <w:t>سادسها</w:t>
      </w:r>
      <w:r>
        <w:rPr>
          <w:rtl w:val="true"/>
        </w:rPr>
        <w:t xml:space="preserve">: </w:t>
      </w:r>
      <w:r>
        <w:rPr>
          <w:rtl w:val="true"/>
        </w:rPr>
        <w:t>حکم غسل الشعر مع البشرۀ وتخلیل الشعر وإن کثف</w:t>
      </w:r>
      <w:bookmarkEnd w:id="702"/>
    </w:p>
    <w:p>
      <w:pPr>
        <w:pStyle w:val="BookText"/>
        <w:rPr/>
      </w:pPr>
      <w:r>
        <w:rPr>
          <w:rFonts w:ascii="Amiri" w:hAnsi="Amiri" w:eastAsia="Amiri" w:cs="Amiri"/>
          <w:color w:val="111111"/>
          <w:sz w:val="28"/>
          <w:sz w:val="28"/>
          <w:szCs w:val="28"/>
          <w:rtl w:val="true"/>
          <w:lang w:bidi="ar-SA"/>
        </w:rPr>
        <w:t>الأظهر وجوب تخليل شعر اليد وإن كثف لإيصال الماء للبشرة؛ لتوقّف الامتثال عليه، ولعدم دليلٍ على قيام الشعر مقام البشرة وللاحتياط الواجب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جاء من عدم طلب ما تحت الشعر</w:t>
      </w:r>
      <w:r>
        <w:rPr>
          <w:rStyle w:val="FootnoteAnchor"/>
          <w:rtl w:val="true"/>
        </w:rPr>
        <w:footnoteReference w:id="1104"/>
      </w:r>
      <w:r>
        <w:rPr>
          <w:rFonts w:ascii="IRNazanin" w:hAnsi="IRNazanin" w:eastAsia="IRNazanin"/>
          <w:color w:val="111111"/>
          <w:sz w:val="28"/>
          <w:sz w:val="28"/>
          <w:szCs w:val="28"/>
          <w:rtl w:val="true"/>
          <w:lang w:bidi="fa-IR"/>
        </w:rPr>
        <w:t>، ومن الأمر بغسل ما ظهر</w:t>
      </w:r>
      <w:r>
        <w:rPr>
          <w:rStyle w:val="FootnoteAnchor"/>
          <w:rtl w:val="true"/>
        </w:rPr>
        <w:footnoteReference w:id="1105"/>
      </w:r>
      <w:r>
        <w:rPr>
          <w:rFonts w:ascii="IRNazanin" w:hAnsi="IRNazanin" w:eastAsia="IRNazanin"/>
          <w:color w:val="111111"/>
          <w:sz w:val="28"/>
          <w:sz w:val="28"/>
          <w:szCs w:val="28"/>
          <w:rtl w:val="true"/>
          <w:lang w:bidi="fa-IR"/>
        </w:rPr>
        <w:t xml:space="preserve">مراد به شعر الوجه؛ </w:t>
      </w:r>
      <w:bookmarkStart w:id="703" w:name="pg18988_203378"/>
    </w:p>
    <w:p>
      <w:pPr>
        <w:pStyle w:val="BookText"/>
        <w:rPr/>
      </w:pPr>
      <w:bookmarkEnd w:id="703"/>
      <w:r>
        <w:rPr>
          <w:rFonts w:ascii="Amiri" w:hAnsi="Amiri" w:eastAsia="Amiri" w:cs="Amiri"/>
          <w:color w:val="111111"/>
          <w:sz w:val="28"/>
          <w:sz w:val="28"/>
          <w:szCs w:val="28"/>
          <w:rtl w:val="true"/>
          <w:lang w:bidi="ar-SA"/>
        </w:rPr>
        <w:t>لفهم الفقهاء ذلك، ولأنّه هو الفرد الظاهر الذي له تحت وفوق وهو المعهود ذكراً وذهناً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ففي الاكتفاء به قوّة؛ لعموم الرواية </w:t>
      </w:r>
      <w:r>
        <w:rPr>
          <w:rStyle w:val="FootnoteAnchor"/>
          <w:rtl w:val="true"/>
        </w:rPr>
        <w:footnoteReference w:id="1106"/>
      </w:r>
      <w:r>
        <w:rPr>
          <w:rFonts w:ascii="Amiri" w:hAnsi="Amiri" w:eastAsia="Amiri" w:cs="Amiri"/>
          <w:color w:val="111111"/>
          <w:sz w:val="28"/>
          <w:sz w:val="28"/>
          <w:szCs w:val="28"/>
          <w:rtl w:val="true"/>
          <w:lang w:bidi="ar-SA"/>
        </w:rPr>
        <w:t>على إيرادها مستقلّة، ودليل اليسر</w:t>
      </w:r>
      <w:r>
        <w:rPr>
          <w:rStyle w:val="FootnoteAnchor"/>
          <w:rtl w:val="true"/>
        </w:rPr>
        <w:footnoteReference w:id="1107"/>
      </w:r>
      <w:r>
        <w:rPr>
          <w:rFonts w:ascii="Amiri" w:hAnsi="Amiri" w:eastAsia="Amiri" w:cs="Amiri"/>
          <w:color w:val="111111"/>
          <w:sz w:val="28"/>
          <w:sz w:val="28"/>
          <w:szCs w:val="28"/>
          <w:rtl w:val="true"/>
          <w:lang w:bidi="ar-SA"/>
        </w:rPr>
        <w:t>، والرواية الآمرة بغسل الظاهر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غَسْل الشعر مع البشرة؛ لأنّه جزء من اليد، وللاحتياط، ولقيامه مقام منبته، ولظاهر نفي الخلاف عن بعضهم</w:t>
      </w:r>
      <w:r>
        <w:rPr>
          <w:rStyle w:val="FootnoteAnchor"/>
          <w:rtl w:val="true"/>
        </w:rPr>
        <w:footnoteReference w:id="1109"/>
      </w:r>
      <w:r>
        <w:rPr>
          <w:rFonts w:ascii="Amiri" w:hAnsi="Amiri" w:eastAsia="Amiri" w:cs="Amiri"/>
          <w:color w:val="111111"/>
          <w:sz w:val="28"/>
          <w:sz w:val="28"/>
          <w:szCs w:val="28"/>
          <w:rtl w:val="true"/>
          <w:lang w:bidi="ar-SA"/>
        </w:rPr>
        <w:t>، أو لا يجب؛ للأصل، ولظهور اختصاص لفظة اليد في البشرة؟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بوجوب غسل ما حول المنبت من أُصول الشعر؛ لقيامه مقام المنبت، دون ما زاد؛ جمعاً بين القولين والدليلين</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3197895_1280447820"/>
      <w:bookmarkStart w:id="705" w:name="_Toc274"/>
      <w:bookmarkEnd w:id="704"/>
      <w:r>
        <w:rPr>
          <w:rtl w:val="true"/>
        </w:rPr>
        <w:t>سابعها</w:t>
      </w:r>
      <w:r>
        <w:rPr>
          <w:rtl w:val="true"/>
        </w:rPr>
        <w:t xml:space="preserve">: </w:t>
      </w:r>
      <w:r>
        <w:rPr>
          <w:rtl w:val="true"/>
        </w:rPr>
        <w:t>لا يجب غَسْل ما تحت الأظفار</w:t>
      </w:r>
      <w:bookmarkEnd w:id="705"/>
    </w:p>
    <w:p>
      <w:pPr>
        <w:pStyle w:val="BookText"/>
        <w:rPr/>
      </w:pPr>
      <w:r>
        <w:rPr>
          <w:rFonts w:ascii="Amiri" w:hAnsi="Amiri" w:eastAsia="Amiri" w:cs="Amiri"/>
          <w:color w:val="111111"/>
          <w:sz w:val="28"/>
          <w:sz w:val="28"/>
          <w:szCs w:val="28"/>
          <w:rtl w:val="true"/>
          <w:lang w:bidi="ar-SA"/>
        </w:rPr>
        <w:t xml:space="preserve">لا يجب غَسْل ما تحت الأظفار، فلا تجب إزالة الوسخ عنها؛ لأنّها من البواطن ما لم يتجاوز إلى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السطح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عرفاً فتجب إزالته؛ لوجوب غَسْل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الروايات عن وجوب غَسْل ما تحتها مع توفّر الدواعي لنقله وبيانه لو كان، والسيرة القاطعة من أغلب الناس على عدم إزالة وسخهنّ وعدم إدخال الماء تحتهنّ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عدم إزالة وسخ أظفار الميّت عند تغسيله</w:t>
      </w:r>
      <w:r>
        <w:rPr>
          <w:rStyle w:val="FootnoteAnchor"/>
          <w:rtl w:val="true"/>
        </w:rPr>
        <w:footnoteReference w:id="1110"/>
      </w:r>
      <w:r>
        <w:rPr>
          <w:rFonts w:ascii="Amiri" w:hAnsi="Amiri" w:eastAsia="Amiri" w:cs="Amiri"/>
          <w:color w:val="111111"/>
          <w:sz w:val="28"/>
          <w:sz w:val="28"/>
          <w:szCs w:val="28"/>
          <w:rtl w:val="true"/>
          <w:lang w:bidi="ar-SA"/>
        </w:rPr>
        <w:t xml:space="preserve">، وعدم الأمر بقصّ الأظفار في التيمّم وفي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متعلّقان بظاهر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على عدم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ما ستره الوسخ فلا يجب غسله ويقوم غسل الوسخ مقامه، وبين ما لا يستره فيجب إيصال الماء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ولا يخلو من نوع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 أوجب الإزالة أراد ما إذا ستر الوسخ الظاهر أو المشكوك فيه، ومَنْ يوجب أراد ما إذا ستر الباطن عرفاً، والمستور غالباً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نفس الأظفر لو زاد على المعتاد فالأظهر وجوب غسله؛ لشمول اسم اليد له، ولقيامه مقام حدّه المتعارف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الشعر بناءً على وجوب  غسله</w:t>
      </w:r>
      <w:r>
        <w:rPr>
          <w:rFonts w:eastAsia="Amiri" w:cs="Amiri" w:ascii="Amiri" w:hAnsi="Amiri"/>
          <w:color w:val="111111"/>
          <w:sz w:val="28"/>
          <w:szCs w:val="28"/>
          <w:rtl w:val="true"/>
          <w:lang w:bidi="ar-SA"/>
        </w:rPr>
        <w:t xml:space="preserve">. </w:t>
      </w:r>
      <w:bookmarkStart w:id="706" w:name="pg18988_203379"/>
    </w:p>
    <w:p>
      <w:pPr>
        <w:pStyle w:val="BookText"/>
        <w:rPr/>
      </w:pPr>
      <w:bookmarkEnd w:id="706"/>
      <w:r>
        <w:rPr>
          <w:rFonts w:ascii="Amiri" w:hAnsi="Amiri" w:eastAsia="Amiri" w:cs="Amiri"/>
          <w:color w:val="111111"/>
          <w:sz w:val="28"/>
          <w:sz w:val="28"/>
          <w:szCs w:val="28"/>
          <w:rtl w:val="true"/>
          <w:lang w:bidi="ar-SA"/>
        </w:rPr>
        <w:t>واحتمال الاكتفاء بغسل القدر المعتاد منه بعيد كاحتمال وجوب قصّه إذا طال لمنعه من غسل الحدّ المتعارف من حافّته لا مستند لهما قويّ</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3197897_1280447820"/>
      <w:bookmarkStart w:id="708" w:name="_Toc275"/>
      <w:bookmarkEnd w:id="707"/>
      <w:r>
        <w:rPr>
          <w:rtl w:val="true"/>
        </w:rPr>
        <w:t>ثامنها</w:t>
      </w:r>
      <w:r>
        <w:rPr>
          <w:rtl w:val="true"/>
        </w:rPr>
        <w:t xml:space="preserve">: </w:t>
      </w:r>
      <w:r>
        <w:rPr>
          <w:rtl w:val="true"/>
        </w:rPr>
        <w:t>لا يجب غَسفل الباطن إلّا إذا ظهر، وكذا الظاهر إذا بطن</w:t>
      </w:r>
      <w:bookmarkEnd w:id="708"/>
    </w:p>
    <w:p>
      <w:pPr>
        <w:pStyle w:val="BookText"/>
        <w:rPr/>
      </w:pPr>
      <w:r>
        <w:rPr>
          <w:rFonts w:ascii="Amiri" w:hAnsi="Amiri" w:eastAsia="Amiri" w:cs="Amiri"/>
          <w:color w:val="111111"/>
          <w:sz w:val="28"/>
          <w:sz w:val="28"/>
          <w:szCs w:val="28"/>
          <w:rtl w:val="true"/>
          <w:lang w:bidi="ar-SA"/>
        </w:rPr>
        <w:t>لا يجب غَسفل الباطن إلّا إذا ظهر، وكذا الظاهر إذا بطن</w:t>
      </w:r>
    </w:p>
    <w:p>
      <w:pPr>
        <w:pStyle w:val="BookText"/>
        <w:rPr/>
      </w:pPr>
      <w:r>
        <w:rPr>
          <w:rFonts w:ascii="Amiri" w:hAnsi="Amiri" w:eastAsia="Amiri" w:cs="Amiri"/>
          <w:color w:val="111111"/>
          <w:sz w:val="28"/>
          <w:sz w:val="28"/>
          <w:szCs w:val="28"/>
          <w:rtl w:val="true"/>
          <w:lang w:bidi="ar-SA"/>
        </w:rPr>
        <w:t>وإذا جرحت اليد فإن رؤي شقّ الجرح ظاهراً وجب إيصال الماء إليه، وإلّا كفى غسل الحافّتين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والجلدة المكشوطة يجب غسلها مع المحلّ المكشوط منه إذا لم توضع على ما كشطت منه، وإلّا كفى غسلها بعد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لا يخفى سيّما فيما لا يرجى التحامها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انكشطت من محلّ الفرض، وإن انكشطت من أعلاه حتى نزلت إلى محلّ الفرض فالأظهر وجوب غَسْل ما دخل في محلّ الفرض دون ما خرج، وغَسْل موضعها، وقد يحتاط بغسلها كلّها</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3197899_1280447820"/>
      <w:bookmarkStart w:id="710" w:name="_Toc276"/>
      <w:bookmarkEnd w:id="709"/>
      <w:r>
        <w:rPr>
          <w:rtl w:val="true"/>
        </w:rPr>
        <w:t>تاسعها</w:t>
      </w:r>
      <w:r>
        <w:rPr>
          <w:rtl w:val="true"/>
        </w:rPr>
        <w:t xml:space="preserve">: </w:t>
      </w:r>
      <w:r>
        <w:rPr>
          <w:rtl w:val="true"/>
        </w:rPr>
        <w:t>يجزئ الغسل للمغسول على أيّ نحوٍ</w:t>
      </w:r>
      <w:bookmarkEnd w:id="710"/>
    </w:p>
    <w:p>
      <w:pPr>
        <w:pStyle w:val="BookText"/>
        <w:rPr/>
      </w:pPr>
      <w:r>
        <w:rPr>
          <w:rFonts w:ascii="Amiri" w:hAnsi="Amiri" w:eastAsia="Amiri" w:cs="Amiri"/>
          <w:color w:val="111111"/>
          <w:sz w:val="28"/>
          <w:sz w:val="28"/>
          <w:szCs w:val="28"/>
          <w:rtl w:val="true"/>
          <w:lang w:bidi="ar-SA"/>
        </w:rPr>
        <w:t>يجزئ الغسل للمغسول على أيّ نحوٍ وقع، بذلك أو بغيره، بإمرار يدٍ أو بغيره، وبصبٍّ أو بغيره من رمسٍ في قليلٍ أو كثيرٍ، سواء نوى الغسل بالإدخال أو الإخراج أو الكون أو التحريك أو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لا ينوي الأسفل إذا نوى الغَسْل بالكون حال رمسه، بل الأحوط أن ينوي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الغَسْل نازلاً من أعلى إلى أسفل ومن مساوٍ إلى مساوٍ، ولا يجوز منكوساً من أسفل إلى أعلى؛ لمخالفته المعهود، وللزوم الاحتياط في مثله، ولإشعار ما دلّ على لزوم الابتداء بالأعلى</w:t>
      </w:r>
      <w:r>
        <w:rPr>
          <w:rStyle w:val="FootnoteAnchor"/>
          <w:rtl w:val="true"/>
        </w:rPr>
        <w:footnoteReference w:id="1111"/>
      </w:r>
      <w:r>
        <w:rPr>
          <w:rFonts w:ascii="Amiri" w:hAnsi="Amiri" w:eastAsia="Amiri" w:cs="Amiri"/>
          <w:color w:val="111111"/>
          <w:sz w:val="28"/>
          <w:sz w:val="28"/>
          <w:szCs w:val="28"/>
          <w:rtl w:val="true"/>
          <w:lang w:bidi="ar-SA"/>
        </w:rPr>
        <w:t>والغَسْل على الكيفيّة المعهودة والوضوءات البيانيّة</w:t>
      </w:r>
      <w:r>
        <w:rPr>
          <w:rStyle w:val="FootnoteAnchor"/>
          <w:rtl w:val="true"/>
        </w:rPr>
        <w:footnoteReference w:id="111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5"/>
        <w:numPr>
          <w:ilvl w:val="4"/>
          <w:numId w:val="1"/>
        </w:numPr>
        <w:rPr/>
      </w:pPr>
      <w:bookmarkStart w:id="711" w:name="__RefHeading___Toc13197901_1280447820"/>
      <w:bookmarkStart w:id="712" w:name="_Toc277"/>
      <w:bookmarkEnd w:id="711"/>
      <w:r>
        <w:rPr>
          <w:rtl w:val="true"/>
        </w:rPr>
        <w:t xml:space="preserve">الرابع </w:t>
      </w:r>
      <w:r>
        <w:rPr>
          <w:rtl w:val="true"/>
        </w:rPr>
        <w:t xml:space="preserve">- </w:t>
      </w:r>
      <w:r>
        <w:rPr>
          <w:rtl w:val="true"/>
        </w:rPr>
        <w:t xml:space="preserve">من فروض الوضوء </w:t>
      </w:r>
      <w:r>
        <w:rPr>
          <w:rtl w:val="true"/>
        </w:rPr>
        <w:t xml:space="preserve">: </w:t>
      </w:r>
      <w:r>
        <w:rPr>
          <w:rtl w:val="true"/>
        </w:rPr>
        <w:t>مسح الرأس ببلة الوضوء</w:t>
      </w:r>
      <w:bookmarkEnd w:id="712"/>
    </w:p>
    <w:p>
      <w:pPr>
        <w:pStyle w:val="Heading6"/>
        <w:numPr>
          <w:ilvl w:val="5"/>
          <w:numId w:val="1"/>
        </w:numPr>
        <w:rPr/>
      </w:pPr>
      <w:bookmarkStart w:id="713" w:name="__RefHeading___Toc13197903_1280447820"/>
      <w:bookmarkStart w:id="714" w:name="_Toc278"/>
      <w:bookmarkEnd w:id="713"/>
      <w:r>
        <w:rPr>
          <w:rtl w:val="true"/>
        </w:rPr>
        <w:t>اشارة</w:t>
      </w:r>
      <w:bookmarkEnd w:id="7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 عليه الكتاب </w:t>
      </w:r>
      <w:r>
        <w:rPr>
          <w:rStyle w:val="FootnoteAnchor"/>
          <w:rtl w:val="true"/>
        </w:rPr>
        <w:footnoteReference w:id="1113"/>
      </w:r>
      <w:r>
        <w:rPr>
          <w:rFonts w:ascii="Amiri" w:hAnsi="Amiri" w:eastAsia="Amiri" w:cs="Amiri"/>
          <w:color w:val="111111"/>
          <w:sz w:val="28"/>
          <w:sz w:val="28"/>
          <w:szCs w:val="28"/>
          <w:rtl w:val="true"/>
          <w:lang w:bidi="ar-SA"/>
        </w:rPr>
        <w:t>والسنّة</w:t>
      </w:r>
      <w:r>
        <w:rPr>
          <w:rStyle w:val="FootnoteAnchor"/>
          <w:rtl w:val="true"/>
        </w:rPr>
        <w:footnoteReference w:id="1114"/>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bookmarkStart w:id="715" w:name="pg18988_203380"/>
    </w:p>
    <w:p>
      <w:pPr>
        <w:pStyle w:val="Heading6"/>
        <w:numPr>
          <w:ilvl w:val="5"/>
          <w:numId w:val="1"/>
        </w:numPr>
        <w:rPr/>
      </w:pPr>
      <w:bookmarkStart w:id="716" w:name="__RefHeading___Toc13197905_1280447820"/>
      <w:bookmarkStart w:id="717" w:name="_Toc279"/>
      <w:bookmarkEnd w:id="715"/>
      <w:bookmarkEnd w:id="716"/>
      <w:r>
        <w:rPr>
          <w:rtl w:val="true"/>
        </w:rPr>
        <w:t>وفيه أُمور</w:t>
      </w:r>
      <w:r>
        <w:rPr>
          <w:rtl w:val="true"/>
        </w:rPr>
        <w:t>:</w:t>
      </w:r>
      <w:bookmarkEnd w:id="717"/>
    </w:p>
    <w:p>
      <w:pPr>
        <w:pStyle w:val="Heading6"/>
        <w:numPr>
          <w:ilvl w:val="5"/>
          <w:numId w:val="1"/>
        </w:numPr>
        <w:rPr/>
      </w:pPr>
      <w:bookmarkStart w:id="718" w:name="__RefHeading___Toc13197907_1280447820"/>
      <w:bookmarkStart w:id="719" w:name="_Toc280"/>
      <w:bookmarkEnd w:id="718"/>
      <w:r>
        <w:rPr>
          <w:rtl w:val="true"/>
        </w:rPr>
        <w:t>أحدها</w:t>
      </w:r>
      <w:r>
        <w:rPr>
          <w:rtl w:val="true"/>
        </w:rPr>
        <w:t xml:space="preserve">: </w:t>
      </w:r>
      <w:r>
        <w:rPr>
          <w:rtl w:val="true"/>
        </w:rPr>
        <w:t>يختصّ المسح بمقدّم الرأس</w:t>
      </w:r>
      <w:bookmarkEnd w:id="719"/>
    </w:p>
    <w:p>
      <w:pPr>
        <w:pStyle w:val="BookText"/>
        <w:rPr/>
      </w:pPr>
      <w:r>
        <w:rPr>
          <w:rFonts w:ascii="Amiri" w:hAnsi="Amiri" w:eastAsia="Amiri" w:cs="Amiri"/>
          <w:color w:val="111111"/>
          <w:sz w:val="28"/>
          <w:sz w:val="28"/>
          <w:szCs w:val="28"/>
          <w:rtl w:val="true"/>
          <w:lang w:bidi="ar-SA"/>
        </w:rPr>
        <w:t>يختصّ المسح بمقدّم الرأس؛ للإجماع، والأخبار الصحيحة الدالّة على الأمر بمسح المقدّم</w:t>
      </w:r>
      <w:r>
        <w:rPr>
          <w:rStyle w:val="FootnoteAnchor"/>
          <w:rtl w:val="true"/>
        </w:rPr>
        <w:footnoteReference w:id="1115"/>
      </w:r>
      <w:r>
        <w:rPr>
          <w:rFonts w:ascii="Amiri" w:hAnsi="Amiri" w:eastAsia="Amiri" w:cs="Amiri"/>
          <w:color w:val="111111"/>
          <w:sz w:val="28"/>
          <w:sz w:val="28"/>
          <w:szCs w:val="28"/>
          <w:rtl w:val="true"/>
          <w:lang w:bidi="ar-SA"/>
        </w:rPr>
        <w:t>، وهي متكثّرة معتبرة ، وبهما يقيّد إطلاق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من جواز المسح على المؤخّر وعلى الخلف</w:t>
      </w:r>
      <w:r>
        <w:rPr>
          <w:rStyle w:val="FootnoteAnchor"/>
          <w:rtl w:val="true"/>
        </w:rPr>
        <w:footnoteReference w:id="1116"/>
      </w:r>
      <w:r>
        <w:rPr>
          <w:rFonts w:ascii="Amiri" w:hAnsi="Amiri" w:eastAsia="Amiri" w:cs="Amiri"/>
          <w:color w:val="111111"/>
          <w:sz w:val="28"/>
          <w:sz w:val="28"/>
          <w:szCs w:val="28"/>
          <w:rtl w:val="true"/>
          <w:lang w:bidi="ar-SA"/>
        </w:rPr>
        <w:t>مطروح، أو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 هو ما بين أعلى الوجه وأعلى الرأس، وهي النقطة التي تنتهي إليها الخطوط الخارجة من الجوانب الأربعة من الرأس، فالمقدّم هو ما قابل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 في الأخبار</w:t>
      </w:r>
      <w:r>
        <w:rPr>
          <w:rStyle w:val="FootnoteAnchor"/>
          <w:rtl w:val="true"/>
        </w:rPr>
        <w:footnoteReference w:id="1117"/>
      </w:r>
      <w:r>
        <w:rPr>
          <w:rFonts w:ascii="Amiri" w:hAnsi="Amiri" w:eastAsia="Amiri" w:cs="Amiri"/>
          <w:color w:val="111111"/>
          <w:sz w:val="28"/>
          <w:sz w:val="28"/>
          <w:szCs w:val="28"/>
          <w:rtl w:val="true"/>
          <w:lang w:bidi="ar-SA"/>
        </w:rPr>
        <w:t>وكلام الأصحاب بالناصية، إمّا لأنّ الناصية حقيقة في ذلك، كما قيل</w:t>
      </w:r>
      <w:r>
        <w:rPr>
          <w:rStyle w:val="FootnoteAnchor"/>
          <w:rtl w:val="true"/>
        </w:rPr>
        <w:footnoteReference w:id="1118"/>
      </w:r>
      <w:r>
        <w:rPr>
          <w:rFonts w:ascii="Amiri" w:hAnsi="Amiri" w:eastAsia="Amiri" w:cs="Amiri"/>
          <w:color w:val="111111"/>
          <w:sz w:val="28"/>
          <w:sz w:val="28"/>
          <w:szCs w:val="28"/>
          <w:rtl w:val="true"/>
          <w:lang w:bidi="ar-SA"/>
        </w:rPr>
        <w:t>، وإما لأنّها مجاز مشهور؛ لعلاقة المجاورة، وإلّا فهي قدر من المقدّم، وهو ما بين النزعتين، كما في المصباح المنير</w:t>
      </w:r>
      <w:r>
        <w:rPr>
          <w:rStyle w:val="FootnoteAnchor"/>
          <w:rtl w:val="true"/>
        </w:rPr>
        <w:footnoteReference w:id="1119"/>
      </w:r>
      <w:r>
        <w:rPr>
          <w:rFonts w:ascii="Amiri" w:hAnsi="Amiri" w:eastAsia="Amiri" w:cs="Amiri"/>
          <w:color w:val="111111"/>
          <w:sz w:val="28"/>
          <w:sz w:val="28"/>
          <w:szCs w:val="28"/>
          <w:rtl w:val="true"/>
          <w:lang w:bidi="ar-SA"/>
        </w:rPr>
        <w:t>، أو قصاص الشعر، كما في غيره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يصلح ما جاء من الأمر بمسح الناصية</w:t>
      </w:r>
      <w:r>
        <w:rPr>
          <w:rStyle w:val="FootnoteAnchor"/>
          <w:rtl w:val="true"/>
        </w:rPr>
        <w:footnoteReference w:id="1121"/>
      </w:r>
      <w:r>
        <w:rPr>
          <w:rFonts w:ascii="Amiri" w:hAnsi="Amiri" w:eastAsia="Amiri" w:cs="Amiri"/>
          <w:color w:val="111111"/>
          <w:sz w:val="28"/>
          <w:sz w:val="28"/>
          <w:szCs w:val="28"/>
          <w:rtl w:val="true"/>
          <w:lang w:bidi="ar-SA"/>
        </w:rPr>
        <w:t>أن يكون مقيّداً للكتاب والسنّة وفتاوى الأصحاب والإجماعات المنقولة</w:t>
      </w:r>
      <w:r>
        <w:rPr>
          <w:rStyle w:val="FootnoteAnchor"/>
          <w:rtl w:val="true"/>
        </w:rPr>
        <w:footnoteReference w:id="1122"/>
      </w:r>
      <w:r>
        <w:rPr>
          <w:rFonts w:ascii="Amiri" w:hAnsi="Amiri" w:eastAsia="Amiri" w:cs="Amiri"/>
          <w:color w:val="111111"/>
          <w:sz w:val="28"/>
          <w:sz w:val="28"/>
          <w:szCs w:val="28"/>
          <w:rtl w:val="true"/>
          <w:lang w:bidi="ar-SA"/>
        </w:rPr>
        <w:t>في الباب؛ لضعفه عن التقييد، فحمله على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قصرنا معنى الناصية على ما بين النزعتين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ضعف ما ذهب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الاقتصار على مسح ما بين النزعتين</w:t>
      </w:r>
      <w:r>
        <w:rPr>
          <w:rStyle w:val="FootnoteAnchor"/>
          <w:rtl w:val="true"/>
        </w:rPr>
        <w:footnoteReference w:id="1123"/>
      </w:r>
      <w:r>
        <w:rPr>
          <w:rFonts w:ascii="Amiri" w:hAnsi="Amiri" w:eastAsia="Amiri" w:cs="Amiri"/>
          <w:color w:val="111111"/>
          <w:sz w:val="28"/>
          <w:sz w:val="28"/>
          <w:szCs w:val="28"/>
          <w:rtl w:val="true"/>
          <w:lang w:bidi="ar-SA"/>
        </w:rPr>
        <w:t>لهذه الأخبار، ولأنّ المقدّم هو أوّل الرأس وأوّل ما يتقدّمه، ولأنّ المقدّم هو الناصية كما عن صاحب القاموس</w:t>
      </w:r>
      <w:r>
        <w:rPr>
          <w:rStyle w:val="FootnoteAnchor"/>
          <w:rtl w:val="true"/>
        </w:rPr>
        <w:footnoteReference w:id="1124"/>
      </w:r>
      <w:r>
        <w:rPr>
          <w:rFonts w:ascii="Amiri" w:hAnsi="Amiri" w:eastAsia="Amiri" w:cs="Amiri"/>
          <w:color w:val="111111"/>
          <w:sz w:val="28"/>
          <w:sz w:val="28"/>
          <w:szCs w:val="28"/>
          <w:rtl w:val="true"/>
          <w:lang w:bidi="ar-SA"/>
        </w:rPr>
        <w:t>، ونقل على ذلك الإجماع</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لمنع جواز التقييد بأخبار الناصية؛ لضعفها عن المقاومة، ومنع اختصاص معنى </w:t>
      </w:r>
      <w:bookmarkStart w:id="720" w:name="pg18988_203381"/>
    </w:p>
    <w:p>
      <w:pPr>
        <w:pStyle w:val="BookText"/>
        <w:rPr/>
      </w:pPr>
      <w:bookmarkEnd w:id="720"/>
      <w:r>
        <w:rPr>
          <w:rFonts w:ascii="Amiri" w:hAnsi="Amiri" w:eastAsia="Amiri" w:cs="Amiri"/>
          <w:color w:val="111111"/>
          <w:sz w:val="28"/>
          <w:sz w:val="28"/>
          <w:szCs w:val="28"/>
          <w:rtl w:val="true"/>
          <w:lang w:bidi="ar-SA"/>
        </w:rPr>
        <w:t>المقدّم بما ذُكر، ومنع الإجماع في معارضة ما هو أقوى منه من الإجماع المنقول</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محصّله، ولأنّ قولهم باستحباب مسح ثلاث أصابع من القدر الممسوح ظاهر في توسعته وأنّه أزيد من ذلك، ولأنّ كلام أكثر أهل اللغة والعرف ظاهر في أنّ الناصية إمّا مقدّم الرأس أو قصاص الشعر ممّا حاذى الجبهة، وكلاهما غير ما بين النزعتين الذي بني على أنّه محلّ للمسح، فبانَ وجه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الأخذ به موافقاً للاحتياط</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3197909_1280447820"/>
      <w:bookmarkStart w:id="722" w:name="_Toc281"/>
      <w:bookmarkEnd w:id="721"/>
      <w:r>
        <w:rPr>
          <w:rtl w:val="true"/>
        </w:rPr>
        <w:t>ثانيها</w:t>
      </w:r>
      <w:r>
        <w:rPr>
          <w:rtl w:val="true"/>
        </w:rPr>
        <w:t xml:space="preserve">: </w:t>
      </w:r>
      <w:r>
        <w:rPr>
          <w:rtl w:val="true"/>
        </w:rPr>
        <w:t>المسح إمرار الماسح على الممسوح وجرّه عليه</w:t>
      </w:r>
      <w:bookmarkEnd w:id="722"/>
    </w:p>
    <w:p>
      <w:pPr>
        <w:pStyle w:val="BookText"/>
        <w:rPr/>
      </w:pPr>
      <w:r>
        <w:rPr>
          <w:rFonts w:ascii="Amiri" w:hAnsi="Amiri" w:eastAsia="Amiri" w:cs="Amiri"/>
          <w:color w:val="111111"/>
          <w:sz w:val="28"/>
          <w:sz w:val="28"/>
          <w:szCs w:val="28"/>
          <w:rtl w:val="true"/>
          <w:lang w:bidi="ar-SA"/>
        </w:rPr>
        <w:t>المسح إمرار الماسح على الممسوح وجرّه عليه، ولو مرّكلٌّ منهما على الآخَر تماسحاً، والماسح بها هنا اليد، والماء ممسوح به، أو نفس الماء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فالمسح مباين للغَسْل إطلاقاً ومصداقاً وإن اجتمعا في أمرٍ واحد، فالمسح إمرار الماء بآلةٍ على جسمٍ آخَر، والغَسْل إجراؤه، فقد يجتمعان، إذا حصل الإمرار والإجراء، وقد يرتفعان كما في الإصابة فقط، وقد ينفرد الغَسْل في الإجراء مع عدم مباشرة اليد، وقد ينفرد المسح بالإمرار مع الرطوبة الجزئيّة بدون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تباينهما نقل الاتّفاق</w:t>
      </w:r>
      <w:r>
        <w:rPr>
          <w:rStyle w:val="FootnoteAnchor"/>
          <w:rtl w:val="true"/>
        </w:rPr>
        <w:footnoteReference w:id="1127"/>
      </w:r>
      <w:r>
        <w:rPr>
          <w:rFonts w:ascii="Amiri" w:hAnsi="Amiri" w:eastAsia="Amiri" w:cs="Amiri"/>
          <w:color w:val="111111"/>
          <w:sz w:val="28"/>
          <w:sz w:val="28"/>
          <w:szCs w:val="28"/>
          <w:rtl w:val="true"/>
          <w:lang w:bidi="ar-SA"/>
        </w:rPr>
        <w:t>على عدم جواز غَسْل الممسوح، وعلى أنّ المسح لا يدخل في معنى الغَسْل من غير خلافٍ، وكذا ما دلّ على وجوب الغَسْل في مقامٍ، والمسح في آخَر</w:t>
      </w:r>
      <w:r>
        <w:rPr>
          <w:rStyle w:val="FootnoteAnchor"/>
          <w:rtl w:val="true"/>
        </w:rPr>
        <w:footnoteReference w:id="1128"/>
      </w:r>
      <w:r>
        <w:rPr>
          <w:rFonts w:ascii="Amiri" w:hAnsi="Amiri" w:eastAsia="Amiri" w:cs="Amiri"/>
          <w:color w:val="111111"/>
          <w:sz w:val="28"/>
          <w:sz w:val="28"/>
          <w:szCs w:val="28"/>
          <w:rtl w:val="true"/>
          <w:lang w:bidi="ar-SA"/>
        </w:rPr>
        <w:t>والتفصيل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بأنّ بينهما عموماً من وجه، يتصادقان في فردٍ واحد، وهو ما اجتمع فيه الإجراء والإمرار، وهو قويّ، ويكون الفارق بينهما عند التصادق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بينهما عموماً مطلقاً، والعموم في جانب الغَسْل فينفرد بالإجراء، فإنّه لا يُسمّى مسحاً، ويجتمع مع المسح بالإمرار ولو دهناً؛ لأنّ الغَسْل لايُشترط فيه الجريان، أو بالإمرار مع الجريان الخفيف، فإنّه يُسمّى مسحاً وغَسْلاً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إن تعلّق باليد وكان الماء آلةٌ كان المسح والغَسْل متباينين، ويجوز اجتماعهما </w:t>
      </w:r>
      <w:bookmarkStart w:id="723" w:name="pg18988_203382"/>
    </w:p>
    <w:p>
      <w:pPr>
        <w:pStyle w:val="BookText"/>
        <w:rPr/>
      </w:pPr>
      <w:bookmarkEnd w:id="723"/>
      <w:r>
        <w:rPr>
          <w:rFonts w:ascii="Amiri" w:hAnsi="Amiri" w:eastAsia="Amiri" w:cs="Amiri"/>
          <w:color w:val="111111"/>
          <w:sz w:val="28"/>
          <w:sz w:val="28"/>
          <w:szCs w:val="28"/>
          <w:rtl w:val="true"/>
          <w:lang w:bidi="ar-SA"/>
        </w:rPr>
        <w:t>في مكانٍ واحد، كما إذا حصل إمرار يدٍ مع إجراء ماءٍ دفعةً، ولا يجوز اتّحادهما بموضوعٍ واحد؛ للتباين، ويجوز افتراق الغَسْل في إجراء الماء من دون إمرار اليد، وافتراق المسح بإمرار اليد مع بلّةٍ لا يحصل فيها إجراء أو يحصل فيها إجراء خفيف لو قلنا بعدم تسميته غَسْلاً، ويجوز ارتفاعهما في مثل الإصابة من دون إجراء وإمرار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 بالماء كانا متباينين لا يجوز اجتماعهما في محلٍّ واحد؛ لاشتراط الجريان في الغَسْل، وعدمه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بينهما عموماً من وجه يجتمعان في موضوعٍ واحد، وهو ما كان فيه إجراء خفيف، وهو ما كان من الماء كالدهن مع إمرارٍ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العموم المطلق إذا لم نشترط الجريان في مسمّى الغَسْل، والعموم في جانب الغَسْل؛ لافتراقه مع الجريان</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3197911_1280447820"/>
      <w:bookmarkStart w:id="725" w:name="_Toc282"/>
      <w:bookmarkEnd w:id="724"/>
      <w:r>
        <w:rPr>
          <w:rtl w:val="true"/>
        </w:rPr>
        <w:t>ثالثها</w:t>
      </w:r>
      <w:r>
        <w:rPr>
          <w:rtl w:val="true"/>
        </w:rPr>
        <w:t xml:space="preserve">: </w:t>
      </w:r>
      <w:r>
        <w:rPr>
          <w:rtl w:val="true"/>
        </w:rPr>
        <w:t>حکم مسح الرأس مدبراً</w:t>
      </w:r>
      <w:bookmarkEnd w:id="725"/>
    </w:p>
    <w:p>
      <w:pPr>
        <w:pStyle w:val="BookText"/>
        <w:rPr/>
      </w:pPr>
      <w:r>
        <w:rPr>
          <w:rFonts w:ascii="Amiri" w:hAnsi="Amiri" w:eastAsia="Amiri" w:cs="Amiri"/>
          <w:color w:val="111111"/>
          <w:sz w:val="28"/>
          <w:sz w:val="28"/>
          <w:szCs w:val="28"/>
          <w:rtl w:val="true"/>
          <w:lang w:bidi="ar-SA"/>
        </w:rPr>
        <w:t xml:space="preserve">ذهب جمعٌ </w:t>
      </w:r>
      <w:r>
        <w:rPr>
          <w:rStyle w:val="FootnoteAnchor"/>
          <w:rtl w:val="true"/>
        </w:rPr>
        <w:footnoteReference w:id="1129"/>
      </w:r>
      <w:r>
        <w:rPr>
          <w:rFonts w:ascii="IRNazanin" w:hAnsi="IRNazanin" w:eastAsia="IRNazanin"/>
          <w:color w:val="111111"/>
          <w:sz w:val="28"/>
          <w:sz w:val="28"/>
          <w:szCs w:val="28"/>
          <w:rtl w:val="true"/>
          <w:lang w:bidi="fa-IR"/>
        </w:rPr>
        <w:t>إلى جواز مسح الرأس مدبراً، و نُقل أنّه المشهور</w:t>
      </w:r>
      <w:r>
        <w:rPr>
          <w:rStyle w:val="FootnoteAnchor"/>
          <w:rtl w:val="true"/>
        </w:rPr>
        <w:footnoteReference w:id="1130"/>
      </w:r>
      <w:r>
        <w:rPr>
          <w:rFonts w:ascii="Amiri" w:hAnsi="Amiri" w:eastAsia="Amiri" w:cs="Amiri"/>
          <w:color w:val="111111"/>
          <w:sz w:val="28"/>
          <w:sz w:val="28"/>
          <w:szCs w:val="28"/>
          <w:rtl w:val="true"/>
          <w:lang w:bidi="ar-SA"/>
        </w:rPr>
        <w:t>وأنّ غيره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الوضوء مقبلاً ومدبراً </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وبإطلاقات الأمر بالمسح كتاباً </w:t>
      </w:r>
      <w:r>
        <w:rPr>
          <w:rStyle w:val="FootnoteAnchor"/>
          <w:rtl w:val="true"/>
        </w:rPr>
        <w:footnoteReference w:id="1132"/>
      </w:r>
      <w:r>
        <w:rPr>
          <w:rFonts w:ascii="Amiri" w:hAnsi="Amiri" w:eastAsia="Amiri" w:cs="Amiri"/>
          <w:color w:val="111111"/>
          <w:sz w:val="28"/>
          <w:sz w:val="28"/>
          <w:szCs w:val="28"/>
          <w:rtl w:val="true"/>
          <w:lang w:bidi="ar-SA"/>
        </w:rPr>
        <w:t>وسنّةً</w:t>
      </w:r>
      <w:r>
        <w:rPr>
          <w:rStyle w:val="FootnoteAnchor"/>
          <w:rtl w:val="true"/>
        </w:rPr>
        <w:footnoteReference w:id="1133"/>
      </w:r>
      <w:r>
        <w:rPr>
          <w:rFonts w:ascii="IRNazanin" w:hAnsi="IRNazanin" w:eastAsia="IRNazanin"/>
          <w:color w:val="111111"/>
          <w:sz w:val="28"/>
          <w:sz w:val="28"/>
          <w:szCs w:val="28"/>
          <w:rtl w:val="true"/>
          <w:lang w:bidi="fa-IR"/>
        </w:rPr>
        <w:t>، وبإطلاقات الأمر بمسح الرأس</w:t>
      </w:r>
      <w:r>
        <w:rPr>
          <w:rStyle w:val="FootnoteAnchor"/>
          <w:rtl w:val="true"/>
        </w:rPr>
        <w:footnoteReference w:id="1134"/>
      </w:r>
      <w:r>
        <w:rPr>
          <w:rFonts w:ascii="Amiri" w:hAnsi="Amiri" w:eastAsia="Amiri" w:cs="Amiri"/>
          <w:color w:val="111111"/>
          <w:sz w:val="28"/>
          <w:sz w:val="28"/>
          <w:szCs w:val="28"/>
          <w:rtl w:val="true"/>
          <w:lang w:bidi="ar-SA"/>
        </w:rPr>
        <w:t>أيضاً كذلك، وبإطلاقات حكايات الوضوءات البيانيّة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w:t>
      </w:r>
      <w:r>
        <w:rPr>
          <w:rStyle w:val="FootnoteAnchor"/>
          <w:rtl w:val="true"/>
        </w:rPr>
        <w:footnoteReference w:id="1136"/>
      </w:r>
      <w:r>
        <w:rPr>
          <w:rFonts w:ascii="IRNazanin" w:hAnsi="IRNazanin" w:eastAsia="IRNazanin"/>
          <w:color w:val="111111"/>
          <w:sz w:val="28"/>
          <w:sz w:val="28"/>
          <w:szCs w:val="28"/>
          <w:rtl w:val="true"/>
          <w:lang w:bidi="fa-IR"/>
        </w:rPr>
        <w:t>إلى المنع ، ونُسب للمشهور</w:t>
      </w:r>
      <w:r>
        <w:rPr>
          <w:rStyle w:val="FootnoteAnchor"/>
          <w:rtl w:val="true"/>
        </w:rPr>
        <w:footnoteReference w:id="1137"/>
      </w:r>
      <w:r>
        <w:rPr>
          <w:rFonts w:ascii="Amiri" w:hAnsi="Amiri" w:eastAsia="Amiri" w:cs="Amiri"/>
          <w:color w:val="111111"/>
          <w:sz w:val="28"/>
          <w:sz w:val="28"/>
          <w:szCs w:val="28"/>
          <w:rtl w:val="true"/>
          <w:lang w:bidi="ar-SA"/>
        </w:rPr>
        <w:t>، ونُقل عليه الإجماع</w:t>
      </w:r>
      <w:r>
        <w:rPr>
          <w:rStyle w:val="FootnoteAnchor"/>
          <w:rtl w:val="true"/>
        </w:rPr>
        <w:footnoteReference w:id="1138"/>
      </w:r>
      <w:r>
        <w:rPr>
          <w:rFonts w:ascii="IRNazanin" w:hAnsi="IRNazanin" w:eastAsia="IRNazanin"/>
          <w:color w:val="111111"/>
          <w:sz w:val="28"/>
          <w:sz w:val="28"/>
          <w:szCs w:val="28"/>
          <w:rtl w:val="true"/>
          <w:lang w:bidi="fa-IR"/>
        </w:rPr>
        <w:t xml:space="preserve">، وهو الموافق للاحتياط والمتيقّن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،والمعلوم من السيرة، مع إمكان الطعن في الصحيح </w:t>
      </w:r>
      <w:bookmarkStart w:id="726" w:name="pg18988_203383"/>
    </w:p>
    <w:p>
      <w:pPr>
        <w:pStyle w:val="BookText"/>
        <w:rPr/>
      </w:pPr>
      <w:bookmarkEnd w:id="72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الرِّجْلين؛ لورودهما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آخَر</w:t>
      </w:r>
      <w:r>
        <w:rPr>
          <w:rStyle w:val="FootnoteAnchor"/>
          <w:rtl w:val="true"/>
        </w:rPr>
        <w:footnoteReference w:id="1139"/>
      </w:r>
      <w:r>
        <w:rPr>
          <w:rFonts w:ascii="Amiri" w:hAnsi="Amiri" w:eastAsia="Amiri" w:cs="Amiri"/>
          <w:color w:val="111111"/>
          <w:sz w:val="28"/>
          <w:sz w:val="28"/>
          <w:szCs w:val="28"/>
          <w:rtl w:val="true"/>
          <w:lang w:bidi="ar-SA"/>
        </w:rPr>
        <w:t xml:space="preserve">، والمطلق محمول على المقيّد، وفي الإطلاقات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في الاستدلال بها على خصوص الكيفيّات من المجملات؛ للإجماع على عدم إرادة الإطلاق وعدم وفاء البيان في المراد، وفي الإطلاقات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المحكيّ لا إطلاق فيه، والحكاية لا يفيد إطلاقها؛ لأنّها من حكايات الأفعال، فالقول الثاني أقوى، كما أنّ الأوّل في مسح الرِّجْلين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المسح عرضاً من غير إشكالٍ، وحكمه حكم المسح نزولاً</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3197913_1280447820"/>
      <w:bookmarkStart w:id="728" w:name="_Toc283"/>
      <w:bookmarkEnd w:id="727"/>
      <w:r>
        <w:rPr>
          <w:rtl w:val="true"/>
        </w:rPr>
        <w:t>رابعها</w:t>
      </w:r>
      <w:r>
        <w:rPr>
          <w:rtl w:val="true"/>
        </w:rPr>
        <w:t xml:space="preserve">: </w:t>
      </w:r>
      <w:r>
        <w:rPr>
          <w:rtl w:val="true"/>
        </w:rPr>
        <w:t>يجزئ المسح على البشرة وعلى الشعر النابت على مقدّم الرأس ما لم يخرج بمدّه عن حدّه</w:t>
      </w:r>
      <w:r>
        <w:rPr>
          <w:rtl w:val="true"/>
        </w:rPr>
        <w:t>.</w:t>
      </w:r>
      <w:bookmarkEnd w:id="728"/>
    </w:p>
    <w:p>
      <w:pPr>
        <w:pStyle w:val="BookText"/>
        <w:rPr/>
      </w:pPr>
      <w:r>
        <w:rPr>
          <w:rFonts w:ascii="Amiri" w:hAnsi="Amiri" w:eastAsia="Amiri" w:cs="Amiri"/>
          <w:color w:val="111111"/>
          <w:sz w:val="28"/>
          <w:sz w:val="28"/>
          <w:szCs w:val="28"/>
          <w:rtl w:val="true"/>
          <w:lang w:bidi="ar-SA"/>
        </w:rPr>
        <w:t>ويدلّ عليه فتوى الأصحاب والإجماعات المنقولة</w:t>
      </w:r>
      <w:r>
        <w:rPr>
          <w:rStyle w:val="FootnoteAnchor"/>
          <w:rtl w:val="true"/>
        </w:rPr>
        <w:footnoteReference w:id="1140"/>
      </w:r>
      <w:r>
        <w:rPr>
          <w:rFonts w:ascii="Amiri" w:hAnsi="Amiri" w:eastAsia="Amiri" w:cs="Amiri"/>
          <w:color w:val="111111"/>
          <w:sz w:val="28"/>
          <w:sz w:val="28"/>
          <w:szCs w:val="28"/>
          <w:rtl w:val="true"/>
          <w:lang w:bidi="ar-SA"/>
        </w:rPr>
        <w:t>في الباب، والسيرة القطعيّة، ونفي الحرج، وإطلاق المسح على الناصية والمقدّم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على المقدّم شعر لا يختصّ به قد تدلّى عليه من خارجٍ، كان بمنزلة الحاجب من حِنّاء ونحوها، وهو متّفق على منعه، والأدلّة ظاهرة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صحاح الأخبار من جواز المسح على الحِنّاء</w:t>
      </w:r>
      <w:r>
        <w:rPr>
          <w:rStyle w:val="FootnoteAnchor"/>
          <w:rtl w:val="true"/>
        </w:rPr>
        <w:footnoteReference w:id="1141"/>
      </w:r>
      <w:r>
        <w:rPr>
          <w:rFonts w:ascii="Amiri" w:hAnsi="Amiri" w:eastAsia="Amiri" w:cs="Amiri"/>
          <w:color w:val="111111"/>
          <w:sz w:val="28"/>
          <w:sz w:val="28"/>
          <w:szCs w:val="28"/>
          <w:rtl w:val="true"/>
          <w:lang w:bidi="ar-SA"/>
        </w:rPr>
        <w:t>متروك؛ لمعارضة الإجماع وجميع عمومات الأدلّة، أو محمول على إرادة اللون من الحِنّاء أو الخفيف الغير مانع من صدق المسح، أو غير المستغرق، أو على الضرورة،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فالمسح على الحائل لا إشكال في منعه، وإن وصلت منه رطوبة للممسوح لا يصدق عليها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 الخارج عن منابت المقدّم من الحائل؛ لعموم الأدلّة وظاهر الإجماعات المنقولة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يجزئ مسح شعر المقدّم إذا استرسل إلى غير محلّه، وكذا لو امتدّ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 شعر المقدّم إلى فوقٍ فمسح على باطن الشعر ، فالأقوى الصحّة، والاحتياط غير خفيّ</w:t>
      </w:r>
      <w:r>
        <w:rPr>
          <w:rFonts w:eastAsia="Amiri" w:cs="Amiri" w:ascii="Amiri" w:hAnsi="Amiri"/>
          <w:color w:val="111111"/>
          <w:sz w:val="28"/>
          <w:szCs w:val="28"/>
          <w:rtl w:val="true"/>
          <w:lang w:bidi="ar-SA"/>
        </w:rPr>
        <w:t xml:space="preserve">. </w:t>
      </w:r>
      <w:bookmarkStart w:id="729" w:name="pg18988_203384"/>
    </w:p>
    <w:p>
      <w:pPr>
        <w:pStyle w:val="BookText"/>
        <w:rPr/>
      </w:pPr>
      <w:bookmarkEnd w:id="729"/>
      <w:r>
        <w:rPr>
          <w:rFonts w:ascii="Amiri" w:hAnsi="Amiri" w:eastAsia="Amiri" w:cs="Amiri"/>
          <w:color w:val="111111"/>
          <w:sz w:val="28"/>
          <w:sz w:val="28"/>
          <w:szCs w:val="28"/>
          <w:rtl w:val="true"/>
          <w:lang w:bidi="ar-SA"/>
        </w:rPr>
        <w:t>والشعر المعمول ظفائر والمجتمع والمعقّد منه والمفتول يصحّ المسح عليه، والأحوط إسداله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ركب شعر المقدّم بعضٌ على بعضٍ، فالأقوى عدم لزوم تسريحه وإرجاع كلٍّ إلى محلّه، والاحتياط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3197915_1280447820"/>
      <w:bookmarkStart w:id="731" w:name="_Toc284"/>
      <w:bookmarkEnd w:id="730"/>
      <w:r>
        <w:rPr>
          <w:rtl w:val="true"/>
        </w:rPr>
        <w:t>خامسها</w:t>
      </w:r>
      <w:r>
        <w:rPr>
          <w:rtl w:val="true"/>
        </w:rPr>
        <w:t xml:space="preserve">: </w:t>
      </w:r>
      <w:r>
        <w:rPr>
          <w:rtl w:val="true"/>
        </w:rPr>
        <w:t>يجب مسح الرأس بالكفّ</w:t>
      </w:r>
      <w:bookmarkEnd w:id="731"/>
    </w:p>
    <w:p>
      <w:pPr>
        <w:pStyle w:val="BookText"/>
        <w:rPr/>
      </w:pPr>
      <w:r>
        <w:rPr>
          <w:rFonts w:ascii="Amiri" w:hAnsi="Amiri" w:eastAsia="Amiri" w:cs="Amiri"/>
          <w:color w:val="111111"/>
          <w:sz w:val="28"/>
          <w:sz w:val="28"/>
          <w:szCs w:val="28"/>
          <w:rtl w:val="true"/>
          <w:lang w:bidi="ar-SA"/>
        </w:rPr>
        <w:t>يجب مسح الرأس بالكفّ؛ للاحتياط، ولتبادره من الأوامر بالمسح، ولأنّه المعهود خلفاً وسلفاً، ولأنّه الواقع في وضوءات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في مقام البيان فيجب اتّباعه، ولأنه الواقع في الوضوء الذي لا يقبل الله الصلاة إلّا به</w:t>
      </w:r>
      <w:r>
        <w:rPr>
          <w:rStyle w:val="FootnoteAnchor"/>
          <w:rtl w:val="true"/>
        </w:rPr>
        <w:footnoteReference w:id="1144"/>
      </w:r>
      <w:r>
        <w:rPr>
          <w:rFonts w:ascii="Amiri" w:hAnsi="Amiri" w:eastAsia="Amiri" w:cs="Amiri"/>
          <w:color w:val="111111"/>
          <w:sz w:val="28"/>
          <w:sz w:val="28"/>
          <w:szCs w:val="28"/>
          <w:rtl w:val="true"/>
          <w:lang w:bidi="ar-SA"/>
        </w:rPr>
        <w:t>، وللروايات المتضمّنة لإدخال الإصبع تحت العمامة</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المطلقات مجملةً أو كالمجملة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تعيين نفس الباطن؛ لما قلناه، ولولا ظهور الإجماع المنقول</w:t>
      </w:r>
      <w:r>
        <w:rPr>
          <w:rStyle w:val="FootnoteAnchor"/>
          <w:rtl w:val="true"/>
        </w:rPr>
        <w:footnoteReference w:id="1146"/>
      </w:r>
      <w:r>
        <w:rPr>
          <w:rFonts w:ascii="Amiri" w:hAnsi="Amiri" w:eastAsia="Amiri" w:cs="Amiri"/>
          <w:color w:val="111111"/>
          <w:sz w:val="28"/>
          <w:sz w:val="28"/>
          <w:szCs w:val="28"/>
          <w:rtl w:val="true"/>
          <w:lang w:bidi="ar-SA"/>
        </w:rPr>
        <w:t>، وفتوى جمعٍ</w:t>
      </w:r>
      <w:r>
        <w:rPr>
          <w:rStyle w:val="FootnoteAnchor"/>
          <w:rtl w:val="true"/>
        </w:rPr>
        <w:footnoteReference w:id="1147"/>
      </w:r>
      <w:r>
        <w:rPr>
          <w:rFonts w:ascii="Amiri" w:hAnsi="Amiri" w:eastAsia="Amiri" w:cs="Amiri"/>
          <w:color w:val="111111"/>
          <w:sz w:val="28"/>
          <w:sz w:val="28"/>
          <w:szCs w:val="28"/>
          <w:rtl w:val="true"/>
          <w:lang w:bidi="ar-SA"/>
        </w:rPr>
        <w:t>من الفحول بعدم وجوبه، لكان القول بوجوبه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تعيين كونه بالأصابع، كما هو الظاهر من 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يتمكّن من الكفّ مسح بالذراع؛ للاحتياط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ولكونه أقرب المجازات، بناءً على شمول الخطابات لجميع المكلّفين على جميع الأحوال، فإنّه لمّا لم يمكن للعاجز المسح بالكفّ والمفروض تعلّق الخطاب به حُمل على 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لا يكون على الماسح حائل يحول عن مباشرة البشرة؛ للإجماع، وظاهر الخطاب</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3197917_1280447820"/>
      <w:bookmarkStart w:id="733" w:name="_Toc285"/>
      <w:bookmarkEnd w:id="732"/>
      <w:r>
        <w:rPr>
          <w:rtl w:val="true"/>
        </w:rPr>
        <w:t xml:space="preserve">سادسها </w:t>
      </w:r>
      <w:r>
        <w:rPr>
          <w:rtl w:val="true"/>
        </w:rPr>
        <w:t xml:space="preserve">: </w:t>
      </w:r>
      <w:r>
        <w:rPr>
          <w:rtl w:val="true"/>
        </w:rPr>
        <w:t>يجزئ في المسح المسمّى من إمرار الماسح على الممسوح ولو بجزءٍ من الماسح</w:t>
      </w:r>
      <w:bookmarkEnd w:id="73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يجزئ في المسح المسمّى من إمرار الماسح على الممسوح ولو بجزءٍ من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جزءٍ من الممسوح قدر عرض ثلاثة أصابع أو إصبع أو أقلّ من ذلك، فلا بأس بمسح ما دون الإصبع على دون الإصبع عرضاً وطولاً، وعلى ما فوق الإصبع إلى ثلاثة أصابع عرضاً فقط أو طولاً فقط أو عرضاً وطولاً، وبما فوق الإصبع إلى ثلاثة أصابع على ما دون الثلاثة عرضاً فقط، أو على ما دون الثلاثة طولاً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وضع طول الماسح على طول الممسوح، وعرضه على عرضه، وطوله على عرضه، وعرضه على طوله وجميع هذه الصور لا بأس بها على الأقوى، عملاً بإطلاقات الكتاب</w:t>
      </w:r>
      <w:r>
        <w:rPr>
          <w:rStyle w:val="FootnoteAnchor"/>
          <w:rtl w:val="true"/>
        </w:rPr>
        <w:footnoteReference w:id="1150"/>
      </w:r>
      <w:r>
        <w:rPr>
          <w:rFonts w:ascii="Amiri" w:hAnsi="Amiri" w:eastAsia="Amiri" w:cs="Amiri"/>
          <w:color w:val="111111"/>
          <w:sz w:val="28"/>
          <w:sz w:val="28"/>
          <w:szCs w:val="28"/>
          <w:rtl w:val="true"/>
          <w:lang w:bidi="ar-SA"/>
        </w:rPr>
        <w:t>والسنّة</w:t>
      </w:r>
      <w:r>
        <w:rPr>
          <w:rStyle w:val="FootnoteAnchor"/>
          <w:rtl w:val="true"/>
        </w:rPr>
        <w:footnoteReference w:id="1151"/>
      </w:r>
      <w:r>
        <w:rPr>
          <w:rFonts w:ascii="Amiri" w:hAnsi="Amiri" w:eastAsia="Amiri" w:cs="Amiri"/>
          <w:color w:val="111111"/>
          <w:sz w:val="28"/>
          <w:sz w:val="28"/>
          <w:szCs w:val="28"/>
          <w:rtl w:val="true"/>
          <w:lang w:bidi="ar-SA"/>
        </w:rPr>
        <w:t>الرافع لإجمالها فتوى المشهور، والإجماعات المنقولة</w:t>
      </w:r>
      <w:r>
        <w:rPr>
          <w:rStyle w:val="FootnoteAnchor"/>
          <w:rtl w:val="true"/>
        </w:rPr>
        <w:footnoteReference w:id="1152"/>
      </w:r>
      <w:r>
        <w:rPr>
          <w:rFonts w:ascii="Amiri" w:hAnsi="Amiri" w:eastAsia="Amiri" w:cs="Amiri"/>
          <w:color w:val="111111"/>
          <w:sz w:val="28"/>
          <w:sz w:val="28"/>
          <w:szCs w:val="28"/>
          <w:rtl w:val="true"/>
          <w:lang w:bidi="ar-SA"/>
        </w:rPr>
        <w:t>على الاكتفاء بإصبع واحدة، فإنّها ظاهرة في إرادة الاكتفاء بذلك في الماسح والممسوح وفي أنّ الإصبع مثال لتحصيل المسمّى، والروايات الدالّة على الاكتفاء بقدر ما يدخل الإصبع على الاكتفاء بقدر ما يدخل الإصبع تحت العمامة لمن اعتمّ</w:t>
      </w:r>
      <w:r>
        <w:rPr>
          <w:rStyle w:val="FootnoteAnchor"/>
          <w:rtl w:val="true"/>
        </w:rPr>
        <w:footnoteReference w:id="1153"/>
      </w:r>
      <w:r>
        <w:rPr>
          <w:rFonts w:ascii="Amiri" w:hAnsi="Amiri" w:eastAsia="Amiri" w:cs="Amiri"/>
          <w:color w:val="111111"/>
          <w:sz w:val="28"/>
          <w:sz w:val="28"/>
          <w:szCs w:val="28"/>
          <w:rtl w:val="true"/>
          <w:lang w:bidi="ar-SA"/>
        </w:rPr>
        <w:t>، والإجماعات المنقولة على كفاية المسمّى</w:t>
      </w:r>
      <w:r>
        <w:rPr>
          <w:rStyle w:val="FootnoteAnchor"/>
          <w:rtl w:val="true"/>
        </w:rPr>
        <w:footnoteReference w:id="1154"/>
      </w:r>
      <w:r>
        <w:rPr>
          <w:rFonts w:ascii="Amiri" w:hAnsi="Amiri" w:eastAsia="Amiri" w:cs="Amiri"/>
          <w:color w:val="111111"/>
          <w:sz w:val="28"/>
          <w:sz w:val="28"/>
          <w:szCs w:val="28"/>
          <w:rtl w:val="true"/>
          <w:lang w:bidi="ar-SA"/>
        </w:rPr>
        <w:t>، وظهور الباء في التبعيض بنفسها أو باعتبار تركيبها يقضي بذلك، وورود الرواية بالنصّ على كون الباء للتبعيض</w:t>
      </w:r>
      <w:r>
        <w:rPr>
          <w:rStyle w:val="FootnoteAnchor"/>
          <w:rtl w:val="true"/>
        </w:rPr>
        <w:footnoteReference w:id="1155"/>
      </w:r>
      <w:r>
        <w:rPr>
          <w:rFonts w:ascii="Amiri" w:hAnsi="Amiri" w:eastAsia="Amiri" w:cs="Amiri"/>
          <w:color w:val="111111"/>
          <w:sz w:val="28"/>
          <w:sz w:val="28"/>
          <w:szCs w:val="28"/>
          <w:rtl w:val="true"/>
          <w:lang w:bidi="ar-SA"/>
        </w:rPr>
        <w:t>يعطي ذلك، وإنكار سيبويه مجيئها للتبعيض</w:t>
      </w:r>
      <w:r>
        <w:rPr>
          <w:rStyle w:val="FootnoteAnchor"/>
          <w:rtl w:val="true"/>
        </w:rPr>
        <w:footnoteReference w:id="1156"/>
      </w:r>
      <w:r>
        <w:rPr>
          <w:rFonts w:ascii="Amiri" w:hAnsi="Amiri" w:eastAsia="Amiri" w:cs="Amiri"/>
          <w:color w:val="111111"/>
          <w:sz w:val="28"/>
          <w:sz w:val="28"/>
          <w:szCs w:val="28"/>
          <w:rtl w:val="true"/>
          <w:lang w:bidi="ar-SA"/>
        </w:rPr>
        <w:t xml:space="preserve">لا يُسمع في مقابلة ناقلي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جمعٌ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الدالّة على كونها للتبعيض ولو مجازاً، فبمجموع ما ذكرنا يحصل للفقيه ظنٌّ بإطلاقات الأدلّة والاجتزاء بالمسمّى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فقهائنا</w:t>
      </w:r>
      <w:r>
        <w:rPr>
          <w:rStyle w:val="FootnoteAnchor"/>
          <w:rtl w:val="true"/>
        </w:rPr>
        <w:footnoteReference w:id="1158"/>
      </w:r>
      <w:r>
        <w:rPr>
          <w:rFonts w:ascii="Amiri" w:hAnsi="Amiri" w:eastAsia="Amiri" w:cs="Amiri"/>
          <w:color w:val="111111"/>
          <w:sz w:val="28"/>
          <w:sz w:val="28"/>
          <w:szCs w:val="28"/>
          <w:rtl w:val="true"/>
          <w:lang w:bidi="ar-SA"/>
        </w:rPr>
        <w:t>إلى وجوب مسح قدر ثلاث أصابع مضمومة، والظاهر أنّه ولو كان بإصبع واحدة؛ استناداً لرواية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يجزئها من مسح الرأس أن تمسح مقدّمه قدر ثلاث أصابع</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وهي معتبرة معمول بها، ولا قائل بالفرق بين الرجل والمرأة، ورواية معمّر بن عمر،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الرجل</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لا تقوى على الأدلّة المتقدّمة والإطلاقات المحكّمة القويّة بفتوى المشهور والإجماع المنقول، فاللازم إمّا طرحها أو حملها على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جمعٍ آخَر من أصحابنا</w:t>
      </w:r>
      <w:r>
        <w:rPr>
          <w:rStyle w:val="FootnoteAnchor"/>
          <w:rtl w:val="true"/>
        </w:rPr>
        <w:footnoteReference w:id="1161"/>
      </w:r>
      <w:r>
        <w:rPr>
          <w:rFonts w:ascii="Amiri" w:hAnsi="Amiri" w:eastAsia="Amiri" w:cs="Amiri"/>
          <w:color w:val="111111"/>
          <w:sz w:val="28"/>
          <w:sz w:val="28"/>
          <w:szCs w:val="28"/>
          <w:rtl w:val="true"/>
          <w:lang w:bidi="ar-SA"/>
        </w:rPr>
        <w:t>الميل إلى وجوب مسح قدر إصبع، ويراد به عرضه كما هو المتبادر من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بخبر حمّاد في مَنْ يتوضّأ وعليه العمامة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ونحوه غيره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قدّمنا من ضعف معارضتها لما قدّمناه من الأدلّة، مع ضعف دلالتها؛ لأنّ المسح بالإصبع يتحقّق مع المسح بالمسمّى، ومع المسح بقدر ثلاث،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جملة من القائلين بوجوب الإصبع أرادوا به الاجتزاء بمسحه ولو بحصول المسمّى، لابيان القدر، كما صرّحوا به، فحمل كلام المطلقين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 ممّن صرّح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أيضاً قلّة القائل بهذا، كما ظهر ضعف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المشترطين لقدر الثلاث يريدون القدر في العرض إذا وضعت الأصابع على طول الرأس وانجرّت إلى الأسفل بطولها، ويكتفون بالطول بالمسمىّ، ولا يجزئ على الظاهر عندهم وضع الثلاث وجرّها عرضاً برؤوس الأصابع إلى الأسفل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وضع قدر الثلاث وجرّها عرضاً على عرض الرأس أو طولاً على عرض الرأس، أجزأ على الظاهر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تنزيل رواية الإصبع على رواية الثلاث بإرادة طول الإصبع في عرض الرأس، وهو مقارب لعرض الثلاثة في طولٍ،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بكفاية المسمّى ينوي الوجوب إن فعل المسمّى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الزائد فإن نوى أنّ المجموع امتثال للأمر وأوقعه دفعةً، نوى الوجوب، ولا بأس به، وجواز الترك إلى بدلٍ لا ينافي الوجوب؛ لأنّ الفرد الأقلّ بدل عن الفرد الأكمل، وعدم وجود البدل عن الزائد لا يضرّ بعد كون المجموع فرداً كاملاً للواجب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نوى أنّ البعض امتثال للواجب والباقي امتثال للأمر الندبي، نوى الوجوب والندب معاً</w:t>
      </w:r>
      <w:r>
        <w:rPr>
          <w:rFonts w:eastAsia="Amiri" w:cs="Amiri" w:ascii="Amiri" w:hAnsi="Amiri"/>
          <w:color w:val="111111"/>
          <w:sz w:val="28"/>
          <w:szCs w:val="28"/>
          <w:rtl w:val="true"/>
          <w:lang w:bidi="ar-SA"/>
        </w:rPr>
        <w:t xml:space="preserve">. </w:t>
      </w:r>
      <w:bookmarkStart w:id="734" w:name="pg18988_203387"/>
    </w:p>
    <w:p>
      <w:pPr>
        <w:pStyle w:val="BookText"/>
        <w:rPr/>
      </w:pPr>
      <w:bookmarkEnd w:id="734"/>
      <w:r>
        <w:rPr>
          <w:rFonts w:ascii="Amiri" w:hAnsi="Amiri" w:eastAsia="Amiri" w:cs="Amiri"/>
          <w:color w:val="111111"/>
          <w:sz w:val="28"/>
          <w:sz w:val="28"/>
          <w:szCs w:val="28"/>
          <w:rtl w:val="true"/>
          <w:lang w:bidi="ar-SA"/>
        </w:rPr>
        <w:t>وإن أوقع الزائد تدريجاً، نوى فيه الندب؛ إذ لا معنى للامتثال عقيب الامتثال، مع احتمال جواز نيّة الوجوب فيه؛ لكونه فرداً للطبيعة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أن ينوي المندوب أوّلاً ثمّ يأتي بالواجب؟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بعدم جوازه؛ لأنّ هذا المندوب مترتّب على فعل الواجب، فلا يقع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بالمسح على مجموع الرأس الامتثال، بطل 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التوزيع، صحّ في الربع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 المجموع لغواً ناوياً للبعض، صحّ البعض ولغا الزائد</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3197919_1280447820"/>
      <w:bookmarkStart w:id="736" w:name="_Toc286"/>
      <w:bookmarkEnd w:id="735"/>
      <w:r>
        <w:rPr>
          <w:rtl w:val="true"/>
        </w:rPr>
        <w:t>سابعها</w:t>
      </w:r>
      <w:r>
        <w:rPr>
          <w:rtl w:val="true"/>
        </w:rPr>
        <w:t xml:space="preserve">: </w:t>
      </w:r>
      <w:r>
        <w:rPr>
          <w:rtl w:val="true"/>
        </w:rPr>
        <w:t>يشترط في المسح وجود البلّة</w:t>
      </w:r>
      <w:bookmarkEnd w:id="736"/>
    </w:p>
    <w:p>
      <w:pPr>
        <w:pStyle w:val="BookText"/>
        <w:rPr/>
      </w:pPr>
      <w:r>
        <w:rPr>
          <w:rFonts w:ascii="Amiri" w:hAnsi="Amiri" w:eastAsia="Amiri" w:cs="Amiri"/>
          <w:color w:val="111111"/>
          <w:sz w:val="28"/>
          <w:sz w:val="28"/>
          <w:szCs w:val="28"/>
          <w:rtl w:val="true"/>
          <w:lang w:bidi="ar-SA"/>
        </w:rPr>
        <w:t xml:space="preserve">يشترط في المسح وجود البلّة، فلا يجزئ مع الجفاف إجماعاً، وكونها من بلّة ماء الوضوء إجماعاً، 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 ببلّة يمناك ناصيتك</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وظاهرها البلّة المتحقّقة من الوضوء، فلا يجزئ الماء الجديد، وكونها البلّة الباقية على اليد، فلا يجوز أخذ بلّة الوجه واليد مع الاختيار؛ لظاهر الأخبار وللمأثور عن الأئمّة الأطهار، وللاحتياط، وللشكّ في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 البلّة مؤثّرةً في الممسوح، بل لو لم تؤثّر فلا بأس، مع احتمال وجوبه، والاحتياط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عدم كثرة الماء الحاصل منه جريان على الممسوح؛ لما قدّمنا </w:t>
      </w:r>
      <w:r>
        <w:rPr>
          <w:rStyle w:val="FootnoteAnchor"/>
          <w:rtl w:val="true"/>
        </w:rPr>
        <w:footnoteReference w:id="1165"/>
      </w:r>
      <w:r>
        <w:rPr>
          <w:rFonts w:ascii="Amiri" w:hAnsi="Amiri" w:eastAsia="Amiri" w:cs="Amiri"/>
          <w:color w:val="111111"/>
          <w:sz w:val="28"/>
          <w:sz w:val="28"/>
          <w:szCs w:val="28"/>
          <w:rtl w:val="true"/>
          <w:lang w:bidi="ar-SA"/>
        </w:rPr>
        <w:t>أنّ المسح والغَسْل يجتمعان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عند اجتماعهما من نيّة المسح فلو نوى الغَسْل بطل، ولو لم يَنْوِ فالظاهر الحمل على المصحّح؛ لانصراف نيّة الإجزاء للصحيح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الممسوح رطوبة جزئيّة تستهلك برطوبة الماسح،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الحال، بطل المسح؛ لكونه بماء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الأمران، احتُمل البطلان؛ لأنّ المركّب من الداخل والخارج خارجٌ، ولصدق المسح بغير ماء الوضوء، وللاحتياط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الصحّة؛ لصدق الامتثال بالمسح بنداوة الوضوء وللزوم العسر والحرج لولاه؛ لعدم الانفكاك عن العرق غالباً وعن ماء الوضوء في غَسْل الوجه</w:t>
      </w:r>
      <w:r>
        <w:rPr>
          <w:rFonts w:eastAsia="Amiri" w:cs="Amiri" w:ascii="Amiri" w:hAnsi="Amiri"/>
          <w:color w:val="111111"/>
          <w:sz w:val="28"/>
          <w:szCs w:val="28"/>
          <w:rtl w:val="true"/>
          <w:lang w:bidi="ar-SA"/>
        </w:rPr>
        <w:t xml:space="preserve">. </w:t>
      </w:r>
      <w:bookmarkStart w:id="737" w:name="pg18988_203388"/>
    </w:p>
    <w:p>
      <w:pPr>
        <w:pStyle w:val="BookText"/>
        <w:rPr/>
      </w:pPr>
      <w:bookmarkEnd w:id="737"/>
      <w:r>
        <w:rPr>
          <w:rFonts w:ascii="Amiri" w:hAnsi="Amiri" w:eastAsia="Amiri" w:cs="Amiri"/>
          <w:color w:val="111111"/>
          <w:sz w:val="28"/>
          <w:sz w:val="28"/>
          <w:szCs w:val="28"/>
          <w:rtl w:val="true"/>
          <w:lang w:bidi="ar-SA"/>
        </w:rPr>
        <w:t>وفي الجميع نظر؛ لمنع صدق الامتثال كما ذكرنا، ومنع لزوم العسر والحرج؛ لإمكان إزالته غالباً، ولو سُلّم فيختصّ الجواز عند عدم طروّهما لا مطلقاً، كما سنذكر في مسألة الجفاف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بالمنع مسح العضو الثاني بالبلّة المجتمعة من المسح للعضو الأوّل، فإنّها يشكّ في إجزائها؛ لعدم صدق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بلّة يمينك</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بلّة وضوئك</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13197921_1280447820"/>
      <w:bookmarkStart w:id="739" w:name="_Toc287"/>
      <w:bookmarkEnd w:id="738"/>
      <w:r>
        <w:rPr>
          <w:rtl w:val="true"/>
        </w:rPr>
        <w:t>ثامنها</w:t>
      </w:r>
      <w:r>
        <w:rPr>
          <w:rtl w:val="true"/>
        </w:rPr>
        <w:t xml:space="preserve">: </w:t>
      </w:r>
      <w:r>
        <w:rPr>
          <w:rtl w:val="true"/>
        </w:rPr>
        <w:t>نُسب لابن الجنيد جواز المسح بماء جديد مطلقاً أو مع جفاف اليد أو جميع الأعضاء</w:t>
      </w:r>
      <w:bookmarkEnd w:id="739"/>
    </w:p>
    <w:p>
      <w:pPr>
        <w:pStyle w:val="BookText"/>
        <w:rPr/>
      </w:pPr>
      <w:r>
        <w:rPr>
          <w:rFonts w:ascii="Amiri" w:hAnsi="Amiri" w:eastAsia="Amiri" w:cs="Amiri"/>
          <w:color w:val="111111"/>
          <w:sz w:val="28"/>
          <w:sz w:val="28"/>
          <w:szCs w:val="28"/>
          <w:rtl w:val="true"/>
          <w:lang w:bidi="ar-SA"/>
        </w:rPr>
        <w:t xml:space="preserve">نُسب لابن الجنيد جواز المسح بماء جديد مطلقاً </w:t>
      </w:r>
      <w:r>
        <w:rPr>
          <w:rStyle w:val="FootnoteAnchor"/>
          <w:rtl w:val="true"/>
        </w:rPr>
        <w:footnoteReference w:id="1168"/>
      </w:r>
      <w:r>
        <w:rPr>
          <w:rFonts w:ascii="Amiri" w:hAnsi="Amiri" w:eastAsia="Amiri" w:cs="Amiri"/>
          <w:color w:val="111111"/>
          <w:sz w:val="28"/>
          <w:sz w:val="28"/>
          <w:szCs w:val="28"/>
          <w:rtl w:val="true"/>
          <w:lang w:bidi="ar-SA"/>
        </w:rPr>
        <w:t>، ونسب إليه آخَرون</w:t>
      </w:r>
      <w:r>
        <w:rPr>
          <w:rStyle w:val="FootnoteAnchor"/>
          <w:rtl w:val="true"/>
        </w:rPr>
        <w:footnoteReference w:id="1169"/>
      </w:r>
      <w:r>
        <w:rPr>
          <w:rFonts w:ascii="Amiri" w:hAnsi="Amiri" w:eastAsia="Amiri" w:cs="Amiri"/>
          <w:color w:val="111111"/>
          <w:sz w:val="28"/>
          <w:sz w:val="28"/>
          <w:szCs w:val="28"/>
          <w:rtl w:val="true"/>
          <w:lang w:bidi="ar-SA"/>
        </w:rPr>
        <w:t xml:space="preserve">ذلك مع جفاف اليد، وآخَرون </w:t>
      </w:r>
      <w:r>
        <w:rPr>
          <w:rStyle w:val="FootnoteAnchor"/>
          <w:rtl w:val="true"/>
        </w:rPr>
        <w:footnoteReference w:id="1170"/>
      </w:r>
      <w:r>
        <w:rPr>
          <w:rFonts w:ascii="Amiri" w:hAnsi="Amiri" w:eastAsia="Amiri" w:cs="Amiri"/>
          <w:color w:val="111111"/>
          <w:sz w:val="28"/>
          <w:sz w:val="28"/>
          <w:szCs w:val="28"/>
          <w:rtl w:val="true"/>
          <w:lang w:bidi="ar-SA"/>
        </w:rPr>
        <w:t>مع جفاف جميع الأعضاء؛ استناداً لإطلاق الأمر بالمسح، ولقوله في 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في يدي من الندى رأسي؟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تضع يدك في الماء</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وفي صحيحة ابن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قدميه بفضل رأسه ؟ فقال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جديد؟ فقال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لرأسك ماءً جديداً</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وفي حكاية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وضع يده في الإناء فمسح رأسه و رِجْليه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المتوضّئ إذا خاض الماء أجزأه ذلك</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 أنّ الإطلاقات مقيّدة بالإجماع المنقول</w:t>
      </w:r>
      <w:r>
        <w:rPr>
          <w:rStyle w:val="FootnoteAnchor"/>
          <w:rtl w:val="true"/>
        </w:rPr>
        <w:footnoteReference w:id="1176"/>
      </w:r>
      <w:r>
        <w:rPr>
          <w:rFonts w:ascii="Amiri" w:hAnsi="Amiri" w:eastAsia="Amiri" w:cs="Amiri"/>
          <w:color w:val="111111"/>
          <w:sz w:val="28"/>
          <w:sz w:val="28"/>
          <w:szCs w:val="28"/>
          <w:rtl w:val="true"/>
          <w:lang w:bidi="ar-SA"/>
        </w:rPr>
        <w:t>بل المحصّل على عدم جواز المسح بماء جديد مطلقاً إلّا في حال الاضطرار، كما سيأتي إن شاء الله تعالى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وبصحيح زرارة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ببلّة يمناك ناصيتك، وما بقي من بلّة يمناك ظهر قدمك اليمنى، وتمسح ببلّة يسراك ظهر قدمك اليسرى</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740" w:name="pg18988_203389"/>
    </w:p>
    <w:p>
      <w:pPr>
        <w:pStyle w:val="BookText"/>
        <w:rPr/>
      </w:pPr>
      <w:bookmarkEnd w:id="740"/>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الأمر، ويصحّ عطفها عليها وإن كانت إنشاء وتلك إخبار؛ لاتّحادهما في الصورة، وعطفها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 أقربيّة عطف الفعل على مثله من عطفه على المفرد، أو احتياجه إلى إضمار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وقوعه معمولاً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لإجزاء مسح البلّة؛ للاتّفاق عليه، بل المتّصف بالإجزاء غيره، وكذا تفريعه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وتر يحبّ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أنّ المسحات وتر أيضاً؛ لأنّها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وتضعيف الرواية باشتمالها على الأمر بالمسح باليمنى على الرأس واليمنى، واليسرى على اليسرى، ضعيف؛ لأنّا نلتزمه، أو نقول بوجوب البلّة ورجحان خصوص الماسح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وبحسنة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امسح رأسك بفضل ما بقي في يدك</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وبالمكاتبة لابن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 مقدّم رأسك وظاهر القدمين من فضل نداوة وضوئك</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جاء من الأمر على ناسي المسح بالأخذ من اللحية إن جفّت اليد، ومن الأشفار والحاجبين إن جفّتا، وإن جفّ الكلّ أعاد الوضوء</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جاء من الأخذ من اللحية إن بلّت، وإعادة الوضوء بعد الانصراف إن جفّت</w:t>
      </w:r>
      <w:r>
        <w:rPr>
          <w:rStyle w:val="FootnoteAnchor"/>
          <w:rtl w:val="true"/>
        </w:rPr>
        <w:footnoteReference w:id="1181"/>
      </w:r>
      <w:r>
        <w:rPr>
          <w:rFonts w:ascii="Amiri" w:hAnsi="Amiri" w:eastAsia="Amiri" w:cs="Amiri"/>
          <w:color w:val="111111"/>
          <w:sz w:val="28"/>
          <w:sz w:val="28"/>
          <w:szCs w:val="28"/>
          <w:rtl w:val="true"/>
          <w:lang w:bidi="ar-SA"/>
        </w:rPr>
        <w:t>، وبغير ذلك ممّا جاء، مؤيّداً بالشهرة والإجماع المنقول</w:t>
      </w:r>
      <w:r>
        <w:rPr>
          <w:rStyle w:val="FootnoteAnchor"/>
          <w:rtl w:val="true"/>
        </w:rPr>
        <w:footnoteReference w:id="1182"/>
      </w:r>
      <w:r>
        <w:rPr>
          <w:rFonts w:ascii="IRNazanin" w:hAnsi="IRNazanin" w:eastAsia="IRNazanin"/>
          <w:color w:val="111111"/>
          <w:sz w:val="28"/>
          <w:sz w:val="28"/>
          <w:szCs w:val="28"/>
          <w:rtl w:val="true"/>
          <w:lang w:bidi="fa-IR"/>
        </w:rPr>
        <w:t>وفعل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وكذا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أخباره فهي غير قابلة للأخبار المعتبرة المشتهرة، ضعيفة بإعراض الأصحاب عنها وموافقتها للعامّة، واشتمالها على الأمر بالمسح بماء جديد ولا يقوله أحد، وتخصيصها بحال الجفاف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نسبه لابن الجنيد بعضٌ</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من دون مخصّص، على أنّها مع التخصيص بذلك مخالفة للإجماع والأخبار</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3197923_1280447820"/>
      <w:bookmarkStart w:id="742" w:name="_Toc288"/>
      <w:bookmarkEnd w:id="741"/>
      <w:r>
        <w:rPr>
          <w:rtl w:val="true"/>
        </w:rPr>
        <w:t>تاسعها</w:t>
      </w:r>
      <w:r>
        <w:rPr>
          <w:rtl w:val="true"/>
        </w:rPr>
        <w:t xml:space="preserve">: </w:t>
      </w:r>
      <w:r>
        <w:rPr>
          <w:rtl w:val="true"/>
        </w:rPr>
        <w:t>فیما ذهب جمعٌ من أصحاب إلى عدم وجوب المسح ببقيّة نداوة اليد، وجواز المسح بماء الوضوء مطلقاً</w:t>
      </w:r>
      <w:bookmarkEnd w:id="74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جمعٌ من أصحابنا </w:t>
      </w:r>
      <w:r>
        <w:rPr>
          <w:rStyle w:val="FootnoteAnchor"/>
          <w:rtl w:val="true"/>
        </w:rPr>
        <w:footnoteReference w:id="1184"/>
      </w:r>
      <w:r>
        <w:rPr>
          <w:rFonts w:ascii="Amiri" w:hAnsi="Amiri" w:eastAsia="Amiri" w:cs="Amiri"/>
          <w:color w:val="111111"/>
          <w:sz w:val="28"/>
          <w:sz w:val="28"/>
          <w:szCs w:val="28"/>
          <w:rtl w:val="true"/>
          <w:lang w:bidi="ar-SA"/>
        </w:rPr>
        <w:t>إلى عدم وجوب المسح ببقيّة نداوة اليد، وجواز المسح بماء الوضوء مطلقاً اختياراً أو اضطراراً؛ استناداً إلى إطلاق الأوامر بالمسح وإلى إطلاق الأمر به بنداوة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 ضعف الإطلاق كما تقدّم، والاحتياط، وكونه المعهود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وأتباعهم، والإجماع المنقول عن المرتضى</w:t>
      </w:r>
      <w:r>
        <w:rPr>
          <w:rStyle w:val="FootnoteAnchor"/>
          <w:rtl w:val="true"/>
        </w:rPr>
        <w:footnoteReference w:id="1185"/>
      </w:r>
      <w:r>
        <w:rPr>
          <w:rFonts w:ascii="Amiri" w:hAnsi="Amiri" w:eastAsia="Amiri" w:cs="Amiri"/>
          <w:color w:val="111111"/>
          <w:sz w:val="28"/>
          <w:sz w:val="28"/>
          <w:szCs w:val="28"/>
          <w:rtl w:val="true"/>
          <w:lang w:bidi="ar-SA"/>
        </w:rPr>
        <w:t>في وجوب المسح ببلّة اليدين، وظاهر الأخبار البيانيّة</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w:t>
      </w:r>
      <w:r>
        <w:rPr>
          <w:rStyle w:val="FootnoteAnchor"/>
          <w:rtl w:val="true"/>
        </w:rPr>
        <w:footnoteReference w:id="1187"/>
      </w:r>
      <w:r>
        <w:rPr>
          <w:rFonts w:ascii="Amiri" w:hAnsi="Amiri" w:eastAsia="Amiri" w:cs="Amiri"/>
          <w:color w:val="111111"/>
          <w:sz w:val="28"/>
          <w:sz w:val="28"/>
          <w:szCs w:val="28"/>
          <w:rtl w:val="true"/>
          <w:lang w:bidi="ar-SA"/>
        </w:rPr>
        <w:t>الآمرة بالمسح بنداوة اليد، ورواية زرارة</w:t>
      </w:r>
      <w:r>
        <w:rPr>
          <w:rStyle w:val="FootnoteAnchor"/>
          <w:rtl w:val="true"/>
        </w:rPr>
        <w:footnoteReference w:id="1188"/>
      </w:r>
      <w:r>
        <w:rPr>
          <w:rFonts w:ascii="Amiri" w:hAnsi="Amiri" w:eastAsia="Amiri" w:cs="Amiri"/>
          <w:color w:val="111111"/>
          <w:sz w:val="28"/>
          <w:sz w:val="28"/>
          <w:szCs w:val="28"/>
          <w:rtl w:val="true"/>
          <w:lang w:bidi="ar-SA"/>
        </w:rPr>
        <w:t>، ومرسلة الصدوق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بقي في يدك من نداوة وضوئك شيء فخُذْ ما بقي منه في لحيتك</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هذا إن لم يصلح لأن يكون دليلاً فهو صالح للقدح في مطلقات الأدلّة وحصول الشكّ، والاحتياط معه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المختار فالحكم بالاقتصار مقصور على حالة الاختيار وعدم الجفاف، أمّا لو جفّ ماء الوضوء ولو باختياره جاز له الأخذ من محالّ الوضوء حتّى المسترسل من لحيته، وكلّها متساوية في جواز الأخذ إلّا الوجه، فالأحوط جعله مرتبة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جفٌ جميع المحالّ، أعاد الوضوء واستأنف، إلّا أن لا يتمكّن من المسح بمائه من كلّ وجه، فإنّه يجوز استئناف 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جواز المسح من اللحية وأشفار العينين والحاجبين عند جفاف اليد، وإلّا أعاد الوضوء</w:t>
      </w:r>
      <w:r>
        <w:rPr>
          <w:rStyle w:val="FootnoteAnchor"/>
          <w:rtl w:val="true"/>
        </w:rPr>
        <w:footnoteReference w:id="1190"/>
      </w:r>
      <w:r>
        <w:rPr>
          <w:rFonts w:ascii="Amiri" w:hAnsi="Amiri" w:eastAsia="Amiri" w:cs="Amiri"/>
          <w:color w:val="111111"/>
          <w:sz w:val="28"/>
          <w:sz w:val="28"/>
          <w:szCs w:val="28"/>
          <w:rtl w:val="true"/>
          <w:lang w:bidi="ar-SA"/>
        </w:rPr>
        <w:t>، وظاهرها وإن كان مختصّاً بالوجه دون غيره وبصورة النسيان دون غيرها إلّا أنّ كلام الفقهاء يقضي بالتساوي، وتخصيص الوجه في الأخبار لأنّه مظنّة النداوة، بل ربما يدّعى 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وجوب استئناف 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لا يترك</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والأخبار</w:t>
      </w:r>
      <w:r>
        <w:rPr>
          <w:rStyle w:val="FootnoteAnchor"/>
          <w:rtl w:val="true"/>
        </w:rPr>
        <w:footnoteReference w:id="1192"/>
      </w:r>
      <w:r>
        <w:rPr>
          <w:rFonts w:ascii="Amiri" w:hAnsi="Amiri" w:eastAsia="Amiri" w:cs="Amiri"/>
          <w:color w:val="111111"/>
          <w:sz w:val="28"/>
          <w:sz w:val="28"/>
          <w:szCs w:val="28"/>
          <w:rtl w:val="true"/>
          <w:lang w:bidi="ar-SA"/>
        </w:rPr>
        <w:t>المجوّزة لذلك بحملها على الضرورة، وإطلاق الأمر بالمسح عند عدم التمكّن من القيد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دار الأمر بين الماء الجديد وماء الوضوء المتقاطر، فالأحوط تقديم ماء الوضوء، ولا يبعد أنّ الأحوط تقديم نداوة الوجه ثمّ مسترسل اللحية ثمّ اليدين</w:t>
      </w:r>
      <w:r>
        <w:rPr>
          <w:rFonts w:eastAsia="Amiri" w:cs="Amiri" w:ascii="Amiri" w:hAnsi="Amiri"/>
          <w:color w:val="111111"/>
          <w:sz w:val="28"/>
          <w:szCs w:val="28"/>
          <w:rtl w:val="true"/>
          <w:lang w:bidi="ar-SA"/>
        </w:rPr>
        <w:t xml:space="preserve">. </w:t>
      </w:r>
      <w:bookmarkStart w:id="743" w:name="pg18988_203391"/>
    </w:p>
    <w:p>
      <w:pPr>
        <w:pStyle w:val="Heading5"/>
        <w:numPr>
          <w:ilvl w:val="4"/>
          <w:numId w:val="1"/>
        </w:numPr>
        <w:rPr/>
      </w:pPr>
      <w:bookmarkStart w:id="744" w:name="__RefHeading___Toc13197925_1280447820"/>
      <w:bookmarkStart w:id="745" w:name="_Toc289"/>
      <w:bookmarkEnd w:id="743"/>
      <w:bookmarkEnd w:id="744"/>
      <w:r>
        <w:rPr>
          <w:rtl w:val="true"/>
        </w:rPr>
        <w:t xml:space="preserve">الخامس </w:t>
      </w:r>
      <w:r>
        <w:rPr>
          <w:rtl w:val="true"/>
        </w:rPr>
        <w:t xml:space="preserve">- </w:t>
      </w:r>
      <w:r>
        <w:rPr>
          <w:rtl w:val="true"/>
        </w:rPr>
        <w:t xml:space="preserve">من فروض الوضوء </w:t>
      </w:r>
      <w:r>
        <w:rPr>
          <w:rtl w:val="true"/>
        </w:rPr>
        <w:t xml:space="preserve">- : </w:t>
      </w:r>
      <w:r>
        <w:rPr>
          <w:rtl w:val="true"/>
        </w:rPr>
        <w:t>مسح الرِّجْلين</w:t>
      </w:r>
      <w:bookmarkEnd w:id="745"/>
    </w:p>
    <w:p>
      <w:pPr>
        <w:pStyle w:val="Heading6"/>
        <w:numPr>
          <w:ilvl w:val="5"/>
          <w:numId w:val="1"/>
        </w:numPr>
        <w:rPr/>
      </w:pPr>
      <w:bookmarkStart w:id="746" w:name="__RefHeading___Toc13197927_1280447820"/>
      <w:bookmarkStart w:id="747" w:name="_Toc290"/>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وهما حقيقة في العضو المخصوص، والتحديد الآتي للحكم، أو مشترك معنويّ بين الكلّ والأبعاض</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3197929_1280447820"/>
      <w:bookmarkStart w:id="749" w:name="_Toc291"/>
      <w:bookmarkEnd w:id="748"/>
      <w:r>
        <w:rPr>
          <w:rtl w:val="true"/>
        </w:rPr>
        <w:t>وجوب مسح ظاهر القدم من أطراف الأصابع إلى الكعبين و تفسیر الکعب</w:t>
      </w:r>
      <w:bookmarkEnd w:id="749"/>
    </w:p>
    <w:p>
      <w:pPr>
        <w:pStyle w:val="Heading6"/>
        <w:numPr>
          <w:ilvl w:val="5"/>
          <w:numId w:val="1"/>
        </w:numPr>
        <w:rPr/>
      </w:pPr>
      <w:bookmarkStart w:id="750" w:name="__RefHeading___Toc13197931_1280447820"/>
      <w:bookmarkStart w:id="751" w:name="_Toc292"/>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 xml:space="preserve">هو ظاهر القدم من أطراف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شيئاً من الباطن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الكعبين؛ كتاباً </w:t>
      </w:r>
      <w:r>
        <w:rPr>
          <w:rStyle w:val="FootnoteAnchor"/>
          <w:rtl w:val="true"/>
        </w:rPr>
        <w:footnoteReference w:id="1193"/>
      </w:r>
      <w:r>
        <w:rPr>
          <w:rFonts w:ascii="Amiri" w:hAnsi="Amiri" w:eastAsia="Amiri" w:cs="Amiri"/>
          <w:color w:val="111111"/>
          <w:sz w:val="28"/>
          <w:sz w:val="28"/>
          <w:szCs w:val="28"/>
          <w:rtl w:val="true"/>
          <w:lang w:bidi="ar-SA"/>
        </w:rPr>
        <w:t>وسنّةٌ</w:t>
      </w:r>
      <w:r>
        <w:rPr>
          <w:rStyle w:val="FootnoteAnchor"/>
          <w:rtl w:val="true"/>
        </w:rPr>
        <w:footnoteReference w:id="1194"/>
      </w:r>
      <w:r>
        <w:rPr>
          <w:rFonts w:ascii="Amiri" w:hAnsi="Amiri" w:eastAsia="Amiri" w:cs="Amiri"/>
          <w:color w:val="111111"/>
          <w:sz w:val="28"/>
          <w:sz w:val="28"/>
          <w:szCs w:val="28"/>
          <w:rtl w:val="true"/>
          <w:lang w:bidi="ar-SA"/>
        </w:rPr>
        <w:t>وإجماعاً ، فلا يتعلّق بما فوق الكعب حكم بالأصالة بالإجماع بل بضرورة المذهب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الكعب، والأظهر أنّ الكعب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فهو عظم مرتفع ناتئ في وسط القدم عليه يقع الشراك غالباً، ويُسمّى بقبّة القدم، لنقل الإجماع مكرّراً على أنّه ذلك من كثير من فقهائنا المتقدّمين والمتأخّرين باختلاف تعابيرهم عنه، فمنهم مَنْ صرّح بلفظ الإجماع </w:t>
      </w:r>
      <w:r>
        <w:rPr>
          <w:rStyle w:val="FootnoteAnchor"/>
          <w:rtl w:val="true"/>
        </w:rPr>
        <w:footnoteReference w:id="1195"/>
      </w:r>
      <w:r>
        <w:rPr>
          <w:rFonts w:ascii="IRNazanin" w:hAnsi="IRNazanin" w:eastAsia="IRNazanin"/>
          <w:color w:val="111111"/>
          <w:sz w:val="28"/>
          <w:sz w:val="28"/>
          <w:szCs w:val="28"/>
          <w:rtl w:val="true"/>
          <w:lang w:bidi="fa-IR"/>
        </w:rPr>
        <w:t>، ومنهم مَنْ نسبه إلى الأصحاب</w:t>
      </w:r>
      <w:r>
        <w:rPr>
          <w:rStyle w:val="FootnoteAnchor"/>
          <w:rtl w:val="true"/>
        </w:rPr>
        <w:footnoteReference w:id="1196"/>
      </w:r>
      <w:r>
        <w:rPr>
          <w:rFonts w:ascii="IRNazanin" w:hAnsi="IRNazanin" w:eastAsia="IRNazanin"/>
          <w:color w:val="111111"/>
          <w:sz w:val="28"/>
          <w:sz w:val="28"/>
          <w:szCs w:val="28"/>
          <w:rtl w:val="true"/>
          <w:lang w:bidi="fa-IR"/>
        </w:rPr>
        <w:t>،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المعروف من المذهب</w:t>
      </w:r>
      <w:r>
        <w:rPr>
          <w:rStyle w:val="FootnoteAnchor"/>
          <w:rtl w:val="true"/>
        </w:rPr>
        <w:footnoteReference w:id="1197"/>
      </w:r>
      <w:r>
        <w:rPr>
          <w:rFonts w:ascii="Amiri" w:hAnsi="Amiri" w:eastAsia="Amiri" w:cs="Amiri"/>
          <w:color w:val="111111"/>
          <w:sz w:val="28"/>
          <w:sz w:val="28"/>
          <w:szCs w:val="28"/>
          <w:rtl w:val="true"/>
          <w:lang w:bidi="ar-SA"/>
        </w:rPr>
        <w:t>، ومنهم مَنْ نقل إجماع المتأخّرين والمتقدّمين</w:t>
      </w:r>
      <w:r>
        <w:rPr>
          <w:rStyle w:val="FootnoteAnchor"/>
          <w:rtl w:val="true"/>
        </w:rPr>
        <w:footnoteReference w:id="1198"/>
      </w:r>
      <w:r>
        <w:rPr>
          <w:rFonts w:ascii="Amiri" w:hAnsi="Amiri" w:eastAsia="Amiri" w:cs="Amiri"/>
          <w:color w:val="111111"/>
          <w:sz w:val="28"/>
          <w:sz w:val="28"/>
          <w:szCs w:val="28"/>
          <w:rtl w:val="true"/>
          <w:lang w:bidi="ar-SA"/>
        </w:rPr>
        <w:t>، ومنهم مَنْ نسبه إلى سائر المتأخّرين</w:t>
      </w:r>
      <w:r>
        <w:rPr>
          <w:rStyle w:val="FootnoteAnchor"/>
          <w:rtl w:val="true"/>
        </w:rPr>
        <w:footnoteReference w:id="1199"/>
      </w:r>
      <w:r>
        <w:rPr>
          <w:rFonts w:ascii="Amiri" w:hAnsi="Amiri" w:eastAsia="Amiri" w:cs="Amiri"/>
          <w:color w:val="111111"/>
          <w:sz w:val="28"/>
          <w:sz w:val="28"/>
          <w:szCs w:val="28"/>
          <w:rtl w:val="true"/>
          <w:lang w:bidi="ar-SA"/>
        </w:rPr>
        <w:t>، وباختلاف تعابيرهم عن معنى الكعب المتقدّم، فالمفيد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بقبّة القدم</w:t>
      </w:r>
      <w:r>
        <w:rPr>
          <w:rStyle w:val="FootnoteAnchor"/>
          <w:rtl w:val="true"/>
        </w:rPr>
        <w:footnoteReference w:id="1200"/>
      </w:r>
      <w:r>
        <w:rPr>
          <w:rFonts w:ascii="Amiri" w:hAnsi="Amiri" w:eastAsia="Amiri" w:cs="Amiri"/>
          <w:color w:val="111111"/>
          <w:sz w:val="28"/>
          <w:sz w:val="28"/>
          <w:szCs w:val="28"/>
          <w:rtl w:val="true"/>
          <w:lang w:bidi="ar-SA"/>
        </w:rPr>
        <w:t>،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القدم</w:t>
      </w:r>
      <w:r>
        <w:rPr>
          <w:rStyle w:val="FootnoteAnchor"/>
          <w:rtl w:val="true"/>
        </w:rPr>
        <w:footnoteReference w:id="1201"/>
      </w: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ظهر القدم</w:t>
      </w:r>
      <w:r>
        <w:rPr>
          <w:rStyle w:val="FootnoteAnchor"/>
          <w:rtl w:val="true"/>
        </w:rPr>
        <w:footnoteReference w:id="1202"/>
      </w:r>
      <w:r>
        <w:rPr>
          <w:rFonts w:ascii="Amiri" w:hAnsi="Amiri" w:eastAsia="Amiri" w:cs="Amiri"/>
          <w:color w:val="111111"/>
          <w:sz w:val="28"/>
          <w:sz w:val="28"/>
          <w:szCs w:val="28"/>
          <w:rtl w:val="true"/>
          <w:lang w:bidi="ar-SA"/>
        </w:rPr>
        <w:t>،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بالعظم الناتئ في ظهر القدم عند معقد الشراك</w:t>
      </w:r>
      <w:r>
        <w:rPr>
          <w:rStyle w:val="FootnoteAnchor"/>
          <w:rtl w:val="true"/>
        </w:rPr>
        <w:footnoteReference w:id="1203"/>
      </w:r>
      <w:r>
        <w:rPr>
          <w:rFonts w:ascii="Amiri" w:hAnsi="Amiri" w:eastAsia="Amiri" w:cs="Amiri"/>
          <w:color w:val="111111"/>
          <w:sz w:val="28"/>
          <w:sz w:val="28"/>
          <w:szCs w:val="28"/>
          <w:rtl w:val="true"/>
          <w:lang w:bidi="ar-SA"/>
        </w:rPr>
        <w:t>،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بالناتئ في وسط القدم</w:t>
      </w:r>
      <w:r>
        <w:rPr>
          <w:rStyle w:val="FootnoteAnchor"/>
          <w:rtl w:val="true"/>
        </w:rPr>
        <w:footnoteReference w:id="1204"/>
      </w:r>
      <w:r>
        <w:rPr>
          <w:rFonts w:ascii="Amiri" w:hAnsi="Amiri" w:eastAsia="Amiri" w:cs="Amiri"/>
          <w:color w:val="111111"/>
          <w:sz w:val="28"/>
          <w:sz w:val="28"/>
          <w:szCs w:val="28"/>
          <w:rtl w:val="true"/>
          <w:lang w:bidi="ar-SA"/>
        </w:rPr>
        <w:t>،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بمعقد الشراك</w:t>
      </w:r>
      <w:r>
        <w:rPr>
          <w:rStyle w:val="FootnoteAnchor"/>
          <w:rtl w:val="true"/>
        </w:rPr>
        <w:footnoteReference w:id="1205"/>
      </w:r>
      <w:r>
        <w:rPr>
          <w:rFonts w:ascii="Amiri" w:hAnsi="Amiri" w:eastAsia="Amiri" w:cs="Amiri"/>
          <w:color w:val="111111"/>
          <w:sz w:val="28"/>
          <w:sz w:val="28"/>
          <w:szCs w:val="28"/>
          <w:rtl w:val="true"/>
          <w:lang w:bidi="ar-SA"/>
        </w:rPr>
        <w:t>، والحلّي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بالعظم في ظهر القدم عند معقد الشراك</w:t>
      </w:r>
      <w:r>
        <w:rPr>
          <w:rStyle w:val="FootnoteAnchor"/>
          <w:rtl w:val="true"/>
        </w:rPr>
        <w:footnoteReference w:id="1206"/>
      </w:r>
      <w:r>
        <w:rPr>
          <w:rFonts w:ascii="Amiri" w:hAnsi="Amiri" w:eastAsia="Amiri" w:cs="Amiri"/>
          <w:color w:val="111111"/>
          <w:sz w:val="28"/>
          <w:sz w:val="28"/>
          <w:szCs w:val="28"/>
          <w:rtl w:val="true"/>
          <w:lang w:bidi="ar-SA"/>
        </w:rPr>
        <w:t>،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بالناتئ في وسط القدم</w:t>
      </w:r>
      <w:r>
        <w:rPr>
          <w:rStyle w:val="FootnoteAnchor"/>
          <w:rtl w:val="true"/>
        </w:rPr>
        <w:footnoteReference w:id="120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ولنقل كثير من أهل اللغة أنّه كذلك</w:t>
      </w:r>
      <w:r>
        <w:rPr>
          <w:rStyle w:val="FootnoteAnchor"/>
          <w:rtl w:val="true"/>
        </w:rPr>
        <w:footnoteReference w:id="1208"/>
      </w:r>
      <w:r>
        <w:rPr>
          <w:rFonts w:ascii="Amiri" w:hAnsi="Amiri" w:eastAsia="Amiri" w:cs="Amiri"/>
          <w:color w:val="111111"/>
          <w:sz w:val="28"/>
          <w:sz w:val="28"/>
          <w:szCs w:val="28"/>
          <w:rtl w:val="true"/>
          <w:lang w:bidi="ar-SA"/>
        </w:rPr>
        <w:t>، فالظاهر أنّ معناه الحقيقي ذلك، وإن كان يطلق عندهم مع الأوّل على نفس المفصل بين الساق والقدم، وعلى ما في ملتقاهما من العظم المستدير الشبيه بما يلعب به من كعب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عليهما نفس المفصل للمجاورة، أو تسمية للحالّ باسم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الكعب على العظمين الناتئين عن يمين القدم وشماله، وهو الكعب عند العامّة</w:t>
      </w:r>
      <w:r>
        <w:rPr>
          <w:rStyle w:val="FootnoteAnchor"/>
          <w:rtl w:val="true"/>
        </w:rPr>
        <w:footnoteReference w:id="1209"/>
      </w:r>
      <w:r>
        <w:rPr>
          <w:rFonts w:ascii="Amiri" w:hAnsi="Amiri" w:eastAsia="Amiri" w:cs="Amiri"/>
          <w:color w:val="111111"/>
          <w:sz w:val="28"/>
          <w:sz w:val="28"/>
          <w:szCs w:val="28"/>
          <w:rtl w:val="true"/>
          <w:lang w:bidi="ar-SA"/>
        </w:rPr>
        <w:t>، ولكنّ المشهور إطلاقه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متّفقون على أنّه العظم الناتئ في ظهر القدم حيث معقد الشراك</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لغويّة الخاصّة على ذلك المعنى متّفقون، ولغويّة العامّة مختلفون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عميد الرؤساء كتاباً أكثر فيه من الشواهد على أنّ الكعب هو الناتئ في ظهر القدم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مَشط الرِّجْل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عن الكسائي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مَشط الرِّجْل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علا وارتفع هو كعب</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Style w:val="FootnoteAnchor"/>
          <w:rtl w:val="true"/>
        </w:rPr>
        <w:footnoteReference w:id="1216"/>
      </w:r>
      <w:r>
        <w:rPr>
          <w:rFonts w:ascii="Amiri" w:hAnsi="Amiri" w:eastAsia="Amiri" w:cs="Amiri"/>
          <w:color w:val="111111"/>
          <w:sz w:val="28"/>
          <w:sz w:val="28"/>
          <w:szCs w:val="28"/>
          <w:rtl w:val="true"/>
          <w:lang w:bidi="ar-SA"/>
        </w:rPr>
        <w:t>ذكر المعاني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الناتئ عند ملتقى الساق والقدم، وأنكر الأصمعي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ظهر القدم</w:t>
      </w:r>
      <w:r>
        <w:rPr>
          <w:rStyle w:val="FootnoteAnchor"/>
          <w:rtl w:val="true"/>
        </w:rPr>
        <w:footnoteReference w:id="1217"/>
      </w:r>
      <w:r>
        <w:rPr>
          <w:rFonts w:ascii="Amiri" w:hAnsi="Amiri" w:eastAsia="Amiri" w:cs="Amiri"/>
          <w:color w:val="111111"/>
          <w:sz w:val="28"/>
          <w:sz w:val="28"/>
          <w:szCs w:val="28"/>
          <w:rtl w:val="true"/>
          <w:lang w:bidi="ar-SA"/>
        </w:rPr>
        <w:t>، فيظهر منه ومن المغرب</w:t>
      </w:r>
      <w:r>
        <w:rPr>
          <w:rStyle w:val="FootnoteAnchor"/>
          <w:rtl w:val="true"/>
        </w:rPr>
        <w:footnoteReference w:id="1218"/>
      </w:r>
      <w:r>
        <w:rPr>
          <w:rFonts w:ascii="Amiri" w:hAnsi="Amiri" w:eastAsia="Amiri" w:cs="Amiri"/>
          <w:color w:val="111111"/>
          <w:sz w:val="28"/>
          <w:sz w:val="28"/>
          <w:szCs w:val="28"/>
          <w:rtl w:val="true"/>
          <w:lang w:bidi="ar-SA"/>
        </w:rPr>
        <w:t>أنّه معروف بين الناس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الأثيرية والغريبين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علا وارتفع</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عند العامّة</w:t>
      </w:r>
      <w:r>
        <w:rPr>
          <w:rStyle w:val="FootnoteAnchor"/>
          <w:rtl w:val="true"/>
        </w:rPr>
        <w:footnoteReference w:id="1220"/>
      </w:r>
      <w:r>
        <w:rPr>
          <w:rFonts w:ascii="Amiri" w:hAnsi="Amiri" w:eastAsia="Amiri" w:cs="Amiri"/>
          <w:color w:val="111111"/>
          <w:sz w:val="28"/>
          <w:sz w:val="28"/>
          <w:szCs w:val="28"/>
          <w:rtl w:val="true"/>
          <w:lang w:bidi="ar-SA"/>
        </w:rPr>
        <w:t>كما ذكره الصحاح، وهو لا يراد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المتكثّرة المعتبرة بفتوى الأصحاب، الدالّة على ذلك حتّى ادّعى في الروض</w:t>
      </w:r>
      <w:r>
        <w:rPr>
          <w:rStyle w:val="FootnoteAnchor"/>
          <w:rtl w:val="true"/>
        </w:rPr>
        <w:footnoteReference w:id="1221"/>
      </w:r>
      <w:r>
        <w:rPr>
          <w:rFonts w:ascii="IRNazanin" w:hAnsi="IRNazanin" w:eastAsia="IRNazanin"/>
          <w:color w:val="111111"/>
          <w:sz w:val="28"/>
          <w:sz w:val="28"/>
          <w:szCs w:val="28"/>
          <w:rtl w:val="true"/>
          <w:lang w:bidi="fa-IR"/>
        </w:rPr>
        <w:t>تواترها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كصحيحة البزنطي، وحسنة ميسر ،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ووصف الكعب في ظهر القدم</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وحسنته الأُخرى،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ظهر القدم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قبّة القدم، لا المفصل؛ لخفائه، كما أنّ الظاهر من الكعب هو المرتفع حسّاً، لا المرتفع في مكانه خفيّاً قد ستره الجلد، على أنّ المفصل بين القدم والساق ليس في القدم، بل منتهى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زرارة وحسنته وصحيحة الأخوين وحسنتهما الدالّة على كفاية المسح على النعل من دون استبطان الشراك</w:t>
      </w:r>
      <w:r>
        <w:rPr>
          <w:rStyle w:val="FootnoteAnchor"/>
          <w:rtl w:val="true"/>
        </w:rPr>
        <w:footnoteReference w:id="1224"/>
      </w:r>
      <w:r>
        <w:rPr>
          <w:rFonts w:ascii="Amiri" w:hAnsi="Amiri" w:eastAsia="Amiri" w:cs="Amiri"/>
          <w:color w:val="111111"/>
          <w:sz w:val="28"/>
          <w:sz w:val="28"/>
          <w:szCs w:val="28"/>
          <w:rtl w:val="true"/>
          <w:lang w:bidi="ar-SA"/>
        </w:rPr>
        <w:t>، والغالب أنّ معقد الشراك دون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دلّ على قطع رِجْل السارق من الكعب</w:t>
      </w:r>
      <w:r>
        <w:rPr>
          <w:rStyle w:val="FootnoteAnchor"/>
          <w:rtl w:val="true"/>
        </w:rPr>
        <w:footnoteReference w:id="1225"/>
      </w:r>
      <w:r>
        <w:rPr>
          <w:rFonts w:ascii="Amiri" w:hAnsi="Amiri" w:eastAsia="Amiri" w:cs="Amiri"/>
          <w:color w:val="111111"/>
          <w:sz w:val="28"/>
          <w:sz w:val="28"/>
          <w:szCs w:val="28"/>
          <w:rtl w:val="true"/>
          <w:lang w:bidi="ar-SA"/>
        </w:rPr>
        <w:t>، ومكانه قبّة القدم، كما هو منسوب للشيعة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الكعب هو المفصل بين الساق والقدم، أو المجمع ما بين الساق والقدم</w:t>
      </w:r>
      <w:r>
        <w:rPr>
          <w:rStyle w:val="FootnoteAnchor"/>
          <w:rtl w:val="true"/>
        </w:rPr>
        <w:footnoteReference w:id="1226"/>
      </w:r>
      <w:r>
        <w:rPr>
          <w:rFonts w:ascii="Amiri" w:hAnsi="Amiri" w:eastAsia="Amiri" w:cs="Amiri"/>
          <w:color w:val="111111"/>
          <w:sz w:val="28"/>
          <w:sz w:val="28"/>
          <w:szCs w:val="28"/>
          <w:rtl w:val="true"/>
          <w:lang w:bidi="ar-SA"/>
        </w:rPr>
        <w:t>، فهو من الأُمور الغير المحسوسة، فيجب مسح جزء من الساق من باب المقدّمة لتحصيله، أو من باب الأصالة؛ لأنّ المجمع لا يتحقّق إلّا بملاقاة جزءين من طرفي العظمين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داخلة في المغيّى، أو أنّه نفس العظم المستدير الواقع في ملتقى الساق والقدم، كما فهمه منه بعضٌ</w:t>
      </w:r>
      <w:r>
        <w:rPr>
          <w:rStyle w:val="FootnoteAnchor"/>
          <w:rtl w:val="true"/>
        </w:rPr>
        <w:footnoteReference w:id="1227"/>
      </w:r>
      <w:r>
        <w:rPr>
          <w:rFonts w:ascii="Amiri" w:hAnsi="Amiri" w:eastAsia="Amiri" w:cs="Amiri"/>
          <w:color w:val="111111"/>
          <w:sz w:val="28"/>
          <w:sz w:val="28"/>
          <w:szCs w:val="28"/>
          <w:rtl w:val="true"/>
          <w:lang w:bidi="ar-SA"/>
        </w:rPr>
        <w:t>، وتبعه على ذلك جمع من أصحابنا</w:t>
      </w:r>
      <w:r>
        <w:rPr>
          <w:rStyle w:val="FootnoteAnchor"/>
          <w:rtl w:val="true"/>
        </w:rPr>
        <w:footnoteReference w:id="1228"/>
      </w:r>
      <w:r>
        <w:rPr>
          <w:rFonts w:ascii="Amiri" w:hAnsi="Amiri" w:eastAsia="Amiri" w:cs="Amiri"/>
          <w:color w:val="111111"/>
          <w:sz w:val="28"/>
          <w:sz w:val="28"/>
          <w:szCs w:val="28"/>
          <w:rtl w:val="true"/>
          <w:lang w:bidi="ar-SA"/>
        </w:rPr>
        <w:t>، مستندين للاحتياط في مقام الشغل، وأصالة بقاء الحدث وعدم الرافع، وإلى بعض كلمات اللغويّين والمفسّرين والفقهاء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الفخري والنيشابوري في تفسير الآية</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جمهور الفقهاء على أنّ الكعبين هُما العظمان الناتئان في جانبي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عظم مستدير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كعب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عظم الساق حيث مفصل الساق والقدم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الأفاضل في علم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 مؤلّف من ستّة وعشرين عظماً، أعلاها الكعب، وهو مائل للاستدارة، واقع في ملتقى الساق والقدم، له زائدتان في أعلاه، إنسيّة ووحشيّة، كلٌّ منهما في حفرة من حفرة قصبة الساق</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الناشز عند ملتقى الساق والقدم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كلّ مفصل</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الأصمعي من إنكار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قبّة القدم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في أصل القدم ينتهي إلى الساق</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w:t>
      </w:r>
      <w:r>
        <w:rPr>
          <w:rStyle w:val="FootnoteAnchor"/>
          <w:rtl w:val="true"/>
        </w:rPr>
        <w:footnoteReference w:id="1236"/>
      </w:r>
      <w:r>
        <w:rPr>
          <w:rFonts w:ascii="Amiri" w:hAnsi="Amiri" w:eastAsia="Amiri" w:cs="Amiri"/>
          <w:color w:val="111111"/>
          <w:sz w:val="28"/>
          <w:sz w:val="28"/>
          <w:szCs w:val="28"/>
          <w:rtl w:val="true"/>
          <w:lang w:bidi="ar-SA"/>
        </w:rPr>
        <w:t xml:space="preserve">أنّ أكثر عبارات الأصحاب والروايات قابلة للتنزيل على المفصل؛ لأنّ القدم من أطراف الأصابع إلى أصل العرقوب، فالعظم الذي عند منتهى الساق والقدم واقع في وسطه وعليه يحمل مَنْ 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مَنْ عبر بهما، وربّما عقد عليه الشراك، وعليه يحمل ما جاء من المسح على النعل من دون استبطان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الروايات كصحيحة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المفصل دون عظم الساق</w:t>
      </w:r>
      <w:r>
        <w:rPr>
          <w:rStyle w:val="FootnoteAnchor"/>
          <w:rtl w:val="true"/>
        </w:rPr>
        <w:footnoteReference w:id="1238"/>
      </w:r>
      <w:r>
        <w:rPr>
          <w:rFonts w:ascii="IRNazanin" w:hAnsi="IRNazanin" w:eastAsia="IRNazanin"/>
          <w:color w:val="111111"/>
          <w:sz w:val="28"/>
          <w:sz w:val="28"/>
          <w:szCs w:val="28"/>
          <w:rtl w:val="true"/>
          <w:lang w:bidi="fa-IR"/>
        </w:rPr>
        <w:t>، وكرواية ابن بابويه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وصف وضوء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مسح على مقدّم رأسه وظهر قدميه</w:t>
      </w:r>
      <w:r>
        <w:rPr>
          <w:rStyle w:val="FootnoteAnchor"/>
          <w:rtl w:val="true"/>
        </w:rPr>
        <w:footnoteReference w:id="1239"/>
      </w:r>
      <w:r>
        <w:rPr>
          <w:rFonts w:ascii="Amiri" w:hAnsi="Amiri" w:eastAsia="Amiri" w:cs="Amiri"/>
          <w:color w:val="111111"/>
          <w:sz w:val="28"/>
          <w:sz w:val="28"/>
          <w:szCs w:val="28"/>
          <w:rtl w:val="true"/>
          <w:lang w:bidi="ar-SA"/>
        </w:rPr>
        <w:t>، وظاهرها استيعاب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نقله عن اللغويّين فإمّا غير دالّ، أو دالّ ولكنّه مؤوّل و منزّل على رأي المعظم، أو مطروح؛ لعدم معارضته لنقل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فضعيفان عن معارضة ما قدّمنا، فيُطرحان، أو تُحمل الصحيحة على التقيّة، وتُطرح الأُخرى، أو يؤوّلان بما يناسب المشهور؛ لأنّ أدلّة المشهور مؤيّدة بإطلاق الآية</w:t>
      </w:r>
      <w:r>
        <w:rPr>
          <w:rStyle w:val="FootnoteAnchor"/>
          <w:rtl w:val="true"/>
        </w:rPr>
        <w:footnoteReference w:id="1240"/>
      </w:r>
      <w:r>
        <w:rPr>
          <w:rFonts w:ascii="Amiri" w:hAnsi="Amiri" w:eastAsia="Amiri" w:cs="Amiri"/>
          <w:color w:val="111111"/>
          <w:sz w:val="28"/>
          <w:sz w:val="28"/>
          <w:szCs w:val="28"/>
          <w:rtl w:val="true"/>
          <w:lang w:bidi="ar-SA"/>
        </w:rPr>
        <w:t>والروايات الدالّة على إطلاق المسح</w:t>
      </w:r>
      <w:r>
        <w:rPr>
          <w:rStyle w:val="FootnoteAnchor"/>
          <w:rtl w:val="true"/>
        </w:rPr>
        <w:footnoteReference w:id="1241"/>
      </w:r>
      <w:r>
        <w:rPr>
          <w:rFonts w:ascii="Amiri" w:hAnsi="Amiri" w:eastAsia="Amiri" w:cs="Amiri"/>
          <w:color w:val="111111"/>
          <w:sz w:val="28"/>
          <w:sz w:val="28"/>
          <w:szCs w:val="28"/>
          <w:rtl w:val="true"/>
          <w:lang w:bidi="ar-SA"/>
        </w:rPr>
        <w:t>والدالّة على كفاية المسح بشيء من القدمين من الكعبين إلى أطراف الأصابع</w:t>
      </w:r>
      <w:r>
        <w:rPr>
          <w:rStyle w:val="FootnoteAnchor"/>
          <w:rtl w:val="true"/>
        </w:rPr>
        <w:footnoteReference w:id="1242"/>
      </w:r>
      <w:r>
        <w:rPr>
          <w:rFonts w:ascii="Amiri" w:hAnsi="Amiri" w:eastAsia="Amiri" w:cs="Amiri"/>
          <w:color w:val="111111"/>
          <w:sz w:val="28"/>
          <w:sz w:val="28"/>
          <w:szCs w:val="28"/>
          <w:rtl w:val="true"/>
          <w:lang w:bidi="ar-SA"/>
        </w:rPr>
        <w:t>، خرج تحديد المشهور وبقي ما بقي، والدالّة على كون الباء في المسح للتبعيض</w:t>
      </w:r>
      <w:r>
        <w:rPr>
          <w:rStyle w:val="FootnoteAnchor"/>
          <w:rtl w:val="true"/>
        </w:rPr>
        <w:footnoteReference w:id="1243"/>
      </w:r>
      <w:r>
        <w:rPr>
          <w:rFonts w:ascii="Amiri" w:hAnsi="Amiri" w:eastAsia="Amiri" w:cs="Amiri"/>
          <w:color w:val="111111"/>
          <w:sz w:val="28"/>
          <w:sz w:val="28"/>
          <w:szCs w:val="28"/>
          <w:rtl w:val="true"/>
          <w:lang w:bidi="ar-SA"/>
        </w:rPr>
        <w:t>، فتقوى على معارضها ، فلا يجوز الركون إليه، فيحتمل إرادة قبّة القدم من المفصل في الصحيحة؛ لإطلاقه عليه في بعض أخبار قطع رِجْل السارق</w:t>
      </w:r>
      <w:r>
        <w:rPr>
          <w:rStyle w:val="FootnoteAnchor"/>
          <w:rtl w:val="true"/>
        </w:rPr>
        <w:footnoteReference w:id="1244"/>
      </w:r>
      <w:r>
        <w:rPr>
          <w:rFonts w:ascii="Amiri" w:hAnsi="Amiri" w:eastAsia="Amiri" w:cs="Amiri"/>
          <w:color w:val="111111"/>
          <w:sz w:val="28"/>
          <w:sz w:val="28"/>
          <w:szCs w:val="28"/>
          <w:rtl w:val="true"/>
          <w:lang w:bidi="ar-SA"/>
        </w:rPr>
        <w:t>، ويناسبه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عظم الساق</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فإنّ قبّة القدم دونه أي تحته في المكان، والمفصل ليس دونه؛ لأنّه المجمع بين الساق والقدم، أو قريب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المغايرة، احتُمل في الرواية كلٌّ من المعنيين، والترجيح لفهم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بالكعب هو ما عند العامّة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 أسفل من ذلك</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وكذا إرادة التبعيض من ظهر القدم بقرينة عطفه على مقدّم الرأس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يقوّى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كلمات مَنْ وافقه صريحة فيما ذهب إليه، وكلمات مَنْ وافق رأي المشهور ظاهراً لا ينكر منه إرادة ما ذهب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توازي إرادته في الفهم إرادة ما ذهب إليه المشهور؛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تنافي إرادة ما فهمه العلّامة؛ لأنّ القدم هو ما بين أطراف الأصابع وأسفل العرقوب، فيصحّ إطلاق تلك الألفاظ عليه حتّى القبّة وإن كان أبعدها؛ لأنّ المفصل حول الساق مقارب للمنتصف، ولأنّ المفصل كالقبّة عليه، وكذا يصحّ إطلاق الكعب عليه؛ لأنّه مرتفع على سطحه، وكذا النتوء أيضاً سيّما </w:t>
      </w:r>
      <w:bookmarkStart w:id="752" w:name="pg18988_203396"/>
    </w:p>
    <w:p>
      <w:pPr>
        <w:pStyle w:val="BookText"/>
        <w:rPr/>
      </w:pPr>
      <w:bookmarkEnd w:id="752"/>
      <w:r>
        <w:rPr>
          <w:rFonts w:ascii="IRNazanin" w:hAnsi="IRNazanin" w:eastAsia="IRNazanin"/>
          <w:color w:val="111111"/>
          <w:sz w:val="28"/>
          <w:sz w:val="28"/>
          <w:szCs w:val="28"/>
          <w:rtl w:val="true"/>
          <w:lang w:bidi="fa-IR"/>
        </w:rPr>
        <w:t>لو كان مراده بالكعب نفس العظم المستدير، فإنّ ارتفاعه ونتوءه حاصل وإن يظهر 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معقد الشراك، لوضع معقده في بعض التعال فيما هو أقرب إلى أصل الساق من القبّة، على أنّ كيفيّة النعال مختلفة فلم يعلم كيفيّة وضع نعاله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والحكم بعدم لزوم الاستبطان لا ينطبق حتّى على رأي المشهور في جملة من النعال بل الأغلب، إلّا أن نلتزم باستثنائه من مباشرة الممسوح، أو أنّ إيصال المسح بالتحريك دون الإدخال، أو باختلاف نعال ذلك اليوم عن هذا اليوم، كما يظهر من الإسكافي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النعال غير مانع لوصول الراحة والأصابع أو بعضها إلى مماسّة القدمين فلا بأس بالمسح عليه؛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والصادقين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ذكرناه يُحمل أيضاً أكثر الأخبار التي استدلّ بها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فمخالفة المشهور بعيدة عن الصواب، بل لا يبعد تنزيل كلام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فهمه المشهور كما حاوله البعض</w:t>
      </w:r>
      <w:r>
        <w:rPr>
          <w:rStyle w:val="FootnoteAnchor"/>
          <w:rtl w:val="true"/>
        </w:rPr>
        <w:footnoteReference w:id="1248"/>
      </w:r>
      <w:r>
        <w:rPr>
          <w:rFonts w:ascii="Amiri" w:hAnsi="Amiri" w:eastAsia="Amiri" w:cs="Amiri"/>
          <w:color w:val="111111"/>
          <w:sz w:val="28"/>
          <w:sz w:val="28"/>
          <w:szCs w:val="28"/>
          <w:rtl w:val="true"/>
          <w:lang w:bidi="ar-SA"/>
        </w:rPr>
        <w:t>لتصريحه في التذكرة بأنّ الكعب هو ما قاله المشهور، ونقل عليه الإجماع</w:t>
      </w:r>
      <w:r>
        <w:rPr>
          <w:rStyle w:val="FootnoteAnchor"/>
          <w:rtl w:val="true"/>
        </w:rPr>
        <w:footnoteReference w:id="1249"/>
      </w:r>
      <w:r>
        <w:rPr>
          <w:rFonts w:ascii="Amiri" w:hAnsi="Amiri" w:eastAsia="Amiri" w:cs="Amiri"/>
          <w:color w:val="111111"/>
          <w:sz w:val="28"/>
          <w:sz w:val="28"/>
          <w:szCs w:val="28"/>
          <w:rtl w:val="true"/>
          <w:lang w:bidi="ar-SA"/>
        </w:rPr>
        <w:t>، وكذا في المنتهى</w:t>
      </w:r>
      <w:r>
        <w:rPr>
          <w:rStyle w:val="FootnoteAnchor"/>
          <w:rtl w:val="true"/>
        </w:rPr>
        <w:footnoteReference w:id="1250"/>
      </w:r>
      <w:r>
        <w:rPr>
          <w:rFonts w:ascii="Amiri" w:hAnsi="Amiri" w:eastAsia="Amiri" w:cs="Amiri"/>
          <w:color w:val="111111"/>
          <w:sz w:val="28"/>
          <w:sz w:val="28"/>
          <w:szCs w:val="28"/>
          <w:rtl w:val="true"/>
          <w:lang w:bidi="ar-SA"/>
        </w:rPr>
        <w:t>، فيحمل ما اشتبه من كلامه من أنّ الكعب هو مجمع القدم والساق كما في الإرشاد</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المفصل بين الساق والقدم كما في القواعد</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فهمه المشهور ؛ لأنّ المفصل يطلق على قبّة القدم؛ لعلاقة المجاورة، ولانتهاء قبّة القدم به، ولأنّ منتهى قبّة القدم هو المجمع ما بين القدم والساق، سيّما لو كان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يوجب مسح جميع القبّة، فإنّه يتّصل إلى المفصل قطعاً من باب المقدّمة، والاحتياط لا يخفى</w:t>
      </w:r>
      <w:r>
        <w:rPr>
          <w:rFonts w:eastAsia="IRNazanin" w:cs="IRNazanin"/>
          <w:color w:val="111111"/>
          <w:sz w:val="28"/>
          <w:szCs w:val="28"/>
          <w:rtl w:val="true"/>
          <w:lang w:bidi="fa-IR"/>
        </w:rPr>
        <w:t>.</w:t>
      </w:r>
    </w:p>
    <w:p>
      <w:pPr>
        <w:pStyle w:val="Heading6"/>
        <w:numPr>
          <w:ilvl w:val="5"/>
          <w:numId w:val="1"/>
        </w:numPr>
        <w:rPr/>
      </w:pPr>
      <w:bookmarkStart w:id="753" w:name="__RefHeading___Toc13197933_1280447820"/>
      <w:bookmarkStart w:id="754" w:name="_Toc293"/>
      <w:bookmarkEnd w:id="753"/>
      <w:r>
        <w:rPr>
          <w:rtl w:val="true"/>
        </w:rPr>
        <w:t>وهاهنا أمور</w:t>
      </w:r>
      <w:r>
        <w:rPr>
          <w:rtl w:val="true"/>
        </w:rPr>
        <w:t>:</w:t>
      </w:r>
      <w:bookmarkEnd w:id="754"/>
    </w:p>
    <w:p>
      <w:pPr>
        <w:pStyle w:val="Heading6"/>
        <w:numPr>
          <w:ilvl w:val="5"/>
          <w:numId w:val="1"/>
        </w:numPr>
        <w:rPr/>
      </w:pPr>
      <w:bookmarkStart w:id="755" w:name="__RefHeading___Toc13197935_1280447820"/>
      <w:bookmarkStart w:id="756" w:name="_Toc294"/>
      <w:bookmarkEnd w:id="755"/>
      <w:r>
        <w:rPr>
          <w:rtl w:val="true"/>
        </w:rPr>
        <w:t>أحدها</w:t>
      </w:r>
      <w:r>
        <w:rPr>
          <w:rtl w:val="true"/>
        </w:rPr>
        <w:t xml:space="preserve">: </w:t>
      </w:r>
      <w:r>
        <w:rPr>
          <w:rtl w:val="true"/>
        </w:rPr>
        <w:t>فی حکم مسح الکعبین</w:t>
      </w:r>
      <w:bookmarkEnd w:id="7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دخول الكعبين على المذهب المشهور في المسح؛ لأنّهما غاية للمسح أو الممسوح، وعلى التقديرين فالغاية لا تدخل في المغيّى مطلقاً، على أنّ الفاصل هاهنا محسوس، ودخول البداءة من أطراف الأصابع للإجماع، ولأنّ البداءة غير النهاية</w:t>
      </w:r>
      <w:r>
        <w:rPr>
          <w:rFonts w:eastAsia="Amiri" w:cs="Amiri" w:ascii="Amiri" w:hAnsi="Amiri"/>
          <w:color w:val="111111"/>
          <w:sz w:val="28"/>
          <w:szCs w:val="28"/>
          <w:rtl w:val="true"/>
          <w:lang w:bidi="ar-SA"/>
        </w:rPr>
        <w:t xml:space="preserve">. </w:t>
      </w:r>
      <w:bookmarkStart w:id="757" w:name="pg18988_203397"/>
    </w:p>
    <w:p>
      <w:pPr>
        <w:pStyle w:val="BookText"/>
        <w:rPr/>
      </w:pPr>
      <w:bookmarkEnd w:id="757"/>
      <w:r>
        <w:rPr>
          <w:rFonts w:ascii="Amiri" w:hAnsi="Amiri" w:eastAsia="Amiri" w:cs="Amiri"/>
          <w:color w:val="111111"/>
          <w:sz w:val="28"/>
          <w:sz w:val="28"/>
          <w:szCs w:val="28"/>
          <w:rtl w:val="true"/>
          <w:lang w:bidi="ar-SA"/>
        </w:rPr>
        <w:t>ويحتمل الدخول أصالةٌ؛ للاحتياط في مقام الشكّ، ولمعادلة الممسوح للمغسول في الكتاب والسنّة، وظاهر المقابلة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أقوى، وعليه فيدخل بعضه تبعاً على الرأي المشهور، ويدخل كلّه أصالةً أو تبعاً على رأي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 بعض أصحابنا</w:t>
      </w:r>
      <w:r>
        <w:rPr>
          <w:rStyle w:val="FootnoteAnchor"/>
          <w:rtl w:val="true"/>
        </w:rPr>
        <w:footnoteReference w:id="1253"/>
      </w:r>
      <w:r>
        <w:rPr>
          <w:rFonts w:ascii="Amiri" w:hAnsi="Amiri" w:eastAsia="Amiri" w:cs="Amiri"/>
          <w:color w:val="111111"/>
          <w:sz w:val="28"/>
          <w:sz w:val="28"/>
          <w:szCs w:val="28"/>
          <w:rtl w:val="true"/>
          <w:lang w:bidi="ar-SA"/>
        </w:rPr>
        <w:t>لعدم وجوب إدخال الكعب إلى إطلاقات المسح، وإلى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زرارة وبكير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 بشيء من رأسه وبشيء من قدميه ما بين الكعبين إلى أطراف الأصابع فقد أجزأه</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لضعف الإطلاق، ولاستلزام ظاهره عدم وجوب استيعاب الطول، ولا نقول به</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13197937_1280447820"/>
      <w:bookmarkStart w:id="759" w:name="_Toc295"/>
      <w:bookmarkEnd w:id="758"/>
      <w:r>
        <w:rPr>
          <w:rtl w:val="true"/>
        </w:rPr>
        <w:t>ثانيها</w:t>
      </w:r>
      <w:r>
        <w:rPr>
          <w:rtl w:val="true"/>
        </w:rPr>
        <w:t xml:space="preserve">: </w:t>
      </w:r>
      <w:r>
        <w:rPr>
          <w:rtl w:val="true"/>
        </w:rPr>
        <w:t>يجب الاستيعاب الطولي في الرّجلين</w:t>
      </w:r>
      <w:bookmarkEnd w:id="759"/>
    </w:p>
    <w:p>
      <w:pPr>
        <w:pStyle w:val="BookText"/>
        <w:rPr/>
      </w:pPr>
      <w:r>
        <w:rPr>
          <w:rFonts w:ascii="Amiri" w:hAnsi="Amiri" w:eastAsia="Amiri" w:cs="Amiri"/>
          <w:color w:val="111111"/>
          <w:sz w:val="28"/>
          <w:sz w:val="28"/>
          <w:szCs w:val="28"/>
          <w:rtl w:val="true"/>
          <w:lang w:bidi="ar-SA"/>
        </w:rPr>
        <w:t>يجب الاستيعاب الطولي في الرّجلين؛ للاحتياط، ولظاهر الأمر بالمسح إلى الكعبين</w:t>
      </w:r>
      <w:r>
        <w:rPr>
          <w:rStyle w:val="FootnoteAnchor"/>
          <w:rtl w:val="true"/>
        </w:rPr>
        <w:footnoteReference w:id="1255"/>
      </w:r>
      <w:r>
        <w:rPr>
          <w:rFonts w:ascii="Amiri" w:hAnsi="Amiri" w:eastAsia="Amiri" w:cs="Amiri"/>
          <w:color w:val="111111"/>
          <w:sz w:val="28"/>
          <w:sz w:val="28"/>
          <w:szCs w:val="28"/>
          <w:rtl w:val="true"/>
          <w:lang w:bidi="ar-SA"/>
        </w:rPr>
        <w:t>، فإنه يقضي بالاستيعاب، وللإجماع المنقول</w:t>
      </w:r>
      <w:r>
        <w:rPr>
          <w:rStyle w:val="FootnoteAnchor"/>
          <w:rtl w:val="true"/>
        </w:rPr>
        <w:footnoteReference w:id="1256"/>
      </w:r>
      <w:r>
        <w:rPr>
          <w:rFonts w:ascii="Amiri" w:hAnsi="Amiri" w:eastAsia="Amiri" w:cs="Amiri"/>
          <w:color w:val="111111"/>
          <w:sz w:val="28"/>
          <w:sz w:val="28"/>
          <w:szCs w:val="28"/>
          <w:rtl w:val="true"/>
          <w:lang w:bidi="ar-SA"/>
        </w:rPr>
        <w:t>، وللتأسي المعلوم فعله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وللمعهود من السلف والخلف، وللوضوءات البيانية</w:t>
      </w:r>
      <w:r>
        <w:rPr>
          <w:rStyle w:val="FootnoteAnchor"/>
          <w:rtl w:val="true"/>
        </w:rPr>
        <w:footnoteReference w:id="1257"/>
      </w:r>
      <w:r>
        <w:rPr>
          <w:rFonts w:ascii="Amiri" w:hAnsi="Amiri" w:eastAsia="Amiri" w:cs="Amiri"/>
          <w:color w:val="111111"/>
          <w:sz w:val="28"/>
          <w:sz w:val="28"/>
          <w:szCs w:val="28"/>
          <w:rtl w:val="true"/>
          <w:lang w:bidi="ar-SA"/>
        </w:rPr>
        <w:t>، ولصحيح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كفّه على الأصابع فمسحها إلى الكعبين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العلّامة إلى كفاية المسمّى في الطول كمسح الرأس</w:t>
      </w:r>
      <w:r>
        <w:rPr>
          <w:rStyle w:val="FootnoteAnchor"/>
          <w:rtl w:val="true"/>
        </w:rPr>
        <w:footnoteReference w:id="1259"/>
      </w:r>
      <w:r>
        <w:rPr>
          <w:rFonts w:ascii="IRNazanin" w:hAnsi="IRNazanin" w:eastAsia="IRNazanin"/>
          <w:color w:val="111111"/>
          <w:sz w:val="28"/>
          <w:sz w:val="28"/>
          <w:szCs w:val="28"/>
          <w:rtl w:val="true"/>
          <w:lang w:bidi="fa-IR"/>
        </w:rPr>
        <w:t>استناداً للإطلاق، والخبر المتقدّم</w:t>
      </w:r>
      <w:r>
        <w:rPr>
          <w:rStyle w:val="FootnoteAnchor"/>
          <w:rtl w:val="true"/>
        </w:rPr>
        <w:footnoteReference w:id="1260"/>
      </w:r>
      <w:r>
        <w:rPr>
          <w:rFonts w:ascii="Amiri" w:hAnsi="Amiri" w:eastAsia="Amiri" w:cs="Amiri"/>
          <w:color w:val="111111"/>
          <w:sz w:val="28"/>
          <w:sz w:val="28"/>
          <w:szCs w:val="28"/>
          <w:rtl w:val="true"/>
          <w:lang w:bidi="ar-SA"/>
        </w:rPr>
        <w:t xml:space="preserve">لزرارة وبكير، وللشكّ في الإجماع؛ لاحتمال وروده مورد أصل وجوب المسح ردّاً للعامّة، ولاحتمال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للممسوح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 لضعف الإطلاق، ولحمل الخبر على إرادة المسمّى في العرض؛ لمعارضة ما هو أقوى منه له، وحمله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لهما ؛ لا 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له كي يفيد عموم المسح لما بين أطراف الأصابع والكعبين؛ للترجيح من دون مرجّح، </w:t>
      </w:r>
      <w:bookmarkStart w:id="760" w:name="pg18988_203398"/>
    </w:p>
    <w:p>
      <w:pPr>
        <w:pStyle w:val="BookText"/>
        <w:rPr/>
      </w:pPr>
      <w:bookmarkEnd w:id="760"/>
      <w:r>
        <w:rPr>
          <w:rFonts w:ascii="Amiri" w:hAnsi="Amiri" w:eastAsia="Amiri" w:cs="Amiri"/>
          <w:color w:val="111111"/>
          <w:sz w:val="28"/>
          <w:sz w:val="28"/>
          <w:szCs w:val="28"/>
          <w:rtl w:val="true"/>
          <w:lang w:bidi="ar-SA"/>
        </w:rPr>
        <w:t>ولا أقلّ من مساواة الاحتمالين، فيسقط بها الاستدلال في البين، سيّما أنّ إرادة التبعيض من الباء محلّ نظرٍ، والشكّ في الإجماع لا يرفع ظهوره، كاحتمال التحديد للممسوح دون المسح، مع أنّه لو كان كذلك فالظهور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روايات كثيرة عدم وجوب استبطان الشراكين في المسح قولاً وفعلاً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فتدلّ بظاهرها على كفاية المسمّى، ولكن كون الشراك مانعاً من الاستيعاب الطولي محلّ نظرٍ؛ لعدم العلم بوضعه، وعدم العلم بمانعيّته في جميع ظهر القدم، وبهذا امتنع الاستدلال بها على عدم وجوب الاستيعاب</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13197939_1280447820"/>
      <w:bookmarkStart w:id="762" w:name="_Toc296"/>
      <w:bookmarkEnd w:id="761"/>
      <w:r>
        <w:rPr>
          <w:rtl w:val="true"/>
        </w:rPr>
        <w:t>ثالثها</w:t>
      </w:r>
      <w:r>
        <w:rPr>
          <w:rtl w:val="true"/>
        </w:rPr>
        <w:t xml:space="preserve">: </w:t>
      </w:r>
      <w:r>
        <w:rPr>
          <w:rtl w:val="true"/>
        </w:rPr>
        <w:t>لا يجب الاستيعاب العرضي</w:t>
      </w:r>
      <w:bookmarkEnd w:id="762"/>
    </w:p>
    <w:p>
      <w:pPr>
        <w:pStyle w:val="BookText"/>
        <w:rPr/>
      </w:pPr>
      <w:r>
        <w:rPr>
          <w:rFonts w:ascii="IRNazanin" w:hAnsi="IRNazanin" w:eastAsia="IRNazanin"/>
          <w:color w:val="111111"/>
          <w:sz w:val="28"/>
          <w:sz w:val="28"/>
          <w:szCs w:val="28"/>
          <w:rtl w:val="true"/>
          <w:lang w:bidi="fa-IR"/>
        </w:rPr>
        <w:t>لا يجب الاستيعاب العرضي ؛للإطلاقات من غير معارضٍ، وللأخبار الخاصّة، کخبر زرارة المتقدّم</w:t>
      </w:r>
      <w:r>
        <w:rPr>
          <w:rStyle w:val="FootnoteAnchor"/>
          <w:rtl w:val="true"/>
        </w:rPr>
        <w:footnoteReference w:id="1262"/>
      </w:r>
      <w:r>
        <w:rPr>
          <w:rFonts w:ascii="Amiri" w:hAnsi="Amiri" w:eastAsia="Amiri" w:cs="Amiri"/>
          <w:color w:val="111111"/>
          <w:sz w:val="28"/>
          <w:sz w:val="28"/>
          <w:szCs w:val="28"/>
          <w:rtl w:val="true"/>
          <w:lang w:bidi="ar-SA"/>
        </w:rPr>
        <w:t>وأخبار الشراك</w:t>
      </w:r>
      <w:r>
        <w:rPr>
          <w:rStyle w:val="FootnoteAnchor"/>
          <w:rtl w:val="true"/>
        </w:rPr>
        <w:footnoteReference w:id="1263"/>
      </w:r>
      <w:r>
        <w:rPr>
          <w:rFonts w:ascii="Amiri" w:hAnsi="Amiri" w:eastAsia="Amiri" w:cs="Amiri"/>
          <w:color w:val="111111"/>
          <w:sz w:val="28"/>
          <w:sz w:val="28"/>
          <w:szCs w:val="28"/>
          <w:rtl w:val="true"/>
          <w:lang w:bidi="ar-SA"/>
        </w:rPr>
        <w:t>، وللإجماعات المنقولة</w:t>
      </w:r>
      <w:r>
        <w:rPr>
          <w:rStyle w:val="FootnoteAnchor"/>
          <w:rtl w:val="true"/>
        </w:rPr>
        <w:footnoteReference w:id="1264"/>
      </w:r>
      <w:r>
        <w:rPr>
          <w:rFonts w:ascii="Amiri" w:hAnsi="Amiri" w:eastAsia="Amiri" w:cs="Amiri"/>
          <w:color w:val="111111"/>
          <w:sz w:val="28"/>
          <w:sz w:val="28"/>
          <w:szCs w:val="28"/>
          <w:rtl w:val="true"/>
          <w:lang w:bidi="ar-SA"/>
        </w:rPr>
        <w:t xml:space="preserve">، فلا يعارضها ما ورد في صحيحة البزنطي من وجوب المسح بكلّ الكفّ </w:t>
      </w:r>
      <w:r>
        <w:rPr>
          <w:rStyle w:val="FootnoteAnchor"/>
          <w:rtl w:val="true"/>
        </w:rPr>
        <w:footnoteReference w:id="1265"/>
      </w:r>
      <w:r>
        <w:rPr>
          <w:rFonts w:ascii="Amiri" w:hAnsi="Amiri" w:eastAsia="Amiri" w:cs="Amiri"/>
          <w:color w:val="111111"/>
          <w:sz w:val="28"/>
          <w:sz w:val="28"/>
          <w:szCs w:val="28"/>
          <w:rtl w:val="true"/>
          <w:lang w:bidi="ar-SA"/>
        </w:rPr>
        <w:t xml:space="preserve">، فلتُحمل على الندب، ولا رواية زرارة المتقدّمة </w:t>
      </w:r>
      <w:r>
        <w:rPr>
          <w:rStyle w:val="FootnoteAnchor"/>
          <w:rtl w:val="true"/>
        </w:rPr>
        <w:footnoteReference w:id="1266"/>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الكعبين إلى أطراف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الموصوليّة، و جَعْلها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الباء فيها عن التبعيض؛ لاحتمال كون الباء فيها للتبعيض وكونها موصولةً، واحتمال كونها كذلك وكونها صفةً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كونها بدلاً من القدمين، واحتمال كونها صفةً لهما، وعلى الاحتمالات المتأخّرة لا يبقى فيها شاهد على استيعاب العرض، بل ولا على استيعاب الطول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الأحوط مسح قدر ثلاث أصابع مضمومة؛ لفتوى جملة من الأصحاب</w:t>
      </w:r>
      <w:r>
        <w:rPr>
          <w:rStyle w:val="FootnoteAnchor"/>
          <w:rtl w:val="true"/>
        </w:rPr>
        <w:footnoteReference w:id="1267"/>
      </w:r>
      <w:r>
        <w:rPr>
          <w:rFonts w:ascii="Amiri" w:hAnsi="Amiri" w:eastAsia="Amiri" w:cs="Amiri"/>
          <w:color w:val="111111"/>
          <w:sz w:val="28"/>
          <w:sz w:val="28"/>
          <w:szCs w:val="28"/>
          <w:rtl w:val="true"/>
          <w:lang w:bidi="ar-SA"/>
        </w:rPr>
        <w:t xml:space="preserve">، ولما روي عن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المسح على الرأس ثلاث أصابع، وكذلك الرِّجْل</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بل الأحوط المسح على جميع ظهر القدم؛ لرواية وجوب المسح بكلّ الكفّ</w:t>
      </w:r>
      <w:r>
        <w:rPr>
          <w:rStyle w:val="FootnoteAnchor"/>
          <w:rtl w:val="true"/>
        </w:rPr>
        <w:footnoteReference w:id="1269"/>
      </w:r>
      <w:r>
        <w:rPr>
          <w:rFonts w:ascii="Amiri" w:hAnsi="Amiri" w:eastAsia="Amiri" w:cs="Amiri"/>
          <w:color w:val="111111"/>
          <w:sz w:val="28"/>
          <w:sz w:val="28"/>
          <w:szCs w:val="28"/>
          <w:rtl w:val="true"/>
          <w:lang w:bidi="ar-SA"/>
        </w:rPr>
        <w:t>، ولرواية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انقطع </w:t>
      </w:r>
      <w:bookmarkStart w:id="763" w:name="pg18988_203399"/>
    </w:p>
    <w:p>
      <w:pPr>
        <w:pStyle w:val="BookText"/>
        <w:rPr/>
      </w:pPr>
      <w:bookmarkEnd w:id="763"/>
      <w:r>
        <w:rPr>
          <w:rFonts w:ascii="Amiri" w:hAnsi="Amiri" w:eastAsia="Amiri" w:cs="Amiri"/>
          <w:color w:val="111111"/>
          <w:sz w:val="28"/>
          <w:sz w:val="28"/>
          <w:szCs w:val="28"/>
          <w:rtl w:val="true"/>
          <w:lang w:bidi="ar-SA"/>
        </w:rPr>
        <w:t>ظفري فجعلت عليه 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عليهمَا جَعَلَ عَلَيْكُمْ فِي الدِّينِ مِنْ حَرَجٍ</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فإنّ عدوله عن الأمر بالمسح على غيره يعطي رجحان المسح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المنقطع جميع الأظفار خلاف ظاهر الأخبار</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3197941_1280447820"/>
      <w:bookmarkStart w:id="765" w:name="_Toc297"/>
      <w:bookmarkEnd w:id="764"/>
      <w:r>
        <w:rPr>
          <w:rtl w:val="true"/>
        </w:rPr>
        <w:t>رابعها</w:t>
      </w:r>
      <w:r>
        <w:rPr>
          <w:rtl w:val="true"/>
        </w:rPr>
        <w:t xml:space="preserve">: </w:t>
      </w:r>
      <w:r>
        <w:rPr>
          <w:rtl w:val="true"/>
        </w:rPr>
        <w:t>يجوز مسح القدمين مقبلاً ومدبراً</w:t>
      </w:r>
      <w:bookmarkEnd w:id="765"/>
    </w:p>
    <w:p>
      <w:pPr>
        <w:pStyle w:val="BookText"/>
        <w:rPr/>
      </w:pPr>
      <w:r>
        <w:rPr>
          <w:rFonts w:ascii="Amiri" w:hAnsi="Amiri" w:eastAsia="Amiri" w:cs="Amiri"/>
          <w:color w:val="111111"/>
          <w:sz w:val="28"/>
          <w:sz w:val="28"/>
          <w:szCs w:val="28"/>
          <w:rtl w:val="true"/>
          <w:lang w:bidi="ar-SA"/>
        </w:rPr>
        <w:t>يجوز مسح القدمين مقبلاً ومدبراً، ويجوز الابتداء من أطراف الأصابع ومن الكعبين ومن الوسط، ويجوز وضع عرض الأصابع على عرض القدم، ويجوز وضع طولها على طوله، ويجوز وضع طولها على عرضه، ويجوز العكس، ويجوز دفعةً، ويجوز تدريجاً ما لم يخرج عن هيئة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الرِّجْلين موسّع، مَنْ شاء مسح مقبلاً ومَنْ شاء مدبراً</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وورد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ومدبراً</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الرجوع لما هو المعهود؛ تفصّياً عن خلاف مَنْ مَنَع النكس</w:t>
      </w:r>
      <w:r>
        <w:rPr>
          <w:rStyle w:val="FootnoteAnchor"/>
          <w:rtl w:val="true"/>
        </w:rPr>
        <w:footnoteReference w:id="1274"/>
      </w:r>
      <w:r>
        <w:rPr>
          <w:rFonts w:ascii="Amiri" w:hAnsi="Amiri" w:eastAsia="Amiri" w:cs="Amiri"/>
          <w:color w:val="111111"/>
          <w:sz w:val="28"/>
          <w:sz w:val="28"/>
          <w:szCs w:val="28"/>
          <w:rtl w:val="true"/>
          <w:lang w:bidi="ar-SA"/>
        </w:rPr>
        <w:t>لظاهر الآية</w:t>
      </w:r>
      <w:r>
        <w:rPr>
          <w:rStyle w:val="FootnoteAnchor"/>
          <w:rtl w:val="true"/>
        </w:rPr>
        <w:footnoteReference w:id="1275"/>
      </w:r>
      <w:r>
        <w:rPr>
          <w:rFonts w:ascii="Amiri" w:hAnsi="Amiri" w:eastAsia="Amiri" w:cs="Amiri"/>
          <w:color w:val="111111"/>
          <w:sz w:val="28"/>
          <w:sz w:val="28"/>
          <w:szCs w:val="28"/>
          <w:rtl w:val="true"/>
          <w:lang w:bidi="ar-SA"/>
        </w:rPr>
        <w:t>والأخبار الفعليّة</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ضعيفاً؛ لأنّ الغاية للممسوح لا للمسح في الآية، ولمعارضة الأخبار الفعليّة بمثلها فعلاً وبما هو أقوى منها قولاً، إلّا أنّ 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3197943_1280447820"/>
      <w:bookmarkStart w:id="767" w:name="_Toc298"/>
      <w:bookmarkEnd w:id="766"/>
      <w:r>
        <w:rPr>
          <w:rtl w:val="true"/>
        </w:rPr>
        <w:t>خامسها</w:t>
      </w:r>
      <w:r>
        <w:rPr>
          <w:rtl w:val="true"/>
        </w:rPr>
        <w:t xml:space="preserve">: </w:t>
      </w:r>
      <w:r>
        <w:rPr>
          <w:rtl w:val="true"/>
        </w:rPr>
        <w:t>لا يجزئ المسح على حائلٍ</w:t>
      </w:r>
      <w:bookmarkEnd w:id="76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يجزئ المسح على حائلٍ؛ للأخبار</w:t>
      </w:r>
      <w:r>
        <w:rPr>
          <w:rStyle w:val="FootnoteAnchor"/>
          <w:rtl w:val="true"/>
        </w:rPr>
        <w:footnoteReference w:id="1277"/>
      </w:r>
      <w:r>
        <w:rPr>
          <w:rFonts w:ascii="Amiri" w:hAnsi="Amiri" w:eastAsia="Amiri" w:cs="Amiri"/>
          <w:color w:val="111111"/>
          <w:sz w:val="28"/>
          <w:sz w:val="28"/>
          <w:szCs w:val="28"/>
          <w:rtl w:val="true"/>
          <w:lang w:bidi="ar-SA"/>
        </w:rPr>
        <w:t>والإجماع بقسميه</w:t>
      </w:r>
      <w:r>
        <w:rPr>
          <w:rStyle w:val="FootnoteAnchor"/>
          <w:rtl w:val="true"/>
        </w:rPr>
        <w:footnoteReference w:id="1278"/>
      </w:r>
      <w:r>
        <w:rPr>
          <w:rFonts w:ascii="Amiri" w:hAnsi="Amiri" w:eastAsia="Amiri" w:cs="Amiri"/>
          <w:color w:val="111111"/>
          <w:sz w:val="28"/>
          <w:sz w:val="28"/>
          <w:szCs w:val="28"/>
          <w:rtl w:val="true"/>
          <w:lang w:bidi="ar-SA"/>
        </w:rPr>
        <w:t>، ولظهور الأمر في الكتاب والسنّة، إلّا لضرورة برد أو جرح أو تقيّة، كما ورد في المسح على المرارة</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جواز المسح على الخفّين للخوف من العدوّ أو الثلج أو</w:t>
      </w:r>
      <w:r>
        <w:rPr>
          <w:rStyle w:val="FootnoteAnchor"/>
          <w:rtl w:val="true"/>
        </w:rPr>
        <w:footnoteReference w:id="1280"/>
      </w:r>
      <w:r>
        <w:rPr>
          <w:rFonts w:ascii="Amiri" w:hAnsi="Amiri" w:eastAsia="Amiri" w:cs="Amiri"/>
          <w:color w:val="111111"/>
          <w:sz w:val="28"/>
          <w:sz w:val="28"/>
          <w:szCs w:val="28"/>
          <w:rtl w:val="true"/>
          <w:lang w:bidi="ar-SA"/>
        </w:rPr>
        <w:t>على الرِّجْلين ممّا يضرّ بهما</w:t>
      </w:r>
      <w:r>
        <w:rPr>
          <w:rStyle w:val="FootnoteAnchor"/>
          <w:rtl w:val="true"/>
        </w:rPr>
        <w:footnoteReference w:id="1281"/>
      </w:r>
      <w:r>
        <w:rPr>
          <w:rFonts w:ascii="IRNazanin" w:hAnsi="IRNazanin" w:eastAsia="IRNazanin"/>
          <w:color w:val="111111"/>
          <w:sz w:val="28"/>
          <w:sz w:val="28"/>
          <w:szCs w:val="28"/>
          <w:rtl w:val="true"/>
          <w:lang w:bidi="fa-IR"/>
        </w:rPr>
        <w:t xml:space="preserve">، </w:t>
      </w:r>
      <w:bookmarkStart w:id="768" w:name="pg18988_203400"/>
    </w:p>
    <w:p>
      <w:pPr>
        <w:pStyle w:val="BookText"/>
        <w:rPr/>
      </w:pPr>
      <w:bookmarkEnd w:id="768"/>
      <w:r>
        <w:rPr>
          <w:rFonts w:ascii="Amiri" w:hAnsi="Amiri" w:eastAsia="Amiri" w:cs="Amiri"/>
          <w:color w:val="111111"/>
          <w:sz w:val="28"/>
          <w:sz w:val="28"/>
          <w:szCs w:val="28"/>
          <w:rtl w:val="true"/>
          <w:lang w:bidi="ar-SA"/>
        </w:rPr>
        <w:t>المؤيّدة بالكتاب، وهو مَا جَعَلَ عَلَيْكُمْ فِي الدِّينِ مِنْ حَرَجٍ</w:t>
      </w:r>
      <w:r>
        <w:rPr>
          <w:rStyle w:val="FootnoteAnchor"/>
          <w:rtl w:val="true"/>
        </w:rPr>
        <w:footnoteReference w:id="1282"/>
      </w:r>
      <w:r>
        <w:rPr>
          <w:rFonts w:ascii="Amiri" w:hAnsi="Amiri" w:eastAsia="Amiri" w:cs="Amiri"/>
          <w:color w:val="111111"/>
          <w:sz w:val="28"/>
          <w:sz w:val="28"/>
          <w:szCs w:val="28"/>
          <w:rtl w:val="true"/>
          <w:lang w:bidi="ar-SA"/>
        </w:rPr>
        <w:t>، وبدليل العقل، وبفتوى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عدّة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على الخُفّين لا تقيّة فيه</w:t>
      </w:r>
      <w:r>
        <w:rPr>
          <w:rStyle w:val="FootnoteAnchor"/>
          <w:rtl w:val="true"/>
        </w:rPr>
        <w:footnoteReference w:id="1283"/>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وأنّ الإمام لا يتّقي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والمسح على الخُفّين، ومتعة الحجّ</w:t>
      </w:r>
      <w:r>
        <w:rPr>
          <w:rStyle w:val="FootnoteAnchor"/>
          <w:rtl w:val="true"/>
        </w:rPr>
        <w:footnoteReference w:id="1285"/>
      </w:r>
      <w:r>
        <w:rPr>
          <w:rFonts w:ascii="Amiri" w:hAnsi="Amiri" w:eastAsia="Amiri" w:cs="Amiri"/>
          <w:color w:val="111111"/>
          <w:sz w:val="28"/>
          <w:sz w:val="28"/>
          <w:szCs w:val="28"/>
          <w:rtl w:val="true"/>
          <w:lang w:bidi="ar-SA"/>
        </w:rPr>
        <w:t>، لا يعارض ما قدّمنا ، فإمّا أن يُطرح، أو يُحمل على التقيّة، أو على عدم وجوبها على الإمام بالخصوص، أو على إمكان الفرار منها إلى غيرها كالفرار من المسح على الخُفّين إلى الغَسْل بنيّة المسح، أو لعدم التقيّة فيهنّ ذلك الزمان، أو غير ذلك</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13197945_1280447820"/>
      <w:bookmarkStart w:id="770" w:name="_Toc299"/>
      <w:bookmarkEnd w:id="769"/>
      <w:r>
        <w:rPr>
          <w:rtl w:val="true"/>
        </w:rPr>
        <w:t>سادسها</w:t>
      </w:r>
      <w:r>
        <w:rPr>
          <w:rtl w:val="true"/>
        </w:rPr>
        <w:t xml:space="preserve">: </w:t>
      </w:r>
      <w:r>
        <w:rPr>
          <w:rtl w:val="true"/>
        </w:rPr>
        <w:t>يجب تخليل الشعر في المسح وإيصال الرطوبة إلى البشرة</w:t>
      </w:r>
      <w:bookmarkEnd w:id="770"/>
    </w:p>
    <w:p>
      <w:pPr>
        <w:pStyle w:val="BookText"/>
        <w:rPr/>
      </w:pPr>
      <w:r>
        <w:rPr>
          <w:rFonts w:ascii="Amiri" w:hAnsi="Amiri" w:eastAsia="Amiri" w:cs="Amiri"/>
          <w:color w:val="111111"/>
          <w:sz w:val="28"/>
          <w:sz w:val="28"/>
          <w:szCs w:val="28"/>
          <w:rtl w:val="true"/>
          <w:lang w:bidi="ar-SA"/>
        </w:rPr>
        <w:t>يجب تخليل الشعر في المسح وإيصال الرطوبة إلى البشرة؛ للاحتياط، ولظهور إرادة البشرة من الإطلاق، ولا يجب مسح الشعر نفسه؛ للأصل، وعدم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القول بوجوب مسح أُصوله؛ لقيامها مقام منابتها، ومسح الجميع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بعضهم</w:t>
      </w:r>
      <w:r>
        <w:rPr>
          <w:rStyle w:val="FootnoteAnchor"/>
          <w:rtl w:val="true"/>
        </w:rPr>
        <w:footnoteReference w:id="1286"/>
      </w:r>
      <w:r>
        <w:rPr>
          <w:rFonts w:ascii="Amiri" w:hAnsi="Amiri" w:eastAsia="Amiri" w:cs="Amiri"/>
          <w:color w:val="111111"/>
          <w:sz w:val="28"/>
          <w:sz w:val="28"/>
          <w:szCs w:val="28"/>
          <w:rtl w:val="true"/>
          <w:lang w:bidi="ar-SA"/>
        </w:rPr>
        <w:t>إجزاء مسح الشعر؛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أحاط به الشعر فليس على العباد طلبه</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ولسهولة الشريعة، ولعدم التساؤل عنه مع كثرة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قويّ، إلّا أنّ الأوّل أقوى</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3197947_1280447820"/>
      <w:bookmarkStart w:id="772" w:name="_Toc300"/>
      <w:bookmarkEnd w:id="771"/>
      <w:r>
        <w:rPr>
          <w:rtl w:val="true"/>
        </w:rPr>
        <w:t>سابعها</w:t>
      </w:r>
      <w:r>
        <w:rPr>
          <w:rtl w:val="true"/>
        </w:rPr>
        <w:t xml:space="preserve">: </w:t>
      </w:r>
      <w:r>
        <w:rPr>
          <w:rtl w:val="true"/>
        </w:rPr>
        <w:t>لا يجوز الغَسْل مكان المسح</w:t>
      </w:r>
      <w:bookmarkEnd w:id="772"/>
    </w:p>
    <w:p>
      <w:pPr>
        <w:pStyle w:val="BookText"/>
        <w:rPr/>
      </w:pPr>
      <w:r>
        <w:rPr>
          <w:rFonts w:ascii="Amiri" w:hAnsi="Amiri" w:eastAsia="Amiri" w:cs="Amiri"/>
          <w:color w:val="111111"/>
          <w:sz w:val="28"/>
          <w:sz w:val="28"/>
          <w:szCs w:val="28"/>
          <w:rtl w:val="true"/>
          <w:lang w:bidi="ar-SA"/>
        </w:rPr>
        <w:t>لا يجوز الغَسْل مكان المسح إجماعاً، ومتى اجتمعا ونوى الغَسْل بطل، ودلّت على ذلك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 توضّأت وأضمرت الغسل في مكان المسح لم يكن ذلك بوضوء</w:t>
      </w:r>
      <w:r>
        <w:rPr>
          <w:rFonts w:eastAsia="Amiri" w:cs="Amiri" w:ascii="Amiri" w:hAnsi="Amiri"/>
          <w:color w:val="111111"/>
          <w:sz w:val="28"/>
          <w:szCs w:val="28"/>
          <w:rtl w:val="true"/>
          <w:lang w:bidi="ar-SA"/>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نوى المسح صحّ وضوؤه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الغَسْل مكان المسح للتقيّة، ويجب تقديمه على المسح على الخُفّين؛ لأقربيّته إلى المسح على البشرة من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في مقام التقيّة فعل المسح مع الغَسْل ونيّته مسحاً وجب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غسل في مقام تقيّةٍ أو مسح على خُفٍّ أو نعل، جاز له الدخول في العمل المشروط </w:t>
      </w:r>
      <w:bookmarkStart w:id="773" w:name="pg18988_203401"/>
    </w:p>
    <w:p>
      <w:pPr>
        <w:pStyle w:val="BookText"/>
        <w:rPr/>
      </w:pPr>
      <w:bookmarkEnd w:id="773"/>
      <w:r>
        <w:rPr>
          <w:rFonts w:ascii="Amiri" w:hAnsi="Amiri" w:eastAsia="Amiri" w:cs="Amiri"/>
          <w:color w:val="111111"/>
          <w:sz w:val="28"/>
          <w:sz w:val="28"/>
          <w:szCs w:val="28"/>
          <w:rtl w:val="true"/>
          <w:lang w:bidi="ar-SA"/>
        </w:rPr>
        <w:t>بالطهارة، ارتفعت التقيّة أم لا؛ لأنّه وضوء مشروع رافع، وكلّ ما هو كذلك لا يرفعه إلّا ناقض، وارتفاع التقيّة ليس بناقضٍ ؛ للاستصحاب،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بين التيمّم والمسح على الخُفّين تحاشياً من الأخبار الدالّة على أنّه لا تقيّة فيه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13197949_1280447820"/>
      <w:bookmarkStart w:id="775" w:name="_Toc301"/>
      <w:bookmarkEnd w:id="774"/>
      <w:r>
        <w:rPr>
          <w:rtl w:val="true"/>
        </w:rPr>
        <w:t>ثامنها</w:t>
      </w:r>
      <w:r>
        <w:rPr>
          <w:rtl w:val="true"/>
        </w:rPr>
        <w:t xml:space="preserve">: </w:t>
      </w:r>
      <w:r>
        <w:rPr>
          <w:rtl w:val="true"/>
        </w:rPr>
        <w:t>يقوى وجوب مسح الرأس والرِّجْل اليمنى باليمنى، واليسرى باليسرى</w:t>
      </w:r>
      <w:bookmarkEnd w:id="775"/>
    </w:p>
    <w:p>
      <w:pPr>
        <w:pStyle w:val="BookText"/>
        <w:rPr/>
      </w:pPr>
      <w:r>
        <w:rPr>
          <w:rFonts w:ascii="Amiri" w:hAnsi="Amiri" w:eastAsia="Amiri" w:cs="Amiri"/>
          <w:color w:val="111111"/>
          <w:sz w:val="28"/>
          <w:sz w:val="28"/>
          <w:szCs w:val="28"/>
          <w:rtl w:val="true"/>
          <w:lang w:bidi="ar-SA"/>
        </w:rPr>
        <w:t>يقوى وجوب مسح الرأس والرِّجْل اليمنى باليمنى، واليسرى باليسرى؛ للاحتياط، وللصحيح الدالّ على الأمر بمسح الرأس واليمني باليمنى واليسرى باليسرى</w:t>
      </w:r>
      <w:r>
        <w:rPr>
          <w:rStyle w:val="FootnoteAnchor"/>
          <w:rtl w:val="true"/>
        </w:rPr>
        <w:footnoteReference w:id="1290"/>
      </w:r>
      <w:r>
        <w:rPr>
          <w:rFonts w:ascii="Amiri" w:hAnsi="Amiri" w:eastAsia="Amiri" w:cs="Amiri"/>
          <w:color w:val="111111"/>
          <w:sz w:val="28"/>
          <w:sz w:val="28"/>
          <w:szCs w:val="28"/>
          <w:rtl w:val="true"/>
          <w:lang w:bidi="ar-SA"/>
        </w:rPr>
        <w:t>، ولأنّه هو المعهود شرعاً، والمعلوم من فعل النبيّ صلى الله عليه وسلم والأئمّة في مقام البيان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المشهور عدم التعيين؛ أخذاً بالإطلاق، وحمل الرواية وفعلهم على الندب، وهو أقوى، والاحتياط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3197951_1280447820"/>
      <w:bookmarkStart w:id="777" w:name="_Toc302"/>
      <w:bookmarkEnd w:id="776"/>
      <w:r>
        <w:rPr>
          <w:rtl w:val="true"/>
        </w:rPr>
        <w:t>تاسعها</w:t>
      </w:r>
      <w:r>
        <w:rPr>
          <w:rtl w:val="true"/>
        </w:rPr>
        <w:t xml:space="preserve">: </w:t>
      </w:r>
      <w:r>
        <w:rPr>
          <w:rtl w:val="true"/>
        </w:rPr>
        <w:t>هل یجب ترتيب بين مسح الرّجْلين</w:t>
      </w:r>
      <w:bookmarkEnd w:id="777"/>
    </w:p>
    <w:p>
      <w:pPr>
        <w:pStyle w:val="BookText"/>
        <w:rPr/>
      </w:pPr>
      <w:r>
        <w:rPr>
          <w:rFonts w:ascii="Amiri" w:hAnsi="Amiri" w:eastAsia="Amiri" w:cs="Amiri"/>
          <w:color w:val="111111"/>
          <w:sz w:val="28"/>
          <w:sz w:val="28"/>
          <w:szCs w:val="28"/>
          <w:rtl w:val="true"/>
          <w:lang w:bidi="ar-SA"/>
        </w:rPr>
        <w:t>لا ترتيب بين مسح الرّجْلين للإطلاقات من دون معارضٍ، ولفتوى المشهور، والإجماع المنقول</w:t>
      </w:r>
      <w:r>
        <w:rPr>
          <w:rStyle w:val="FootnoteAnchor"/>
          <w:rtl w:val="true"/>
        </w:rPr>
        <w:footnoteReference w:id="12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ويمسح عليهما جميعاً</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بوجوب الترتيب</w:t>
      </w:r>
      <w:r>
        <w:rPr>
          <w:rStyle w:val="FootnoteAnchor"/>
          <w:rtl w:val="true"/>
        </w:rPr>
        <w:footnoteReference w:id="1293"/>
      </w:r>
      <w:r>
        <w:rPr>
          <w:rFonts w:ascii="Amiri" w:hAnsi="Amiri" w:eastAsia="Amiri" w:cs="Amiri"/>
          <w:color w:val="111111"/>
          <w:sz w:val="28"/>
          <w:sz w:val="28"/>
          <w:szCs w:val="28"/>
          <w:rtl w:val="true"/>
          <w:lang w:bidi="ar-SA"/>
        </w:rPr>
        <w:t>للاحتياط، ولأنّه المعهود من فعل النبيّ و الأئمّة ، وللإجماع المنقول</w:t>
      </w:r>
      <w:r>
        <w:rPr>
          <w:rStyle w:val="FootnoteAnchor"/>
          <w:rtl w:val="true"/>
        </w:rPr>
        <w:footnoteReference w:id="1294"/>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وامسح على القدمين وابدأ بالشقّ الأيمن</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ولما روي عنه أنّه إذا توضّأ بدأ بميامنه</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والاحتياط يوافقه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جواز البدء باليسرى فقط، وجواز الاجتماع</w:t>
      </w:r>
      <w:r>
        <w:rPr>
          <w:rStyle w:val="FootnoteAnchor"/>
          <w:rtl w:val="true"/>
        </w:rPr>
        <w:footnoteReference w:id="1297"/>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بدأ بإحداهما قبل الأُخرى فلا يبدأ إلّا باليمنى</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778" w:name="pg18988_203402"/>
    </w:p>
    <w:p>
      <w:pPr>
        <w:pStyle w:val="BookText"/>
        <w:rPr/>
      </w:pPr>
      <w:bookmarkEnd w:id="778"/>
      <w:r>
        <w:rPr>
          <w:rFonts w:ascii="Amiri" w:hAnsi="Amiri" w:eastAsia="Amiri" w:cs="Amiri"/>
          <w:color w:val="111111"/>
          <w:sz w:val="28"/>
          <w:sz w:val="28"/>
          <w:szCs w:val="28"/>
          <w:rtl w:val="true"/>
          <w:lang w:bidi="ar-SA"/>
        </w:rPr>
        <w:t>وهو ضعيف؛ لعدم قابليّة هذه الرواية لتقييد مطلقات المجوّزين، ولمعارضة أدلّة المانعين</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3197953_1280447820"/>
      <w:bookmarkStart w:id="780" w:name="_Toc303"/>
      <w:bookmarkEnd w:id="779"/>
      <w:r>
        <w:rPr>
          <w:rtl w:val="true"/>
        </w:rPr>
        <w:t>عاشرها</w:t>
      </w:r>
      <w:r>
        <w:rPr>
          <w:rtl w:val="true"/>
        </w:rPr>
        <w:t xml:space="preserve">: </w:t>
      </w:r>
      <w:r>
        <w:rPr>
          <w:rtl w:val="true"/>
        </w:rPr>
        <w:t>يجب مسح الظاهر من القدمين بما يُسمّى ظاهراً عرفاً</w:t>
      </w:r>
      <w:bookmarkEnd w:id="780"/>
    </w:p>
    <w:p>
      <w:pPr>
        <w:pStyle w:val="BookText"/>
        <w:rPr/>
      </w:pPr>
      <w:r>
        <w:rPr>
          <w:rFonts w:ascii="Amiri" w:hAnsi="Amiri" w:eastAsia="Amiri" w:cs="Amiri"/>
          <w:color w:val="111111"/>
          <w:sz w:val="28"/>
          <w:sz w:val="28"/>
          <w:szCs w:val="28"/>
          <w:rtl w:val="true"/>
          <w:lang w:bidi="ar-SA"/>
        </w:rPr>
        <w:t>يجب مسح الظاهر من القدمين بما يُسمّى ظاهراً عرفاً؛ للإجماع، والأخبار البيانيّة</w:t>
      </w:r>
      <w:r>
        <w:rPr>
          <w:rStyle w:val="FootnoteAnchor"/>
          <w:rtl w:val="true"/>
        </w:rPr>
        <w:footnoteReference w:id="1299"/>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أخذ شيء من أطراف الأنملة مقدّمة لتحصيل تمام الظاهر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طال الأظفر حتّى علا على الأنملة بحيث خرج عن المعتاد، فالأحوط قصّه على المعتاد، ولا بدّ من إزالة الوسخ الكائن على الأنملة إذا غطى شيئاً من الظاهر</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3197955_1280447820"/>
      <w:bookmarkStart w:id="782" w:name="_Toc304"/>
      <w:bookmarkEnd w:id="781"/>
      <w:r>
        <w:rPr>
          <w:rtl w:val="true"/>
        </w:rPr>
        <w:t xml:space="preserve">السادس </w:t>
      </w:r>
      <w:r>
        <w:rPr>
          <w:rtl w:val="true"/>
        </w:rPr>
        <w:t xml:space="preserve">- </w:t>
      </w:r>
      <w:r>
        <w:rPr>
          <w:rtl w:val="true"/>
        </w:rPr>
        <w:t xml:space="preserve">من فروض الوضوء </w:t>
      </w:r>
      <w:r>
        <w:rPr>
          <w:rtl w:val="true"/>
        </w:rPr>
        <w:t xml:space="preserve">- : [ </w:t>
      </w:r>
      <w:r>
        <w:rPr>
          <w:rtl w:val="true"/>
        </w:rPr>
        <w:t xml:space="preserve">الترتيب </w:t>
      </w:r>
      <w:r>
        <w:rPr>
          <w:rtl w:val="true"/>
        </w:rPr>
        <w:t>]</w:t>
      </w:r>
      <w:bookmarkEnd w:id="782"/>
    </w:p>
    <w:p>
      <w:pPr>
        <w:pStyle w:val="Heading6"/>
        <w:numPr>
          <w:ilvl w:val="5"/>
          <w:numId w:val="1"/>
        </w:numPr>
        <w:rPr/>
      </w:pPr>
      <w:bookmarkStart w:id="783" w:name="__RefHeading___Toc13197957_1280447820"/>
      <w:bookmarkStart w:id="784" w:name="_Toc305"/>
      <w:bookmarkEnd w:id="783"/>
      <w:r>
        <w:rPr>
          <w:rtl w:val="true"/>
        </w:rPr>
        <w:t>اشارة</w:t>
      </w:r>
      <w:bookmarkEnd w:id="784"/>
    </w:p>
    <w:p>
      <w:pPr>
        <w:pStyle w:val="BookText"/>
        <w:rPr/>
      </w:pPr>
      <w:r>
        <w:rPr>
          <w:rStyle w:val="FootnoteAnchor"/>
          <w:rtl w:val="true"/>
        </w:rPr>
        <w:footnoteReference w:id="1300"/>
      </w:r>
    </w:p>
    <w:p>
      <w:pPr>
        <w:pStyle w:val="Heading6"/>
        <w:numPr>
          <w:ilvl w:val="5"/>
          <w:numId w:val="1"/>
        </w:numPr>
        <w:rPr/>
      </w:pPr>
      <w:bookmarkStart w:id="785" w:name="__RefHeading___Toc13197959_1280447820"/>
      <w:bookmarkStart w:id="786" w:name="_Toc306"/>
      <w:bookmarkEnd w:id="785"/>
      <w:r>
        <w:rPr>
          <w:rtl w:val="true"/>
        </w:rPr>
        <w:t>وجوب الترتيب بين أجزاء الوضوء واجب إجماعاً، إلّا في مسح الرِّجْلين</w:t>
      </w:r>
      <w:bookmarkEnd w:id="786"/>
    </w:p>
    <w:p>
      <w:pPr>
        <w:pStyle w:val="BookText"/>
        <w:rPr/>
      </w:pPr>
      <w:r>
        <w:rPr>
          <w:rFonts w:ascii="Amiri" w:hAnsi="Amiri" w:eastAsia="Amiri" w:cs="Amiri"/>
          <w:color w:val="111111"/>
          <w:sz w:val="28"/>
          <w:sz w:val="28"/>
          <w:szCs w:val="28"/>
          <w:rtl w:val="true"/>
          <w:lang w:bidi="ar-SA"/>
        </w:rPr>
        <w:t>كما تقدّم الكلام فيه، والأخبار دالّة على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بالوجه، ثمّ باليدين، ثمّ بمسح الرأس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تقدّمن شيئاً بين يدي شيء تخالف ما أُمرت به، فإن غسلت الذراع قبل الوجه ابدأ بالوجه، وأعد على الذراع، وإن مسحت الرِّجْل قبل الرأس فامسح على الرأس قبل الرِّجْل، ثمّ أعد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تعالى</w:t>
      </w:r>
      <w:r>
        <w:rPr>
          <w:rFonts w:eastAsia="Amiri" w:cs="Amiri" w:ascii="Amiri" w:hAnsi="Amiri"/>
          <w:color w:val="111111"/>
          <w:sz w:val="28"/>
          <w:szCs w:val="28"/>
          <w:rtl w:val="true"/>
          <w:lang w:bidi="ar-SA"/>
        </w:rPr>
        <w:t>»</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أخلّ بالترتيب عمداً أو سهواً، فإن نواه من أوّل العمل بنيّة أنّه هو المأمور به، فسد العمل، وإلّا أعاد اللاحق دون السابق؛ لوقوعه في محلّه، إلّا مع نيّة مشروعيّة السبق واللحوق فيعيدهما معاً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الأخبار</w:t>
      </w:r>
      <w:r>
        <w:rPr>
          <w:rStyle w:val="FootnoteAnchor"/>
          <w:rtl w:val="true"/>
        </w:rPr>
        <w:footnoteReference w:id="1303"/>
      </w:r>
      <w:r>
        <w:rPr>
          <w:rFonts w:ascii="Amiri" w:hAnsi="Amiri" w:eastAsia="Amiri" w:cs="Amiri"/>
          <w:color w:val="111111"/>
          <w:sz w:val="28"/>
          <w:sz w:val="28"/>
          <w:szCs w:val="28"/>
          <w:rtl w:val="true"/>
          <w:lang w:bidi="ar-SA"/>
        </w:rPr>
        <w:t>من الأمر بالإعادة على اليمين لمن غسل شماله قبل يمينه، والإعادة على الوجه لمن نسي فغسل يمينه قبل وجهه، وعلى اليمين لمن غسل شماله قبل يمينه</w:t>
      </w:r>
      <w:r>
        <w:rPr>
          <w:rStyle w:val="FootnoteAnchor"/>
          <w:rtl w:val="true"/>
        </w:rPr>
        <w:footnoteReference w:id="1304"/>
      </w:r>
      <w:r>
        <w:rPr>
          <w:rFonts w:ascii="Amiri" w:hAnsi="Amiri" w:eastAsia="Amiri" w:cs="Amiri"/>
          <w:color w:val="111111"/>
          <w:sz w:val="28"/>
          <w:sz w:val="28"/>
          <w:szCs w:val="28"/>
          <w:rtl w:val="true"/>
          <w:lang w:bidi="ar-SA"/>
        </w:rPr>
        <w:t>، لا يعارض ما دلّ على وجوب غسل الشمال فقط</w:t>
      </w:r>
      <w:r>
        <w:rPr>
          <w:rStyle w:val="FootnoteAnchor"/>
          <w:rtl w:val="true"/>
        </w:rPr>
        <w:footnoteReference w:id="1305"/>
      </w:r>
      <w:r>
        <w:rPr>
          <w:rFonts w:ascii="Amiri" w:hAnsi="Amiri" w:eastAsia="Amiri" w:cs="Amiri"/>
          <w:color w:val="111111"/>
          <w:sz w:val="28"/>
          <w:sz w:val="28"/>
          <w:szCs w:val="28"/>
          <w:rtl w:val="true"/>
          <w:lang w:bidi="ar-SA"/>
        </w:rPr>
        <w:t xml:space="preserve">لتأيّده بفتوى الأصحاب، فيُحمل </w:t>
      </w:r>
      <w:bookmarkStart w:id="787" w:name="pg18988_203403"/>
    </w:p>
    <w:p>
      <w:pPr>
        <w:pStyle w:val="BookText"/>
        <w:rPr/>
      </w:pPr>
      <w:bookmarkEnd w:id="787"/>
      <w:r>
        <w:rPr>
          <w:rFonts w:ascii="Amiri" w:hAnsi="Amiri" w:eastAsia="Amiri" w:cs="Amiri"/>
          <w:color w:val="111111"/>
          <w:sz w:val="28"/>
          <w:sz w:val="28"/>
          <w:szCs w:val="28"/>
          <w:rtl w:val="true"/>
          <w:lang w:bidi="ar-SA"/>
        </w:rPr>
        <w:t>على أنّ التذكّر كان قبل غَسْل اليمين وقبل غَسْل الوجه، ويراد بلفظ الإعادة مجرّد وقوع الفعل، أو يُحمل على صدور الفعل منه بنيّة التشريع، فتجب الإعادة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الأعضاء دفعةً غير جائزٍ أيضاً، ويوجب غَسْل المتقدّم فقط، إلّا إذا نوى المشروعيّة في الغَسْل الدفعي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غسل الثلاثة معاً ثلاثاً من غير إخلالٍ بالنيّة صحّ وضوؤه، إلّا أنّه يشكل المسح باليمنى من جهة الماء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 ثلاثاً بعكس الترتيب، صحّ وضوؤه مع عدم الإخلال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الإشكال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على ماء فنوى بوقوعه غَسْلَ الوجه، وبكونه غَسْلَ اليمنى، وبخروجه اليسرى،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مرتمس كلَّ تحريكةٍ لعضوٍ،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بتعاقب الجريات أو بنفس استمرار الأكوان الأغسالَ للأعضاء فنوى بكلّ جريةٍ عضواً أو بكلّ كونٍ كذلك، صحّ على إشكالٍ،والاحتياط بتجنّب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الجزء كحكم الكلّ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لمعة مسح عليها</w:t>
      </w:r>
      <w:r>
        <w:rPr>
          <w:rStyle w:val="FootnoteAnchor"/>
          <w:rtl w:val="true"/>
        </w:rPr>
        <w:footnoteReference w:id="1306"/>
      </w:r>
      <w:r>
        <w:rPr>
          <w:rFonts w:ascii="Amiri" w:hAnsi="Amiri" w:eastAsia="Amiri" w:cs="Amiri"/>
          <w:color w:val="111111"/>
          <w:sz w:val="28"/>
          <w:sz w:val="28"/>
          <w:szCs w:val="28"/>
          <w:rtl w:val="true"/>
          <w:lang w:bidi="ar-SA"/>
        </w:rPr>
        <w:t>، محمول على الإتيان بما بعدها؛ لأنّه خير من طرحها</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3197961_1280447820"/>
      <w:bookmarkStart w:id="789" w:name="_Toc307"/>
      <w:bookmarkEnd w:id="788"/>
      <w:r>
        <w:rPr>
          <w:rtl w:val="true"/>
        </w:rPr>
        <w:t xml:space="preserve">السابع </w:t>
      </w:r>
      <w:r>
        <w:rPr>
          <w:rtl w:val="true"/>
        </w:rPr>
        <w:t xml:space="preserve">- </w:t>
      </w:r>
      <w:r>
        <w:rPr>
          <w:rtl w:val="true"/>
        </w:rPr>
        <w:t xml:space="preserve">من فروض الوضوء  </w:t>
      </w:r>
      <w:r>
        <w:rPr>
          <w:rtl w:val="true"/>
        </w:rPr>
        <w:t xml:space="preserve">- : </w:t>
      </w:r>
      <w:r>
        <w:rPr>
          <w:rtl w:val="true"/>
        </w:rPr>
        <w:t>المباشرة للغَسْل والمسح بنفسه</w:t>
      </w:r>
      <w:bookmarkEnd w:id="7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بقسميه</w:t>
      </w:r>
      <w:r>
        <w:rPr>
          <w:rStyle w:val="FootnoteAnchor"/>
          <w:rtl w:val="true"/>
        </w:rPr>
        <w:footnoteReference w:id="1308"/>
      </w:r>
      <w:r>
        <w:rPr>
          <w:rFonts w:ascii="Amiri" w:hAnsi="Amiri" w:eastAsia="Amiri" w:cs="Amiri"/>
          <w:color w:val="111111"/>
          <w:sz w:val="28"/>
          <w:sz w:val="28"/>
          <w:szCs w:val="28"/>
          <w:rtl w:val="true"/>
          <w:lang w:bidi="ar-SA"/>
        </w:rPr>
        <w:t>، ولإطلاق الأوامر الظاهرة في المباشرة، ولخبر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أراد أن يصبّ عليه وهو متهيّئ للصلاة،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تؤجر أنت وأُوزر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 بِعِبَادَةِ رَبِّهِ أَحَداً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يستثنى من ذلك حال الضرورة، فإنّ التولية حينئذٍ جائزة، وتُقدّم على التيمّم؛ لفتوى الأصحاب، وللإجماع المنقول</w:t>
      </w:r>
      <w:r>
        <w:rPr>
          <w:rStyle w:val="FootnoteAnchor"/>
          <w:rtl w:val="true"/>
        </w:rPr>
        <w:footnoteReference w:id="1311"/>
      </w:r>
      <w:r>
        <w:rPr>
          <w:rFonts w:ascii="Amiri" w:hAnsi="Amiri" w:eastAsia="Amiri" w:cs="Amiri"/>
          <w:color w:val="111111"/>
          <w:sz w:val="28"/>
          <w:sz w:val="28"/>
          <w:szCs w:val="28"/>
          <w:rtl w:val="true"/>
          <w:lang w:bidi="ar-SA"/>
        </w:rPr>
        <w:t xml:space="preserve">، بل المحصّل،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ولخصوص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جنابة وهو مريض، فوضعوه الغلمة على خشبات وصبّوا عليه الماء</w:t>
      </w:r>
      <w:r>
        <w:rPr>
          <w:rStyle w:val="FootnoteAnchor"/>
          <w:rtl w:val="true"/>
        </w:rPr>
        <w:footnoteReference w:id="1314"/>
      </w:r>
      <w:r>
        <w:rPr>
          <w:rFonts w:ascii="Amiri" w:hAnsi="Amiri" w:eastAsia="Amiri" w:cs="Amiri"/>
          <w:color w:val="111111"/>
          <w:sz w:val="28"/>
          <w:sz w:val="28"/>
          <w:szCs w:val="28"/>
          <w:rtl w:val="true"/>
          <w:lang w:bidi="ar-SA"/>
        </w:rPr>
        <w:t>، ولا فارق بين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ذلك بشمول الخطابات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فالقادر على المباشرة تجب في حقّه، وغير القادر تجب التولية؛ لأنّها أقرب المجازات إلى إرادة الحقيقة، ولا يلزم من ذلك استعمال اللفظ في حقيقته ومجازه؛ لإمكان استعماله في عموم المجاز،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المضطرّ مراعاة الأقرب إلى الحقيقة مهما أمكن، فيجب الاقتصار على البعض إن لم يضطرّ إلى الكلّ، ويجب الاقتصار على المشاركة إن لم يضطرّ إلى تولية العمل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يباشر بأعضائه بمعونة العامل إن لم يضطرّ إلى تولية العامل بمباشرته في أعضائه سيّما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والمتولّي للنيّة هو الآمر دون المأمور، ولا عبرة بنيّته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توقّفت التولية على أُجرةٍ، وجب بذلها ما لم يكن مضرّاً بالحال على الأظهر؛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إضرار</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حرمة التولية للغير أو المشاركة بين الواقع بأمره وبين الواقع لنفسه، وبين الواقع من الفاعل بقصدٍ أو الواقع بغير قصدٍ، فلا يجوز تولية المجنون ولا الصبيّ ولا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بالإنسان ولا يشمل الحيوان؛ لأنّه بمنزلة الآلات، وإن كان تولية الحيوان المعلّم لا يخلو من إشكال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والممنوع هو تولية الغَسْل والمسح لغيره بحيث يُعدّ غاسلاً أو ماسحاً، فلو شارك بحيث لا يستند إليه الفعل؛ لأنّه تابع وليس بسببٍ ولا جزء سببٍ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تجنّب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كلٌّ منهما يستند إليه الفعل مستقلّاً، فالأظهر والأحوط 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التولية بغير الغَسْل والمسح من ضروب الاستعانة جاز؛ للسيرة القاضية بجواز الأمر على الغلمان والجواري بملء الآنية والإتيان بها وتسخينها، وإن كان جملة منها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الصبّ إذا لم يكن به غَسْلُ، فإنّه جائز أيضاً الصحيحة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أبا جعفر وقد بال، فناولته ماء فاستنجى، ثمّ صببت عليه كفّاً غسل وجهه، وكفّاً غسل به ذراعه الأيمن، وكفّاً غسل به ذراعه الأيسر</w:t>
      </w:r>
      <w:r>
        <w:rPr>
          <w:rStyle w:val="FootnoteAnchor"/>
          <w:rtl w:val="true"/>
        </w:rPr>
        <w:footnoteReference w:id="1316"/>
      </w:r>
      <w:r>
        <w:rPr>
          <w:rFonts w:ascii="Amiri" w:hAnsi="Amiri" w:eastAsia="Amiri" w:cs="Amiri"/>
          <w:color w:val="111111"/>
          <w:sz w:val="28"/>
          <w:sz w:val="28"/>
          <w:szCs w:val="28"/>
          <w:rtl w:val="true"/>
          <w:lang w:bidi="ar-SA"/>
        </w:rPr>
        <w:t xml:space="preserve">، فالجمع بينه وبين خبر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خبر الوشّاء على صورة ما إذا كان الصبّ غَسْلاً، وهذه على ما إذا لم يكن؛ لتأيّد تلك بظهور إرادة المباشرة في الأوامر ، فلا تعارضها هذه، فتُحمل هذه على صورة ما لم تناف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فيمكن الأخذ بخبر الوشّاء وحمل هذه على الضرورة؛ وذلك للاتّفاق على كون ذلك مكروهاً قطعاً، وفعل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للمكروه في غير الضرورة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التقيّة أو على كونها إجابة لحاجة المؤمن عند طلبه بعيد أيضاً، فتُحمل هذه على حالة الضرورة كما قدّمنا ، ويُحمل خبر الوشّاء على التحريم ، فيكون الصبّ كالغَسْل محرَّماً ؛ لخبر الوشّاء، لا لاشتراط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الأصحاب حمل خبر الوشّاء على الاستعانة المكروهة؛ بناءً على أنّ الصبّ على الكفّ لا ينافي المباشرة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المتولّي للغَسْل، وأنّ المراد بالإثم والوزر ترتّب آثار الكراهة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فالأحوط ترك الصبّ في اليد؛ لشبهة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كراهة غير الصبّ من أنواع الاستعانة؛ لفتوى الكثير من الأصحاب</w:t>
      </w:r>
      <w:r>
        <w:rPr>
          <w:rStyle w:val="FootnoteAnchor"/>
          <w:rtl w:val="true"/>
        </w:rPr>
        <w:footnoteReference w:id="1318"/>
      </w:r>
      <w:r>
        <w:rPr>
          <w:rFonts w:ascii="Amiri" w:hAnsi="Amiri" w:eastAsia="Amiri" w:cs="Amiri"/>
          <w:color w:val="111111"/>
          <w:sz w:val="28"/>
          <w:sz w:val="28"/>
          <w:szCs w:val="28"/>
          <w:rtl w:val="true"/>
          <w:lang w:bidi="ar-SA"/>
        </w:rPr>
        <w:t>، ولظاهر الأخبار المعلّلة للمنع من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الإشراك</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تسريتها للأُمور البعيدة التي جرت عليها سيرة العلماء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بل الظاهر خلافه وعدم الكراهة فيه</w:t>
      </w:r>
      <w:r>
        <w:rPr>
          <w:rFonts w:eastAsia="Amiri" w:cs="Amiri" w:ascii="Amiri" w:hAnsi="Amiri"/>
          <w:color w:val="111111"/>
          <w:sz w:val="28"/>
          <w:szCs w:val="28"/>
          <w:rtl w:val="true"/>
          <w:lang w:bidi="ar-SA"/>
        </w:rPr>
        <w:t xml:space="preserve">. </w:t>
      </w:r>
      <w:bookmarkStart w:id="790" w:name="pg18988_203406"/>
    </w:p>
    <w:p>
      <w:pPr>
        <w:pStyle w:val="Heading5"/>
        <w:numPr>
          <w:ilvl w:val="4"/>
          <w:numId w:val="1"/>
        </w:numPr>
        <w:rPr/>
      </w:pPr>
      <w:bookmarkStart w:id="791" w:name="__RefHeading___Toc13197963_1280447820"/>
      <w:bookmarkStart w:id="792" w:name="_Toc308"/>
      <w:bookmarkEnd w:id="790"/>
      <w:bookmarkEnd w:id="791"/>
      <w:r>
        <w:rPr>
          <w:rtl w:val="true"/>
        </w:rPr>
        <w:t xml:space="preserve">الثامن </w:t>
      </w:r>
      <w:r>
        <w:rPr>
          <w:rtl w:val="true"/>
        </w:rPr>
        <w:t xml:space="preserve">- </w:t>
      </w:r>
      <w:r>
        <w:rPr>
          <w:rtl w:val="true"/>
        </w:rPr>
        <w:t xml:space="preserve">من فروض الوضوء </w:t>
      </w:r>
      <w:r>
        <w:rPr>
          <w:rtl w:val="true"/>
        </w:rPr>
        <w:t xml:space="preserve">- : [ </w:t>
      </w:r>
      <w:r>
        <w:rPr>
          <w:rtl w:val="true"/>
        </w:rPr>
        <w:t xml:space="preserve">الموالاة </w:t>
      </w:r>
      <w:r>
        <w:rPr>
          <w:rtl w:val="true"/>
        </w:rPr>
        <w:t>]</w:t>
      </w:r>
      <w:bookmarkEnd w:id="792"/>
    </w:p>
    <w:p>
      <w:pPr>
        <w:pStyle w:val="Heading6"/>
        <w:numPr>
          <w:ilvl w:val="5"/>
          <w:numId w:val="1"/>
        </w:numPr>
        <w:rPr/>
      </w:pPr>
      <w:bookmarkStart w:id="793" w:name="__RefHeading___Toc13197965_1280447820"/>
      <w:bookmarkStart w:id="794" w:name="_Toc309"/>
      <w:bookmarkEnd w:id="793"/>
      <w:r>
        <w:rPr>
          <w:rtl w:val="true"/>
        </w:rPr>
        <w:t>اشارة</w:t>
      </w:r>
      <w:bookmarkEnd w:id="794"/>
    </w:p>
    <w:p>
      <w:pPr>
        <w:pStyle w:val="BookText"/>
        <w:rPr/>
      </w:pPr>
      <w:r>
        <w:rPr>
          <w:rStyle w:val="FootnoteAnchor"/>
          <w:rtl w:val="true"/>
        </w:rPr>
        <w:footnoteReference w:id="1320"/>
      </w:r>
    </w:p>
    <w:p>
      <w:pPr>
        <w:pStyle w:val="Heading6"/>
        <w:numPr>
          <w:ilvl w:val="5"/>
          <w:numId w:val="1"/>
        </w:numPr>
        <w:rPr/>
      </w:pPr>
      <w:bookmarkStart w:id="795" w:name="__RefHeading___Toc13197967_1280447820"/>
      <w:bookmarkStart w:id="796" w:name="_Toc310"/>
      <w:bookmarkEnd w:id="795"/>
      <w:r>
        <w:rPr>
          <w:rtl w:val="true"/>
        </w:rPr>
        <w:t>تفسیر الموالاۀ</w:t>
      </w:r>
      <w:bookmarkEnd w:id="796"/>
    </w:p>
    <w:p>
      <w:pPr>
        <w:pStyle w:val="BookText"/>
        <w:rPr/>
      </w:pP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إجماعاً منقولاً </w:t>
      </w:r>
      <w:r>
        <w:rPr>
          <w:rStyle w:val="FootnoteAnchor"/>
          <w:rtl w:val="true"/>
        </w:rPr>
        <w:footnoteReference w:id="1321"/>
      </w:r>
      <w:r>
        <w:rPr>
          <w:rFonts w:ascii="Amiri" w:hAnsi="Amiri" w:eastAsia="Amiri" w:cs="Amiri"/>
          <w:color w:val="111111"/>
          <w:sz w:val="28"/>
          <w:sz w:val="28"/>
          <w:szCs w:val="28"/>
          <w:rtl w:val="true"/>
          <w:lang w:bidi="ar-SA"/>
        </w:rPr>
        <w:t>مستفيضاً، وكتاباً</w:t>
      </w:r>
      <w:r>
        <w:rPr>
          <w:rStyle w:val="FootnoteAnchor"/>
          <w:rtl w:val="true"/>
        </w:rPr>
        <w:footnoteReference w:id="1322"/>
      </w:r>
      <w:r>
        <w:rPr>
          <w:rFonts w:ascii="Amiri" w:hAnsi="Amiri" w:eastAsia="Amiri" w:cs="Amiri"/>
          <w:color w:val="111111"/>
          <w:sz w:val="28"/>
          <w:sz w:val="28"/>
          <w:szCs w:val="28"/>
          <w:rtl w:val="true"/>
          <w:lang w:bidi="ar-SA"/>
        </w:rPr>
        <w:t>على وجهٍ، وسنّةً مستفيضة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ووجوبها شرعيّ وشرطيّ، على تفسيرها بعدم الجفاف على قولٍ، وهو الظاهر من الأصحاب حيث أطلقوا القول بوجوبها، ونقلوا عليه الإجماع، وجعلوا تركها مفسداً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الشرعيّ ولو لحرمة إبطال العمل مطلقاً، أو في الوضوء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الثاني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وجوبها على ذلك التفسير شرطيّ فقط</w:t>
      </w:r>
      <w:r>
        <w:rPr>
          <w:rStyle w:val="FootnoteAnchor"/>
          <w:rtl w:val="true"/>
        </w:rPr>
        <w:footnoteReference w:id="1324"/>
      </w:r>
      <w:r>
        <w:rPr>
          <w:rFonts w:ascii="Amiri" w:hAnsi="Amiri" w:eastAsia="Amiri" w:cs="Amiri"/>
          <w:color w:val="111111"/>
          <w:sz w:val="28"/>
          <w:sz w:val="28"/>
          <w:szCs w:val="28"/>
          <w:rtl w:val="true"/>
          <w:lang w:bidi="ar-SA"/>
        </w:rPr>
        <w:t>؛ تنزيلاً للفظ الوجوب عليه، ويظهر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تفسيرها بالمتابعة في الفعل حقيقةً أو عرفاً فوجوبها شرعيٌّ فقط، كما يظهر من أكثر أصحاب هذا القول، ونُقل عليه الإجماع</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فهل يعتبر الجفاف في البطلان مطلقاً، أو مع الإخلال بالمتابعة معه، أو مع الاستناد إلى نفوذ الماء ؟ أقوال، أو أنّ وجوبها شرعيّ وشرطي؟ كما يظهر من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فالمحصّل من عباراتهم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الجفاف في الشرطيّة، ولا حكم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مراعاته في الوجوب الشرعيّ والشرطي، ولا حكم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الجفاف في الشرطيّة، والمتابعة في الوجوب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المتابعة في الوجوب الشرعيّ والشرطيّ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الجفاف في البطلان حيث يجامع الإخلال بالمتابعة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الجفاف في البطلان حيث يستند إلى نفوذ الماء</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مَنْ أوجب المتابعة شرعاً حقيقةً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يتراخى عن اللاحق بعد تمام السابق، بل بحيث أن لا يتوانى في غَسْل عضوه بحيث يخرج عن المبادرة إلى العمل حقيقة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المنقول</w:t>
      </w:r>
      <w:r>
        <w:rPr>
          <w:rStyle w:val="FootnoteAnchor"/>
          <w:rtl w:val="true"/>
        </w:rPr>
        <w:footnoteReference w:id="1326"/>
      </w:r>
      <w:r>
        <w:rPr>
          <w:rFonts w:ascii="Amiri" w:hAnsi="Amiri" w:eastAsia="Amiri" w:cs="Amiri"/>
          <w:color w:val="111111"/>
          <w:sz w:val="28"/>
          <w:sz w:val="28"/>
          <w:szCs w:val="28"/>
          <w:rtl w:val="true"/>
          <w:lang w:bidi="ar-SA"/>
        </w:rPr>
        <w:t>على لسان جمع من الفحول، وإلى أنّ الأمر في كتاب الله فوريّ بغَسْل الأعضاء؛ لظهور الأمر فيه، أو للإجماع عليه، وإلى آيتي المسارعة والاستباق</w:t>
      </w:r>
      <w:r>
        <w:rPr>
          <w:rStyle w:val="FootnoteAnchor"/>
          <w:rtl w:val="true"/>
        </w:rPr>
        <w:footnoteReference w:id="1327"/>
      </w:r>
      <w:r>
        <w:rPr>
          <w:rFonts w:ascii="Amiri" w:hAnsi="Amiri" w:eastAsia="Amiri" w:cs="Amiri"/>
          <w:color w:val="111111"/>
          <w:sz w:val="28"/>
          <w:sz w:val="28"/>
          <w:szCs w:val="28"/>
          <w:rtl w:val="true"/>
          <w:lang w:bidi="ar-SA"/>
        </w:rPr>
        <w:t xml:space="preserve">، وإلى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w:t>
      </w:r>
      <w:r>
        <w:rPr>
          <w:rStyle w:val="FootnoteAnchor"/>
          <w:rtl w:val="true"/>
        </w:rPr>
        <w:footnoteReference w:id="1328"/>
      </w:r>
      <w:r>
        <w:rPr>
          <w:rFonts w:ascii="Amiri" w:hAnsi="Amiri" w:eastAsia="Amiri" w:cs="Amiri"/>
          <w:color w:val="111111"/>
          <w:sz w:val="28"/>
          <w:sz w:val="28"/>
          <w:szCs w:val="28"/>
          <w:rtl w:val="true"/>
          <w:lang w:bidi="ar-SA"/>
        </w:rPr>
        <w:t>تقضي بوقوع جميع ما تعقّبها فوراً، ولا يمكن الحقيقة فينزّل على الأقرب إليها وهو المتابعة، وإلى ظاهر الوضوءات البيانيّة</w:t>
      </w:r>
      <w:r>
        <w:rPr>
          <w:rStyle w:val="FootnoteAnchor"/>
          <w:rtl w:val="true"/>
        </w:rPr>
        <w:footnoteReference w:id="1329"/>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وإلى أنّه المعهود من فعل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التأسّي به، وإلى أنّ الواقع منهم ذلك قطعاً؛ لرجحانه، فتجب متابعتهم، وإلى الاحتياط، 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وإلى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في مَنْ خالف الترتيب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الوضوء، لأنّ الوضوء يتبع بعضه بعضاً</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وإلى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لا يتبعّض</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والتبعيض يحصل مع عدم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الجميع نظر ؛ لوهن الإجماع المنقول 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دلالة الأمر على الفور لغةً وشرعاً، والإجماع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آيتي المسارعة والاستباق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الفصل والوصل ليسا من الكيفيّات الظاهرة في البيان ليدخلا في أجزاء الوضوء ويجب اتباعهما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التأسّي إنّما يجب في معلوم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الاحتياط حقٌّ لو كان الشكّ في الشرطيّة وليس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وجوب الاتباع في الخبرين مرادٌ به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بالإعادة محمول على حصول الخلل بغيرها لعدم وجوبها شرطاً على هذا القول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للاحتمال الظاهر من أن يراد منه أنّه لا يوجد منه بعضٌ بعد انعدام الأبعاض الباقية لجفافها، كما يؤذن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ينشف وضوؤك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وجوب المتابعة لو كان لبانَ؛ لتوفّر الدواعي إليه، وليس فليس، وأنّها لو كانت واجبةً لما حصل وضوء محلّل إن أريد بها المتابعة الحقيقيّة، ولقلّما حصل لو أُريد بها العرفيّة، فإنّه قلّما يتفق حصول متابعة عرفيّة لم يتخلّل بينها التفات أو نقل إناء من محلٍّ إلى آخَر أو طول عملٍ في 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أرادوا بالمتابعة ما لم يخلّ به ذلك، سهل الأمر في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أوجب المتابعة شرعاً وشرطاً فمستنده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وظهور وجوب الوصف في العبادة أنّه شرط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ضعيف؛ لنقل الاتّفاق من القائلين بوجوب المتابعة على إرادة الوجوب الشرعي دون الشرطي، وأنّ الإخلال بالمتابعة لا يؤثّر فساداً، ولما ذكرناه من عدم اشتهار الحكم مع توفّر الدواعي إليه، ولزوم فساد أكثر وضوءات العالم، ولورود الأخبار بصحّة الوضوء في مَنْ أبطأت عليه الجارية إن لم يجفّ وضوؤه</w:t>
      </w:r>
      <w:r>
        <w:rPr>
          <w:rStyle w:val="FootnoteAnchor"/>
          <w:rtl w:val="true"/>
        </w:rPr>
        <w:footnoteReference w:id="1334"/>
      </w:r>
      <w:r>
        <w:rPr>
          <w:rFonts w:ascii="Amiri" w:hAnsi="Amiri" w:eastAsia="Amiri" w:cs="Amiri"/>
          <w:color w:val="111111"/>
          <w:sz w:val="28"/>
          <w:sz w:val="28"/>
          <w:szCs w:val="28"/>
          <w:rtl w:val="true"/>
          <w:lang w:bidi="ar-SA"/>
        </w:rPr>
        <w:t>، وبصحّة وضوء مَنْ نسي مسح رأسه فذكر وكان في محلّ الوضوء رطوبة أخذ منها</w:t>
      </w:r>
      <w:r>
        <w:rPr>
          <w:rStyle w:val="FootnoteAnchor"/>
          <w:rtl w:val="true"/>
        </w:rPr>
        <w:footnoteReference w:id="1335"/>
      </w:r>
      <w:r>
        <w:rPr>
          <w:rFonts w:ascii="Amiri" w:hAnsi="Amiri" w:eastAsia="Amiri" w:cs="Amiri"/>
          <w:color w:val="111111"/>
          <w:sz w:val="28"/>
          <w:sz w:val="28"/>
          <w:szCs w:val="28"/>
          <w:rtl w:val="true"/>
          <w:lang w:bidi="ar-SA"/>
        </w:rPr>
        <w:t>، وبما دلّ على أنّ مَنْ خالف الترتيب يعيد</w:t>
      </w:r>
      <w:r>
        <w:rPr>
          <w:rStyle w:val="FootnoteAnchor"/>
          <w:rtl w:val="true"/>
        </w:rPr>
        <w:footnoteReference w:id="1336"/>
      </w:r>
      <w:r>
        <w:rPr>
          <w:rFonts w:ascii="Amiri" w:hAnsi="Amiri" w:eastAsia="Amiri" w:cs="Amiri"/>
          <w:color w:val="111111"/>
          <w:sz w:val="28"/>
          <w:sz w:val="28"/>
          <w:szCs w:val="28"/>
          <w:rtl w:val="true"/>
          <w:lang w:bidi="ar-SA"/>
        </w:rPr>
        <w:t xml:space="preserve">، من غير تفصيلٍ بين العامد والناسي والقليل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بذلك ضعف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للوضوء هيئة خاصّة يخلّ بها التأنّي كثيراً، كيومٍ وبعض يومٍ؛ لعدم صدق الوضوء عليه، وللشكّ في صحة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بوجوب الموالاة شرعاً وشرطاً مطلقاً فمستنده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على وجوبها، والظاهر منه الوجوب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لا يتبعّض</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والإجماعات المنقولة</w:t>
      </w:r>
      <w:r>
        <w:rPr>
          <w:rStyle w:val="FootnoteAnchor"/>
          <w:rtl w:val="true"/>
        </w:rPr>
        <w:footnoteReference w:id="1338"/>
      </w:r>
      <w:r>
        <w:rPr>
          <w:rFonts w:ascii="Amiri" w:hAnsi="Amiri" w:eastAsia="Amiri" w:cs="Amiri"/>
          <w:color w:val="111111"/>
          <w:sz w:val="28"/>
          <w:sz w:val="28"/>
          <w:szCs w:val="28"/>
          <w:rtl w:val="true"/>
          <w:lang w:bidi="ar-SA"/>
        </w:rPr>
        <w:t>على اشتراطها مطلقاً، سواء جامعت المتابعة العرفيّة أم لا، وسواء كان الجفاف لنفاد الماء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أنّه يتوضّأ فينفد الماء فيدعو الجارية فتبطئ بالماء فيجفّ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وموثّقة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بعض وضوئك فعرضت لك حاجة حتّى ييبس وضوؤك فأعد وضوءك، فإنّ الوضوء لا يتبعّض</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الشرعي منظور فيه والإجماعات المنقولة قد يراد بها الوجوب الشرطي، كما يظهر من كثير منهم، وحرمة إبطال العمل لم تثبت هاهنا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النهي عن الإبطال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الوجوب الشرطي فالظاهر أنّه كذلك مطلقاً للروايات</w:t>
      </w:r>
      <w:r>
        <w:rPr>
          <w:rStyle w:val="FootnoteAnchor"/>
          <w:rtl w:val="true"/>
        </w:rPr>
        <w:footnoteReference w:id="1341"/>
      </w:r>
      <w:r>
        <w:rPr>
          <w:rFonts w:ascii="Amiri" w:hAnsi="Amiri" w:eastAsia="Amiri" w:cs="Amiri"/>
          <w:color w:val="111111"/>
          <w:sz w:val="28"/>
          <w:sz w:val="28"/>
          <w:szCs w:val="28"/>
          <w:rtl w:val="true"/>
          <w:lang w:bidi="ar-SA"/>
        </w:rPr>
        <w:t>، والإجماعات المتكثّرة النقل على وجوب الموالاة وتفسيرها بعدم الجفاف، والإجماعات المنقولة على اشتراط عدم الجفاف في الوضوء، وللاحتياط وفتوى المشهور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نُسب للصدوقين من عدم البطلان بالجفاف إذا جامع المتابعة</w:t>
      </w:r>
      <w:r>
        <w:rPr>
          <w:rStyle w:val="FootnoteAnchor"/>
          <w:rtl w:val="true"/>
        </w:rPr>
        <w:footnoteReference w:id="1342"/>
      </w:r>
      <w:r>
        <w:rPr>
          <w:rFonts w:ascii="IRNazanin" w:hAnsi="IRNazanin" w:eastAsia="IRNazanin"/>
          <w:color w:val="111111"/>
          <w:sz w:val="28"/>
          <w:sz w:val="28"/>
          <w:szCs w:val="28"/>
          <w:rtl w:val="true"/>
          <w:lang w:bidi="fa-IR"/>
        </w:rPr>
        <w:t>، وللمقنع من البطلان به لنفاد الماء</w:t>
      </w:r>
      <w:r>
        <w:rPr>
          <w:rStyle w:val="FootnoteAnchor"/>
          <w:rtl w:val="true"/>
        </w:rPr>
        <w:footnoteReference w:id="1343"/>
      </w:r>
      <w:r>
        <w:rPr>
          <w:rFonts w:ascii="Amiri" w:hAnsi="Amiri" w:eastAsia="Amiri" w:cs="Amiri"/>
          <w:color w:val="111111"/>
          <w:sz w:val="28"/>
          <w:sz w:val="28"/>
          <w:szCs w:val="28"/>
          <w:rtl w:val="true"/>
          <w:lang w:bidi="ar-SA"/>
        </w:rPr>
        <w:t>استناداً للأخذ باليقين من الروايات الدالّة على البطلان بالجفاف؛ لأنّ موردها الجفاف لفوات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ولصحيح حريز في الوضوء يجفّ،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أغسل الذي يليه؟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 أو لم يجف اغسل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بتلك المنزلة، وابدأ بالرأس ثمّ أفِض على سائر جسدك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بحمله على ما إذا لم تفت المتابعة، خوفاً من مخالفة الإجماع</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قد جفّ بعض وضوئك قبل أن تتمّ الوضوء من غير أن ينقطع عنك الماء فامضِ على ما بقي جفّ وضوؤك أو لم يجف </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لأنّ الاقتصار على المتيقّن بعد إطلاق الروايات المؤيّدة بفتوى الأصحاب وبالاحتياط وبالإجماعات المنقولة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الخبر الأخير ضعيف السند، فلا يعارض ما تقدّم، فيُحمل على جفاف بعض السابق؛ تحرّزاً من 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الأوّل وإن صحّ سنده لكنّه مشتمل على ما لا نقول به من تنزيل الوضوء منزلة الغسل، فليُحمل على التقيّة أو على غير العضو الثاني فيراد منه جفاف البعض، أو يُطرح؛ لمعارضته لما هو أقوى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القائلين بعدم الإخلال بالجفاف مع المتابعة يريدون به ما لم يلزم منه نفوذ الرطوبة عند المسح؛ لاستلزامه المسح بماء جديد، وهو غير جائزٍ عند عدم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المختار من اشتراط عدم الجفاف يراد به عدم الجفاف الحسّي لاالتقديري، فلو بقى الماء على أعضاء الوضوء لعارضٍ يقضي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الوضوء وإن طال الفصل ما لم يمح صورة الوضوء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باعتباره اعتباره مع الإمكان، فلو لم يمكن سقط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تجب ملاحظته تقديراً، بمعنى وجوب المتابعة بقدر ما تجفّ أعضاؤه لو كان عليها ماء؟ الأحوط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ویراد به جفاف الجميع، فلا يبطل بجفاف البعض وإن اتّصل؛ لتعليق البطلان في النصّ والفتوى على جفاف الوضوء ويبسه وجفاف السابق، و هُما ظاهران في الجميع، ولإطلاق صحيح حريز</w:t>
      </w:r>
      <w:r>
        <w:rPr>
          <w:rStyle w:val="FootnoteAnchor"/>
          <w:rtl w:val="true"/>
        </w:rPr>
        <w:footnoteReference w:id="1346"/>
      </w:r>
      <w:r>
        <w:rPr>
          <w:rFonts w:ascii="Amiri" w:hAnsi="Amiri" w:eastAsia="Amiri" w:cs="Amiri"/>
          <w:color w:val="111111"/>
          <w:sz w:val="28"/>
          <w:sz w:val="28"/>
          <w:szCs w:val="28"/>
          <w:rtl w:val="true"/>
          <w:lang w:bidi="ar-SA"/>
        </w:rPr>
        <w:t>، وللاتّفاق على جواز أخذ البلل من الوجه للمسح إذا لم تكن نداوة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إلى اشتراط بقاء الرطوبة في الجميع</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بعيد؛ لضعف القول به ولزومه للمشقّة غالباً، والاستناد للاحتياط وإلى أنّ الوضوء لا يتبعّض ضعيف أيضاً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آخَر إلى اشتراط بقاء الرطوبة في الأخير</w:t>
      </w:r>
      <w:r>
        <w:rPr>
          <w:rStyle w:val="FootnoteAnchor"/>
          <w:rtl w:val="true"/>
        </w:rPr>
        <w:footnoteReference w:id="1348"/>
      </w:r>
      <w:r>
        <w:rPr>
          <w:rFonts w:ascii="Amiri" w:hAnsi="Amiri" w:eastAsia="Amiri" w:cs="Amiri"/>
          <w:color w:val="111111"/>
          <w:sz w:val="28"/>
          <w:sz w:val="28"/>
          <w:szCs w:val="28"/>
          <w:rtl w:val="true"/>
          <w:lang w:bidi="ar-SA"/>
        </w:rPr>
        <w:t>، وبعضٌ آخَر إلى أنّ اليدين بمنزلة عضو واحد، فيشترط بقاء رطوبة الوجه إلى تمام غسلهما، وبقاء الرطوبة فيهما إلى المسح</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المختار أيضاً لا فرق في وجوب عدم جفاف ما تقدّم بين الغَسْل والمسح، ولا بين الرطوبة الباقية في محلّ الغَسْل أو المسح، ولا بين ما كان في الشعر أو البشرة، ولا بين ما كان مستوراً بالشعر أو لم يكن ولا بين ما كان في مسترسل اللحية وبين غيره على إشكالٍ، ولا بين ما كان من الغسلة الأُولى أو الثانية، ولا ما كان في الظواهر والبواطن ممّا يستحبّ تخليله أو من ماء المضمضة والاستنشاق ولكن على إشكالٍ شديد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مازج ماء الوضوء غيره بحيث لم يستهلكه، كفى بقاؤه في عدم الجفاف، وكذا العرق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اليدين يكفي بقاء الرطوبة في إحداهما على الأظهر، وكذا ذو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تعذّرت الموالاة، أعاد الوضوء، فإن لم يمكن سقط حكمها ومسح بماء جديد، والجمع بينه وبين التيمّم أحوط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رجحان نذر المتابعه بالکتاب والسنّۀ والاحتیاط</w:t>
      </w:r>
      <w:r>
        <w:rPr>
          <w:rFonts w:ascii="Amiri" w:hAnsi="Amiri" w:eastAsia="Amiri" w:cs="Amiri"/>
          <w:color w:val="111111"/>
          <w:sz w:val="28"/>
          <w:sz w:val="28"/>
          <w:szCs w:val="28"/>
          <w:rtl w:val="true"/>
          <w:lang w:bidi="ar-SA"/>
        </w:rPr>
        <w:t>نذر المتابعة راجح فيلزم ورجحانه ثابت بالكتاب</w:t>
      </w:r>
      <w:r>
        <w:rPr>
          <w:rStyle w:val="FootnoteAnchor"/>
          <w:rtl w:val="true"/>
        </w:rPr>
        <w:footnoteReference w:id="1350"/>
      </w:r>
      <w:r>
        <w:rPr>
          <w:rFonts w:ascii="Amiri" w:hAnsi="Amiri" w:eastAsia="Amiri" w:cs="Amiri"/>
          <w:color w:val="111111"/>
          <w:sz w:val="28"/>
          <w:sz w:val="28"/>
          <w:szCs w:val="28"/>
          <w:rtl w:val="true"/>
          <w:lang w:bidi="ar-SA"/>
        </w:rPr>
        <w:t>والسنّة</w:t>
      </w:r>
      <w:r>
        <w:rPr>
          <w:rStyle w:val="FootnoteAnchor"/>
          <w:rtl w:val="true"/>
        </w:rPr>
        <w:footnoteReference w:id="1351"/>
      </w:r>
      <w:r>
        <w:rPr>
          <w:rFonts w:ascii="Amiri" w:hAnsi="Amiri" w:eastAsia="Amiri" w:cs="Amiri"/>
          <w:color w:val="111111"/>
          <w:sz w:val="28"/>
          <w:sz w:val="28"/>
          <w:szCs w:val="28"/>
          <w:rtl w:val="true"/>
          <w:lang w:bidi="ar-SA"/>
        </w:rPr>
        <w:t>، والاحتياط، وكلّ ما كان كذلك فهو لازم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نذر المتابعة في وضوءٍ خاصّ ففَعَله من دونها حنث ولم يفسد الوضوء، إلّا إذا نوى أنّه امتثال للنذر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المتابعة في وضوءٍ مطلق، وجب عليه أداؤها في أيّ وضوءٍ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وضوءاً من دونها بنيّة الامتثال فسد؛ لمكان التشريع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ووقوع النيّة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عليه أداؤها في وضوءٍ آخَر إلّا إذا ضاق الوقت، كما إذا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النذر مؤقّتاً أو تضيّق بظنّ الموت فإنّه يحنث إن لم يأتِ بها، ووضووه صحيح؛ لعدم اقتضاء الأمر بالشيء النهي عن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النهي به باعتبار أنّ الشارع أوجب المتابعة في هذا الوضوء المعيّن، ونهى عن تركها، فيلزمه النهى عنه مجرّداً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وضوءاً متابعاً فيه معيّناً، حنث بعدم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 بغير المتابعة ونوى أنّه وفاء للنذر، فسد على الظاهر، وإن أتى به لا بقصد أنّه وفاء، صحّ على الظاهر؛ لعدم اقتضاء الأمر بالشيء النهي عن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وخيال أنّ الجزء الواجب بالعارض كالواجب الأصلي يفسد العمل بفواته ونقصه كما ينقص الواجب الأصلي بعيد؛ لعدم تشخّص الواجب الأصلي بالواجب العارضي من جزء وغيره، فلو خلا منه صحّ الواجب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نذر وضوءاً مطلقاً، لم يحنث، ووجب عليه أداؤه، إلّا إذا تضيّق بوقتٍ أو بظنّ الموت، فإن أدّاه متابعاً برّ يمينه، وإن لم يؤدٍّه كذلك وجب عليه التأدية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تعلّق النذر بوضوء معيّن لفريضةٍ أو بوضوءٍ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الحكم لجميع هيئات الواجبات المندوبة، بل وجميع أجزاء الواجبات المندوبة، فتأمّل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العقلُ والتمييزُوالاسلام والإیمان فی صحّۀ الوضوء</w:t>
      </w:r>
      <w:r>
        <w:rPr>
          <w:rFonts w:ascii="Amiri" w:hAnsi="Amiri" w:eastAsia="Amiri" w:cs="Amiri"/>
          <w:color w:val="111111"/>
          <w:sz w:val="28"/>
          <w:sz w:val="28"/>
          <w:szCs w:val="28"/>
          <w:rtl w:val="true"/>
          <w:lang w:bidi="ar-SA"/>
        </w:rPr>
        <w:t>يشترط في صحّة الوضوء العقلُ والتمييزُ إجماعاً، فلا يصحّ من المجنون، كغيره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وطؤ الحائض المجنونة وإن لم تغتسل؛ لعدم إمكان صدوره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إيجاب تغسيلها على الزوج بعيد، كاحتمال جواز أمرها به وتولّي النية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من المميّز، ويجوز له الصلاة به بعد بلوغه؛ لمشروعيّة عباداته؛ لصحّة تعلّق الخطاب به، وصحّة إيصال الثواب إليه، ولظهور الأمر بالأمر في الأمر، ولشمول خطاب الوضع له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خطاب الندب له وللسيرة القاضية بمعاملتهم معاملة البالغين عند صدور الطهارة منهم من مسّ كتابٍ أو اجتياز مسجدٍ أو لبثٍ فيه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الإسلام والإيمان، فلا يصحّ من الكافر بأنواعه وإن وجب عليه، خلافاً 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وجوبه على المرتدّ الفطري مع عدم إمكان صحّته منه كلام، أوجَهه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عليه إن أُريد به الطلب الحقيقي، ووجوبه إن أريد به الصوري المترتّب على تركه العقاب؛ لأنّ ما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طهرت الذميّة من حيضها لم يصحّ منها الوضوء والغسل معاً، وجاز وطؤها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إلزامها بالغسل صورةً، وعليه جمعٌ من أصحابنا، وهو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ارتدّ الملّي بعد الوضوء، لم ينتقض وضوؤه استصحاباً، وعدم ثبوت كون الارتداد من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 في أثناء الوضوء،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ما لم تفت الموالاة، أو لم يتمكّن من المسح بالبلّة لنجاستها ولم نقل بطهرها ها تبعاً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من المخالف، سواء أنكر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السلامأو بعضهم، أو قدّم غيرهم، أو أنكر عصمتهم على الأظهر، سواء أنكر مع ذلك ضروريّاً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بطلان عباداتهم، وللأخبار</w:t>
      </w:r>
      <w:r>
        <w:rPr>
          <w:rStyle w:val="FootnoteAnchor"/>
          <w:rtl w:val="true"/>
        </w:rPr>
        <w:footnoteReference w:id="1352"/>
      </w:r>
      <w:r>
        <w:rPr>
          <w:rFonts w:ascii="Amiri" w:hAnsi="Amiri" w:eastAsia="Amiri" w:cs="Amiri"/>
          <w:color w:val="111111"/>
          <w:sz w:val="28"/>
          <w:sz w:val="28"/>
          <w:szCs w:val="28"/>
          <w:rtl w:val="true"/>
          <w:lang w:bidi="ar-SA"/>
        </w:rPr>
        <w:t>الدالّة على اشتراط الإيمان، إلّا إذا استبصر فيصحّ منه إسقاطاً للقضاء والإعادة، لا لحصول الامتثال بما فعله على سبيل الكشف عند إيمانه أو النقل عنده؛ لمخالفته للقواعد، فيقتصر على اليقين من معنى الصحّة ، وهو سقوط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شمول الصحّة لما فَعَله موافقاً للرأيين منّا ومنهم أو موافقاً لرأيهم فقط؛ لشمول إطلاق فتوى المشهور والإجماع المنقول</w:t>
      </w:r>
      <w:r>
        <w:rPr>
          <w:rStyle w:val="FootnoteAnchor"/>
          <w:rtl w:val="true"/>
        </w:rPr>
        <w:footnoteReference w:id="1353"/>
      </w:r>
      <w:r>
        <w:rPr>
          <w:rFonts w:ascii="IRNazanin" w:hAnsi="IRNazanin" w:eastAsia="IRNazanin"/>
          <w:color w:val="111111"/>
          <w:sz w:val="28"/>
          <w:sz w:val="28"/>
          <w:szCs w:val="28"/>
          <w:rtl w:val="true"/>
          <w:lang w:bidi="fa-IR"/>
        </w:rPr>
        <w:t>والأخبار</w:t>
      </w:r>
      <w:r>
        <w:rPr>
          <w:rStyle w:val="FootnoteAnchor"/>
          <w:rtl w:val="true"/>
        </w:rPr>
        <w:footnoteReference w:id="1354"/>
      </w:r>
      <w:r>
        <w:rPr>
          <w:rFonts w:ascii="Amiri" w:hAnsi="Amiri" w:eastAsia="Amiri" w:cs="Amiri"/>
          <w:color w:val="111111"/>
          <w:sz w:val="28"/>
          <w:sz w:val="28"/>
          <w:szCs w:val="28"/>
          <w:rtl w:val="true"/>
          <w:lang w:bidi="ar-SA"/>
        </w:rPr>
        <w:t>الحاكمة بعدم الإعادة عليهم في شيء عدا الزكاة من دون تفصيلٍ لما كان موافقاً لمذهبهم، وافق مذهبنا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فيما وافق مذهبنا فقط الصحّة؛ لشبهة الأولويّة من المخالف له، والبطلان؛ لعدم تحقّق الأولويّة، وانصراف الأدلّة إلى الموافق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لم يوافق الرأيين فالأقوى لزوم الإعادة وعدم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الوضوء أخذه عن اجتهادٍ أو تقليد أو احتياطيشترط في صحّة الوضوء أخذه عن اجتهادٍ أو تقليد أو احتياط، معلوم جوازه عند علماء عصره؛ للإجماع المنقول على ذلك وفتوى المشهور، وظهور الأخبار الكثيرة به، وللأصل والاحتياط، سواء وافق فعله الواقع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تخصيص ذلك بما إذا لم يكن في ضيق أو كان غير متمكّنٍ من الرجوع للمجتهد، أو كان في أثناء عملٍ لا يمكنه بطلانه، أو مطلقاً، أو كان مأخذه عمّن يتعسّر عليه الرجوع إلى غيره، كرجوع النساء إلى الرجال، والإماء إلى الموالي، والأبناء إلى الآباء، أو كان مأخذه عن طريق أخطأ فيه لعذر ، كما إذا اعتقد عدالة شخصٍ فتبيّن خلافها، أو إلى مجتهدٍ فتبيّن عدم اجتهاده أو عدالته ، فإنّ ذلك كلّه إذا وافق فتوى المجتهد وكان صدور الفعل منه من دون تزلزلٍ في نيّة القربة يقوى فيه القول بالصحّة؛ للسيرة القاطعة في بعضٍ، وللزوم العسر والحرج فی آخر ، ولما يظهر من سؤالات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ascii="Amiri" w:hAnsi="Amiri" w:eastAsia="Amiri" w:cs="Amiri"/>
          <w:color w:val="111111"/>
          <w:sz w:val="28"/>
          <w:sz w:val="28"/>
          <w:szCs w:val="28"/>
          <w:rtl w:val="true"/>
          <w:lang w:bidi="ar-SA"/>
        </w:rPr>
        <w:t>وتقريرهم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تجب عليه إعادة ما فَعَله بالحدس والتخمين والتظنّي؛ لأنّه مورد ما دلّ على الإعادة، فتأمّل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الوضوء بماء مغصوب مع العلم بغصبهلا يصحّ الوضوء بماء مغصوب مع العلم بغصبه؛ للاحتياط الواجب بعد شغل الذمّة اليقيني، ولفتوى المشهور والإجماع المنقول</w:t>
      </w:r>
      <w:r>
        <w:rPr>
          <w:rStyle w:val="FootnoteAnchor"/>
          <w:rtl w:val="true"/>
        </w:rPr>
        <w:footnoteReference w:id="1355"/>
      </w:r>
      <w:r>
        <w:rPr>
          <w:rFonts w:ascii="Amiri" w:hAnsi="Amiri" w:eastAsia="Amiri" w:cs="Amiri"/>
          <w:color w:val="111111"/>
          <w:sz w:val="28"/>
          <w:sz w:val="28"/>
          <w:szCs w:val="28"/>
          <w:rtl w:val="true"/>
          <w:lang w:bidi="ar-SA"/>
        </w:rPr>
        <w:t>، ولاستلزام الوضوء التصرّف بمال الغير المنهيّ عنه، فلا يصحّ به التقرّب، وللشكّ في شمول الأوامر لمثل هذا، بل لظهور تخصيص الأوامر المطلقة بهذا النهى عنه؛ لعدم جواز اجتماع الأمر والنهي في شيء واحد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 إذن المالك به أو ظنّ من القرائن اللفظيّة أو المعنويّة أو الفعليّة فليس من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التقديريّة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لو علم 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كالإذن التحقيقيّة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يشقّ التحرّز عنه ممّا كان في طرق المسلمين من الأنهار والقنوات والعيون فلا بأس باستعمالها للمستطرقين مع عدم نهي المالك للسيرة المستمرّة من المسلمين على ذلك، بل ومع نهيه؛ للإذن السماويّة ونفي الضرار على الأظهر، والاحتياط غير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وجاهل موضوع الغصب يصحّ وضوؤه ؛ لعدم توجّه النهي إليه ، وكذا ناسيه إذا لم يكن النسيان عن عدم اعتناء واحتفال بالمغصوب، كما يفعله الغصّاب كثيراً، فإنّ هذا النسيان بحكم العمد، فيشكّ في شمول الخطاب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أطلق عدم الصحّة حتّى مع الجهل والنسيان</w:t>
      </w:r>
      <w:r>
        <w:rPr>
          <w:rStyle w:val="FootnoteAnchor"/>
          <w:rtl w:val="true"/>
        </w:rPr>
        <w:footnoteReference w:id="1356"/>
      </w:r>
      <w:r>
        <w:rPr>
          <w:rFonts w:ascii="Amiri" w:hAnsi="Amiri" w:eastAsia="Amiri" w:cs="Amiri"/>
          <w:color w:val="111111"/>
          <w:sz w:val="28"/>
          <w:sz w:val="28"/>
          <w:szCs w:val="28"/>
          <w:rtl w:val="true"/>
          <w:lang w:bidi="ar-SA"/>
        </w:rPr>
        <w:t>، وبعضهم فرّق بينهما</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والجهل بالحكم إن تعلّق بكون الغصب حراماً متخيّلاً حلّيّة مال الغير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لعدم توجّه النهي إليه، ولأنّه أعذر من جاهل الموضوع إذا لم يخطر له السؤال ببال، وإن خطر له السؤال بالبال أو كان جاهلاً بحكم الإفساد زاعماً أنّ الحرام يتقرّب به،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وضع الماء المغصوب فتقاطر فغسل بالباقي غسلاً كالدهن أو مسح به، احتُمل القول بالصحّة؛ لتنزيله منزلة التالف فيضمن المثل أو القيمة، ويصحّ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البطلان؛ لأنّ الضمان لا يسوغ التصرّف بمال الغير، وكذا عدم التمكّن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القابليّة لذلك أو للحجب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التصرّف ، فالاحتياط يقضي بعدم الجواز، بل ربما يقال بوجوب الردّ ولو مع عدم الإمكان؛ لأنّ ما بالاختيار لا ينافيه، ولكنّ البناء عليه مشكل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المياه الجارية إنّما تحلّ للمارّين بها، دون الساكنين حولها ودون الغاصبين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خالف الأصل على مورد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تجنّب ما نهى المالك عنه من الأنهار الصغار الجارية في الطرق وإن حلّ استعمالها مع الجهل، بخلاف الكبار، فإنّ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الاستعمال ولو مع النهي، بخلاف المياه القليلة الموضوعة في الطرق أو في الأراضي المملوكة، فإنّها لا تحلّ إلّا بإذن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إباحة الآنية، فيصحّ أخذ الماء من آنية مغصوبة، أو ذهب أو فضّة والوضوء به، إلّا إذا انحصر الماء فيها، فلا يبعد الفساد، لانتقال الحكم إلى التيمّم فيقع وضوؤه من غير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يشترط إباحة موقع الماء؛ لعدم توجّه النهي إلى الوضوء، فيصحّ، إلّا إذا انحصر الموقع في المغصوب، فلا يبعد حينئذٍ الانتقال إلى خطاب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العبادة؛ لشبهة توجّه النهي إليها؛ لصدق الانتفاع بمال الغير بوضوئه، فيكون منهيّاً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الوضوء في مكان مغصوب فضاؤهلا يصحّ الوضوء في مكان مغصوب فضاؤه ؛لأنّ إجراء الماء في الغسل وإمرار اليد في المسح تصرّف في مال الغير فيتعلّق به النهي، ولأنّ التصرّف بمال الغير هو الانتفاع به بنوم أو جلوس أو غسل أو وضوء غَسْلاً أو مسحاً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جمعٌ</w:t>
      </w:r>
      <w:r>
        <w:rPr>
          <w:rStyle w:val="FootnoteAnchor"/>
          <w:rtl w:val="true"/>
        </w:rPr>
        <w:footnoteReference w:id="1358"/>
      </w:r>
      <w:r>
        <w:rPr>
          <w:rFonts w:ascii="Amiri" w:hAnsi="Amiri" w:eastAsia="Amiri" w:cs="Amiri"/>
          <w:color w:val="111111"/>
          <w:sz w:val="28"/>
          <w:sz w:val="28"/>
          <w:szCs w:val="28"/>
          <w:rtl w:val="true"/>
          <w:lang w:bidi="ar-SA"/>
        </w:rPr>
        <w:t>الصحّة؛ لعدم تعلّق النهي بالوضوء؛ لعدم تسميته تصرّفاً بمال الغير، بل التصرّف هو بالجلوس وشبهه، أو لعدم بطلان الوضوء بتعلّق النهي؛ لإمكان اجتماع 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ضعيف مخالف للقواعد الشرعيّة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وجب الخروج على الغاصب، فالأقوى عدم جواز الوضوء له بخروجه؛ لاستلزامه تصرّفاً آخَر خارجاً عن الخروج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المكان المغصوبة أرضه دون فضائه ومثله النعل والخُفّ والبساط عند الجلوس فالأقوى صحّة الوضوء عليها؛ لعدم صدق التصرّف بالوضوء فيها ولو كان مع الاعتماد عند المسح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والمحبوس في المكان المغصوب يقوى القول بصحّة وضوئه؛ لإباحة الكون له، وعدم حصول ما يزيد عليه عند الوضوء؛ لأنّ جميع أعضائه لا بدّ لها من كونٍ يشغلها، فلا فرق بين رفعها ووضعها وبين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الصحّة؛ لاستلزام الوضوء تصرّفاً زائداً على نفس الكون وانتفاعاً آخَر، فيتعلّق به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الصحّة فالأحوط التأخير إلى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حبسه المالك في بيته،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والصلاة؛ لإسقاط حرمة ماله بوضع المسلم فيه من 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يجد المحبوس في المكان المغصوب سوى الماء المغصوب، وجب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التيمّم بالتراب المباح أو بالتراب المغصوب في الأرض على وجهٍ يستلزم تصرّفاً زائداً على مجرّد المماسّة من علوق وشبهه، أم لا؟والأظهر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التيمّم، وصيرورته كفاقد الطهورين؛ لما ذكرنا من استلزام التيمّم والوضوء تصرّفاً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ّالوضوء بالمضافلا يصح ّالوضوء بالمضاف؛ للإجماع المنقول</w:t>
      </w:r>
      <w:r>
        <w:rPr>
          <w:rStyle w:val="FootnoteAnchor"/>
          <w:rtl w:val="true"/>
        </w:rPr>
        <w:footnoteReference w:id="1359"/>
      </w:r>
      <w:r>
        <w:rPr>
          <w:rFonts w:ascii="Amiri" w:hAnsi="Amiri" w:eastAsia="Amiri" w:cs="Amiri"/>
          <w:color w:val="111111"/>
          <w:sz w:val="28"/>
          <w:sz w:val="28"/>
          <w:szCs w:val="28"/>
          <w:rtl w:val="true"/>
          <w:lang w:bidi="ar-SA"/>
        </w:rPr>
        <w:t>وفتوى الأصحاب،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لظهور لفظ الماء في الماء المطلق، ولظواهر الأوامر بالغسل</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الماء المطلق، وللأخبار الدالّة على أنّ الوضوء بالماء</w:t>
      </w:r>
      <w:r>
        <w:rPr>
          <w:rStyle w:val="FootnoteAnchor"/>
          <w:rtl w:val="true"/>
        </w:rPr>
        <w:footnoteReference w:id="1362"/>
      </w:r>
      <w:r>
        <w:rPr>
          <w:rFonts w:ascii="Amiri" w:hAnsi="Amiri" w:eastAsia="Amiri" w:cs="Amiri"/>
          <w:color w:val="111111"/>
          <w:sz w:val="28"/>
          <w:sz w:val="28"/>
          <w:szCs w:val="28"/>
          <w:rtl w:val="true"/>
          <w:lang w:bidi="ar-SA"/>
        </w:rPr>
        <w:t>، وهو ظاهر في المطلق، وللاحتياط، ولأنّه المعهود، وللتأسّي،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الصلاة إلّا به</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ولم يتوضّأ إلّا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الإجماع على ذلك محصّل لا يحتاج إلى الاستدلال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ذهب إليه الصدوق</w:t>
      </w:r>
      <w:r>
        <w:rPr>
          <w:rStyle w:val="FootnoteAnchor"/>
          <w:rtl w:val="true"/>
        </w:rPr>
        <w:footnoteReference w:id="1364"/>
      </w:r>
      <w:r>
        <w:rPr>
          <w:rFonts w:ascii="Amiri" w:hAnsi="Amiri" w:eastAsia="Amiri" w:cs="Amiri"/>
          <w:color w:val="111111"/>
          <w:sz w:val="28"/>
          <w:sz w:val="28"/>
          <w:szCs w:val="28"/>
          <w:rtl w:val="true"/>
          <w:lang w:bidi="ar-SA"/>
        </w:rPr>
        <w:t>والعمّاني</w:t>
      </w:r>
      <w:r>
        <w:rPr>
          <w:rStyle w:val="FootnoteAnchor"/>
          <w:rtl w:val="true"/>
        </w:rPr>
        <w:footnoteReference w:id="1365"/>
      </w:r>
      <w:r>
        <w:rPr>
          <w:rFonts w:ascii="IRNazanin" w:hAnsi="IRNazanin" w:eastAsia="IRNazanin"/>
          <w:color w:val="111111"/>
          <w:sz w:val="28"/>
          <w:sz w:val="28"/>
          <w:szCs w:val="28"/>
          <w:rtl w:val="true"/>
          <w:lang w:bidi="fa-IR"/>
        </w:rPr>
        <w:t>من جواز الوضوء بماء الورد؛ لما ورد من جواز الوضوء بماء الورد</w:t>
      </w:r>
      <w:r>
        <w:rPr>
          <w:rStyle w:val="FootnoteAnchor"/>
          <w:rtl w:val="true"/>
        </w:rPr>
        <w:footnoteReference w:id="1366"/>
      </w:r>
      <w:r>
        <w:rPr>
          <w:rFonts w:ascii="Amiri" w:hAnsi="Amiri" w:eastAsia="Amiri" w:cs="Amiri"/>
          <w:color w:val="111111"/>
          <w:sz w:val="28"/>
          <w:sz w:val="28"/>
          <w:szCs w:val="28"/>
          <w:rtl w:val="true"/>
          <w:lang w:bidi="ar-SA"/>
        </w:rPr>
        <w:t>، وهو مع ضعفه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واحتمال كونه طرح فيه ورد، لا أنّه معتصر، واحتمال إرادة التنظيف من لفظ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ما ذكرنا، بل لا بدّ من طرحه</w:t>
      </w:r>
      <w:r>
        <w:rPr>
          <w:rFonts w:eastAsia="Amiri" w:cs="Amiri" w:ascii="Amiri" w:hAnsi="Amiri"/>
          <w:color w:val="111111"/>
          <w:sz w:val="28"/>
          <w:szCs w:val="28"/>
          <w:rtl w:val="true"/>
          <w:lang w:bidi="ar-SA"/>
        </w:rPr>
        <w:t xml:space="preserve">. </w:t>
      </w:r>
      <w:bookmarkStart w:id="797" w:name="pg18988_203418"/>
    </w:p>
    <w:p>
      <w:pPr>
        <w:pStyle w:val="BookText"/>
        <w:rPr/>
      </w:pPr>
      <w:bookmarkEnd w:id="797"/>
      <w:r>
        <w:rPr>
          <w:rFonts w:ascii="Amiri" w:hAnsi="Amiri" w:eastAsia="Amiri" w:cs="Amiri"/>
          <w:color w:val="111111"/>
          <w:sz w:val="28"/>
          <w:sz w:val="28"/>
          <w:szCs w:val="28"/>
          <w:rtl w:val="true"/>
          <w:lang w:bidi="ar-SA"/>
        </w:rPr>
        <w:t>ونُسب لابن أبي عقيل جواز ذلك للضرورة</w:t>
      </w:r>
      <w:r>
        <w:rPr>
          <w:rStyle w:val="FootnoteAnchor"/>
          <w:rtl w:val="true"/>
        </w:rPr>
        <w:footnoteReference w:id="1367"/>
      </w:r>
      <w:r>
        <w:rPr>
          <w:rFonts w:ascii="Amiri" w:hAnsi="Amiri" w:eastAsia="Amiri" w:cs="Amiri"/>
          <w:color w:val="111111"/>
          <w:sz w:val="28"/>
          <w:sz w:val="28"/>
          <w:szCs w:val="28"/>
          <w:rtl w:val="true"/>
          <w:lang w:bidi="ar-SA"/>
        </w:rPr>
        <w:t>؛ حملاً للرواية على حالة الاضطرار، ولقربه من الماء عند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وشرطه وجوديّ لا علميّ، يعيد المتوضّئ به مطلقاً جاهلاً أو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تعسّر ما يسع الوضوء من المطلق وأمكن تحصيله بمزج المضاف معه، فهل يجب؛ لأنّه مقدّمة للواجب المطلق فيجب تحصيله، وللشكّ في مشروعيّة التيمّم والحال ذلك، ولأنّ الظاهر من قوله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 تجدوا</w:t>
      </w:r>
      <w:r>
        <w:rPr>
          <w:rFonts w:ascii="Amiri" w:hAnsi="Amiri" w:eastAsia="Amiri" w:cs="Amiri"/>
          <w:color w:val="111111"/>
          <w:sz w:val="28"/>
          <w:sz w:val="28"/>
          <w:szCs w:val="28"/>
          <w:rtl w:val="true"/>
          <w:lang w:bidi="ar-SA"/>
        </w:rPr>
        <w:t>أي لم تتمكّنوا؛ أو لا يجب فيسوغ له التيمّم؛ لأنّ الوضوء واجب مطلق للواجد دون الفاقد، ومشروط بالنسبة إلى الفاقد أو لأنّ الواجه تحصيل الماء الموجود لا إيجاد الماء المعدوم، ولأصالة البراءة ؟ وجهان، أحوطهما الأوّل، وأقواهما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3197969_1280447820"/>
      <w:bookmarkStart w:id="799" w:name="_Toc311"/>
      <w:bookmarkEnd w:id="798"/>
      <w:r>
        <w:rPr>
          <w:rtl w:val="true"/>
        </w:rPr>
        <w:t>سادسها</w:t>
      </w:r>
      <w:r>
        <w:rPr>
          <w:rtl w:val="true"/>
        </w:rPr>
        <w:t xml:space="preserve">: </w:t>
      </w:r>
      <w:r>
        <w:rPr>
          <w:rtl w:val="true"/>
        </w:rPr>
        <w:t>لا يصحّ الوضوء بماء نجس</w:t>
      </w:r>
      <w:bookmarkEnd w:id="799"/>
    </w:p>
    <w:p>
      <w:pPr>
        <w:pStyle w:val="BookText"/>
        <w:rPr/>
      </w:pPr>
      <w:r>
        <w:rPr>
          <w:rFonts w:ascii="Amiri" w:hAnsi="Amiri" w:eastAsia="Amiri" w:cs="Amiri"/>
          <w:color w:val="111111"/>
          <w:sz w:val="28"/>
          <w:sz w:val="28"/>
          <w:szCs w:val="28"/>
          <w:rtl w:val="true"/>
          <w:lang w:bidi="ar-SA"/>
        </w:rPr>
        <w:t>لا يصحّ الوضوء بماء نجس إجماعاً، والفتاوى والنصوص</w:t>
      </w:r>
      <w:r>
        <w:rPr>
          <w:rStyle w:val="FootnoteAnchor"/>
          <w:rtl w:val="true"/>
        </w:rPr>
        <w:footnoteReference w:id="1368"/>
      </w:r>
      <w:r>
        <w:rPr>
          <w:rFonts w:ascii="Amiri" w:hAnsi="Amiri" w:eastAsia="Amiri" w:cs="Amiri"/>
          <w:color w:val="111111"/>
          <w:sz w:val="28"/>
          <w:sz w:val="28"/>
          <w:szCs w:val="28"/>
          <w:rtl w:val="true"/>
          <w:lang w:bidi="ar-SA"/>
        </w:rPr>
        <w:t>مستفيضة بمنعه، بل بمنع المشبه به، والحرمة التشريعيّة لا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 الحرمة الأصليّة له؛ لظاهر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طهارة الماء شرطُ وجوديّ موجب للإعادة في الوقت وخارجه عمداً أو سهواً أو جهلاً بالحكم أو الموضوع أخذاً بالاحتياط في مقام الشكّ، وشرطيّة ما شكّ في شرطيّته، وبظاهر اتّفاق الأصحاب إلّا مَنْ شذّ وندر ، ولاقتضاء النهي فساد المنهيّ عنه ؛ لظهور بيان المانعيّة منه، فلا يتفاوت بين العالم والجاهل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إعادة الجاهل بعد خروج الوقت</w:t>
      </w:r>
      <w:r>
        <w:rPr>
          <w:rStyle w:val="FootnoteAnchor"/>
          <w:rtl w:val="true"/>
        </w:rPr>
        <w:footnoteReference w:id="1369"/>
      </w:r>
      <w:r>
        <w:rPr>
          <w:rFonts w:ascii="Amiri" w:hAnsi="Amiri" w:eastAsia="Amiri" w:cs="Amiri"/>
          <w:color w:val="111111"/>
          <w:sz w:val="28"/>
          <w:sz w:val="28"/>
          <w:szCs w:val="28"/>
          <w:rtl w:val="true"/>
          <w:lang w:bidi="ar-SA"/>
        </w:rPr>
        <w:t>لأنّ امتثال الأمر يقضي بالإجزاء، ولأنّ القضاء يحتاج إلى دليل ، ولأنّ النجاسة هي ما عُلمت نجاستها دون ما كانت متّصفةً بذلك بالواقع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فإذا علمت فقد قذر، ولأنّ الناس في سعة ما لم يعلموا، فالجاهل معذور لجهله، ولأنّ النواهي منصرفة للعالم دون الجاهل؛ لقبح تعلّق التكليف به</w:t>
      </w:r>
      <w:r>
        <w:rPr>
          <w:rFonts w:eastAsia="Amiri" w:cs="Amiri" w:ascii="Amiri" w:hAnsi="Amiri"/>
          <w:color w:val="111111"/>
          <w:sz w:val="28"/>
          <w:szCs w:val="28"/>
          <w:rtl w:val="true"/>
          <w:lang w:bidi="ar-SA"/>
        </w:rPr>
        <w:t xml:space="preserve">. </w:t>
      </w:r>
      <w:bookmarkStart w:id="800" w:name="pg18988_203419"/>
    </w:p>
    <w:p>
      <w:pPr>
        <w:pStyle w:val="BookText"/>
        <w:rPr/>
      </w:pPr>
      <w:bookmarkEnd w:id="800"/>
      <w:r>
        <w:rPr>
          <w:rFonts w:ascii="Amiri" w:hAnsi="Amiri" w:eastAsia="Amiri" w:cs="Amiri"/>
          <w:color w:val="111111"/>
          <w:sz w:val="28"/>
          <w:sz w:val="28"/>
          <w:szCs w:val="28"/>
          <w:rtl w:val="true"/>
          <w:lang w:bidi="ar-SA"/>
        </w:rPr>
        <w:t xml:space="preserve">وفي الجميع بعدما سمعت من ظهور الفتاوى والنصوص بالشرطيّة الواقعيّة حتّى النواهي منها؛ لظهورها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ظاهر لا يخفى على المتأمّل</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3197971_1280447820"/>
      <w:bookmarkStart w:id="802" w:name="_Toc312"/>
      <w:bookmarkEnd w:id="801"/>
      <w:r>
        <w:rPr>
          <w:rtl w:val="true"/>
        </w:rPr>
        <w:t>سابعها</w:t>
      </w:r>
      <w:r>
        <w:rPr>
          <w:rtl w:val="true"/>
        </w:rPr>
        <w:t xml:space="preserve">: </w:t>
      </w:r>
      <w:r>
        <w:rPr>
          <w:rtl w:val="true"/>
        </w:rPr>
        <w:t>تجب إزالة المانع عن موضع الغَسْل والمسح ماسحاً أو ممسوحاً</w:t>
      </w:r>
      <w:bookmarkEnd w:id="802"/>
    </w:p>
    <w:p>
      <w:pPr>
        <w:pStyle w:val="BookText"/>
        <w:rPr/>
      </w:pPr>
      <w:r>
        <w:rPr>
          <w:rFonts w:ascii="Amiri" w:hAnsi="Amiri" w:eastAsia="Amiri" w:cs="Amiri"/>
          <w:color w:val="111111"/>
          <w:sz w:val="28"/>
          <w:sz w:val="28"/>
          <w:szCs w:val="28"/>
          <w:rtl w:val="true"/>
          <w:lang w:bidi="ar-SA"/>
        </w:rPr>
        <w:t>تجب إزالة المانع عن موضع الغَسْل والمسح ماسحاً أو ممسوحاً، فتوىً وروايةً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كانت على أعضائه 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ألواح أو خرق أو أدوية من لطوخ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 أو جرح أو قرح أو شبهها، وجب نزعها إن أمكن بلا مشقّة من ضرر أو ألم أو عسر، وغّسْلها في الماء أو تكرير الماء عليها بحيث يحصل لها الغَسْل و الجريان، ويجب ذلك مخيّراً فيه لحصول 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يحصل في التكرير مع الشدّ غَسْلٌ وجريان، بل حصلت مجرّد الإصابة، وجب مرتّباً بعد عدم إمكان النزع؛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وللموثّق في ذي الجبيرة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فليضع إناءً فيه ماء ويضع موضع الجبيرة في الإناء حتّى يصل إلى جلده، وقد أجزأه ذلك من غير أن يحلّه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مساواة المسح للغَسْل في وجوب الوضع لتحصيل مماسَة الماء مهما أمكن، ولظاهر هذا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أنّ مع عدم إمكان النزع ينتقل في المسح إلى المسح عليها، ولا يجب عليه وضعها في الماء؛ لأنّ المتيقّن من ذلك وروده في الغَسْل دون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بينهما، والأحوط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يمكنه نزع الجبيرة أو غَسْل المحلّ معها ولا إيصال الماء، فإمّا أن يمكنه نزعها ومسح المحلّ أو لا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أمكنه نزعها أو مسح المحلّ، وجب على الظاهر؛ للاحتياط،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ولأنّه توصّل للماء مهما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دار الأمر بين نزعها ومسح المحلّ وبين إبقائها وإيصال الماء إليها من دون غَسْلٍ تخيّر على الظاهر، مع احتمال تقديم الثاني، كما يظهر من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بين المسح على المحلّ والمسح على الجبيرة؛ لشبهة الأخذ بإطلاقات الأدلّة الدالّة على المسح عليها مطلقاً بعد عدم التمكّن من نزعها وغَسْلها وعدم التمكّن من إيصال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 مسح المحلّ ،مسح عليها؛ للإجماع المنقول</w:t>
      </w:r>
      <w:r>
        <w:rPr>
          <w:rStyle w:val="FootnoteAnchor"/>
          <w:rtl w:val="true"/>
        </w:rPr>
        <w:footnoteReference w:id="1376"/>
      </w:r>
      <w:r>
        <w:rPr>
          <w:rFonts w:ascii="Amiri" w:hAnsi="Amiri" w:eastAsia="Amiri" w:cs="Amiri"/>
          <w:color w:val="111111"/>
          <w:sz w:val="28"/>
          <w:sz w:val="28"/>
          <w:szCs w:val="28"/>
          <w:rtl w:val="true"/>
          <w:lang w:bidi="ar-SA"/>
        </w:rPr>
        <w:t>وفتوى المشهور،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به الجروح والقروح ويعصّبها بالخرقة،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يؤذيه الماء فليمسح على الخرقة</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جعل على إصبعه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عليها </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وللآخَر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يتخوّف على نفسه فليمسح على جبائره </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وللآخَر في الدواء على يد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أن يمسح عليه</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ما ورد من الروايات المتكثّرة الآمرة بالتيمّم لمن كان به القروح والجروح والجدري، والناهية عن الغسل</w:t>
      </w:r>
      <w:r>
        <w:rPr>
          <w:rStyle w:val="FootnoteAnchor"/>
          <w:rtl w:val="true"/>
        </w:rPr>
        <w:footnoteReference w:id="1381"/>
      </w:r>
      <w:r>
        <w:rPr>
          <w:rFonts w:ascii="Amiri" w:hAnsi="Amiri" w:eastAsia="Amiri" w:cs="Amiri"/>
          <w:color w:val="111111"/>
          <w:sz w:val="28"/>
          <w:sz w:val="28"/>
          <w:szCs w:val="28"/>
          <w:rtl w:val="true"/>
          <w:lang w:bidi="ar-SA"/>
        </w:rPr>
        <w:t>لرجحان تلك عليها بفتوى المشهور والاحتياط، ولورود هذه في الغسل وورود تلك في الوضوء، أو فيما هو أعمّ منه ومن الغُسل، فالواجب تخصيص تلك بهذه، أو حمل هذه على حصول الضرر بغَسْل ما حول الجروح والقروح من البدن، أو بتكشّف البدن للغُسل ونزع الثياب عنه من جهة بردٍ وشبهه، أو الضرر بالمسح عليها نفسها؛ لأنّها مكشوفة وتضرّها الرطوبة، أو حملها على صورة كثرة الجروح والقروح في البدن بحيث لا يتمكّن من غَسْل شيء من بدنه كما يشعر به خبر المجدور</w:t>
      </w:r>
      <w:r>
        <w:rPr>
          <w:rStyle w:val="FootnoteAnchor"/>
          <w:rtl w:val="true"/>
        </w:rPr>
        <w:footnoteReference w:id="1382"/>
      </w:r>
      <w:r>
        <w:rPr>
          <w:rFonts w:ascii="IRNazanin" w:hAnsi="IRNazanin" w:eastAsia="IRNazanin"/>
          <w:color w:val="111111"/>
          <w:sz w:val="28"/>
          <w:sz w:val="28"/>
          <w:szCs w:val="28"/>
          <w:rtl w:val="true"/>
          <w:lang w:bidi="fa-IR"/>
        </w:rPr>
        <w:t>، ولا يتمكّن من وضع جبيرة عليه؛ لاستلزامه استیعاب جميع البدن أو على نجاسة بدنه بحيث لا يتمكّن من إيصال الماء ولا يتمكّن من تجبيره كلّه، فإنّ الظاهر في أكثر ما ذكرناه لزوم التيمّم وإن كان في جملة منها الأحوط الجمع بين الغُسل والتيمّم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لا يعارضها ما دلّ على الأمر بغَسْل ما ظهر ممّا عليه الجبائر وترك ما سوى ذلك، و بغَسْل ما حول الجرح في الروايات</w:t>
      </w:r>
      <w:r>
        <w:rPr>
          <w:rStyle w:val="FootnoteAnchor"/>
          <w:rtl w:val="true"/>
        </w:rPr>
        <w:footnoteReference w:id="1383"/>
      </w:r>
      <w:r>
        <w:rPr>
          <w:rFonts w:ascii="Amiri" w:hAnsi="Amiri" w:eastAsia="Amiri" w:cs="Amiri"/>
          <w:color w:val="111111"/>
          <w:sz w:val="28"/>
          <w:sz w:val="28"/>
          <w:szCs w:val="28"/>
          <w:rtl w:val="true"/>
          <w:lang w:bidi="ar-SA"/>
        </w:rPr>
        <w:t>المعتبرة؛ لجواز الأخذ بكلٍّ منهما؛ لعدم التنافي بين غَسْل ما حول الجرح وبين المسح عليه، وعدم التنافي بين ترك ما سوى ذلك بالنسبة إلى الغَسْل و بين عدمه بالنسبة إلى المسح عليه، ولجواز حمل الأمر بغَسْل ما حوله فيما ورد في الجروح على صورة ما إذا كان الجرح مكشوفاً غير معصّب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حصول التعارض ، فالترجيح للأخبار الموجبة للمسح ؛ لقوّتها على الأخبار الموجبة لغَسْل ما حولها، والتعارض فرع 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بحمل ما دلّ على المسح على الندب، وما دلّ على غَسْل ما حولها على الوجوب كالجمع بالتخيير ضعيف؛ لتأديته إلى طرح أخبار المسح الظاهرة في الوجوب، المعتبرة بدليل النقل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تكن على أعضائه جبائر، بل كانت مكشوفةً ، فالأقوى لزوم المسح عليها عند عدم إمكان غَسْلها؛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وللاحتياط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المسح عليها إلّا بوضع خرقةٍ عليها وضعها، ومسح عليها؛ للاحتياط، وللقرب من الحقيقة مهما أمكن، ولجَعْل الشارع لها حكم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البشرة نجسةً، فهل يقدّم المسح عليها ؟ للقرب من الحقيقة، أم يوضع عليها خرقة فيمسح</w:t>
      </w:r>
      <w:r>
        <w:rPr>
          <w:rStyle w:val="FootnoteAnchor"/>
          <w:rtl w:val="true"/>
        </w:rPr>
        <w:footnoteReference w:id="1385"/>
      </w:r>
      <w:r>
        <w:rPr>
          <w:rFonts w:ascii="Amiri" w:hAnsi="Amiri" w:eastAsia="Amiri" w:cs="Amiri"/>
          <w:color w:val="111111"/>
          <w:sz w:val="28"/>
          <w:sz w:val="28"/>
          <w:szCs w:val="28"/>
          <w:rtl w:val="true"/>
          <w:lang w:bidi="ar-SA"/>
        </w:rPr>
        <w:t>عليها ؟ لفوات شرط المسح على البشرة من طهارة المحلّ فيفوت المشروط، فلا يكون أقرب من وضع الخرقة والمسح عليها؛ لصيرورتها بدلاً عند عدم الإمكان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بين المسحين، وأحوط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التيمّم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نفس الجبيرة نجسةً، فالأقرب وجوب وضع خرقةٍ طاهرة عليها والمسح عليها؛ لانتقال حكم البشرة إليها، ولا يجوز المسح على النجس على الأظهر، طلباً للاحتياط، وخروجاً عن شبهة الخلاف، وتدانياً للأقرب إلى الحقيقة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استيعاب الجبيرة بالمسح؛ لصيرورتها بدلاً عن البشرة في الغسل، وللاحتياط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يجب استيعاب الثقوب والتجسّس عمّا يكون بين الخيوط والطرائق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المسح بالبلّة ولو كالدهن فلا يكفي الإمرار مع الجفاف؛ لعدم تبادره من النصّ والفتوى،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تخيّله بعض الأعلام</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إلى الغَسْل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إطلاقات المسح في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نيّة الغَسْل مطلقاً، كما أنّ الأحوط لزوم تخفيف الجبائر مهما أمكن؛ للاحتياط في القرب إلى البشرة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والعضو المريض إذا تضرّر بالغَسْل كالرمد وشبهه وجب الانتقال للتيمّم، وكذا الخائف من بردٍ وشبهه، وكذا لو كان الجرح في غير مواضع الطهارة ولكن تتضرّر منه أعضاء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الجبيرة عن محلّ الجرح والكسر على النحو المعتاد، فإن أمكن غَسْل الزائد من دون مشقّةٍ وجب، وإلّا مسح على الزائد والأحوط الجمع بينه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وضعت الجبيرة مع عدم الحاجة إليها ولكنّها شقّ رفعها بعد ذلك، جرى عليها الحكم، والأحوط الجمع بين المسح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التصق بمحالّ الوضوء ما لا يمكن رفعه من قير وشبهه، جرى عليه الحكم، والأحوط ضم التيمّم، سيّما لو كان الموضوع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 ذلك إعادة الصلاة بعد ذلك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على العضو نجاسة لا يمكن رفعها، كان الأحوط الجمع بين وضع جبيرةٍ والمسح عليها،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أمكنه رفع الجبيرة والمسح لزم عليه أن يجعل ما يمكن رفعه أو ما يمكن إيصال الماء إليه، فإن وضع باختياره ما لا يمكن، فالأحوط الجمع بين المسح والتيمّم، وإعادة الصلاة بعد ذلك أحوط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الجبيرة في مواضع الماسح، مسح بها؛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مَا جَعَلَ عَلَيْكُمْ فِي الدِّينِ مِنْ حَرَجٍ</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كانت في مواضع التيمم تيمّم عليها ماسحاً وممسوحاً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يمكنه المسح على الجبيرة خوفاً من الألم أو غير ذلك، احتُمل الاكتفاء بغَسْل ما حولها؛ للصحيح</w:t>
      </w:r>
      <w:r>
        <w:rPr>
          <w:rStyle w:val="FootnoteAnchor"/>
          <w:rtl w:val="true"/>
        </w:rPr>
        <w:footnoteReference w:id="1389"/>
      </w:r>
      <w:r>
        <w:rPr>
          <w:rFonts w:ascii="Amiri" w:hAnsi="Amiri" w:eastAsia="Amiri" w:cs="Amiri"/>
          <w:color w:val="111111"/>
          <w:sz w:val="28"/>
          <w:sz w:val="28"/>
          <w:szCs w:val="28"/>
          <w:rtl w:val="true"/>
          <w:lang w:bidi="ar-SA"/>
        </w:rPr>
        <w:t>الوارد بذلك بحمله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وجوب التيمّم، والجمع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كثير من الفروع على أنّ الأصل في غير ما انعقد على وجوب المسح عليه الإجماع، وصرّحت به الأخبار هل هو التيمّم؟ لأنّه الأصل في فقدان الطهارة الاختياريّة، أو هو الوضوء؛ لوجوب التوصّل إلى الغَسْل والمسح مهما أمكن كوضوء التقيّة، والأقطع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لقوّة دليله، وإن كان في الثاني قوّة، ولذلك كان الجمع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مورد الإجماع المنقول وفتوى المشهور هو وجوب المسح على الجبائر إذا وُضعت مع الحاجة وكانت طاهرةً ولم يمكن إيصالها للماء ولا إيصال الماء إليها، لزم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وخيال التخيير بين المسح عليها وغَسْل 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لقلّة القائل به، واستلزامه التخيير بين وجود الشيء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إليه؛ لعدم التعارض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ما لم يكن مورداً للإجماع والأخبار الصريحة من كسر وجرح مكشوفين لم يمكن غَسْلهما ولا مسحهما، فإنّ من الأدلّة ما يقضي بإجرائهما مجرى المستور</w:t>
      </w:r>
      <w:r>
        <w:rPr>
          <w:rStyle w:val="FootnoteAnchor"/>
          <w:rtl w:val="true"/>
        </w:rPr>
        <w:footnoteReference w:id="1390"/>
      </w:r>
      <w:r>
        <w:rPr>
          <w:rFonts w:ascii="Amiri" w:hAnsi="Amiri" w:eastAsia="Amiri" w:cs="Amiri"/>
          <w:color w:val="111111"/>
          <w:sz w:val="28"/>
          <w:sz w:val="28"/>
          <w:szCs w:val="28"/>
          <w:rtl w:val="true"/>
          <w:lang w:bidi="ar-SA"/>
        </w:rPr>
        <w:t>، ومن الأدلّة ما يقضي بكفاية غَسْل ما حولهما</w:t>
      </w:r>
      <w:r>
        <w:rPr>
          <w:rStyle w:val="FootnoteAnchor"/>
          <w:rtl w:val="true"/>
        </w:rPr>
        <w:footnoteReference w:id="1391"/>
      </w:r>
      <w:r>
        <w:rPr>
          <w:rFonts w:ascii="Amiri" w:hAnsi="Amiri" w:eastAsia="Amiri" w:cs="Amiri"/>
          <w:color w:val="111111"/>
          <w:sz w:val="28"/>
          <w:sz w:val="28"/>
          <w:szCs w:val="28"/>
          <w:rtl w:val="true"/>
          <w:lang w:bidi="ar-SA"/>
        </w:rPr>
        <w:t>، ومن الأدلّة ما يقضي فيه بإيجاب التيمّم</w:t>
      </w:r>
      <w:r>
        <w:rPr>
          <w:rStyle w:val="FootnoteAnchor"/>
          <w:rtl w:val="true"/>
        </w:rPr>
        <w:footnoteReference w:id="1392"/>
      </w:r>
      <w:r>
        <w:rPr>
          <w:rFonts w:ascii="Amiri" w:hAnsi="Amiri" w:eastAsia="Amiri" w:cs="Amiri"/>
          <w:color w:val="111111"/>
          <w:sz w:val="28"/>
          <w:sz w:val="28"/>
          <w:szCs w:val="28"/>
          <w:rtl w:val="true"/>
          <w:lang w:bidi="ar-SA"/>
        </w:rPr>
        <w:t>، وهي وإن وردت في الغُسل لكن لا فارق بين الطهارتين ممّن يعتدّ به، فيشكل فيها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بالتخيير أو تعيين التيمّم لا قائل به ممّن يعتدّ به في مقابلة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بأخبار غَسْل ما حوله قويّة لولا أنّها غير معارضة صريحاً لما دلّ على المسح على الجبائر، فيمكن الجمع بينهما؛ لتوقّف يقين البراءة عليه، ولفتوى جُلّ الأصحاب به، ولجَعْل الشارع الجبيرة بدلاً في الجملة عن البشرة، ولقربها إلى غَسْل المحلّ في الجملة، فيغسل ما حوله ويمسح عليه، فكان الأقوى وجوب المسح عليها، والأحوط الجمع بينه وبين التيمّم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الكسر والجرح المكشوفين الجبيرة النجسة، وما لم يمكن إمرار اليد عليه وغير ذلك ممّا ذكرناه، فإنّ الأحوط الجمع بينه وبين التيمّم</w:t>
      </w:r>
      <w:r>
        <w:rPr>
          <w:rFonts w:eastAsia="Amiri" w:cs="Amiri" w:ascii="Amiri" w:hAnsi="Amiri"/>
          <w:color w:val="111111"/>
          <w:sz w:val="28"/>
          <w:szCs w:val="28"/>
          <w:rtl w:val="true"/>
          <w:lang w:bidi="ar-SA"/>
        </w:rPr>
        <w:t xml:space="preserve">. </w:t>
      </w:r>
      <w:bookmarkStart w:id="803" w:name="pg18988_203424"/>
    </w:p>
    <w:p>
      <w:pPr>
        <w:pStyle w:val="BookText"/>
        <w:rPr/>
      </w:pPr>
      <w:bookmarkEnd w:id="803"/>
      <w:r>
        <w:rPr>
          <w:rFonts w:ascii="Amiri" w:hAnsi="Amiri" w:eastAsia="Amiri" w:cs="Amiri"/>
          <w:color w:val="111111"/>
          <w:sz w:val="28"/>
          <w:sz w:val="28"/>
          <w:szCs w:val="28"/>
          <w:rtl w:val="true"/>
          <w:lang w:bidi="ar-SA"/>
        </w:rPr>
        <w:t>وبالجملة، فالصور في المقام تنتهي إلى ستين صورة، وفي أكثرها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ما في المحلّ إمّا أن يكون كسراً أو غيره، وعلى كلّ حال فإمّا أن يكون مشدوداً أو مكشوفاً، وعلى كلّ حال فإمّا أن يستوعب العضو أم لا، وعلى كلّ حال فإمّا أن يكون في مكان الغَسْل أو المسح، وعلى الأخير فإمّا أن تكون على الماسح أو الممسوح، والمشدود إمّا أن يمكن نزعه أم لا، والثاني إمّا أن يمكن إيصال الماء إليه أم لا، والشدّ إمّا أن يكون ظاهراً أم لا، والثاني إمّا أن يمكن تطهيره أو وضع طاهر عليه أم لا، والمكشوف إمّا أن يمكن مسحه أم لا، والأوّل إمّا أن يكون طاهراً أو لا، والثاني إمّا أن يمكن وضع شيء عليه أم لا، إلى غير ذلك من الصور للمتأمّل</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3197973_1280447820"/>
      <w:bookmarkStart w:id="805" w:name="_Toc313"/>
      <w:bookmarkEnd w:id="804"/>
      <w:r>
        <w:rPr>
          <w:rtl w:val="true"/>
        </w:rPr>
        <w:t>ثامنها</w:t>
      </w:r>
      <w:r>
        <w:rPr>
          <w:rtl w:val="true"/>
        </w:rPr>
        <w:t xml:space="preserve">: </w:t>
      </w:r>
      <w:r>
        <w:rPr>
          <w:rtl w:val="true"/>
        </w:rPr>
        <w:t>هل یشترط طهارۀ محالّ الوضوء قبل غَسْلها؟</w:t>
      </w:r>
      <w:bookmarkEnd w:id="805"/>
    </w:p>
    <w:p>
      <w:pPr>
        <w:pStyle w:val="BookText"/>
        <w:rPr/>
      </w:pPr>
      <w:r>
        <w:rPr>
          <w:rFonts w:ascii="Amiri" w:hAnsi="Amiri" w:eastAsia="Amiri" w:cs="Amiri"/>
          <w:color w:val="111111"/>
          <w:sz w:val="28"/>
          <w:sz w:val="28"/>
          <w:szCs w:val="28"/>
          <w:rtl w:val="true"/>
          <w:lang w:bidi="ar-SA"/>
        </w:rPr>
        <w:t>يقوى القول بعدم اشتراط طهارة محالّ الوضوء قبل غَسْلها، فيجوز أن يرفع الغَسْل الواحد الخبث والحدث معاً ما لم يتنجّس الماء، كما إذا كان قليلاً، بل يجوز أن يرفع الغَسْل بالماء الحدث وإن بقي الخبث، كما إذا غسل العضو في كُرٍّ وكان نجساً ببولٍ، وقلنا باحتياج البول للمرّتين حتّى في الكُرّ ونوى رفع الحدث بغَسْله الأوّل، فإنّه لا يبعد القول بصحّة الوضوء ما لم يستلزم المسح بماءٍ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المحلّ، وعدم الاجتزاء بغَسْلٍ واحد للحدث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الاحتياط في الصورة الأخيرة؛ لاستبعاد ارتفاع الحدث وبقاء ما هو أغلظ منه على نفس العضو حال غَسْله، والشكّ فيه من المعتبر، فالاحتياط فيه لازم</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3197975_1280447820"/>
      <w:bookmarkStart w:id="807" w:name="_Toc314"/>
      <w:bookmarkEnd w:id="806"/>
      <w:r>
        <w:rPr>
          <w:rtl w:val="true"/>
        </w:rPr>
        <w:t>تاسعها</w:t>
      </w:r>
      <w:r>
        <w:rPr>
          <w:rtl w:val="true"/>
        </w:rPr>
        <w:t xml:space="preserve">: </w:t>
      </w:r>
      <w:r>
        <w:rPr>
          <w:rtl w:val="true"/>
        </w:rPr>
        <w:t>مَنْ كان مستديم الحدث</w:t>
      </w:r>
      <w:bookmarkEnd w:id="8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مستديم الحدث من بولٍ أو غائط أو ريح أو نوم أو استحاضة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مستديم الحدث الأكبر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حدثه متّصلاً، ليس له فترة تسع طهارته وصلاته ولا طهارته فقط ولا صلاته فقط، وجبت عليه الصلاة قطعاً، ولا يكون كفاقد الطهورين، ولا ينتقل إلى التيمّم قطعاً، بل يجب عليه الوضوء في الجملة، ووضع خريطة لحفظ ثيابه وصون بدنه و ثيابه عن انتشار النجاسة؛ لأنّ تقليل الخبث مهما أمكن أولى؛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وللاحتياط، وللأخبار</w:t>
      </w:r>
      <w:r>
        <w:rPr>
          <w:rStyle w:val="FootnoteAnchor"/>
          <w:rtl w:val="true"/>
        </w:rPr>
        <w:footnoteReference w:id="1394"/>
      </w:r>
      <w:r>
        <w:rPr>
          <w:rFonts w:ascii="Amiri" w:hAnsi="Amiri" w:eastAsia="Amiri" w:cs="Amiri"/>
          <w:color w:val="111111"/>
          <w:sz w:val="28"/>
          <w:sz w:val="28"/>
          <w:szCs w:val="28"/>
          <w:rtl w:val="true"/>
          <w:lang w:bidi="ar-SA"/>
        </w:rPr>
        <w:t>الآمرة بوضع الخريطة، المعتبرة نقلاً</w:t>
      </w:r>
      <w:r>
        <w:rPr>
          <w:rStyle w:val="FootnoteAnchor"/>
          <w:rtl w:val="true"/>
        </w:rPr>
        <w:footnoteReference w:id="1395"/>
      </w:r>
      <w:r>
        <w:rPr>
          <w:rFonts w:ascii="Amiri" w:hAnsi="Amiri" w:eastAsia="Amiri" w:cs="Amiri"/>
          <w:color w:val="111111"/>
          <w:sz w:val="28"/>
          <w:sz w:val="28"/>
          <w:szCs w:val="28"/>
          <w:rtl w:val="true"/>
          <w:lang w:bidi="ar-SA"/>
        </w:rPr>
        <w:t>، والمنجبرة بفتوى الأصحاب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هل يجب عليه وضوء واحد ولو صلّى به جميع الصلوات ومرّت عليه جملة من الأوقات؟ استناداً للعمومات</w:t>
      </w:r>
      <w:r>
        <w:rPr>
          <w:rStyle w:val="FootnoteAnchor"/>
          <w:rtl w:val="true"/>
        </w:rPr>
        <w:footnoteReference w:id="1396"/>
      </w:r>
      <w:r>
        <w:rPr>
          <w:rFonts w:ascii="Amiri" w:hAnsi="Amiri" w:eastAsia="Amiri" w:cs="Amiri"/>
          <w:color w:val="111111"/>
          <w:sz w:val="28"/>
          <w:sz w:val="28"/>
          <w:szCs w:val="28"/>
          <w:rtl w:val="true"/>
          <w:lang w:bidi="ar-SA"/>
        </w:rPr>
        <w:t>الآمرة بالوضوء للصلاة، وقد حصل من دون أن يحصل ما ينقضه من حدثٍ آخَر، أو من انقطاع هذا وحدوثه، فالاستصحاب يقضي ببقاء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موثّقة سماعة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فليضع خريطة وليتوضّأ فليصلّ فإنّما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به، فلا يعيدنّ إلّا من الحدث الذي يتوضّأ منه</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وظاهره أنّ المراد بالحدث هو غير المستديم أو ما كان جارياً على نحو العادة بعد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يجب عليه لكلّ صلاة وضوء؟ اقتصاراً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اجتماع الوضوء مع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اليقين، واقتصاراً على جادّة الاحتياط بعد شغل الذمّة اليقيني، ووفاقاً لفتوى الأكثر</w:t>
      </w:r>
      <w:r>
        <w:rPr>
          <w:rStyle w:val="FootnoteAnchor"/>
          <w:rtl w:val="true"/>
        </w:rPr>
        <w:footnoteReference w:id="1398"/>
      </w:r>
      <w:r>
        <w:rPr>
          <w:rFonts w:ascii="Amiri" w:hAnsi="Amiri" w:eastAsia="Amiri" w:cs="Amiri"/>
          <w:color w:val="111111"/>
          <w:sz w:val="28"/>
          <w:sz w:val="28"/>
          <w:szCs w:val="28"/>
          <w:rtl w:val="true"/>
          <w:lang w:bidi="ar-SA"/>
        </w:rPr>
        <w:t>، وأخذاً بعموم الأمر بالوضوء لكلّ صلاة، خرج المتطهّر ويبقى الباقي،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يعيدنّ إلّا من الحدث الذي يتوضّأ منه </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فإنّه شامل لجميع الحدث، خرج المتقاطر في الأثناء ويبقى الباقي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يجب عليه الوضوء لصلاتي الظهر والعصر معاً يعجّل إحداهما ويؤخّر الأُخرى، وكذا المغرب والعشاء، وتختصّ صلاة الصبح بواحدٍ على حدة كباقي الصلوات الأُخَر من نوافل وقضاء وآيات؟ استناداً في الأوّل إلى صحيحة حريز، الآمرة بوضع الكيس فيه القطن ووضع الذكر فيه، والجمع بين صلاتي الظهر والعصر يؤخّر هذه ويعجل الأُخرى، وكذا المغرب والعشاء كلٌّ منهما بأذان وإقامتين، وكذلك يفعل في الصبح</w:t>
      </w:r>
      <w:r>
        <w:rPr>
          <w:rStyle w:val="FootnoteAnchor"/>
          <w:rtl w:val="true"/>
        </w:rPr>
        <w:footnoteReference w:id="1400"/>
      </w:r>
      <w:r>
        <w:rPr>
          <w:rFonts w:ascii="Amiri" w:hAnsi="Amiri" w:eastAsia="Amiri" w:cs="Amiri"/>
          <w:color w:val="111111"/>
          <w:sz w:val="28"/>
          <w:sz w:val="28"/>
          <w:szCs w:val="28"/>
          <w:rtl w:val="true"/>
          <w:lang w:bidi="ar-SA"/>
        </w:rPr>
        <w:t>، فإنّ الأمر بالجمع والتعجيل ظاهر في كفاية وضوءٍ واحد لهما، وفي الثاني إلى الاحتياط، وإلى أنّ بقاء الحدث منافٍ للوضوء، فيفعل ما هو المتيقّن لفراغ الذمّة، ولعموم الأمر بالوضوء لكلّ صلاة</w:t>
      </w:r>
      <w:r>
        <w:rPr>
          <w:rStyle w:val="FootnoteAnchor"/>
          <w:rtl w:val="true"/>
        </w:rPr>
        <w:footnoteReference w:id="1401"/>
      </w:r>
      <w:r>
        <w:rPr>
          <w:rFonts w:ascii="Amiri" w:hAnsi="Amiri" w:eastAsia="Amiri" w:cs="Amiri"/>
          <w:color w:val="111111"/>
          <w:sz w:val="28"/>
          <w:sz w:val="28"/>
          <w:szCs w:val="28"/>
          <w:rtl w:val="true"/>
          <w:lang w:bidi="ar-SA"/>
        </w:rPr>
        <w:t>، خرج المتطهّر بالإجماع فيبقى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في النظر هو الأول؛ لعموم أدلّة نفي العسر والحرج</w:t>
      </w:r>
      <w:r>
        <w:rPr>
          <w:rStyle w:val="FootnoteAnchor"/>
          <w:rtl w:val="true"/>
        </w:rPr>
        <w:footnoteReference w:id="1402"/>
      </w:r>
      <w:r>
        <w:rPr>
          <w:rFonts w:ascii="Amiri" w:hAnsi="Amiri" w:eastAsia="Amiri" w:cs="Amiri"/>
          <w:color w:val="111111"/>
          <w:sz w:val="28"/>
          <w:sz w:val="28"/>
          <w:szCs w:val="28"/>
          <w:rtl w:val="true"/>
          <w:lang w:bidi="ar-SA"/>
        </w:rPr>
        <w:t>، ولإطلاق كثير من الروايات</w:t>
      </w:r>
      <w:r>
        <w:rPr>
          <w:rStyle w:val="FootnoteAnchor"/>
          <w:rtl w:val="true"/>
        </w:rPr>
        <w:footnoteReference w:id="1403"/>
      </w:r>
      <w:r>
        <w:rPr>
          <w:rFonts w:ascii="Amiri" w:hAnsi="Amiri" w:eastAsia="Amiri" w:cs="Amiri"/>
          <w:color w:val="111111"/>
          <w:sz w:val="28"/>
          <w:sz w:val="28"/>
          <w:szCs w:val="28"/>
          <w:rtl w:val="true"/>
          <w:lang w:bidi="ar-SA"/>
        </w:rPr>
        <w:t>بالأمر بالوضوء، ولظهور إلغاء هذا الحدث من الشارع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ما عليه الأكثر، وعليه فتجب المبادرة العرفيّة لا الحكميّة، ويغتفر الأذان والإقامة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مستديم الحدث لو حصلت له فترة معلومة أو مظنونة ظنّاً قويّاً وجب عليه انتظارها إذا كانت تسع للصلاة والطهارة، مع احتمال عدم الوجوب؛ لتعلّق الخطاب بالمكلّف في كلّ جزءٍ من أجزاء الزمان، فيصحّ منه الامتثال بإيقاع الاختياريّ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أو يظنّ،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الانتظار عليه؛ للأصل، والاستصحاب، ولما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له فترة تسعهما، فإن وسعت الصلاة أخّر الصلاة إليها لتخفيف النجاسة فيها، وقدّم الوضوء مصاحباً للحدث؛ لأنّ تأثيره مع ارتفاعه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وسعت الوضوء جعلها في الصلاة أيضاً ولو في بعض منها، وقدّم الوضوء مقارناً للحدث، وكذا إن وسعت بعض الصلاة والوضوء، كما إذا انقطع الحدث في أثناء الصلاة، فإنّه في جميع هذه الصور يستمرّ على عمله إلّا في صورة ما إذا قارن وضوؤه الحدث وحصلت له فترة بعده طويلة بحيث تسع طهارته وصلاته، أو حصل بها البرء وكان ذلك معلوماً لديه، فإنّه يعيد ما فَعَل إذا كان معلوماً، ولو لم يكن ذلك معلوماً حتّى صلّى،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والأحوط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الفترة مقارنةً للوضوء ففاجأه بعدها الحدث، أعاد الوضوء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فاجأه في أثناء صلاته،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يتطهّر في أثنائها ويبني على ما تقدّم، سواء عرف عند ما فاجأه الحدث بأنّ له فترة تسع الطهارة والصلاة أم لا، ملازماً على تحصيل الشرائط مهما أمكن من استقبالٍ وسترٍ و عدم فعلٍ كثير وكلامٍ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 ذلك، فَعَل ما أمكنه، سوى الكلام وشبهه ممّا كان خارجاً عن لوازم التطهير، فإنّه مبطل على كلّ حال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فتوى الأكثر</w:t>
      </w:r>
      <w:r>
        <w:rPr>
          <w:rStyle w:val="FootnoteAnchor"/>
          <w:rtl w:val="true"/>
        </w:rPr>
        <w:footnoteReference w:id="1404"/>
      </w:r>
      <w:r>
        <w:rPr>
          <w:rFonts w:ascii="Amiri" w:hAnsi="Amiri" w:eastAsia="Amiri" w:cs="Amiri"/>
          <w:color w:val="111111"/>
          <w:sz w:val="28"/>
          <w:sz w:val="28"/>
          <w:szCs w:val="28"/>
          <w:rtl w:val="true"/>
          <w:lang w:bidi="ar-SA"/>
        </w:rPr>
        <w:t>من الأخيار وجملة من الأخبار الواردة في المبطون</w:t>
      </w:r>
      <w:r>
        <w:rPr>
          <w:rStyle w:val="FootnoteAnchor"/>
          <w:rtl w:val="true"/>
        </w:rPr>
        <w:footnoteReference w:id="14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فرق بينهما؛ لاتّحاد حدثهما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ويبني على صلاته</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يضرّ وجود عليّ بن أحمد البرقي وأبيه في السند</w:t>
      </w:r>
      <w:r>
        <w:rPr>
          <w:rStyle w:val="FootnoteAnchor"/>
          <w:rtl w:val="true"/>
        </w:rPr>
        <w:footnoteReference w:id="1407"/>
      </w:r>
      <w:r>
        <w:rPr>
          <w:rFonts w:ascii="Amiri" w:hAnsi="Amiri" w:eastAsia="Amiri" w:cs="Amiri"/>
          <w:color w:val="111111"/>
          <w:sz w:val="28"/>
          <w:sz w:val="28"/>
          <w:szCs w:val="28"/>
          <w:rtl w:val="true"/>
          <w:lang w:bidi="ar-SA"/>
        </w:rPr>
        <w:t>لأنّ وجودهما لاتّصال السلسلة، وإلّا فالكافي</w:t>
      </w:r>
      <w:r>
        <w:rPr>
          <w:rStyle w:val="FootnoteAnchor"/>
          <w:rtl w:val="true"/>
        </w:rPr>
        <w:footnoteReference w:id="1408"/>
      </w:r>
      <w:r>
        <w:rPr>
          <w:rFonts w:ascii="Amiri" w:hAnsi="Amiri" w:eastAsia="Amiri" w:cs="Amiri"/>
          <w:color w:val="111111"/>
          <w:sz w:val="28"/>
          <w:sz w:val="28"/>
          <w:szCs w:val="28"/>
          <w:rtl w:val="true"/>
          <w:lang w:bidi="ar-SA"/>
        </w:rPr>
        <w:t>ناقل عن الأصل نفسه، و هُما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ظاهرة في إرادة الوضوء في أثناء الصلاة لا الوضوء والبناء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الموثقة بابن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أجمعت العصابة على تصحيح ما يصحّ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ثمّ يرجع في صلاته ويتمّ ما بقي</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في مَنْ يجد غمزاً أو أذىً أو ضرباناً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ينصرف ويتوضّأ ويبنى على ما مضى من صلاته ما لم ينقض الصلاة بالكلام متعمّداً</w:t>
      </w:r>
      <w:r>
        <w:rPr>
          <w:rStyle w:val="FootnoteAnchor"/>
          <w:rtl w:val="true"/>
        </w:rPr>
        <w:footnoteReference w:id="1410"/>
      </w:r>
      <w:r>
        <w:rPr>
          <w:rFonts w:ascii="Amiri" w:hAnsi="Amiri" w:eastAsia="Amiri" w:cs="Amiri"/>
          <w:color w:val="111111"/>
          <w:sz w:val="28"/>
          <w:sz w:val="28"/>
          <w:szCs w:val="28"/>
          <w:rtl w:val="true"/>
          <w:lang w:bidi="ar-SA"/>
        </w:rPr>
        <w:t>، فإنّها شاملة للمبطون وغيره، خرج غيره بالإجماع وبقي هو داخلاً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خبر القمّاط الدالّ على من أصابه أذىً من البول في الركعة الأُولى أو الثانية أو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لقضائه ويبني على ما مضى من صلاته من الموضع الذي خرج منه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 xml:space="preserve">وجماعة </w:t>
      </w:r>
      <w:r>
        <w:rPr>
          <w:rStyle w:val="FootnoteAnchor"/>
          <w:rtl w:val="true"/>
        </w:rPr>
        <w:footnoteReference w:id="1413"/>
      </w:r>
      <w:r>
        <w:rPr>
          <w:rFonts w:ascii="Amiri" w:hAnsi="Amiri" w:eastAsia="Amiri" w:cs="Amiri"/>
          <w:color w:val="111111"/>
          <w:sz w:val="28"/>
          <w:sz w:val="28"/>
          <w:szCs w:val="28"/>
          <w:rtl w:val="true"/>
          <w:lang w:bidi="ar-SA"/>
        </w:rPr>
        <w:t>لم يوجبوا الوضوء والبناء؛ لأنّ ما يفجئه لو كان ناقضاً للطهارة لكان مبطلاً للصلاة، وللأصل، وللاحتياط عن الفعل الكثير من الوضوء ولوازمه، ولأنّه ربما يفتقر إلى تكريره فيخلّ بهيئة المصلّى، ولضعف دلالة الأخبار المتقدّمة؛ لاحتمال الأوّل ؟ الوضوء قبل الصلاة، والثاني</w:t>
      </w:r>
      <w:r>
        <w:rPr>
          <w:rStyle w:val="FootnoteAnchor"/>
          <w:rtl w:val="true"/>
        </w:rPr>
        <w:footnoteReference w:id="1414"/>
      </w:r>
      <w:r>
        <w:rPr>
          <w:rFonts w:ascii="Amiri" w:hAnsi="Amiri" w:eastAsia="Amiri" w:cs="Amiri"/>
          <w:color w:val="111111"/>
          <w:sz w:val="28"/>
          <w:sz w:val="28"/>
          <w:szCs w:val="28"/>
          <w:rtl w:val="true"/>
          <w:lang w:bidi="ar-SA"/>
        </w:rPr>
        <w:t>الوضوء لما بقي من صلاة أُخرى، والثالث</w:t>
      </w:r>
      <w:r>
        <w:rPr>
          <w:rStyle w:val="FootnoteAnchor"/>
          <w:rtl w:val="true"/>
        </w:rPr>
        <w:footnoteReference w:id="1415"/>
      </w:r>
      <w:r>
        <w:rPr>
          <w:rFonts w:ascii="Amiri" w:hAnsi="Amiri" w:eastAsia="Amiri" w:cs="Amiri"/>
          <w:color w:val="111111"/>
          <w:sz w:val="28"/>
          <w:sz w:val="28"/>
          <w:szCs w:val="28"/>
          <w:rtl w:val="true"/>
          <w:lang w:bidi="ar-SA"/>
        </w:rPr>
        <w:t xml:space="preserve">الوضوء لتلك </w:t>
      </w:r>
      <w:bookmarkStart w:id="808" w:name="pg18988_203428"/>
    </w:p>
    <w:p>
      <w:pPr>
        <w:pStyle w:val="BookText"/>
        <w:rPr/>
      </w:pPr>
      <w:bookmarkEnd w:id="808"/>
      <w:r>
        <w:rPr>
          <w:rFonts w:ascii="Amiri" w:hAnsi="Amiri" w:eastAsia="Amiri" w:cs="Amiri"/>
          <w:color w:val="111111"/>
          <w:sz w:val="28"/>
          <w:sz w:val="28"/>
          <w:szCs w:val="28"/>
          <w:rtl w:val="true"/>
          <w:lang w:bidi="ar-SA"/>
        </w:rPr>
        <w:t>الصلاة وإرادة أنّه يجد ذلك في صلاته، أي عند التهيّؤ لها والعزم عليها، وإرادة الماضية من الصلاة المأمور بها بالبناء عليها، وضعف الأخير</w:t>
      </w:r>
      <w:r>
        <w:rPr>
          <w:rStyle w:val="FootnoteAnchor"/>
          <w:rtl w:val="true"/>
        </w:rPr>
        <w:footnoteReference w:id="1416"/>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ما إذا فاجأه الحدث وكانت له فترة تسع الطهارة والصلاة، فإنّه هناك أوجب الاستئناف والإعادة من رأس ، كما نقل عن المختلف</w:t>
      </w:r>
      <w:r>
        <w:rPr>
          <w:rStyle w:val="FootnoteAnchor"/>
          <w:rtl w:val="true"/>
        </w:rPr>
        <w:footnoteReference w:id="1417"/>
      </w:r>
      <w:r>
        <w:rPr>
          <w:rFonts w:ascii="Amiri" w:hAnsi="Amiri" w:eastAsia="Amiri" w:cs="Amiri"/>
          <w:color w:val="111111"/>
          <w:sz w:val="28"/>
          <w:sz w:val="28"/>
          <w:szCs w:val="28"/>
          <w:rtl w:val="true"/>
          <w:lang w:bidi="ar-SA"/>
        </w:rPr>
        <w:t>لعموم الدليل،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هو الأقرب في المقامين والأوفق لعمومات الأدلّة والاحتياط،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ما مضى مطلقاً بمجرّد تسميته مبطوناً أو مسلوساً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أيضاً، سيّما في المبطون؛ لأنّه مورد الروايات وجملة من كلام الأصحاب</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3197977_1280447820"/>
      <w:bookmarkStart w:id="810" w:name="_Toc315"/>
      <w:bookmarkEnd w:id="809"/>
      <w:r>
        <w:rPr>
          <w:rtl w:val="true"/>
        </w:rPr>
        <w:t>عاشرها</w:t>
      </w:r>
      <w:r>
        <w:rPr>
          <w:rtl w:val="true"/>
        </w:rPr>
        <w:t xml:space="preserve">: </w:t>
      </w:r>
      <w:r>
        <w:rPr>
          <w:rtl w:val="true"/>
        </w:rPr>
        <w:t>لو تيقّن الطهارة وشكّ في الحدث، أو العكس</w:t>
      </w:r>
      <w:bookmarkEnd w:id="810"/>
    </w:p>
    <w:p>
      <w:pPr>
        <w:pStyle w:val="BookText"/>
        <w:rPr/>
      </w:pPr>
      <w:r>
        <w:rPr>
          <w:rFonts w:ascii="Amiri" w:hAnsi="Amiri" w:eastAsia="Amiri" w:cs="Amiri"/>
          <w:color w:val="111111"/>
          <w:sz w:val="28"/>
          <w:sz w:val="28"/>
          <w:szCs w:val="28"/>
          <w:rtl w:val="true"/>
          <w:lang w:bidi="ar-SA"/>
        </w:rPr>
        <w:t>لو تيقّن الطهارة وشكّ في الحدث، أو العكس، بنى على المتيقّن، ولا ينقض اليقين بالشكّ؛ للإجماع، والأخبار</w:t>
      </w:r>
      <w:r>
        <w:rPr>
          <w:rStyle w:val="FootnoteAnchor"/>
          <w:rtl w:val="true"/>
        </w:rPr>
        <w:footnoteReference w:id="1418"/>
      </w:r>
      <w:r>
        <w:rPr>
          <w:rFonts w:ascii="Amiri" w:hAnsi="Amiri" w:eastAsia="Amiri" w:cs="Amiri"/>
          <w:color w:val="111111"/>
          <w:sz w:val="28"/>
          <w:sz w:val="28"/>
          <w:szCs w:val="28"/>
          <w:rtl w:val="true"/>
          <w:lang w:bidi="ar-SA"/>
        </w:rPr>
        <w:t>الدالّة على ذلك والناهية عن الوضوء للمتوضّئ قبل يقين الحدث، الظاهرة في التحريم مطلقاً، ولكنّها مخصّصة بالوضوء التجديدي لمشروعيّته بعد يقين الطهارة، أو خاصّة بالوضوء المنويّ به رفع الحدث بعد يقين ارتفاعه كما يُفهم منها، أو في المنويّ به الوجوب دون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تجديد الوضوء 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لاحتمال وقوع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تجديده لاحتمال وقوع خلل فيه لا بأس به؛ لعوده إلى عدم اليقين بالوضوء السابق، ولكنّه أيضاً مع الانصراف أو الدخول في عملٍ آخَر لا يبعد أنّ الاحتياط بتجنّبه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هاهنا بعدم نقض اليقين بالشكّ ما يعمّ الظنّ إجماعاً ؛ لعدم ابتناء المسألة على مجرّد حجيّة الاستصحاب فقط كي يناقش في حجيّته مع طروء الظنّ بخلافه، أو مع عدم حصول الظنّ معه، بل على الظاهر من الأخبار؛ لاشتمالها على عدم جواز نقض اليقين إلّا بيقين آخَر، فيُحمل على ذلك لفظ الشكّ؛ لاستعماله فيما يشمل الظنّ كثيراً، وكذا على الظاهر من استقراء الأخبار وكلام الأصحاب في مقامات متعدّدة دالّة على أنّ حكم الظنّ حكم الشكّ، فلا شكّ بعد ذلك في المقام</w:t>
      </w:r>
      <w:r>
        <w:rPr>
          <w:rFonts w:eastAsia="Amiri" w:cs="Amiri" w:ascii="Amiri" w:hAnsi="Amiri"/>
          <w:color w:val="111111"/>
          <w:sz w:val="28"/>
          <w:szCs w:val="28"/>
          <w:rtl w:val="true"/>
          <w:lang w:bidi="ar-SA"/>
        </w:rPr>
        <w:t xml:space="preserve">. </w:t>
      </w:r>
      <w:bookmarkStart w:id="811" w:name="pg18988_203429"/>
    </w:p>
    <w:p>
      <w:pPr>
        <w:pStyle w:val="BookText"/>
        <w:rPr/>
      </w:pPr>
      <w:bookmarkEnd w:id="811"/>
      <w:r>
        <w:rPr>
          <w:rFonts w:ascii="Amiri" w:hAnsi="Amiri" w:eastAsia="Amiri" w:cs="Amiri"/>
          <w:color w:val="111111"/>
          <w:sz w:val="28"/>
          <w:sz w:val="28"/>
          <w:szCs w:val="28"/>
          <w:rtl w:val="true"/>
          <w:lang w:bidi="ar-SA"/>
        </w:rPr>
        <w:t>والمراد بعدم انتقاض اليقين بالشكّ هو عدم نقض اليقين المتعلّق بالشيء سابقاً بالشكّ الحاصل في زواله لاحقاً، فمورد اليقين والشكّ مختلف وإن وقعا في زمنٍ واحد، 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استشكله بعضهم من اجتماع اليقين والشكّ مع تضادّهما</w:t>
      </w:r>
      <w:r>
        <w:rPr>
          <w:rStyle w:val="FootnoteAnchor"/>
          <w:rtl w:val="true"/>
        </w:rPr>
        <w:footnoteReference w:id="1419"/>
      </w:r>
      <w:r>
        <w:rPr>
          <w:rFonts w:ascii="Amiri" w:hAnsi="Amiri" w:eastAsia="Amiri" w:cs="Amiri"/>
          <w:color w:val="111111"/>
          <w:sz w:val="28"/>
          <w:sz w:val="28"/>
          <w:szCs w:val="28"/>
          <w:rtl w:val="true"/>
          <w:lang w:bidi="ar-SA"/>
        </w:rPr>
        <w:t>، فهو من الإشكال في غير محلّه</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3197979_1280447820"/>
      <w:bookmarkStart w:id="813" w:name="_Toc316"/>
      <w:bookmarkEnd w:id="812"/>
      <w:r>
        <w:rPr>
          <w:rtl w:val="true"/>
        </w:rPr>
        <w:t>حادي عشرها</w:t>
      </w:r>
      <w:r>
        <w:rPr>
          <w:rtl w:val="true"/>
        </w:rPr>
        <w:t>:</w:t>
      </w:r>
      <w:r>
        <w:rPr>
          <w:rtl w:val="true"/>
        </w:rPr>
        <w:t>حکم ما لو تيقّن الطهارة والحدث وشكّ في السابق ولم يعلم التاريخ في أحدهما أو علم</w:t>
      </w:r>
      <w:bookmarkEnd w:id="813"/>
    </w:p>
    <w:p>
      <w:pPr>
        <w:pStyle w:val="BookText"/>
        <w:rPr/>
      </w:pPr>
      <w:r>
        <w:rPr>
          <w:rFonts w:ascii="Amiri" w:hAnsi="Amiri" w:eastAsia="Amiri" w:cs="Amiri"/>
          <w:color w:val="111111"/>
          <w:sz w:val="28"/>
          <w:sz w:val="28"/>
          <w:szCs w:val="28"/>
          <w:rtl w:val="true"/>
          <w:lang w:bidi="ar-SA"/>
        </w:rPr>
        <w:t>لو تيقّن الطهارة والحدث وشكّ في السابق ولم يعلم التاريخ في أحدهما، أعاد الطهارة؛ لتعارض الأصلين وتساقطهما، فيبقى وجوب الاحتياط في فراغ الذمّة سليماً عن المعارض، ولفتوى مشهور الأصحاب، وللرضوي</w:t>
      </w:r>
      <w:r>
        <w:rPr>
          <w:rStyle w:val="FootnoteAnchor"/>
          <w:rtl w:val="true"/>
        </w:rPr>
        <w:footnoteReference w:id="1420"/>
      </w:r>
      <w:r>
        <w:rPr>
          <w:rFonts w:ascii="Amiri" w:hAnsi="Amiri" w:eastAsia="Amiri" w:cs="Amiri"/>
          <w:color w:val="111111"/>
          <w:sz w:val="28"/>
          <w:sz w:val="28"/>
          <w:szCs w:val="28"/>
          <w:rtl w:val="true"/>
          <w:lang w:bidi="ar-SA"/>
        </w:rPr>
        <w:t>المنجبر بفتواهم الدالّ على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عن إحداث وضوء لمن تيقّن أنّه توضّاً </w:t>
      </w:r>
      <w:r>
        <w:rPr>
          <w:rStyle w:val="FootnoteAnchor"/>
          <w:rtl w:val="true"/>
        </w:rPr>
        <w:footnoteReference w:id="1421"/>
      </w:r>
      <w:r>
        <w:rPr>
          <w:rFonts w:ascii="Amiri" w:hAnsi="Amiri" w:eastAsia="Amiri" w:cs="Amiri"/>
          <w:color w:val="111111"/>
          <w:sz w:val="28"/>
          <w:sz w:val="28"/>
          <w:szCs w:val="28"/>
          <w:rtl w:val="true"/>
          <w:lang w:bidi="ar-SA"/>
        </w:rPr>
        <w:t>ظاهر في غير هذه الصورة؛ لحصول اليقين في الحدث فيها في الجملة، فلا تدخل تحت الخبر ، فلا يصلح أن يكون ردّاً على مَنْ أوجب الوضوء، كما لا يصلح أن يكون ورود عمومات الوضوء في المحدثين ردّاً عليه من جهة عدم تيقّن حدثه؛ لأنّ هذا متيقّن الحدث فتشمله العمومات، ويقين الطهارة لا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تاريخ أحدهما ، أخذ بالمجهول ؛ لأصالة تأخّره في نفسه إلى حالة العلم من غير معارضٍ، سوى إطلاق الخبر وكلام الأصحاب، و هُما ظاهران في مجهولي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أنّه إن علم حاله السابق أخذ بمثله، والمحقّق إلى أنّه إن علمه أخذ بضدّه، وإن جهل السابق تطهّر على كلا القولين</w:t>
      </w:r>
      <w:r>
        <w:rPr>
          <w:rStyle w:val="FootnoteAnchor"/>
          <w:rtl w:val="true"/>
        </w:rPr>
        <w:footnoteReference w:id="1422"/>
      </w:r>
      <w:r>
        <w:rPr>
          <w:rFonts w:ascii="Amiri" w:hAnsi="Amiri" w:eastAsia="Amiri" w:cs="Amiri"/>
          <w:color w:val="111111"/>
          <w:sz w:val="28"/>
          <w:sz w:val="28"/>
          <w:szCs w:val="28"/>
          <w:rtl w:val="true"/>
          <w:lang w:bidi="ar-SA"/>
        </w:rPr>
        <w:t>استناداً في الأوّل إلى أنّه إن علم السابق بلا فصل فهو عالم بأنّه على مثله، وإن علمه بفصل أو احتمال فصل فإن كان الطهارة فقد علم بانتقاضها وارتفاع ناقضها وهو شاكّ في انتقاض الرافع، وإن كان الحدث فقد علم ارتفاعه وانتقاض رافعه وهو شاكّ في ارتفاع الناقض، واستناداً في الثاني إلى أنّ المعلوم سابقاً إن كان الطهارة فقد علم بانتقاضها وشكّ في ارتفاع الناقض، وإن كان الحدث فقد علم ارتفاعه وشكّ في انتقاض الرافع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ضعيفان؛ وذلك لأنّه على الأوّل إن علم اتّحاد طهارته وحدثه وأنّ الطهارة رافعة والحدث ناقض وعلم سبق طهارة قبلهما، فذلك من المعلوم كونه على طهارة، وكذا لو علم حدثاً قبلهما، فإنّه من المعلوم أنّه على حدثٍ وهو خارج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ذلك، </w:t>
      </w:r>
      <w:bookmarkStart w:id="814" w:name="pg18988_203430"/>
    </w:p>
    <w:p>
      <w:pPr>
        <w:pStyle w:val="BookText"/>
        <w:rPr/>
      </w:pPr>
      <w:bookmarkEnd w:id="814"/>
      <w:r>
        <w:rPr>
          <w:rFonts w:ascii="Amiri" w:hAnsi="Amiri" w:eastAsia="Amiri" w:cs="Amiri"/>
          <w:color w:val="111111"/>
          <w:sz w:val="28"/>
          <w:sz w:val="28"/>
          <w:szCs w:val="28"/>
          <w:rtl w:val="true"/>
          <w:lang w:bidi="ar-SA"/>
        </w:rPr>
        <w:t>فقد علم بالخروج عن الحالة السابقة إلى ضدّها، فلا معنى لاستصحابها، ولجواز توالي الطهارتين فيكون الحدث بعدهما، أو الحدثين فتكون الطهارة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الثاني ؛ لأنّه إن علم توالي اللاحقين من جنس واحد وتقدّم ما خالفهما، فهو كلام في وجوب الأخذ بالضدّ، ويخرج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كان الانتقاض بالضدّ مسلَّماً، إلّا أنّ ورود ضدّ الضد أيضاً محقّق، وارتفاعه غير معلومٍ؛ لجواز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إن كان على الطهارة فقد علم نقضها بالحدث وشكّ في ارتفاعه لجواز تعاقب الطهارتين، وإن كان على الحدث فقد علم ارتفاعه بها وشكّ في انتقاضها؛ لجواز تعاقب الحدثين، مدفوعة بأنّ المتيقّن حينئذٍ ارتفاع السابق منهما، أمّا اللاحق المتيقّن فلا، وجواز تعاقبه لمثله مكافئ لتأخّره عن ضدّه، ولا مرجّح</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3197981_1280447820"/>
      <w:bookmarkStart w:id="816" w:name="_Toc317"/>
      <w:bookmarkEnd w:id="815"/>
      <w:r>
        <w:rPr>
          <w:rtl w:val="true"/>
        </w:rPr>
        <w:t>ثاني عشرها</w:t>
      </w:r>
      <w:r>
        <w:rPr>
          <w:rtl w:val="true"/>
        </w:rPr>
        <w:t>:</w:t>
      </w:r>
      <w:r>
        <w:rPr>
          <w:rtl w:val="true"/>
        </w:rPr>
        <w:t>حکم ما لو شكّ في شيء من أفعال الوضوء غَسْلاً أو مسحاً أو نيّةٌ</w:t>
      </w:r>
      <w:bookmarkEnd w:id="816"/>
    </w:p>
    <w:p>
      <w:pPr>
        <w:pStyle w:val="BookText"/>
        <w:rPr/>
      </w:pPr>
      <w:r>
        <w:rPr>
          <w:rFonts w:ascii="Amiri" w:hAnsi="Amiri" w:eastAsia="Amiri" w:cs="Amiri"/>
          <w:color w:val="111111"/>
          <w:sz w:val="28"/>
          <w:sz w:val="28"/>
          <w:szCs w:val="28"/>
          <w:rtl w:val="true"/>
          <w:lang w:bidi="ar-SA"/>
        </w:rPr>
        <w:t>لو شكّ في شيء من أفعال الوضوء غَسْلاً أو مسحاً أو نيّةٌ، وجب عليه الإعادة على المشكوك به والإتيان بما بعده لو وقع بعده ما بعده إن بقيت الموالاة بين المشكوك به وما قبله، وإن فاتت بطل الوضوء، فالوضوء كلّه بمنزلة عملٍواحد، لا يبطل الشكّ في أحدها الدخول فيما بعده؛ للاحتياط، وأصالة عدم الإتيان بالمشكوك، وللإجماع المنقول</w:t>
      </w:r>
      <w:r>
        <w:rPr>
          <w:rStyle w:val="FootnoteAnchor"/>
          <w:rtl w:val="true"/>
        </w:rPr>
        <w:footnoteReference w:id="1423"/>
      </w:r>
      <w:r>
        <w:rPr>
          <w:rFonts w:ascii="IRNazanin" w:hAnsi="IRNazanin" w:eastAsia="IRNazanin"/>
          <w:color w:val="111111"/>
          <w:sz w:val="28"/>
          <w:sz w:val="28"/>
          <w:szCs w:val="28"/>
          <w:rtl w:val="true"/>
          <w:lang w:bidi="fa-IR"/>
        </w:rPr>
        <w:t>، ولفتوى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وللرواية المرويّة بالطرق المعتبرة من الصحيح 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قاعداً على وضوئك ولم تدر غسلت ذراعيك أم لا ، فأعد عليهما وعلى جميع ما شككت فيه أنّك لم تغسله أو تمسحه ممّا سمّى الله ما دمت في حال الوضوء، فإذا قمت من الوضوء وفرغت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إلى حال أُخرى في الصلاة فشككت في بعض ما سمّى الله مما أوجب الله عليك فيه وضوء، فلا شيء عليك</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يخصّ عموم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خرجت من شيء ودخلت في غيره فشكّك ليس بشيء</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مع احتمال هذا الأخير إعادة الضمير للوضوء، فيدلّ بمفهومه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بالحال الموجب للإعادة على المشكوك هو حال التشاغل به؟ فلو وجد نفسه فارغاً غير متشاغلٍ لا يلتفت وإن بقي في محلّه؛ لظاهر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قاعداً على وضوئك</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وينزّل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قمت من الوضوء وفرغت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إلى حال أُخرى</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على الغالب، فيلغى مفهومه، ولأنّ الأخبار دلّت على عدم الإتيان بالمشكوك به عند الفراغ منه، خرج المقطوع به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ولحسنة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ولفتوى مشهور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حال البقاء في موضع وضوئه ما لم ينتقل منه إلى مكانٍ آخَر أو يتلبّس بعملٍ آخَر ؟</w:t>
      </w:r>
    </w:p>
    <w:p>
      <w:pPr>
        <w:pStyle w:val="BookText"/>
        <w:rPr/>
      </w:pPr>
      <w:r>
        <w:rPr>
          <w:rFonts w:ascii="Amiri" w:hAnsi="Amiri" w:eastAsia="Amiri" w:cs="Amiri"/>
          <w:color w:val="111111"/>
          <w:sz w:val="28"/>
          <w:sz w:val="28"/>
          <w:szCs w:val="28"/>
          <w:rtl w:val="true"/>
          <w:lang w:bidi="ar-SA"/>
        </w:rPr>
        <w:t>وألحق بهما الشهيد</w:t>
      </w:r>
      <w:r>
        <w:rPr>
          <w:rStyle w:val="FootnoteAnchor"/>
          <w:rtl w:val="true"/>
        </w:rPr>
        <w:footnoteReference w:id="1432"/>
      </w:r>
      <w:r>
        <w:rPr>
          <w:rFonts w:ascii="Amiri" w:hAnsi="Amiri" w:eastAsia="Amiri" w:cs="Amiri"/>
          <w:color w:val="111111"/>
          <w:sz w:val="28"/>
          <w:sz w:val="28"/>
          <w:szCs w:val="28"/>
          <w:rtl w:val="true"/>
          <w:lang w:bidi="ar-SA"/>
        </w:rPr>
        <w:t>الجلوسَ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 مقام الانتقال تقديراً، أخذاً بمفهوم الرواية المتقدّمة، المعتضدة بالأخبار الدالّة على توقّف إلغاء الشكّ على الدخول في الغير، الظاهرة في الدخول في عملٍ آخَر، وللأصل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لعدم مقاومة المفهوم للأدلّة المتقدّمة، واعتضاده بأخبار اشتراط الدخول في غيره ضعيف أيضاً؛ لورود ذلك مورد الغالب أيضاً من أنّ الفارغ من عملٍ يدخل في غيره، أو يراد بالمغايرة المغايرة الحقيقيّة، وهي حاصلة بعد الفراغ؛ لعدم انفكاك الإنسان عن عملٍ، ولأنّ الأصل مقطوع، والاحتياط مقلوب؛ لأدائه إلى المسح بالماء الجديد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المسح ولو على الرِّجْل الأخيرة بعد وجدان المتوضّئ نفسه فارغاً غير متشاغلٍ لا يلتفت إليه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تداركه؛ لشبهة بقاء محلّه، كما ذكره بعض الأصحاب</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817" w:name="pg18988_203432"/>
    </w:p>
    <w:p>
      <w:pPr>
        <w:pStyle w:val="BookText"/>
        <w:rPr/>
      </w:pPr>
      <w:bookmarkEnd w:id="817"/>
      <w:r>
        <w:rPr>
          <w:rFonts w:ascii="Amiri" w:hAnsi="Amiri" w:eastAsia="Amiri" w:cs="Amiri"/>
          <w:color w:val="111111"/>
          <w:sz w:val="28"/>
          <w:sz w:val="28"/>
          <w:szCs w:val="28"/>
          <w:rtl w:val="true"/>
          <w:lang w:bidi="ar-SA"/>
        </w:rPr>
        <w:t>كما أنّ الظاهر أنّ وجوب الإعادة إنّما يتعلّق بالشكّ بالأجزاء أو بالأوصاف الواجبة من ترتيبٍ وشبهه، أو برفع المانع المعلوم وجوده حين الوضوء وتخليله، أو بمانعيّة شيء كان موجوداً حال الوضوء فشكّ في ما 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المتعلّق بوجود المانع أو بعروضه أو بعروض الحدث أو الرياء أو شبههما ، ويلحق بهما الشكّ بالجفاف وعدمه</w:t>
      </w:r>
      <w:r>
        <w:rPr>
          <w:rStyle w:val="FootnoteAnchor"/>
          <w:rtl w:val="true"/>
        </w:rPr>
        <w:footnoteReference w:id="1434"/>
      </w:r>
      <w:r>
        <w:rPr>
          <w:rFonts w:ascii="Amiri" w:hAnsi="Amiri" w:eastAsia="Amiri" w:cs="Amiri"/>
          <w:color w:val="111111"/>
          <w:sz w:val="28"/>
          <w:sz w:val="28"/>
          <w:szCs w:val="28"/>
          <w:rtl w:val="true"/>
          <w:lang w:bidi="ar-SA"/>
        </w:rPr>
        <w:t>للاستصحاب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الجفاف وعدمه عند المسح ، تعارض استصحاب بقاء الرطوبة وأصالة عدم وصول الماء إلى الممسوح، والاحتياط يقضي بالثاني، وفي الأول قوّة</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3197983_1280447820"/>
      <w:bookmarkStart w:id="819" w:name="_Toc318"/>
      <w:bookmarkEnd w:id="818"/>
      <w:r>
        <w:rPr>
          <w:rtl w:val="true"/>
        </w:rPr>
        <w:t>ثالث عشرها</w:t>
      </w:r>
      <w:r>
        <w:rPr>
          <w:rtl w:val="true"/>
        </w:rPr>
        <w:t>:</w:t>
      </w:r>
      <w:r>
        <w:rPr>
          <w:rtl w:val="true"/>
        </w:rPr>
        <w:t>حکم ما لو شكّ في أصل الوضوء وقد دخل في عملٍ مشروط به</w:t>
      </w:r>
      <w:bookmarkEnd w:id="819"/>
    </w:p>
    <w:p>
      <w:pPr>
        <w:pStyle w:val="BookText"/>
        <w:rPr/>
      </w:pPr>
      <w:r>
        <w:rPr>
          <w:rFonts w:ascii="Amiri" w:hAnsi="Amiri" w:eastAsia="Amiri" w:cs="Amiri"/>
          <w:color w:val="111111"/>
          <w:sz w:val="28"/>
          <w:sz w:val="28"/>
          <w:szCs w:val="28"/>
          <w:rtl w:val="true"/>
          <w:lang w:bidi="ar-SA"/>
        </w:rPr>
        <w:t>لو شكّ في أصل الوضوء وقد دخل في عملٍ مشروط به فالظاهر البناء على فعله وصحّة عمله سيّما فيما يحرم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يبني على وقوعه واقعاً فيستبيح به كلّ عملٍ مشروط به،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لظهور الأخبار في تنزيل المشكوك به بعد الدخول في غيره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اقتصاراً في التنزيل على تصحيح العمل المتلبّس به أو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الشكّ لا يلتفت إلى شكّه إذا صدق عليه في العرف ذلك؛لفتوى الأصحاب،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فإنّ الشيطان خبيث معتادٌ لما عوّد</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فإنّه عامّ من حيث التعليل وإن كان وروده في الصلاة، وقوله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الوارد في مَن ابتلي بوضوئه وصلاته، والظاهر أنّ الابتلاء لكثرة شكّه،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سئل عنه لِم تفعل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الشيطان</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وللزوم العسر والحرج لولا إلغاء حكم كثرة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قدرته على العلم من نصب علائم وشهود على ما فعل، وبين عدمه؛ لعموم الدليل</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3197985_1280447820"/>
      <w:bookmarkStart w:id="821" w:name="_Toc319"/>
      <w:bookmarkEnd w:id="820"/>
      <w:r>
        <w:rPr>
          <w:rtl w:val="true"/>
        </w:rPr>
        <w:t>رابع عشرها</w:t>
      </w:r>
      <w:r>
        <w:rPr>
          <w:rtl w:val="true"/>
        </w:rPr>
        <w:t xml:space="preserve">: </w:t>
      </w:r>
      <w:r>
        <w:rPr>
          <w:rtl w:val="true"/>
        </w:rPr>
        <w:t>حكم الظنّ كحكم الشكّ</w:t>
      </w:r>
      <w:bookmarkEnd w:id="82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الظنّ كحكم الشكّ هاهنا، فكثرته إن تعلّقت بالمفسد لا تعتبر، وإن تعلّقت بالمصحّح بني عليه، وغير الكثير منه إن تعلّق بالوجود أو تعلّق بالعدم وكان في الأجزاء وهو على محلّه، أتى به ما لم يعلم الإتيان به، وإن فرغ من الوضوء، لم يلتفت إلى الظنّ بالعدم، كلّ ذلك لظاهر الفتاوى، ولفهم إرادة ما يعمّ الظنّ من لفظ الشكّ في الأخبار</w:t>
      </w:r>
      <w:r>
        <w:rPr>
          <w:rFonts w:eastAsia="Amiri" w:cs="Amiri" w:ascii="Amiri" w:hAnsi="Amiri"/>
          <w:color w:val="111111"/>
          <w:sz w:val="28"/>
          <w:szCs w:val="28"/>
          <w:rtl w:val="true"/>
          <w:lang w:bidi="ar-SA"/>
        </w:rPr>
        <w:t xml:space="preserve">. </w:t>
      </w:r>
      <w:bookmarkStart w:id="822" w:name="pg18988_203433"/>
    </w:p>
    <w:p>
      <w:pPr>
        <w:pStyle w:val="BookText"/>
        <w:rPr/>
      </w:pPr>
      <w:bookmarkEnd w:id="822"/>
      <w:r>
        <w:rPr>
          <w:rFonts w:ascii="Amiri" w:hAnsi="Amiri" w:eastAsia="Amiri" w:cs="Amiri"/>
          <w:color w:val="111111"/>
          <w:sz w:val="28"/>
          <w:sz w:val="28"/>
          <w:szCs w:val="28"/>
          <w:rtl w:val="true"/>
          <w:lang w:bidi="ar-SA"/>
        </w:rPr>
        <w:t>والظاهر أنّ العود على المشكوك فيه أو المظنون بوقوعه أو المظنون بعدمه جائز وإن احتمل البدعة، وكان مستحبّاً، كالغسلة الثانية لاحتمال أنّها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أنّها ثالثة، ففي الاجتزاء بالمسح من بلّتها؛ لحكم الشارع بها، وعدمه؛ لكونها ليست من أجزاء الوضوء واقعاً، نظر وتأمّل، والأحوط الأخير</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3197987_1280447820"/>
      <w:bookmarkStart w:id="824" w:name="_Toc320"/>
      <w:bookmarkEnd w:id="823"/>
      <w:r>
        <w:rPr>
          <w:rtl w:val="true"/>
        </w:rPr>
        <w:t>خامس عشرها</w:t>
      </w:r>
      <w:r>
        <w:rPr>
          <w:rtl w:val="true"/>
        </w:rPr>
        <w:t>:</w:t>
      </w:r>
      <w:r>
        <w:rPr>
          <w:rtl w:val="true"/>
        </w:rPr>
        <w:t>فی انّ الأصل في الطهارة تقديم الماء على التراب</w:t>
      </w:r>
      <w:bookmarkEnd w:id="824"/>
    </w:p>
    <w:p>
      <w:pPr>
        <w:pStyle w:val="BookText"/>
        <w:rPr/>
      </w:pPr>
      <w:r>
        <w:rPr>
          <w:rFonts w:ascii="Amiri" w:hAnsi="Amiri" w:eastAsia="Amiri" w:cs="Amiri"/>
          <w:color w:val="111111"/>
          <w:sz w:val="28"/>
          <w:sz w:val="28"/>
          <w:szCs w:val="28"/>
          <w:rtl w:val="true"/>
          <w:lang w:bidi="ar-SA"/>
        </w:rPr>
        <w:t>الأصل في الطهارة تقديم الماء على التراب مهما أمكن؛ لأنّه المأمور به عند وجوده، فالوضوء الاضطراريّ كوضوء مَنْ يلزم من وضوئه الجفاف، ووضوء مَنْ يلزم من وضوئه استئناف ماءٍ جديد للمسح، ووضوء مَنْ يعجز عن مباشرة الوضوء بنفسه، و وضوء مَنْ كانت على عضوه جبائر أو ما لا يمكنه رفعه أو كان عضوه نجساً، ووضوء الأقطع، ووضوء التقيّة من غَسْلٍ مكان مسح أو مسح على الخُفّ و شبهه، كلّه مقدّم على التيمّم، وإن كان الأحوط الجمع في غير ما نطقت به الروايات أو انعقد عليه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في التقيّة على تقيّة أهل الخلاف دون غيرهم في صحّة العمل وإن وجب الاتّقاء من غيرهم أيضاً، والاقتصار فيها على العمل بمذهبهم، دون ماکان به الخلاص من الخوف وإن لم يكن موافقاً لمذهبهم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الاقتصار على ما قرب لمذهبنا دون غيره، والاقتصار على عدم المندوحة من العامل بالخروج إلى غير ذلك المحلّ أو تأخير الصلاة وشبهها، فإن أمكنه ذلك كان الأحوط له ترك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438"/>
      </w:r>
      <w:r>
        <w:rPr>
          <w:rFonts w:ascii="Amiri" w:hAnsi="Amiri" w:eastAsia="Amiri" w:cs="Amiri"/>
          <w:color w:val="111111"/>
          <w:sz w:val="28"/>
          <w:sz w:val="28"/>
          <w:szCs w:val="28"/>
          <w:rtl w:val="true"/>
          <w:lang w:bidi="ar-SA"/>
        </w:rPr>
        <w:t>إلى المنع من العمل مع وجود المندوحة؛ اقتصاراً على المورد اليقيني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بُعْده؛ لما جاء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الحثّ على الاختلاط معهم والصلاة خلفهم وتشييع جنائزهم وإعادة مرضاهم والأذان خلفهم</w:t>
      </w:r>
      <w:r>
        <w:rPr>
          <w:rStyle w:val="FootnoteAnchor"/>
          <w:rtl w:val="true"/>
        </w:rPr>
        <w:footnoteReference w:id="1439"/>
      </w:r>
      <w:r>
        <w:rPr>
          <w:rFonts w:ascii="Amiri" w:hAnsi="Amiri" w:eastAsia="Amiri" w:cs="Amiri"/>
          <w:color w:val="111111"/>
          <w:sz w:val="28"/>
          <w:sz w:val="28"/>
          <w:szCs w:val="28"/>
          <w:rtl w:val="true"/>
          <w:lang w:bidi="ar-SA"/>
        </w:rPr>
        <w:t>، وكلّها مطلقة بالنسبة إلى وجود المندوحة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تفصّياً عن شبهة الخلاف أولى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لا يتّقى منه من العامّة، ولا يخشى من ضرره في الحال ولا في المآل على نفس </w:t>
      </w:r>
      <w:bookmarkStart w:id="825" w:name="pg18988_203434"/>
    </w:p>
    <w:p>
      <w:pPr>
        <w:pStyle w:val="BookText"/>
        <w:rPr/>
      </w:pPr>
      <w:bookmarkEnd w:id="825"/>
      <w:r>
        <w:rPr>
          <w:rFonts w:ascii="Amiri" w:hAnsi="Amiri" w:eastAsia="Amiri" w:cs="Amiri"/>
          <w:color w:val="111111"/>
          <w:sz w:val="28"/>
          <w:sz w:val="28"/>
          <w:szCs w:val="28"/>
          <w:rtl w:val="true"/>
          <w:lang w:bidi="ar-SA"/>
        </w:rPr>
        <w:t>أو مال أو قرابة أو أخ مؤمن أو صديق، فلا تجوز التقية منه، فلا يتّقي مَنْ كان في بلاد العجم اليوم ولم يكن له متعلّق ببلادهم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إعادة كلّ وضوء اضطراريّ لتقيّةٍ أو غيرها، في الوقت أو خارجه، ارتفعت الضرورة بعد الوضوء والصلاة أو بعد الوضوء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ارتفعت في أثناء الوضوء،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المقدّم، والأحوط الإعادة</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3197989_1280447820"/>
      <w:bookmarkStart w:id="827" w:name="_Toc321"/>
      <w:bookmarkEnd w:id="826"/>
      <w:r>
        <w:rPr>
          <w:rtl w:val="true"/>
        </w:rPr>
        <w:t>سادس عشرها</w:t>
      </w:r>
      <w:r>
        <w:rPr>
          <w:rtl w:val="true"/>
        </w:rPr>
        <w:t>:</w:t>
      </w:r>
      <w:r>
        <w:rPr>
          <w:rtl w:val="true"/>
        </w:rPr>
        <w:t>حکم ما لو توضّأ وضوءين و صلّى فريضةً واحدة وذكر الإخلال بأحدهما</w:t>
      </w:r>
      <w:bookmarkEnd w:id="827"/>
    </w:p>
    <w:p>
      <w:pPr>
        <w:pStyle w:val="BookText"/>
        <w:rPr/>
      </w:pPr>
      <w:r>
        <w:rPr>
          <w:rFonts w:ascii="Amiri" w:hAnsi="Amiri" w:eastAsia="Amiri" w:cs="Amiri"/>
          <w:color w:val="111111"/>
          <w:sz w:val="28"/>
          <w:sz w:val="28"/>
          <w:szCs w:val="28"/>
          <w:rtl w:val="true"/>
          <w:lang w:bidi="ar-SA"/>
        </w:rPr>
        <w:t>لو توضّأ وضوءين و صلّى فريضةً واحدة وذكر الإخلال بأحدهما صحّت صلاته عندنا، سواء كانا واجبين أو مندوبين أو مختلفين، وسواء نوى بهما الرفع أو الاستباحة، أو نوى في أحدهما دون الآخَر، أو لم يَنْوِ مطلقاً ؛ لما قدّمنا من صحّة الوضوء بدون نيّة الوجه، بل مع نيّة الخلاف وبدون نيّة الرفع أو الاستباحة، بل مع نيّة خلافهما، فإذا صحّ الوضوء صحّت الصلاة، ولأنّ المفهوم من مشروعيّة الوضوء التجديدي هو تدارك الخلل، فيصحّ لو ظهر خلل سابق عليه، ولأنّ الشكّ بعد الصلاة من قبيل الشكّ بعد الفراغ، فلا يلتفت إليه، كما ذهب إليه بعض الأعلام</w:t>
      </w:r>
      <w:r>
        <w:rPr>
          <w:rStyle w:val="FootnoteAnchor"/>
          <w:rtl w:val="true"/>
        </w:rPr>
        <w:footnoteReference w:id="1440"/>
      </w:r>
      <w:r>
        <w:rPr>
          <w:rFonts w:ascii="Amiri" w:hAnsi="Amiri" w:eastAsia="Amiri" w:cs="Amiri"/>
          <w:color w:val="111111"/>
          <w:sz w:val="28"/>
          <w:sz w:val="28"/>
          <w:szCs w:val="28"/>
          <w:rtl w:val="true"/>
          <w:lang w:bidi="ar-SA"/>
        </w:rPr>
        <w:t>، وإن كان لا يخلو عن من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اشترط نيّة الوجه أو الرفع أو الاستباحة لم يصحّح سوى الواجبين ولو بنذر أو ذهول، أو شكّ في السابق واللاحق من الحدث والطهارة المنويّ بهما الرفع ولو لنسيانٍ أو خطأ وشبههما لغايةٍ واجبة، أو المندوبين لغايةٍ مندوبة في غير وقت الواجب منويّاً بهما الرفع أو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غيرهما من الواجبين وأحدهما مجدّد غير منويّ به الرفع أو الاستباحة، أو مندوبين ناوياً بأحدهما الرفع دون الآخَر لغايةٍ واجبة أو مندوبة يشترط فيهما نيّة الرفع أو الاستباحة، أو مختلفين ناوياً بأحدهما الرفع دون الآخَر مطلقاً لغايةٍ واجبة أو مندوبة يشترط فيهما نيّة الرفع أو الاستباحة، فينبغي أن لا يصحّح الصلاة؛ لعدم تيقّن الصلاة بوضوءٍ جامعٍ لنيّة وجه الصلاة من وجوبٍ أو ندبٍ وجامع لنيّة الغاية من رفعٍ أو استباحةٍ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المشترطين لنيّة الرفع أو الاستباحة صححوا الصلاة بوضوءين أحدهما مجدّد إذا ذكر الإخلال بأحدهما</w:t>
      </w:r>
      <w:r>
        <w:rPr>
          <w:rStyle w:val="FootnoteAnchor"/>
          <w:rtl w:val="true"/>
        </w:rPr>
        <w:footnoteReference w:id="1441"/>
      </w:r>
      <w:r>
        <w:rPr>
          <w:rFonts w:ascii="Amiri" w:hAnsi="Amiri" w:eastAsia="Amiri" w:cs="Amiri"/>
          <w:color w:val="111111"/>
          <w:sz w:val="28"/>
          <w:sz w:val="28"/>
          <w:szCs w:val="28"/>
          <w:rtl w:val="true"/>
          <w:lang w:bidi="ar-SA"/>
        </w:rPr>
        <w:t>، وكأنّهم فهموا أنّ التجديد مشروع لتدارك الخلل، أو أنّه من الشكّ بعد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توضّأ وضوءين وصلّى بعد كلّ وضوء فرضاً من غير تخلّل حدثٍ وذكر الإخلال بأحدهما بعد ذلك، صحّ على مذهبنا وضوؤه وصلاته الأخيرة؛ لصحّة وضوء الأخير على تقدير وقوع الخلل في الأوّل، وصحّة الأوّل على تقدير وقوعه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ببطلانهما معاً وبطلان الوضوء وإعادته</w:t>
      </w:r>
      <w:r>
        <w:rPr>
          <w:rStyle w:val="FootnoteAnchor"/>
          <w:rtl w:val="true"/>
        </w:rPr>
        <w:footnoteReference w:id="1442"/>
      </w:r>
      <w:r>
        <w:rPr>
          <w:rFonts w:ascii="Amiri" w:hAnsi="Amiri" w:eastAsia="Amiri" w:cs="Amiri"/>
          <w:color w:val="111111"/>
          <w:sz w:val="28"/>
          <w:sz w:val="28"/>
          <w:szCs w:val="28"/>
          <w:rtl w:val="true"/>
          <w:lang w:bidi="ar-SA"/>
        </w:rPr>
        <w:t>لعدم القطع بوقوع وضوءٍ صحيح؛ لاحتمال وقوع الخلل في الأوّل، وعدم إجزاء المجدّد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بصحّة الصلاتين</w:t>
      </w:r>
      <w:r>
        <w:rPr>
          <w:rStyle w:val="FootnoteAnchor"/>
          <w:rtl w:val="true"/>
        </w:rPr>
        <w:footnoteReference w:id="1443"/>
      </w:r>
      <w:r>
        <w:rPr>
          <w:rFonts w:ascii="Amiri" w:hAnsi="Amiri" w:eastAsia="Amiri" w:cs="Amiri"/>
          <w:color w:val="111111"/>
          <w:sz w:val="28"/>
          <w:sz w:val="28"/>
          <w:szCs w:val="28"/>
          <w:rtl w:val="true"/>
          <w:lang w:bidi="ar-SA"/>
        </w:rPr>
        <w:t>لأنّه من الشكّ بعد الفراغ؛ لاحتمال وقوع الخلل في الثاني فتصحّ الصلاتان معاً ، وكذا يصح الوضوء الأوّل؛ لفراغه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بصحّة الصلاتين سيّما بعد الوقت؛ لعدم تيقّن فوتها، ولأصالة صحّتها، ولما ورد أنّ مَنْ لم يستيقن بطلان صلاته فلا قضاء عليه</w:t>
      </w:r>
      <w:r>
        <w:rPr>
          <w:rStyle w:val="FootnoteAnchor"/>
          <w:rtl w:val="true"/>
        </w:rPr>
        <w:footnoteReference w:id="1444"/>
      </w:r>
      <w:r>
        <w:rPr>
          <w:rFonts w:ascii="Amiri" w:hAnsi="Amiri" w:eastAsia="Amiri" w:cs="Amiri"/>
          <w:color w:val="111111"/>
          <w:sz w:val="28"/>
          <w:sz w:val="28"/>
          <w:szCs w:val="28"/>
          <w:rtl w:val="true"/>
          <w:lang w:bidi="ar-SA"/>
        </w:rPr>
        <w:t>، ووجوب إعادة الوضوء؛ لأنّه بمنزلة مَنْ تيقّن الحدث وشكّ في الطهارة؛ لأنّ الطهارة الأُولى محتملة لوقوع الخلل، والثانية لا تجزئ على ذلك التقدير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توضّأ وضوءين بعد حدثين وصلّى بكلِّ منهما صلاةً وذكر الإخلال بالوضوء، أعاد الوضوء؛ لأنّه بمنزلة مَنْ تيقّن الحدث وشكّ في الطهارة؛ لاحتمال وقوع الخلل في الأخير، فلم يتيقّن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احتمال صحّة وضوئه الأخير؛ لأنّه شكّ بعد الفراغ، وقطعُه بوقوع الخلل غير مضرّ؛ لاحتمال كونه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الصلاتان فتجب إعادتهما إن اختلفتا، و إلّا أعاد واحدة مطلقة أو مردّدة في المنويّ لا في النيّة؛ لما ورد في مَنْ فاتته واحدة من خمس أنّه يفعل كذلك</w:t>
      </w:r>
      <w:r>
        <w:rPr>
          <w:rStyle w:val="FootnoteAnchor"/>
          <w:rtl w:val="true"/>
        </w:rPr>
        <w:footnoteReference w:id="1446"/>
      </w:r>
      <w:r>
        <w:rPr>
          <w:rFonts w:ascii="IRNazanin" w:hAnsi="IRNazanin" w:eastAsia="IRNazanin"/>
          <w:color w:val="111111"/>
          <w:sz w:val="28"/>
          <w:sz w:val="28"/>
          <w:szCs w:val="28"/>
          <w:rtl w:val="true"/>
          <w:lang w:bidi="fa-IR"/>
        </w:rPr>
        <w:t>، ولا فارق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الشيخ إعادتهما معاً </w:t>
      </w:r>
      <w:r>
        <w:rPr>
          <w:rStyle w:val="FootnoteAnchor"/>
          <w:rtl w:val="true"/>
        </w:rPr>
        <w:footnoteReference w:id="1447"/>
      </w:r>
      <w:r>
        <w:rPr>
          <w:rFonts w:ascii="Amiri" w:hAnsi="Amiri" w:eastAsia="Amiri" w:cs="Amiri"/>
          <w:color w:val="111111"/>
          <w:sz w:val="28"/>
          <w:sz w:val="28"/>
          <w:szCs w:val="28"/>
          <w:rtl w:val="true"/>
          <w:lang w:bidi="ar-SA"/>
        </w:rPr>
        <w:t>لعدم تسرية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 سيّما في المختلفتين جهراً وإخفاتاً</w:t>
      </w:r>
      <w:r>
        <w:rPr>
          <w:rFonts w:eastAsia="Amiri" w:cs="Amiri" w:ascii="Amiri" w:hAnsi="Amiri"/>
          <w:color w:val="111111"/>
          <w:sz w:val="28"/>
          <w:szCs w:val="28"/>
          <w:rtl w:val="true"/>
          <w:lang w:bidi="ar-SA"/>
        </w:rPr>
        <w:t xml:space="preserve">. </w:t>
      </w:r>
      <w:bookmarkStart w:id="828" w:name="pg18988_203436"/>
    </w:p>
    <w:p>
      <w:pPr>
        <w:pStyle w:val="BookText"/>
        <w:rPr/>
      </w:pPr>
      <w:bookmarkEnd w:id="828"/>
      <w:r>
        <w:rPr>
          <w:rFonts w:ascii="Amiri" w:hAnsi="Amiri" w:eastAsia="Amiri" w:cs="Amiri"/>
          <w:color w:val="111111"/>
          <w:sz w:val="28"/>
          <w:sz w:val="28"/>
          <w:szCs w:val="28"/>
          <w:rtl w:val="true"/>
          <w:lang w:bidi="ar-SA"/>
        </w:rPr>
        <w:t>ولو توضّأ وضوء ين وصلّى بكلّ واحدٍ فذكر الحدث عقيب واحدٍ منهما، أعاد الوضوء والصلاتين إن اختلفتا و إلّا فواحدة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احتمال وجوب إعادتهما معاً مطلقاً؛ لاحتمال وقوع الحدث بعد الأوّل، وعدم إجزاء التجديدي في الثاني على القول بعدم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الإطلاق ليس بلازم؛ بل له التعيين والإطلاق معاً إن لم يكن التعيين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أطلق بين اثنتين ليس له أن يعيّن بعد ذلك، إلّا إذا تكثّر احتمال الفوائت، فإنّ له أن يطلق بين ثلاث وله أن يعيّن الثلاث وله أن يطلق بين اثنتين ويعيّن في الثالثة، وله أن يعيّن في الأُولى ويطلق بين اثنتين</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3197991_1280447820"/>
      <w:bookmarkStart w:id="830" w:name="_Toc322"/>
      <w:bookmarkEnd w:id="829"/>
      <w:r>
        <w:rPr>
          <w:rtl w:val="true"/>
        </w:rPr>
        <w:t>سابع عشرها</w:t>
      </w:r>
      <w:r>
        <w:rPr>
          <w:rtl w:val="true"/>
        </w:rPr>
        <w:t xml:space="preserve">: </w:t>
      </w:r>
      <w:r>
        <w:rPr>
          <w:rtl w:val="true"/>
        </w:rPr>
        <w:t>فیما يستحبّ فی الوضوء</w:t>
      </w:r>
      <w:bookmarkEnd w:id="830"/>
    </w:p>
    <w:p>
      <w:pPr>
        <w:pStyle w:val="BookText"/>
        <w:rPr/>
      </w:pPr>
      <w:r>
        <w:rPr>
          <w:rFonts w:ascii="IRNazanin" w:hAnsi="IRNazanin" w:eastAsia="IRNazanin"/>
          <w:color w:val="111111"/>
          <w:sz w:val="28"/>
          <w:sz w:val="28"/>
          <w:szCs w:val="28"/>
          <w:rtl w:val="true"/>
          <w:lang w:bidi="fa-IR"/>
        </w:rPr>
        <w:t>يستحبّ فی الوضوء وضع الإناء على اليمين، وفاقاً لفتوى المشهور، وللنبويّ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التيامن في طهوره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الإناء الضيّق كالواسع الذي يغترف منه؛ لإطلاق الفتوى، وقد يخصّ الاستحباب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الاعتراف بها؛ لفتوى الأصحاب، وبعض أخبار الباب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سراية الاستحباب حتّى لغَسْلها؛ لما ورد أنّه أخذ كفّاً بيمينه فصبّه على يساره و غسل به ذراعه الأيمن</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التسمية عند وضع اليد في الماء أو عند وضع الماء على الوجه؛ لفتوى الأصحاب و أخبار الباب</w:t>
      </w:r>
      <w:r>
        <w:rPr>
          <w:rStyle w:val="FootnoteAnchor"/>
          <w:rtl w:val="true"/>
        </w:rPr>
        <w:footnoteReference w:id="1451"/>
      </w:r>
      <w:r>
        <w:rPr>
          <w:rFonts w:ascii="Amiri" w:hAnsi="Amiri" w:eastAsia="Amiri" w:cs="Amiri"/>
          <w:color w:val="111111"/>
          <w:sz w:val="28"/>
          <w:sz w:val="28"/>
          <w:szCs w:val="28"/>
          <w:rtl w:val="true"/>
          <w:lang w:bidi="ar-SA"/>
        </w:rPr>
        <w:t>، والجمع بينهما أولى؛ لورود الخبر في كلٍّ منهما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في التسمية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يبدأ الرجل بظاهر الذراع، والمرأة بباطنه لفتوى الأصحاب، وأخبار الباب</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باختصاص ذلك بالغسلة الأُولى دون الثانية فينعكس الحال</w:t>
      </w:r>
      <w:r>
        <w:rPr>
          <w:rStyle w:val="FootnoteAnchor"/>
          <w:rtl w:val="true"/>
        </w:rPr>
        <w:footnoteReference w:id="1454"/>
      </w:r>
      <w:r>
        <w:rPr>
          <w:rFonts w:ascii="Amiri" w:hAnsi="Amiri" w:eastAsia="Amiri" w:cs="Amiri"/>
          <w:color w:val="111111"/>
          <w:sz w:val="28"/>
          <w:sz w:val="28"/>
          <w:szCs w:val="28"/>
          <w:rtl w:val="true"/>
          <w:lang w:bidi="ar-SA"/>
        </w:rPr>
        <w:t>، ونقل عليه الإجماع</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الدعاء عند غَسْل كلٍّ من الأعضاء بالمأثور، و إلّا فبما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يسبغ الوضوء بمُدٍّ، وهو رطلان وربع بالعراقي، كما هو الظاهر من الأخبار</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مائة وثلاثون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الوضوء مستحبّاته من غَسْل يدين ومضمضة واستنشاق وغسلة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السواك قبل الوضوء وبعده لمن نسيه؛ لفتوى الأصحاب والأخبار</w:t>
      </w:r>
      <w:r>
        <w:rPr>
          <w:rStyle w:val="FootnoteAnchor"/>
          <w:rtl w:val="true"/>
        </w:rPr>
        <w:footnoteReference w:id="1457"/>
      </w:r>
      <w:r>
        <w:rPr>
          <w:rFonts w:ascii="Amiri" w:hAnsi="Amiri" w:eastAsia="Amiri" w:cs="Amiri"/>
          <w:color w:val="111111"/>
          <w:sz w:val="28"/>
          <w:sz w:val="28"/>
          <w:szCs w:val="28"/>
          <w:rtl w:val="true"/>
          <w:lang w:bidi="ar-SA"/>
        </w:rPr>
        <w:t>، بل ولمن لا ينساه احتياطاً؛ لفتوى بعض الأصحاب</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لنفسه فتوىً وروايةً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بالعود وشبهه ولو بالإصبع فتوىً وروايةً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من مندوباته لا من أجزائه، مع احتمال 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غسل اليدين من 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لتبادر ذلك، ولفتوى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النوم مرّةً، ولا يبعد إلحاق كلّ مُذهبٍ للعقل به، وكذا من حدث البول، ومن حدث الغائط مرّتين؛ للأخبار</w:t>
      </w:r>
      <w:r>
        <w:rPr>
          <w:rStyle w:val="FootnoteAnchor"/>
          <w:rtl w:val="true"/>
        </w:rPr>
        <w:footnoteReference w:id="1462"/>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ذلك قبل الاغتراف؛ لظاهر الخبر</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الغَسل ليس لاحتمال النجاسة، بل للتعبّد، فتلزمها النيّة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أنّها من أجزاء الوضوء المستحبّة، وأنّ الإناء الواسع من كُرّ و شبهه كالإناء الصغير، و أنّ الإناء الذي يصبّ منه كالإناء الذي يغترف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أن يكون مرّتين للبول؛ لظاهر الخبر</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استحباب غَسْل اليدين لغير ما ذُكر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المضمضة، وهي إدارة الماء المطلق في الفم ولفظه إلى خارج أو ابتلاعه أو إبقاؤه على إشكال في الأخير، والاستنشاق، وهو جذبه إلى داخل الأنف وإخراجه أو إدخاله للجوف أو إبقاؤه على إشكالٍ في الأخير، واستحبابهما دليله الإجماع والأخبار</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التثليث فيهما؛ للإجماع والأخبار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جواز الاقتصار على الواحدة من كلٍّ منهما، ولكن لا تتأدّى بهما تمام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تقديم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مشروعيّة تقديم الاستنشاق؛ لدخول الترتيب في مشروعيّتهما، وذلك لمن أراد الإتيان بهما معاً، وأمّا مَنْ لم يرد المضمضة فالظاهر أنّه لا إشكال في صحّة استنشاقه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استنشق على هذا النحو، فالظاهر عدم الإشكال في جواز الإتيان بالمضمضة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بهما بذلك النحو، فالظاهر جواز إعادة الاستنشاق مرّةً أُخرى لتحصيل وظيفة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ستّ أكفّ للستّ أو اثنتان لكلّ ثلاث واحدٌ، أو لا يشترط حتّى يكفي الجميع كفٍّ واحدة؟ وجوه أقواها الأخير، والأولى الستّ، وبعدها الاثنتين لكلّ ثلاثٍ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تثنية الغسلات، بمعنى أن يغسل مرّةً ثانية بعد تمام الغسلة الأُولى، مع احتمال جواز أن يغسل ما غسله أوّلاً وإن لم يتمّه ثمّ يتمّ الأوّل ثمّ يتمّ الثاني، ولكنّه خلاف المعهود والاحتياط، كما أنّ الأحوط القصد إلى إتمام الغَسْل الثاني للعضو، لا مجرّد الغسل ولو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جواز تقديم الغسلة المندوبة قبل الواجبة؛ لأنّ المتيقّن من مشروعيّتها وقوعها بعدها، وكذا الظاهر عدم إجزائها عن الواجبة لو ظهر عدمها أو نقصانها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فيها ما يشترط في الغسلة الواجبة، فلا يغسل العضو الآخر إلّا بعد انتهائها، ولا يكفي التقارن ولا البعديّة، ولا بدّ فيها من الأعلى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استحباب تثنية الغسلات فتوى الأصحاب والإجماعات المنقولة</w:t>
      </w:r>
      <w:r>
        <w:rPr>
          <w:rStyle w:val="FootnoteAnchor"/>
          <w:rtl w:val="true"/>
        </w:rPr>
        <w:footnoteReference w:id="1467"/>
      </w:r>
      <w:r>
        <w:rPr>
          <w:rFonts w:ascii="Amiri" w:hAnsi="Amiri" w:eastAsia="Amiri" w:cs="Amiri"/>
          <w:color w:val="111111"/>
          <w:sz w:val="28"/>
          <w:sz w:val="28"/>
          <w:szCs w:val="28"/>
          <w:rtl w:val="true"/>
          <w:lang w:bidi="ar-SA"/>
        </w:rPr>
        <w:t>على الاستحباب، والأخبار الآمرة بفعلها، كخبر الرقّي، الآمر بفعلها عند ارتفاع التقيّة بعد الأمر بالثلاث تقيّة</w:t>
      </w:r>
      <w:r>
        <w:rPr>
          <w:rStyle w:val="FootnoteAnchor"/>
          <w:rtl w:val="true"/>
        </w:rPr>
        <w:footnoteReference w:id="1468"/>
      </w:r>
      <w:r>
        <w:rPr>
          <w:rFonts w:ascii="Amiri" w:hAnsi="Amiri" w:eastAsia="Amiri" w:cs="Amiri"/>
          <w:color w:val="111111"/>
          <w:sz w:val="28"/>
          <w:sz w:val="28"/>
          <w:szCs w:val="28"/>
          <w:rtl w:val="true"/>
          <w:lang w:bidi="ar-SA"/>
        </w:rPr>
        <w:t>،وكخبر عليّ بن يقطين</w:t>
      </w:r>
      <w:r>
        <w:rPr>
          <w:rStyle w:val="FootnoteAnchor"/>
          <w:rtl w:val="true"/>
        </w:rPr>
        <w:footnoteReference w:id="1469"/>
      </w:r>
      <w:r>
        <w:rPr>
          <w:rFonts w:ascii="Amiri" w:hAnsi="Amiri" w:eastAsia="Amiri" w:cs="Amiri"/>
          <w:color w:val="111111"/>
          <w:sz w:val="28"/>
          <w:sz w:val="28"/>
          <w:szCs w:val="28"/>
          <w:rtl w:val="true"/>
          <w:lang w:bidi="ar-SA"/>
        </w:rPr>
        <w:t>، والأخبار الدالّة على أنّ الوضوء مثنى مثنى</w:t>
      </w:r>
      <w:r>
        <w:rPr>
          <w:rStyle w:val="FootnoteAnchor"/>
          <w:rtl w:val="true"/>
        </w:rPr>
        <w:footnoteReference w:id="1470"/>
      </w:r>
      <w:r>
        <w:rPr>
          <w:rFonts w:ascii="Amiri" w:hAnsi="Amiri" w:eastAsia="Amiri" w:cs="Amiri"/>
          <w:color w:val="111111"/>
          <w:sz w:val="28"/>
          <w:sz w:val="28"/>
          <w:szCs w:val="28"/>
          <w:rtl w:val="true"/>
          <w:lang w:bidi="ar-SA"/>
        </w:rPr>
        <w:t>، وأنّه مرّتين مرّتين، كما في أخبار أُخَر</w:t>
      </w:r>
      <w:r>
        <w:rPr>
          <w:rStyle w:val="FootnoteAnchor"/>
          <w:rtl w:val="true"/>
        </w:rPr>
        <w:footnoteReference w:id="1471"/>
      </w:r>
      <w:r>
        <w:rPr>
          <w:rFonts w:ascii="Amiri" w:hAnsi="Amiri" w:eastAsia="Amiri" w:cs="Amiri"/>
          <w:color w:val="111111"/>
          <w:sz w:val="28"/>
          <w:sz w:val="28"/>
          <w:szCs w:val="28"/>
          <w:rtl w:val="true"/>
          <w:lang w:bidi="ar-SA"/>
        </w:rPr>
        <w:t>، وأنّه اثنتين اثنتين، كما في أخبار أُخَر</w:t>
      </w:r>
      <w:r>
        <w:rPr>
          <w:rStyle w:val="FootnoteAnchor"/>
          <w:rtl w:val="true"/>
        </w:rPr>
        <w:footnoteReference w:id="1472"/>
      </w:r>
      <w:r>
        <w:rPr>
          <w:rFonts w:ascii="Amiri" w:hAnsi="Amiri" w:eastAsia="Amiri" w:cs="Amiri"/>
          <w:color w:val="111111"/>
          <w:sz w:val="28"/>
          <w:sz w:val="28"/>
          <w:szCs w:val="28"/>
          <w:rtl w:val="true"/>
          <w:lang w:bidi="ar-SA"/>
        </w:rPr>
        <w:t>، والأخبار الدالّة على جواز فعلها،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ومرّتان جائز</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والإجماعات المنقولة</w:t>
      </w:r>
      <w:r>
        <w:rPr>
          <w:rStyle w:val="FootnoteAnchor"/>
          <w:rtl w:val="true"/>
        </w:rPr>
        <w:footnoteReference w:id="1474"/>
      </w:r>
      <w:r>
        <w:rPr>
          <w:rFonts w:ascii="Amiri" w:hAnsi="Amiri" w:eastAsia="Amiri" w:cs="Amiri"/>
          <w:color w:val="111111"/>
          <w:sz w:val="28"/>
          <w:sz w:val="28"/>
          <w:szCs w:val="28"/>
          <w:rtl w:val="true"/>
          <w:lang w:bidi="ar-SA"/>
        </w:rPr>
        <w:t>على ذلك أيضاً دليل على استحبابها؛ لأنّ الجواز في أجزاء العبادة لا معنى له سوى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والذاهب إلى عدم الجواز 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نفي الأجر عليها</w:t>
      </w:r>
      <w:r>
        <w:rPr>
          <w:rStyle w:val="FootnoteAnchor"/>
          <w:rtl w:val="true"/>
        </w:rPr>
        <w:footnoteReference w:id="1475"/>
      </w:r>
      <w:r>
        <w:rPr>
          <w:rFonts w:ascii="Amiri" w:hAnsi="Amiri" w:eastAsia="Amiri" w:cs="Amiri"/>
          <w:color w:val="111111"/>
          <w:sz w:val="28"/>
          <w:sz w:val="28"/>
          <w:szCs w:val="28"/>
          <w:rtl w:val="true"/>
          <w:lang w:bidi="ar-SA"/>
        </w:rPr>
        <w:t>محمول على اعتقاد مشروعيّتها؛ لما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يستيقن أنّ الواحدة تجزئه لم يؤجر على الاثنتين</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من الأخبار البيانيّة</w:t>
      </w:r>
      <w:r>
        <w:rPr>
          <w:rStyle w:val="FootnoteAnchor"/>
          <w:rtl w:val="true"/>
        </w:rPr>
        <w:footnoteReference w:id="1477"/>
      </w:r>
      <w:r>
        <w:rPr>
          <w:rFonts w:ascii="Amiri" w:hAnsi="Amiri" w:eastAsia="Amiri" w:cs="Amiri"/>
          <w:color w:val="111111"/>
          <w:sz w:val="28"/>
          <w:sz w:val="28"/>
          <w:szCs w:val="28"/>
          <w:rtl w:val="true"/>
          <w:lang w:bidi="ar-SA"/>
        </w:rPr>
        <w:t xml:space="preserve">قولاً وفعلاً، الدالّة على المرّة لا تنافي استحباب الاثنتين؛ لورودها في مقام بيان الواجب فقط؛ لخلوّها عن أكثر المندوبات، ولمعارضتها بما هو أكثر منها قولاً وفعلاً الدالّ على التثنية، قولاً </w:t>
      </w:r>
      <w:r>
        <w:rPr>
          <w:rStyle w:val="FootnoteAnchor"/>
          <w:rtl w:val="true"/>
        </w:rPr>
        <w:footnoteReference w:id="1478"/>
      </w:r>
      <w:r>
        <w:rPr>
          <w:rFonts w:ascii="IRNazanin" w:hAnsi="IRNazanin" w:eastAsia="IRNazanin"/>
          <w:color w:val="111111"/>
          <w:sz w:val="28"/>
          <w:sz w:val="28"/>
          <w:szCs w:val="28"/>
          <w:rtl w:val="true"/>
          <w:lang w:bidi="fa-IR"/>
        </w:rPr>
        <w:t>، وعلى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توضّاً اثنتين، فعلاً </w:t>
      </w:r>
      <w:r>
        <w:rPr>
          <w:rStyle w:val="FootnoteAnchor"/>
          <w:rtl w:val="true"/>
        </w:rPr>
        <w:footnoteReference w:id="1479"/>
      </w:r>
      <w:r>
        <w:rPr>
          <w:rFonts w:ascii="Amiri" w:hAnsi="Amiri" w:eastAsia="Amiri" w:cs="Amiri"/>
          <w:color w:val="111111"/>
          <w:sz w:val="28"/>
          <w:sz w:val="28"/>
          <w:szCs w:val="28"/>
          <w:rtl w:val="true"/>
          <w:lang w:bidi="ar-SA"/>
        </w:rPr>
        <w:t>، ولأنّ جوازها المستدعى لجواز المسح ببلّتها يؤذن بمشروعيّتها، وإلّا لكان المسح بماء جديد، على أنّ عدم فعل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للمندوب لا دليل فيه على عدم ندبه بعد ورود الدليل به، كي تحصل المعارضة بين الدليلين فيحتاج للجمع بينهما إمّا بحمل أخبار التثنية على </w:t>
      </w:r>
    </w:p>
    <w:p>
      <w:pPr>
        <w:pStyle w:val="BookText"/>
        <w:rPr/>
      </w:pPr>
      <w:r>
        <w:rPr>
          <w:rFonts w:ascii="Amiri" w:hAnsi="Amiri" w:eastAsia="Amiri" w:cs="Amiri"/>
          <w:color w:val="111111"/>
          <w:sz w:val="28"/>
          <w:sz w:val="28"/>
          <w:szCs w:val="28"/>
          <w:rtl w:val="true"/>
          <w:lang w:bidi="ar-SA"/>
        </w:rPr>
        <w:t>الوضوء التجديدي أو على التقيّة، كما حملها على الأوّل بعض القدماء</w:t>
      </w:r>
      <w:r>
        <w:rPr>
          <w:rStyle w:val="FootnoteAnchor"/>
          <w:rtl w:val="true"/>
        </w:rPr>
        <w:footnoteReference w:id="1480"/>
      </w:r>
      <w:r>
        <w:rPr>
          <w:rFonts w:ascii="Amiri" w:hAnsi="Amiri" w:eastAsia="Amiri" w:cs="Amiri"/>
          <w:color w:val="111111"/>
          <w:sz w:val="28"/>
          <w:sz w:val="28"/>
          <w:szCs w:val="28"/>
          <w:rtl w:val="true"/>
          <w:lang w:bidi="ar-SA"/>
        </w:rPr>
        <w:t>، وعلى الثاني بعض المتأخّرين</w:t>
      </w:r>
      <w:r>
        <w:rPr>
          <w:rStyle w:val="FootnoteAnchor"/>
          <w:rtl w:val="true"/>
        </w:rPr>
        <w:footnoteReference w:id="1481"/>
      </w:r>
      <w:r>
        <w:rPr>
          <w:rFonts w:ascii="Amiri" w:hAnsi="Amiri" w:eastAsia="Amiri" w:cs="Amiri"/>
          <w:color w:val="111111"/>
          <w:sz w:val="28"/>
          <w:sz w:val="28"/>
          <w:szCs w:val="28"/>
          <w:rtl w:val="true"/>
          <w:lang w:bidi="ar-SA"/>
        </w:rPr>
        <w:t>، أو على إرادة التثنية في الغَسْل والمسح في مقابلة العامة حيث إنّهم ليس عندهم الوضوء غسلتين ومسحتين، كما حملها عليها بعض المتأخّرين</w:t>
      </w:r>
      <w:r>
        <w:rPr>
          <w:rStyle w:val="FootnoteAnchor"/>
          <w:rtl w:val="true"/>
        </w:rPr>
        <w:footnoteReference w:id="1482"/>
      </w:r>
      <w:r>
        <w:rPr>
          <w:rFonts w:ascii="Amiri" w:hAnsi="Amiri" w:eastAsia="Amiri" w:cs="Amiri"/>
          <w:color w:val="111111"/>
          <w:sz w:val="28"/>
          <w:sz w:val="28"/>
          <w:szCs w:val="28"/>
          <w:rtl w:val="true"/>
          <w:lang w:bidi="ar-SA"/>
        </w:rPr>
        <w:t>أيضاً، أو على التثنية في الغرفات لا الغسلات، كما حملها عليها الكاشاني</w:t>
      </w:r>
      <w:r>
        <w:rPr>
          <w:rStyle w:val="FootnoteAnchor"/>
          <w:rtl w:val="true"/>
        </w:rPr>
        <w:footnoteReference w:id="1483"/>
      </w:r>
      <w:r>
        <w:rPr>
          <w:rFonts w:ascii="Amiri" w:hAnsi="Amiri" w:eastAsia="Amiri" w:cs="Amiri"/>
          <w:color w:val="111111"/>
          <w:sz w:val="28"/>
          <w:sz w:val="28"/>
          <w:szCs w:val="28"/>
          <w:rtl w:val="true"/>
          <w:lang w:bidi="ar-SA"/>
        </w:rPr>
        <w:t>، أو على التثنية في الغرفات إن لم تجزئ الواحدة في الإسباغ، وإلّا فتكفي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الأوّل كونُ التجديدي لا يخصّ الاثنين، والثاني عدمُ ملائمته لجميع الأخبار، والثالثَ عدمُ ظهوره من الخطاب وكلام الأصحاب، وكذا ما بعده من المحامل، فالأقوى استحباب الثانية، كما أنّ الثالثة بدعة قطعاً؛ للأخبار</w:t>
      </w:r>
      <w:r>
        <w:rPr>
          <w:rStyle w:val="FootnoteAnchor"/>
          <w:rtl w:val="true"/>
        </w:rPr>
        <w:footnoteReference w:id="1484"/>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تكرار المسح بنيّة المشروعيّة، فإنّه بدعة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المجموع في ابتداء الوضوء، بطل الوضوء من أصله إن أخذ المحرَّم قيداً، وإن لم يأخذه قيداً أو نواه عند فعله فسد وصحّ ما عداه، ولو استلزمت البدعة المسح بماءٍ جديد فسد الوضوء بذلك</w:t>
      </w:r>
      <w:r>
        <w:rPr>
          <w:rFonts w:eastAsia="Amiri" w:cs="Amiri" w:ascii="Amiri" w:hAnsi="Amiri"/>
          <w:color w:val="111111"/>
          <w:sz w:val="28"/>
          <w:szCs w:val="28"/>
          <w:rtl w:val="true"/>
          <w:lang w:bidi="ar-SA"/>
        </w:rPr>
        <w:t xml:space="preserve">. </w:t>
      </w:r>
      <w:bookmarkStart w:id="831" w:name="pg18988_203441"/>
    </w:p>
    <w:p>
      <w:pPr>
        <w:pStyle w:val="Heading3"/>
        <w:numPr>
          <w:ilvl w:val="2"/>
          <w:numId w:val="1"/>
        </w:numPr>
        <w:rPr/>
      </w:pPr>
      <w:bookmarkStart w:id="832" w:name="__RefHeading___Toc13197993_1280447820"/>
      <w:bookmarkStart w:id="833" w:name="_Toc323"/>
      <w:bookmarkEnd w:id="831"/>
      <w:bookmarkEnd w:id="832"/>
      <w:r>
        <w:rPr>
          <w:rtl w:val="true"/>
        </w:rPr>
        <w:t>القول في غسل الجنابة</w:t>
      </w:r>
      <w:bookmarkEnd w:id="833"/>
    </w:p>
    <w:p>
      <w:pPr>
        <w:pStyle w:val="Heading4"/>
        <w:numPr>
          <w:ilvl w:val="3"/>
          <w:numId w:val="1"/>
        </w:numPr>
        <w:rPr/>
      </w:pPr>
      <w:bookmarkStart w:id="834" w:name="__RefHeading___Toc13197995_1280447820"/>
      <w:bookmarkStart w:id="835" w:name="_Toc324"/>
      <w:bookmarkEnd w:id="834"/>
      <w:r>
        <w:rPr>
          <w:rtl w:val="true"/>
        </w:rPr>
        <w:t>ثبوت وجوب الغسل الجنابۀ بالکتاب والسنّۀ والإجماع</w:t>
      </w:r>
      <w:bookmarkEnd w:id="835"/>
    </w:p>
    <w:p>
      <w:pPr>
        <w:pStyle w:val="Heading5"/>
        <w:numPr>
          <w:ilvl w:val="4"/>
          <w:numId w:val="1"/>
        </w:numPr>
        <w:rPr/>
      </w:pPr>
      <w:bookmarkStart w:id="836" w:name="__RefHeading___Toc13197997_1280447820"/>
      <w:bookmarkStart w:id="837" w:name="_Toc325"/>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ووجوبه نطق به الكتاب</w:t>
      </w:r>
      <w:r>
        <w:rPr>
          <w:rStyle w:val="FootnoteAnchor"/>
          <w:rtl w:val="true"/>
        </w:rPr>
        <w:footnoteReference w:id="1485"/>
      </w:r>
      <w:r>
        <w:rPr>
          <w:rFonts w:ascii="Amiri" w:hAnsi="Amiri" w:eastAsia="Amiri" w:cs="Amiri"/>
          <w:color w:val="111111"/>
          <w:sz w:val="28"/>
          <w:sz w:val="28"/>
          <w:szCs w:val="28"/>
          <w:rtl w:val="true"/>
          <w:lang w:bidi="ar-SA"/>
        </w:rPr>
        <w:t>والسنّة</w:t>
      </w:r>
      <w:r>
        <w:rPr>
          <w:rStyle w:val="FootnoteAnchor"/>
          <w:rtl w:val="true"/>
        </w:rPr>
        <w:footnoteReference w:id="1486"/>
      </w:r>
      <w:r>
        <w:rPr>
          <w:rFonts w:ascii="Amiri" w:hAnsi="Amiri" w:eastAsia="Amiri" w:cs="Amiri"/>
          <w:color w:val="111111"/>
          <w:sz w:val="28"/>
          <w:sz w:val="28"/>
          <w:szCs w:val="28"/>
          <w:rtl w:val="true"/>
          <w:lang w:bidi="ar-SA"/>
        </w:rPr>
        <w:t>، وعليه إجماع المسال</w:t>
      </w:r>
    </w:p>
    <w:p>
      <w:pPr>
        <w:pStyle w:val="Heading5"/>
        <w:numPr>
          <w:ilvl w:val="4"/>
          <w:numId w:val="1"/>
        </w:numPr>
        <w:rPr/>
      </w:pPr>
      <w:bookmarkStart w:id="838" w:name="__RefHeading___Toc13197999_1280447820"/>
      <w:bookmarkStart w:id="839" w:name="_Toc326"/>
      <w:bookmarkEnd w:id="838"/>
      <w:r>
        <w:rPr>
          <w:rtl w:val="true"/>
        </w:rPr>
        <w:t>وفيه أُمور</w:t>
      </w:r>
      <w:r>
        <w:rPr>
          <w:rtl w:val="true"/>
        </w:rPr>
        <w:t>:</w:t>
      </w:r>
      <w:bookmarkEnd w:id="839"/>
    </w:p>
    <w:p>
      <w:pPr>
        <w:pStyle w:val="Heading5"/>
        <w:numPr>
          <w:ilvl w:val="4"/>
          <w:numId w:val="1"/>
        </w:numPr>
        <w:rPr/>
      </w:pPr>
      <w:bookmarkStart w:id="840" w:name="__RefHeading___Toc13198001_1280447820"/>
      <w:bookmarkStart w:id="841" w:name="_Toc327"/>
      <w:bookmarkEnd w:id="840"/>
      <w:r>
        <w:rPr>
          <w:rtl w:val="true"/>
        </w:rPr>
        <w:t>أحدها</w:t>
      </w:r>
      <w:r>
        <w:rPr>
          <w:rtl w:val="true"/>
        </w:rPr>
        <w:t xml:space="preserve">: </w:t>
      </w:r>
      <w:r>
        <w:rPr>
          <w:rtl w:val="true"/>
        </w:rPr>
        <w:t>يجب الغسل بالإدخال ولو بدون الإنزال</w:t>
      </w:r>
      <w:bookmarkEnd w:id="841"/>
    </w:p>
    <w:p>
      <w:pPr>
        <w:pStyle w:val="BookText"/>
        <w:rPr/>
      </w:pPr>
      <w:r>
        <w:rPr>
          <w:rFonts w:ascii="Amiri" w:hAnsi="Amiri" w:eastAsia="Amiri" w:cs="Amiri"/>
          <w:color w:val="111111"/>
          <w:sz w:val="28"/>
          <w:sz w:val="28"/>
          <w:szCs w:val="28"/>
          <w:rtl w:val="true"/>
          <w:lang w:bidi="ar-SA"/>
        </w:rPr>
        <w:t>يجب الغسل بالإدخال ولو بدون الإنزال ؛للإجماع بقسميه</w:t>
      </w:r>
      <w:r>
        <w:rPr>
          <w:rStyle w:val="FootnoteAnchor"/>
          <w:rtl w:val="true"/>
        </w:rPr>
        <w:footnoteReference w:id="1487"/>
      </w:r>
      <w:r>
        <w:rPr>
          <w:rFonts w:ascii="Amiri" w:hAnsi="Amiri" w:eastAsia="Amiri" w:cs="Amiri"/>
          <w:color w:val="111111"/>
          <w:sz w:val="28"/>
          <w:sz w:val="28"/>
          <w:szCs w:val="28"/>
          <w:rtl w:val="true"/>
          <w:lang w:bidi="ar-SA"/>
        </w:rPr>
        <w:t>، والسنّة،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فقد وجب الغسل</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يوجب الغسل مجرّد الإدخال والإيلاج، بل لا بدّ من التقاء الختانين؛ للإجماع بقسميه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فيُحمل مطلق الإدخال والإيلاج عليه؛ لوجوب حمل المطلق على المقيد، وللإجماع الدالّ على ذلك بقسميه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والتقاء الختانين مقابلتهما عند الوطئ الحاصلة بغيبوبة الحشفة؛ لأنّ موضع ختان المرأة مستعلٍ على موضع ختان الرجل؛ لدخول الذكر في أسفل الفرج في مخرج الولد، ووقوع ختان المرأة في موضع أعلا من ذلك، بينه وبين ذلك موضعٍ خروج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الروايات ما يدلّ على حصول الملاقاة بينهما والإصابة والمماسّة،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الختان على الختان</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الختان الختان</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إرادة المبالغة في القرب، مع احتمال المماسّة عند الجماع، لكن لا بحيث يدركها المجامع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بين غيبوبة الحشفة أو قدرها من مقطوعها، أو قدرها عرضاً؛ للاتّفاق، ولعموم إيجاب المماسّة والإدخال والإيلاج، خرج منه إدخال الأقلّ منها لمقطوعها وغير مقطوعها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من رأس الحشفة فالظاهر كفاية الباقي في الجنابة، ولا يحتاج إلى إدخال قدرها، لصدق 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الإدخال في القُبُل؛ للإجماع بقسميه</w:t>
      </w:r>
      <w:r>
        <w:rPr>
          <w:rStyle w:val="FootnoteAnchor"/>
          <w:rtl w:val="true"/>
        </w:rPr>
        <w:footnoteReference w:id="1494"/>
      </w:r>
      <w:r>
        <w:rPr>
          <w:rFonts w:ascii="Amiri" w:hAnsi="Amiri" w:eastAsia="Amiri" w:cs="Amiri"/>
          <w:color w:val="111111"/>
          <w:sz w:val="28"/>
          <w:sz w:val="28"/>
          <w:szCs w:val="28"/>
          <w:rtl w:val="true"/>
          <w:lang w:bidi="ar-SA"/>
        </w:rPr>
        <w:t xml:space="preserve">والكتاب </w:t>
      </w:r>
      <w:r>
        <w:rPr>
          <w:rStyle w:val="FootnoteAnchor"/>
          <w:rtl w:val="true"/>
        </w:rPr>
        <w:footnoteReference w:id="1495"/>
      </w:r>
      <w:r>
        <w:rPr>
          <w:rFonts w:ascii="Amiri" w:hAnsi="Amiri" w:eastAsia="Amiri" w:cs="Amiri"/>
          <w:color w:val="111111"/>
          <w:sz w:val="28"/>
          <w:sz w:val="28"/>
          <w:szCs w:val="28"/>
          <w:rtl w:val="true"/>
          <w:lang w:bidi="ar-SA"/>
        </w:rPr>
        <w:t>والسنّة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في الإدخال في دُبُر المرأة فقط، أو في دُبُر المرأة والرجل، أو لا يجب مطلقاً؟ أقوال، أقواها القول بالوجوب في دُبُر المرأة؛ لفتوى المشهور، والإجماع المنقول</w:t>
      </w:r>
      <w:r>
        <w:rPr>
          <w:rStyle w:val="FootnoteAnchor"/>
          <w:rtl w:val="true"/>
        </w:rPr>
        <w:footnoteReference w:id="1497"/>
      </w:r>
      <w:r>
        <w:rPr>
          <w:rFonts w:ascii="Amiri" w:hAnsi="Amiri" w:eastAsia="Amiri" w:cs="Amiri"/>
          <w:color w:val="111111"/>
          <w:sz w:val="28"/>
          <w:sz w:val="28"/>
          <w:szCs w:val="28"/>
          <w:rtl w:val="true"/>
          <w:lang w:bidi="ar-SA"/>
        </w:rPr>
        <w:t>على إيجاب الغسل على الفاعل والمفعول، ولعموم إيجاب الغسل في الملامسة في الآية</w:t>
      </w:r>
      <w:r>
        <w:rPr>
          <w:rStyle w:val="FootnoteAnchor"/>
          <w:rtl w:val="true"/>
        </w:rPr>
        <w:footnoteReference w:id="1498"/>
      </w:r>
      <w:r>
        <w:rPr>
          <w:rFonts w:ascii="Amiri" w:hAnsi="Amiri" w:eastAsia="Amiri" w:cs="Amiri"/>
          <w:color w:val="111111"/>
          <w:sz w:val="28"/>
          <w:sz w:val="28"/>
          <w:szCs w:val="28"/>
          <w:rtl w:val="true"/>
          <w:lang w:bidi="ar-SA"/>
        </w:rPr>
        <w:t>، وفي الإدخال والإيلاج في الرواية</w:t>
      </w:r>
      <w:r>
        <w:rPr>
          <w:rStyle w:val="FootnoteAnchor"/>
          <w:rtl w:val="true"/>
        </w:rPr>
        <w:footnoteReference w:id="1499"/>
      </w:r>
      <w:r>
        <w:rPr>
          <w:rFonts w:ascii="Amiri" w:hAnsi="Amiri" w:eastAsia="Amiri" w:cs="Amiri"/>
          <w:color w:val="111111"/>
          <w:sz w:val="28"/>
          <w:sz w:val="28"/>
          <w:szCs w:val="28"/>
          <w:rtl w:val="true"/>
          <w:lang w:bidi="ar-SA"/>
        </w:rPr>
        <w:t>، خرج ما خرج وبقي الباقي،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تفسير الملامسة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المواقعة في الفرج</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وهو عام للقُبُل والدُّبُر بنصّ أهل اللغة</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انصراف الأدلّة للفرد الشائع المعهود من الوطئ في القُبُل، ممنوعة بعد فهم المشهور وفتواهم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ولرواية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المرأة من خلفها؟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 في مَنْ أتى أهله ولم ينزل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حيث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عليهم في إيجابهم الأعلى دون إيجاب الأدنى، أو في إثباتهم بعض آثار الجنابة دون بعض مع أنّ الجميع معلولة لها، أو في إثباتهم بعض الآثار المترتّبة على حصول الخبث المعنوي المناسب للحدّ والرجم المقتضيين للتوبة والتطهير دون إثبات ما يناسب رفعه وإزالته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الفاعل والمنفعل؛ لفتوى الأصحاب، والإجماع المنقول</w:t>
      </w:r>
      <w:r>
        <w:rPr>
          <w:rStyle w:val="FootnoteAnchor"/>
          <w:rtl w:val="true"/>
        </w:rPr>
        <w:footnoteReference w:id="1504"/>
      </w:r>
      <w:r>
        <w:rPr>
          <w:rFonts w:ascii="IRNazanin" w:hAnsi="IRNazanin" w:eastAsia="IRNazanin"/>
          <w:color w:val="111111"/>
          <w:sz w:val="28"/>
          <w:sz w:val="28"/>
          <w:szCs w:val="28"/>
          <w:rtl w:val="true"/>
          <w:lang w:bidi="fa-IR"/>
        </w:rPr>
        <w:t>في الباب، ولمفهوم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المأتيّین</w:t>
      </w:r>
      <w:r>
        <w:rPr>
          <w:rFonts w:eastAsia="IRNazanin" w:cs="IRNazanin"/>
          <w:color w:val="111111"/>
          <w:sz w:val="28"/>
          <w:szCs w:val="28"/>
          <w:rtl w:val="true"/>
          <w:lang w:bidi="fa-IR"/>
        </w:rPr>
        <w:t>»</w:t>
      </w:r>
      <w:r>
        <w:rPr>
          <w:rStyle w:val="FootnoteAnchor"/>
          <w:rtl w:val="true"/>
        </w:rPr>
        <w:footnoteReference w:id="1505"/>
      </w:r>
      <w:r>
        <w:rPr>
          <w:rFonts w:ascii="Amiri" w:hAnsi="Amiri" w:eastAsia="Amiri" w:cs="Amiri"/>
          <w:color w:val="111111"/>
          <w:sz w:val="28"/>
          <w:sz w:val="28"/>
          <w:szCs w:val="28"/>
          <w:rtl w:val="true"/>
          <w:lang w:bidi="ar-SA"/>
        </w:rPr>
        <w:t>ولفحوى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جمعٌ من أصحابنا إلى عدم وجوب الغسل بوطئ المرأة في الدُّبُر مطلقاً</w:t>
      </w:r>
      <w:r>
        <w:rPr>
          <w:rStyle w:val="FootnoteAnchor"/>
          <w:rtl w:val="true"/>
        </w:rPr>
        <w:footnoteReference w:id="1507"/>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يصيب المرأة فيما دون الفرج، أعليها غسل إن أنزل هو ولم تنزل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غسل، وإن لم ينزل هو فليس عليه غسل</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والمراسيل</w:t>
      </w:r>
      <w:r>
        <w:rPr>
          <w:rStyle w:val="FootnoteAnchor"/>
          <w:rtl w:val="true"/>
        </w:rPr>
        <w:footnoteReference w:id="1509"/>
      </w:r>
      <w:r>
        <w:rPr>
          <w:rFonts w:ascii="Amiri" w:hAnsi="Amiri" w:eastAsia="Amiri" w:cs="Amiri"/>
          <w:color w:val="111111"/>
          <w:sz w:val="28"/>
          <w:sz w:val="28"/>
          <w:szCs w:val="28"/>
          <w:rtl w:val="true"/>
          <w:lang w:bidi="ar-SA"/>
        </w:rPr>
        <w:t>الدالّة على عدم انتقاض الصوم على مَنْ يأتي المرأة في دُبُرها، وعلى عدم وجوب الغسل عليه ما لم ينزل، وعليها ما لم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لانقطاع الأصل، وشمول الفرج للدُّبُر، وضعف المراسيل سنداً، واحتمالها لإرادة التفخيذ من لفظ الإتيان دلالةً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العلّامة التردّد في إيجاب الغسل على الموطوءة وإن وجب على الواطئ</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ويردّه عموم الأدلّة المتقدّمة، والإجماع المنقول على عدم الفرق</w:t>
      </w:r>
      <w:r>
        <w:rPr>
          <w:rStyle w:val="FootnoteAnchor"/>
          <w:rtl w:val="true"/>
        </w:rPr>
        <w:footnoteReference w:id="1511"/>
      </w:r>
      <w:r>
        <w:rPr>
          <w:rFonts w:ascii="Amiri" w:hAnsi="Amiri" w:eastAsia="Amiri" w:cs="Amiri"/>
          <w:color w:val="111111"/>
          <w:sz w:val="28"/>
          <w:sz w:val="28"/>
          <w:szCs w:val="28"/>
          <w:rtl w:val="true"/>
          <w:lang w:bidi="ar-SA"/>
        </w:rPr>
        <w:t>، المؤيّد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إلحاق الوطئ في دُبُر الغلام بالوطئ في دبر المرأة فاعلاً أو مفعولاً؛ للإجماع المنقول على عدم الفصل</w:t>
      </w:r>
      <w:r>
        <w:rPr>
          <w:rStyle w:val="FootnoteAnchor"/>
          <w:rtl w:val="true"/>
        </w:rPr>
        <w:footnoteReference w:id="1512"/>
      </w:r>
      <w:r>
        <w:rPr>
          <w:rFonts w:ascii="Amiri" w:hAnsi="Amiri" w:eastAsia="Amiri" w:cs="Amiri"/>
          <w:color w:val="111111"/>
          <w:sz w:val="28"/>
          <w:sz w:val="28"/>
          <w:szCs w:val="28"/>
          <w:rtl w:val="true"/>
          <w:lang w:bidi="ar-SA"/>
        </w:rPr>
        <w:t>، وفتوى الفحول، وفحوى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غلاماً جاء جنباً يوم القيامة لا ينقّيه ماء الدنيا</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وإطلاق الإدخال والإيلاج في بعض الروايات</w:t>
      </w:r>
      <w:r>
        <w:rPr>
          <w:rStyle w:val="FootnoteAnchor"/>
          <w:rtl w:val="true"/>
        </w:rPr>
        <w:footnoteReference w:id="1515"/>
      </w:r>
      <w:r>
        <w:rPr>
          <w:rFonts w:ascii="Amiri" w:hAnsi="Amiri" w:eastAsia="Amiri" w:cs="Amiri"/>
          <w:color w:val="111111"/>
          <w:sz w:val="28"/>
          <w:sz w:val="28"/>
          <w:szCs w:val="28"/>
          <w:rtl w:val="true"/>
          <w:lang w:bidi="ar-SA"/>
        </w:rPr>
        <w:t>، خلافاً لمن لم يوجبه</w:t>
      </w:r>
      <w:r>
        <w:rPr>
          <w:rStyle w:val="FootnoteAnchor"/>
          <w:rtl w:val="true"/>
        </w:rPr>
        <w:footnoteReference w:id="1516"/>
      </w:r>
      <w:r>
        <w:rPr>
          <w:rFonts w:ascii="Amiri" w:hAnsi="Amiri" w:eastAsia="Amiri" w:cs="Amiri"/>
          <w:color w:val="111111"/>
          <w:sz w:val="28"/>
          <w:sz w:val="28"/>
          <w:szCs w:val="28"/>
          <w:rtl w:val="true"/>
          <w:lang w:bidi="ar-SA"/>
        </w:rPr>
        <w:t>للأصل وعدم النصّ، بل الأحوط إيجاب الغسل بمجرّد الإدخال والإيقاب؛ لترتّب الحدّ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الموطوء حيّاً أو ميّتاً في إيجاب الغسل على الواطئ، ولا بين الواطئ كذلك في إيجاب الغسل على الموطوء، مع احتمال عدم لزوم الغسل فيما لو كان الواطئ ميّتاً؛ للأصل، وانصراف الأدلّة للحىّ،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الصغير والكبير واطئاً أو موطوءاً، كما لا فرق في الإدخال بين أن يكون مستوراً أو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أنّه لا يوجب الغسل فيما لو دخل الذكر ملفوفاً</w:t>
      </w:r>
      <w:r>
        <w:rPr>
          <w:rStyle w:val="FootnoteAnchor"/>
          <w:rtl w:val="true"/>
        </w:rPr>
        <w:footnoteReference w:id="1517"/>
      </w:r>
      <w:r>
        <w:rPr>
          <w:rFonts w:ascii="Amiri" w:hAnsi="Amiri" w:eastAsia="Amiri" w:cs="Amiri"/>
          <w:color w:val="111111"/>
          <w:sz w:val="28"/>
          <w:sz w:val="28"/>
          <w:szCs w:val="28"/>
          <w:rtl w:val="true"/>
          <w:lang w:bidi="ar-SA"/>
        </w:rPr>
        <w:t>؛ تشكيكاً في شمول الأدلّة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أدخله في أُنبوب داخل في الفرج، قوي 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الغسل بوطئ البهيمة أم لا يجب ؟ وجهان، أظهر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إذا كانت واطئةً، والوجوب إذا كانت موطوءةً؛ لفحوى الصحيح المتقدّم </w:t>
      </w:r>
      <w:r>
        <w:rPr>
          <w:rStyle w:val="FootnoteAnchor"/>
          <w:rtl w:val="true"/>
        </w:rPr>
        <w:footnoteReference w:id="1518"/>
      </w:r>
      <w:r>
        <w:rPr>
          <w:rFonts w:ascii="Amiri" w:hAnsi="Amiri" w:eastAsia="Amiri" w:cs="Amiri"/>
          <w:color w:val="111111"/>
          <w:sz w:val="28"/>
          <w:sz w:val="28"/>
          <w:szCs w:val="28"/>
          <w:rtl w:val="true"/>
          <w:lang w:bidi="ar-SA"/>
        </w:rPr>
        <w:t xml:space="preserve">إن قلنا بثبوت الحدّ في وطئها فظاهر، وإن لم نقل به وأوجبنا عليه التعزير فكذلك، إمّا لشمول الحدّ فيدخل في مفهوم الصحيح، وفيما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أوجب الحدّ أوجب الغسل</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أو لشمول المفهوم؛ 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الأعلى ولا توجبون الأدنى، وهو الصاع من الماء</w:t>
      </w:r>
      <w:r>
        <w:rPr>
          <w:rFonts w:eastAsia="Amiri" w:cs="Amiri" w:ascii="Amiri" w:hAnsi="Amiri"/>
          <w:color w:val="111111"/>
          <w:sz w:val="28"/>
          <w:szCs w:val="28"/>
          <w:rtl w:val="true"/>
          <w:lang w:bidi="ar-SA"/>
        </w:rPr>
        <w:t xml:space="preserve">. </w:t>
      </w:r>
      <w:bookmarkStart w:id="842" w:name="pg18988_203445"/>
    </w:p>
    <w:p>
      <w:pPr>
        <w:pStyle w:val="BookText"/>
        <w:rPr/>
      </w:pPr>
      <w:bookmarkEnd w:id="842"/>
      <w:r>
        <w:rPr>
          <w:rFonts w:ascii="Amiri" w:hAnsi="Amiri" w:eastAsia="Amiri" w:cs="Amiri"/>
          <w:color w:val="111111"/>
          <w:sz w:val="28"/>
          <w:sz w:val="28"/>
          <w:szCs w:val="28"/>
          <w:rtl w:val="true"/>
          <w:lang w:bidi="ar-SA"/>
        </w:rPr>
        <w:t>و نُقل عن السيّد أنّه نسب وجوب الغسل هاهنا إلى مذهب الأصحاب</w:t>
      </w:r>
      <w:r>
        <w:rPr>
          <w:rStyle w:val="FootnoteAnchor"/>
          <w:rtl w:val="true"/>
        </w:rPr>
        <w:footnoteReference w:id="1520"/>
      </w:r>
      <w:r>
        <w:rPr>
          <w:rFonts w:ascii="Amiri" w:hAnsi="Amiri" w:eastAsia="Amiri" w:cs="Amiri"/>
          <w:color w:val="111111"/>
          <w:sz w:val="28"/>
          <w:sz w:val="28"/>
          <w:szCs w:val="28"/>
          <w:rtl w:val="true"/>
          <w:lang w:bidi="ar-SA"/>
        </w:rPr>
        <w:t>، ومع ذلك فلولا الاحتياط لكان القول بعدم وجوب الغسل تمسّكاً بالأصل قويّاً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أولج الرجل في دُبُر الخنثى، وجب الغسل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أولج في قُبُله أو أولج الخنثى في دُبُر امرأة أو رجل، لم يجب الغسل؛ لاحتمال الزيادة في أحد الفرجين، فيكون رجلاً في الأوّل وأُنثى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التذكرة</w:t>
      </w:r>
      <w:r>
        <w:rPr>
          <w:rStyle w:val="FootnoteAnchor"/>
          <w:rtl w:val="true"/>
        </w:rPr>
        <w:footnoteReference w:id="1521"/>
      </w:r>
      <w:r>
        <w:rPr>
          <w:rFonts w:ascii="Amiri" w:hAnsi="Amiri" w:eastAsia="Amiri" w:cs="Amiri"/>
          <w:color w:val="111111"/>
          <w:sz w:val="28"/>
          <w:sz w:val="28"/>
          <w:szCs w:val="28"/>
          <w:rtl w:val="true"/>
          <w:lang w:bidi="ar-SA"/>
        </w:rPr>
        <w:t>وجوبَ الغَسل؛ لعمومات الأدلّة من الإدخال والإيلاج والتقاء الختانين، ولفحوى الصحيح المتقدّم</w:t>
      </w:r>
      <w:r>
        <w:rPr>
          <w:rStyle w:val="FootnoteAnchor"/>
          <w:rtl w:val="true"/>
        </w:rPr>
        <w:footnoteReference w:id="1522"/>
      </w:r>
      <w:r>
        <w:rPr>
          <w:rFonts w:ascii="IRNazanin" w:hAnsi="IRNazanin" w:eastAsia="IRNazanin"/>
          <w:color w:val="111111"/>
          <w:sz w:val="28"/>
          <w:sz w:val="28"/>
          <w:szCs w:val="28"/>
          <w:rtl w:val="true"/>
          <w:lang w:bidi="fa-IR"/>
        </w:rPr>
        <w:t>لو أوجبنا به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أولج الرجل في قُبُل الخنثى، والخنثى في قُبُل المرأة، تعلّق حكم الجنابة بالخنثى قطعاً، وكان الرجل والمرأة كواجدي المنيّ في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وجوب شيء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ما ذكره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حكم الجنابة بالجميع</w:t>
      </w:r>
      <w:r>
        <w:rPr>
          <w:rFonts w:eastAsia="IRNazanin" w:cs="IRNazanin"/>
          <w:color w:val="111111"/>
          <w:sz w:val="28"/>
          <w:szCs w:val="28"/>
          <w:rtl w:val="true"/>
          <w:lang w:bidi="fa-IR"/>
        </w:rPr>
        <w:t>.</w:t>
      </w:r>
    </w:p>
    <w:p>
      <w:pPr>
        <w:pStyle w:val="Heading5"/>
        <w:numPr>
          <w:ilvl w:val="4"/>
          <w:numId w:val="1"/>
        </w:numPr>
        <w:rPr/>
      </w:pPr>
      <w:bookmarkStart w:id="843" w:name="__RefHeading___Toc13198003_1280447820"/>
      <w:bookmarkStart w:id="844" w:name="_Toc328"/>
      <w:bookmarkEnd w:id="843"/>
      <w:r>
        <w:rPr>
          <w:rtl w:val="true"/>
        </w:rPr>
        <w:t>ثانيها</w:t>
      </w:r>
      <w:r>
        <w:rPr>
          <w:rtl w:val="true"/>
        </w:rPr>
        <w:t xml:space="preserve">: </w:t>
      </w:r>
      <w:r>
        <w:rPr>
          <w:rtl w:val="true"/>
        </w:rPr>
        <w:t>يجب الغسل بالإنزال</w:t>
      </w:r>
      <w:bookmarkEnd w:id="844"/>
    </w:p>
    <w:p>
      <w:pPr>
        <w:pStyle w:val="BookText"/>
        <w:rPr/>
      </w:pPr>
      <w:r>
        <w:rPr>
          <w:rFonts w:ascii="Amiri" w:hAnsi="Amiri" w:eastAsia="Amiri" w:cs="Amiri"/>
          <w:color w:val="111111"/>
          <w:sz w:val="28"/>
          <w:sz w:val="28"/>
          <w:szCs w:val="28"/>
          <w:rtl w:val="true"/>
          <w:lang w:bidi="ar-SA"/>
        </w:rPr>
        <w:t>يجب الغسل بالإنزال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بعد الاستبراء منه، أو ظنّاً وشكّاً قبل ذلك، من الرجل إجماعاً فتوىً وروايةً</w:t>
      </w:r>
      <w:r>
        <w:rPr>
          <w:rStyle w:val="FootnoteAnchor"/>
          <w:rtl w:val="true"/>
        </w:rPr>
        <w:footnoteReference w:id="1523"/>
      </w:r>
      <w:r>
        <w:rPr>
          <w:rFonts w:ascii="Amiri" w:hAnsi="Amiri" w:eastAsia="Amiri" w:cs="Amiri"/>
          <w:color w:val="111111"/>
          <w:sz w:val="28"/>
          <w:sz w:val="28"/>
          <w:szCs w:val="28"/>
          <w:rtl w:val="true"/>
          <w:lang w:bidi="ar-SA"/>
        </w:rPr>
        <w:t>، بل ضرورةً، ومن الامرأة على الأظهر الأشهر فتوىً وروايةً</w:t>
      </w:r>
      <w:r>
        <w:rPr>
          <w:rStyle w:val="FootnoteAnchor"/>
          <w:rtl w:val="true"/>
        </w:rPr>
        <w:footnoteReference w:id="1524"/>
      </w:r>
      <w:r>
        <w:rPr>
          <w:rFonts w:ascii="Amiri" w:hAnsi="Amiri" w:eastAsia="Amiri" w:cs="Amiri"/>
          <w:color w:val="111111"/>
          <w:sz w:val="28"/>
          <w:sz w:val="28"/>
          <w:szCs w:val="28"/>
          <w:rtl w:val="true"/>
          <w:lang w:bidi="ar-SA"/>
        </w:rPr>
        <w:t>، بل وإجماعاً منقولاً</w:t>
      </w:r>
      <w:r>
        <w:rPr>
          <w:rStyle w:val="FootnoteAnchor"/>
          <w:rtl w:val="true"/>
        </w:rPr>
        <w:footnoteReference w:id="1525"/>
      </w:r>
      <w:r>
        <w:rPr>
          <w:rFonts w:ascii="Amiri" w:hAnsi="Amiri" w:eastAsia="Amiri" w:cs="Amiri"/>
          <w:color w:val="111111"/>
          <w:sz w:val="28"/>
          <w:sz w:val="28"/>
          <w:szCs w:val="28"/>
          <w:rtl w:val="true"/>
          <w:lang w:bidi="ar-SA"/>
        </w:rPr>
        <w:t>، بل كاد أن يكون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الامرأة ترى ما يرى الرجل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أنزلت فعليها الغسل، وإن لم تنزل فلا</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وأنّ الرجل يجامع امرأته دون الفرج إذا أنزلت عليها الغسل</w:t>
      </w:r>
      <w:r>
        <w:rPr>
          <w:rStyle w:val="FootnoteAnchor"/>
          <w:rtl w:val="true"/>
        </w:rPr>
        <w:footnoteReference w:id="152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 من نفي الغسل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الوارد في مَنْ أمذى وأمنت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عليه وضوء ولا عليها غسل</w:t>
      </w:r>
      <w:r>
        <w:rPr>
          <w:rStyle w:val="FootnoteAnchor"/>
          <w:rtl w:val="true"/>
        </w:rPr>
        <w:footnoteReference w:id="1528"/>
      </w:r>
      <w:r>
        <w:rPr>
          <w:rFonts w:ascii="Amiri" w:hAnsi="Amiri" w:eastAsia="Amiri" w:cs="Amiri"/>
          <w:color w:val="111111"/>
          <w:sz w:val="28"/>
          <w:sz w:val="28"/>
          <w:szCs w:val="28"/>
          <w:rtl w:val="true"/>
          <w:lang w:bidi="ar-SA"/>
        </w:rPr>
        <w:t xml:space="preserve">،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المرأة غسل من جنابتها إذا لم يأتها الرجل؟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1529"/>
      </w:r>
      <w:r>
        <w:rPr>
          <w:rFonts w:ascii="Amiri" w:hAnsi="Amiri" w:eastAsia="Amiri" w:cs="Amiri"/>
          <w:color w:val="111111"/>
          <w:sz w:val="28"/>
          <w:sz w:val="28"/>
          <w:szCs w:val="28"/>
          <w:rtl w:val="true"/>
          <w:lang w:bidi="ar-SA"/>
        </w:rPr>
        <w:t>ولم يقل ذلك لهنّ</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بالاحتلام وعدم وجوبه بالخروج يقظةً مع عدم الجماع</w:t>
      </w:r>
      <w:r>
        <w:rPr>
          <w:rStyle w:val="FootnoteAnchor"/>
          <w:rtl w:val="true"/>
        </w:rPr>
        <w:footnoteReference w:id="1531"/>
      </w:r>
      <w:r>
        <w:rPr>
          <w:rFonts w:ascii="Amiri" w:hAnsi="Amiri" w:eastAsia="Amiri" w:cs="Amiri"/>
          <w:color w:val="111111"/>
          <w:sz w:val="28"/>
          <w:sz w:val="28"/>
          <w:szCs w:val="28"/>
          <w:rtl w:val="true"/>
          <w:lang w:bidi="ar-SA"/>
        </w:rPr>
        <w:t xml:space="preserve">، وهو ضعيف شاذّ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مطرّح، أو محمول على عدم لزوم تعليمهنّ بذلك وبيان ذلك لهنّ، أو على عدم لزوم التجسّس عن ذلك، أو على عدم لزوم الأمر لهنّ بالغسل لو علم ذلك منهنّ الرجل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توقّف الجنابة على خروج المنيّ من الموضع المعتاد للخروج، بل يكفي مطلق الخروج من الطبيعي وغيره من المعتاد وغيره، انسدّ الخلقي أم لم ينسدّ؛ لإطلاق الأخبار</w:t>
      </w:r>
      <w:r>
        <w:rPr>
          <w:rStyle w:val="FootnoteAnchor"/>
          <w:rtl w:val="true"/>
        </w:rPr>
        <w:footnoteReference w:id="1532"/>
      </w:r>
      <w:r>
        <w:rPr>
          <w:rFonts w:ascii="Amiri" w:hAnsi="Amiri" w:eastAsia="Amiri" w:cs="Amiri"/>
          <w:color w:val="111111"/>
          <w:sz w:val="28"/>
          <w:sz w:val="28"/>
          <w:szCs w:val="28"/>
          <w:rtl w:val="true"/>
          <w:lang w:bidi="ar-SA"/>
        </w:rPr>
        <w:t>وكلام الأصحاب، وانصراف الأخبار للمعهود المتعارف ممكن لو لم يكن المشهور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تحرّك من محلّه أو خرج من نفس محلّه من الأعالي دون الأسافل، فلا إشكال في عدم وجوب الغسل في الأوّل، والأظهر عدمه في الأخير، وإن كان الأحوط 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في وجوب الغسل على القطع بكون الخارج منيّاً؛ لعموم الأخبار</w:t>
      </w:r>
      <w:r>
        <w:rPr>
          <w:rStyle w:val="FootnoteAnchor"/>
          <w:rtl w:val="true"/>
        </w:rPr>
        <w:footnoteReference w:id="1533"/>
      </w:r>
      <w:r>
        <w:rPr>
          <w:rFonts w:ascii="Amiri" w:hAnsi="Amiri" w:eastAsia="Amiri" w:cs="Amiri"/>
          <w:color w:val="111111"/>
          <w:sz w:val="28"/>
          <w:sz w:val="28"/>
          <w:szCs w:val="28"/>
          <w:rtl w:val="true"/>
          <w:lang w:bidi="ar-SA"/>
        </w:rPr>
        <w:t xml:space="preserve">وكلام الأصحاب، والإجماعات المنقولة </w:t>
      </w:r>
      <w:r>
        <w:rPr>
          <w:rStyle w:val="FootnoteAnchor"/>
          <w:rtl w:val="true"/>
        </w:rPr>
        <w:footnoteReference w:id="1534"/>
      </w:r>
      <w:r>
        <w:rPr>
          <w:rFonts w:ascii="Amiri" w:hAnsi="Amiri" w:eastAsia="Amiri" w:cs="Amiri"/>
          <w:color w:val="111111"/>
          <w:sz w:val="28"/>
          <w:sz w:val="28"/>
          <w:szCs w:val="28"/>
          <w:rtl w:val="true"/>
          <w:lang w:bidi="ar-SA"/>
        </w:rPr>
        <w:t>في الباب، فلا يصلح أن يقيّد ذلك ما جاء من تقييد إيجاب الغسل من المنيّ في الصحيح بالشهوة والفتورة والدفع، وإن لم يكن شهوة ولا فترة فلا بأس</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بالشهوة في الآخَرين</w:t>
      </w:r>
      <w:r>
        <w:rPr>
          <w:rStyle w:val="FootnoteAnchor"/>
          <w:rtl w:val="true"/>
        </w:rPr>
        <w:footnoteReference w:id="1536"/>
      </w:r>
      <w:r>
        <w:rPr>
          <w:rFonts w:ascii="Amiri" w:hAnsi="Amiri" w:eastAsia="Amiri" w:cs="Amiri"/>
          <w:color w:val="111111"/>
          <w:sz w:val="28"/>
          <w:sz w:val="28"/>
          <w:szCs w:val="28"/>
          <w:rtl w:val="true"/>
          <w:lang w:bidi="ar-SA"/>
        </w:rPr>
        <w:t>أيضاً؛ لعدم المقاومة، فلا بدّ من طرحه أو حمله على التقيّة أو على حالة الاشتباه، على أنّ التقييد في بعضها بالمفهوم الوارد منطوقه مورد الغالب، فيسقط عن الحجّيّة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وقع الاشتباه اعتبر بالصفات الواردة في الأخبار</w:t>
      </w:r>
      <w:r>
        <w:rPr>
          <w:rStyle w:val="FootnoteAnchor"/>
          <w:rtl w:val="true"/>
        </w:rPr>
        <w:footnoteReference w:id="1537"/>
      </w:r>
      <w:r>
        <w:rPr>
          <w:rFonts w:ascii="Amiri" w:hAnsi="Amiri" w:eastAsia="Amiri" w:cs="Amiri"/>
          <w:color w:val="111111"/>
          <w:sz w:val="28"/>
          <w:sz w:val="28"/>
          <w:szCs w:val="28"/>
          <w:rtl w:val="true"/>
          <w:lang w:bidi="ar-SA"/>
        </w:rPr>
        <w:t xml:space="preserve">وكلام الأصحاب من الخروج بشهوة ودفق والفتور بعد ذلك، وهو في الرجل قطعيّ، فيدلّ وجود الجميع على وجوده في </w:t>
      </w:r>
      <w:bookmarkStart w:id="845" w:name="pg18988_203447"/>
    </w:p>
    <w:p>
      <w:pPr>
        <w:pStyle w:val="BookText"/>
        <w:rPr/>
      </w:pPr>
      <w:bookmarkEnd w:id="845"/>
      <w:r>
        <w:rPr>
          <w:rFonts w:ascii="Amiri" w:hAnsi="Amiri" w:eastAsia="Amiri" w:cs="Amiri"/>
          <w:color w:val="111111"/>
          <w:sz w:val="28"/>
          <w:sz w:val="28"/>
          <w:szCs w:val="28"/>
          <w:rtl w:val="true"/>
          <w:lang w:bidi="ar-SA"/>
        </w:rPr>
        <w:t>الرجل قطعاً، وكذا في الامرأة، إلّا أنّه اكتفي بالشهوة فقط بالنسبة إلى الامرأة وإن فقدت الباقي، كما جاء في الصحيح</w:t>
      </w:r>
      <w:r>
        <w:rPr>
          <w:rStyle w:val="FootnoteAnchor"/>
          <w:rtl w:val="true"/>
        </w:rPr>
        <w:footnoteReference w:id="1538"/>
      </w:r>
      <w:r>
        <w:rPr>
          <w:rFonts w:ascii="IRNazanin" w:hAnsi="IRNazanin" w:eastAsia="IRNazanin"/>
          <w:color w:val="111111"/>
          <w:sz w:val="28"/>
          <w:sz w:val="28"/>
          <w:szCs w:val="28"/>
          <w:rtl w:val="true"/>
          <w:lang w:bidi="fa-IR"/>
        </w:rPr>
        <w:t>، وأفتى به بعض الأعلام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بالنسبة إلى المريض؛ للصحيح الدالّ على كفاية الشهوة عند خروج المشتبه منه وإن لم يحصل غيرها من العلائم؛ معلّلاً بأنّ الصحيح غير المريض، لأنّ المريض ليس له دفع وقوّة</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وُجد بعضٌ من تلك العلامات دون بعضٍ بالنسبة للرجل الصحيح، فهل يكتفى به أم لا؟ وكذا لو وُجد غيرها ممّا يفيد الظنّ به، فهل يجب اعتباره من رائحة ولون وتأثير؛ لأنّ المفهوم من الأخبار ليس إرادة التعبّد بحصولها بل لحصول الظنّ بكشفها، أو لا يجب اعتباره إلّا بالمنصوص من العلائم؛ لأصالة العدم، وعدم القطع بكون العلّة هي إفادة الظنّ؟ وجوه وأقوال، أقواها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الدفق والشهوة؛ لملازمته لحصول المنيّ في العادة،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دَافِقٍ</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الدفق مطلقاً، انفرد أو اجتمع مع غيره؛ للآية</w:t>
      </w:r>
      <w:r>
        <w:rPr>
          <w:rStyle w:val="FootnoteAnchor"/>
          <w:rtl w:val="true"/>
        </w:rPr>
        <w:footnoteReference w:id="1542"/>
      </w:r>
      <w:r>
        <w:rPr>
          <w:rFonts w:ascii="IRNazanin" w:hAnsi="IRNazanin" w:eastAsia="IRNazanin"/>
          <w:color w:val="111111"/>
          <w:sz w:val="28"/>
          <w:sz w:val="28"/>
          <w:szCs w:val="28"/>
          <w:rtl w:val="true"/>
          <w:lang w:bidi="fa-IR"/>
        </w:rPr>
        <w:t>وفتوى بعض الأصحاب</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الأوصاف اللازمة في الثاني سيّما ما ذكروه من قرب رائحته لرائحة الطلع رطباً، ولرائحة بياض البيض جافّاً</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3198005_1280447820"/>
      <w:bookmarkStart w:id="847" w:name="_Toc329"/>
      <w:bookmarkEnd w:id="846"/>
      <w:r>
        <w:rPr>
          <w:rtl w:val="true"/>
        </w:rPr>
        <w:t>ثالثها</w:t>
      </w:r>
      <w:r>
        <w:rPr>
          <w:rtl w:val="true"/>
        </w:rPr>
        <w:t xml:space="preserve">: </w:t>
      </w:r>
      <w:r>
        <w:rPr>
          <w:rtl w:val="true"/>
        </w:rPr>
        <w:t>حکم مَن رأی فی ثوبه منیّاً</w:t>
      </w:r>
      <w:bookmarkEnd w:id="847"/>
    </w:p>
    <w:p>
      <w:pPr>
        <w:pStyle w:val="BookText"/>
        <w:rPr/>
      </w:pPr>
      <w:r>
        <w:rPr>
          <w:rFonts w:ascii="Amiri" w:hAnsi="Amiri" w:eastAsia="Amiri" w:cs="Amiri"/>
          <w:color w:val="111111"/>
          <w:sz w:val="28"/>
          <w:sz w:val="28"/>
          <w:szCs w:val="28"/>
          <w:rtl w:val="true"/>
          <w:lang w:bidi="ar-SA"/>
        </w:rPr>
        <w:t>إذا رأى الإنسان في ثوبه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يشاركه فيه أُنثى ولا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بدنه منيّاً قد علمه بالصفات من رائحة أو غيرها أو من بيّنةٍ شهدت له بذلك، فإن علم أنّه منه وأنّه في زمن خاصّ، فلا إشكال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علمه أنّه منه ولكنّه لا يدري بز من حدوثه، فالأظهر الحكم عليه بالتأخّر إلى زمن يعلم عدم تأخّره عنه من نوم أو يقظة، فيعيد الصلاة المعلومة التأخّر عن ذلك الزمن بعد أن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بأنّه إن شكّ في كون هذا المنيّ من جنابات سابقة قد اغتسل لهنّ أو لاحقة، لم يجب عليه الغسل؛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إلّا أنّ الأوّل أحوط</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وجوب إعادة كلّ صلاةٍ صلّاها بعد آخِر غسل من جنابةٍ متقدّمة بعد أن يغتسل هذا الغسل الواجب عليه للاحتياط، وربما نقل عن الشيخ</w:t>
      </w:r>
      <w:r>
        <w:rPr>
          <w:rStyle w:val="FootnoteAnchor"/>
          <w:rtl w:val="true"/>
        </w:rPr>
        <w:footnoteReference w:id="154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 لأنّ هذا المقام ليس من مقامات وجوب الاحتياط القاطعة لأصل البراءة، على أنّه يلزمه إيجاب الإعادة على مَنْ لم يعلم بوقوع الجنابة منه والاغتسال مدّة عظيمة ولو أربعون سنة، كمن لم يجنب من أوّل بلوغه إلى مضيّ ذلك القدر، بل يلزمه على ما ارتكبه من جادّة الاحتياط أن يعيد كلّ صلاةٍ صلّاها قبل آخر الأغسال إذا احتمل سبق خروج المنيّ عليه،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الحدث، وأمّا بالنسبة إلى الخبث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جاهل النجاسة لا يعيد فلا حكم له، وإن قلنا بالإعادة وجب عليه إعادة ما علم مقارنته للصلاة من الأزمنة، سواء علم بارتفاع حدثه قبل ذلك كما إذا علم أنّه من النومة الأخيرة وقد اغتسل بعدها ولكن لم يغسل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واجد المني في ثوبه المختصّ كونه منه، فإن شكّ في كونه منه أو من غيره واقع عليه يقظةً أو نوماً، فالأصل البراءة، وإن ظنّ كونه منه؛ لضعف احتمال كونه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الحكم بكونه منه ؛ للأخبار الدالّة على وجوب الغسل وإعادة الصلاة على مَنْ يصبح ويرى في ثوبه المنيّ ولم يكن قد رأى في منامه أنّه احتلم كموثّقة سماعة</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والدالّة على وجوب الغسل على مَنْ يرى في ثوبه أو على فخذه الماء، ولم ير في نومه أنّه احتلم</w:t>
      </w:r>
      <w:r>
        <w:rPr>
          <w:rStyle w:val="FootnoteAnchor"/>
          <w:rtl w:val="true"/>
        </w:rPr>
        <w:footnoteReference w:id="1546"/>
      </w:r>
      <w:r>
        <w:rPr>
          <w:rFonts w:ascii="Amiri" w:hAnsi="Amiri" w:eastAsia="Amiri" w:cs="Amiri"/>
          <w:color w:val="111111"/>
          <w:sz w:val="28"/>
          <w:sz w:val="28"/>
          <w:szCs w:val="28"/>
          <w:rtl w:val="true"/>
          <w:lang w:bidi="ar-SA"/>
        </w:rPr>
        <w:t>، وظاهرها الشمول للمقطوع به والمظنون، بل هي في الثاني أظهر؛ لمكان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شمولها لصورة الشكّ فهو غير ظاهرٍ؛ لندرة حصول الشكّ في الثوب المختصّ أنّه منه أو من غيره، فيبقى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يُحمل ما رواه أبو بصير عمّن يصيب ثوبه منيّ ولم يعلم أنّه احتلم،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ليغسل ما وجد بثوبه وليتوضأ</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حمل الأخبار الأوّليّة على صورة العلم وحمل خبر أبي بصير على صورة عدمه؛ لقاعدة عدم جواز نقض اليقين بالشكّ، فهو بعيد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الواجد المنيّ في الثوب المشترك بينه وبين غيره على سبيل الاجتماع أو على سبيل </w:t>
      </w:r>
      <w:bookmarkStart w:id="848" w:name="pg18988_203449"/>
    </w:p>
    <w:p>
      <w:pPr>
        <w:pStyle w:val="BookText"/>
        <w:rPr/>
      </w:pPr>
      <w:bookmarkEnd w:id="848"/>
      <w:r>
        <w:rPr>
          <w:rFonts w:ascii="Amiri" w:hAnsi="Amiri" w:eastAsia="Amiri" w:cs="Amiri"/>
          <w:color w:val="111111"/>
          <w:sz w:val="28"/>
          <w:sz w:val="28"/>
          <w:szCs w:val="28"/>
          <w:rtl w:val="true"/>
          <w:lang w:bidi="ar-SA"/>
        </w:rPr>
        <w:t>النوبة والتعاقب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القاعدة من عدم جواز نقض اليقين إلّا باليقين، فلا يحكم بالحدث من دون اليقين، ظنّ بكونه منه أم لا، شكّ أم لا، وجده في نوبته أو وجده في نوبة صاحبه، وربّما يُحمل على ذلك رواية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إلحاق صاحب النوبة فيما إذا كان الاشتراك على التناوب بصاحب الثوب المختصّ ؛ لاختصاصه به، ولأصالة تأخّر وجوده سيّما مع طول نوبته كسنة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أقوى؛ لعموم الأدلّة من غير معارضٍ، ولاختصاص الروايات المتقدّمة بصاحب الثوب المختصّ، كما يظهر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صاحبا النوبة يُحكم عليهما مع اختصاصه بهما مع العلم والظنّ بذلك أنّه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حكمهما بالنسبة إلى غيرهما حكم الشبهة المحصورة، فيجب تجنّبهما في الائتمام، فلا يأتمّ بأحدهما ولا بكلٍّ منهما سواء ائتمّ بكلّ واحدٍ منهما في فرضٍ منفرد أو ائتمّ بكلّ واحدٍ منهما في فرضٍ واحد كالمسبوق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احتسابهما معاً من عدد أهل الجمعة، ولا يجوز ائتمام أحدهما بالآخَر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وحكمهما بالنسبة إلى أنفسهما حكم غير المحصورة، فيتمسّك كلٌّ منهما بيقين الطهارة السابق، فيكون كمن تيقّن الطهارة وشكّ في الحدث، فلا يجب على أحدهما غسل، ولا يحرم عليه ما يحرم على المجنب من دخول مساجد أو قراءة 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الائتمام جائز خلف مَنْ حُكم بصحّة صلاته بظاهر الشرع، ويكفي في صحّة صلاة المأموم عدم علمه بفساد صلاة الإمام، ولا يشترط علمه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اجتنابهما معاً، وأحوط منه اجتناب كلٍّ منهما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لما فوق الاثنين ولغير حدث المنيّ من الأحداث، ولا خصوصيّة للاثنين ولا للمنيّ ولا للثوب</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3198007_1280447820"/>
      <w:bookmarkStart w:id="850" w:name="_Toc330"/>
      <w:bookmarkEnd w:id="849"/>
      <w:r>
        <w:rPr>
          <w:rtl w:val="true"/>
        </w:rPr>
        <w:t>رابعها</w:t>
      </w:r>
      <w:r>
        <w:rPr>
          <w:rtl w:val="true"/>
        </w:rPr>
        <w:t xml:space="preserve">: </w:t>
      </w:r>
      <w:r>
        <w:rPr>
          <w:rtl w:val="true"/>
        </w:rPr>
        <w:t>أحکام صُور ما إذاخرج منه بلل بعد الغسل</w:t>
      </w:r>
      <w:bookmarkEnd w:id="85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منه بعد الغسل بلل، فإن علم أنّه منيّ أو بول، فلا إشكال في إعطاء كلٍّ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أنّه ليس أحدهما فلا إشكال أيضاً في بقاء طهارته 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حاله سواء لم يعلم حاله مطلقاً أو علم أنّه لا يخلو عن أحدهما ولكنّه لا يعرفه بعينه، فلا يخلو إمّا أن يكون قد بال قبل الغسل واجتهد، أو فعل أحدهما فقط، أو لم يفعل شيئاً منهما، ثمّ مع الإتيان بالاجتهاد خاصّةً فإما أن يكون مع إمكان البول، أو يكون مع عدم إمكانه، فهذه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ويجتهد قبل الغسل ثمّ يجد بللاً بعد الغسل، فالظاهر أنّه لا إشكال في عدم وجوب إعادة الغسل والوضوء معاً؛ للاستصحاب، وفتوى الأصحاب، وأخبار الباب</w:t>
      </w:r>
      <w:r>
        <w:rPr>
          <w:rStyle w:val="FootnoteAnchor"/>
          <w:rtl w:val="true"/>
        </w:rPr>
        <w:footnoteReference w:id="1548"/>
      </w:r>
      <w:r>
        <w:rPr>
          <w:rFonts w:ascii="Amiri" w:hAnsi="Amiri" w:eastAsia="Amiri" w:cs="Amiri"/>
          <w:color w:val="111111"/>
          <w:sz w:val="28"/>
          <w:sz w:val="28"/>
          <w:szCs w:val="28"/>
          <w:rtl w:val="true"/>
          <w:lang w:bidi="ar-SA"/>
        </w:rPr>
        <w:t>، الدالّة على أنّ مَنْ بال سقط عنه إعادة الغسل، وهي متكثّرة معتبرة معمول عليها لاشكّ في مضمونها، والدالّة على أنّ مَنْ استبرأ لا شيء عليه، وقد تقدّمت كيفيّة الاستبراء، ومع الأخذ بما هو الأحوط فيها لا يبقى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لايبول ولا يجتهد وخرج ما يشكّ فيه بين كونه منيّاً أو غيره، سواء كان الغير بولاً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وجوب إعادة الغسل؛ لفتوى المشهور ، والإجماع المنقول</w:t>
      </w:r>
      <w:r>
        <w:rPr>
          <w:rStyle w:val="FootnoteAnchor"/>
          <w:rtl w:val="true"/>
        </w:rPr>
        <w:footnoteReference w:id="1549"/>
      </w:r>
      <w:r>
        <w:rPr>
          <w:rFonts w:ascii="Amiri" w:hAnsi="Amiri" w:eastAsia="Amiri" w:cs="Amiri"/>
          <w:color w:val="111111"/>
          <w:sz w:val="28"/>
          <w:sz w:val="28"/>
          <w:szCs w:val="28"/>
          <w:rtl w:val="true"/>
          <w:lang w:bidi="ar-SA"/>
        </w:rPr>
        <w:t>، والأخبار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يجنب ثمّ يغتسل قبل أن يبول ويجد بللاً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يخرج منه شيء وقد فعل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منصور بن حازم</w:t>
      </w:r>
      <w:r>
        <w:rPr>
          <w:rStyle w:val="FootnoteAnchor"/>
          <w:rtl w:val="true"/>
        </w:rPr>
        <w:footnoteReference w:id="155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ابن مسلم عمّن يخرج من إحليله بعدما يغتسل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ويعيد الصلاة، إلّا أن يكون قد بال قبل أن يغتسل، فإنّه لا يعيد غسله</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يبل حتّى اغتسل ثمّ وجد البلل فليعد الغسل</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المتكثّرة المعتبرة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ما جاء في عدّة أخبار من عدم وجوب الغسل على مَنْ ترك البول مطلقاً في بعضها</w:t>
      </w:r>
      <w:r>
        <w:rPr>
          <w:rStyle w:val="FootnoteAnchor"/>
          <w:rtl w:val="true"/>
        </w:rPr>
        <w:footnoteReference w:id="1555"/>
      </w:r>
      <w:r>
        <w:rPr>
          <w:rFonts w:ascii="Amiri" w:hAnsi="Amiri" w:eastAsia="Amiri" w:cs="Amiri"/>
          <w:color w:val="111111"/>
          <w:sz w:val="28"/>
          <w:sz w:val="28"/>
          <w:szCs w:val="28"/>
          <w:rtl w:val="true"/>
          <w:lang w:bidi="ar-SA"/>
        </w:rPr>
        <w:t>، ونسياناً في بعضٍ آخَر</w:t>
      </w:r>
      <w:r>
        <w:rPr>
          <w:rStyle w:val="FootnoteAnchor"/>
          <w:rtl w:val="true"/>
        </w:rPr>
        <w:footnoteReference w:id="1556"/>
      </w:r>
      <w:r>
        <w:rPr>
          <w:rFonts w:ascii="Amiri" w:hAnsi="Amiri" w:eastAsia="Amiri" w:cs="Amiri"/>
          <w:color w:val="111111"/>
          <w:sz w:val="28"/>
          <w:sz w:val="28"/>
          <w:szCs w:val="28"/>
          <w:rtl w:val="true"/>
          <w:lang w:bidi="ar-SA"/>
        </w:rPr>
        <w:t>لعدم مقاومتها لتلك الأخبار سنداً وعدداً و دلالةً و اشتهاراً و انجباراً، فلا بدّ من طرحها، أو تنزيلها على صورة الإتيان بالاستبراء مع عدم إمكان البول أو مطلقاً على اختلاف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وحملها على الإباحة وحمل تلك على الندب فرع المقاومة، وليس فليس؛ لضعف الروايات المشتملة على عدم الإعادة؛ لأنّ رُواتها بين مَنْ نُسب إليه الكذب</w:t>
      </w:r>
      <w:r>
        <w:rPr>
          <w:rStyle w:val="FootnoteAnchor"/>
          <w:rtl w:val="true"/>
        </w:rPr>
        <w:footnoteReference w:id="1557"/>
      </w:r>
      <w:r>
        <w:rPr>
          <w:rFonts w:ascii="Amiri" w:hAnsi="Amiri" w:eastAsia="Amiri" w:cs="Amiri"/>
          <w:color w:val="111111"/>
          <w:sz w:val="28"/>
          <w:sz w:val="28"/>
          <w:szCs w:val="28"/>
          <w:rtl w:val="true"/>
          <w:lang w:bidi="ar-SA"/>
        </w:rPr>
        <w:t>، وبين مَنْ نُسب إليه الغلوّ</w:t>
      </w:r>
      <w:r>
        <w:rPr>
          <w:rStyle w:val="FootnoteAnchor"/>
          <w:rtl w:val="true"/>
        </w:rPr>
        <w:footnoteReference w:id="1558"/>
      </w:r>
      <w:r>
        <w:rPr>
          <w:rFonts w:ascii="Amiri" w:hAnsi="Amiri" w:eastAsia="Amiri" w:cs="Amiri"/>
          <w:color w:val="111111"/>
          <w:sz w:val="28"/>
          <w:sz w:val="28"/>
          <w:szCs w:val="28"/>
          <w:rtl w:val="true"/>
          <w:lang w:bidi="ar-SA"/>
        </w:rPr>
        <w:t>، وبين مَنْ هو مهمل</w:t>
      </w:r>
      <w:r>
        <w:rPr>
          <w:rStyle w:val="FootnoteAnchor"/>
          <w:rtl w:val="true"/>
        </w:rPr>
        <w:footnoteReference w:id="1559"/>
      </w:r>
      <w:r>
        <w:rPr>
          <w:rFonts w:ascii="Amiri" w:hAnsi="Amiri" w:eastAsia="Amiri" w:cs="Amiri"/>
          <w:color w:val="111111"/>
          <w:sz w:val="28"/>
          <w:sz w:val="28"/>
          <w:szCs w:val="28"/>
          <w:rtl w:val="true"/>
          <w:lang w:bidi="ar-SA"/>
        </w:rPr>
        <w:t>، وبين مَنْ لم يذكر بمدح ولا قدح</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يعارض ما ذكرناه من الأخبار ما نُسب للصدوق من نفي وجوب الغسل ووجوب الوضوء</w:t>
      </w:r>
      <w:r>
        <w:rPr>
          <w:rStyle w:val="FootnoteAnchor"/>
          <w:rtl w:val="true"/>
        </w:rPr>
        <w:footnoteReference w:id="1561"/>
      </w:r>
      <w:r>
        <w:rPr>
          <w:rFonts w:ascii="Amiri" w:hAnsi="Amiri" w:eastAsia="Amiri" w:cs="Amiri"/>
          <w:color w:val="111111"/>
          <w:sz w:val="28"/>
          <w:sz w:val="28"/>
          <w:szCs w:val="28"/>
          <w:rtl w:val="true"/>
          <w:lang w:bidi="ar-SA"/>
        </w:rPr>
        <w:t>استناداً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رأى بللاً ولم يكن بال فليتوضّأ ولا يغتسل، إنّما ذلك من الحبائل</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لضعفه سنداً وعدداً ودلالةً، ولأنّ كونه من الحبائل ينبغي أن لا يوجب شيئاً فلا بدّ من طرحه أو حمله على إرادة غسل ما خرج من لفظ الوضوء، فيكون مساقه مساق الأخبار النافية لوجوب الغسل، فيُحمل على مَن اجتهد قبل الغسل، فيراد بالوضوء حينئذٍ غَسْل البلل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بعد الغسل مَنْ لم يبل ولم يجتهد كانت صلاته صحيحةً؛ لصحّة غسله، ولا تجب عليه إعادة الصلاة، ولو وجب عليه إعادة الغسل عند خروج المشتبه لاحتاج الإعادة إلى دليل يدلّ عليها بعد الحكم ظاهراً بصحّتها، وليس فليس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وخيال أن صحّتها مشروطة بشرطٍ متأخّر وهو عدم خروج بلل مشتبه، ضعیف مخالف لفتوى المشهور ولإطلاقات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أوجب إعادةَ الصلاة بعضٌ</w:t>
      </w:r>
      <w:r>
        <w:rPr>
          <w:rStyle w:val="FootnoteAnchor"/>
          <w:rtl w:val="true"/>
        </w:rPr>
        <w:footnoteReference w:id="1563"/>
      </w:r>
      <w:r>
        <w:rPr>
          <w:rFonts w:ascii="Amiri" w:hAnsi="Amiri" w:eastAsia="Amiri" w:cs="Amiri"/>
          <w:color w:val="111111"/>
          <w:sz w:val="28"/>
          <w:sz w:val="28"/>
          <w:szCs w:val="28"/>
          <w:rtl w:val="true"/>
          <w:lang w:bidi="ar-SA"/>
        </w:rPr>
        <w:t>مستندين</w:t>
      </w:r>
      <w:r>
        <w:rPr>
          <w:rStyle w:val="FootnoteAnchor"/>
          <w:rtl w:val="true"/>
        </w:rPr>
        <w:footnoteReference w:id="1564"/>
      </w:r>
      <w:r>
        <w:rPr>
          <w:rFonts w:ascii="Amiri" w:hAnsi="Amiri" w:eastAsia="Amiri" w:cs="Amiri"/>
          <w:color w:val="111111"/>
          <w:sz w:val="28"/>
          <w:sz w:val="28"/>
          <w:szCs w:val="28"/>
          <w:rtl w:val="true"/>
          <w:lang w:bidi="ar-SA"/>
        </w:rPr>
        <w:t xml:space="preserve">ب لهم آخَرون </w:t>
      </w:r>
      <w:r>
        <w:rPr>
          <w:rStyle w:val="FootnoteAnchor"/>
          <w:rtl w:val="true"/>
        </w:rPr>
        <w:footnoteReference w:id="1565"/>
      </w:r>
      <w:r>
        <w:rPr>
          <w:rFonts w:ascii="Amiri" w:hAnsi="Amiri" w:eastAsia="Amiri" w:cs="Amiri"/>
          <w:color w:val="111111"/>
          <w:sz w:val="28"/>
          <w:sz w:val="28"/>
          <w:szCs w:val="28"/>
          <w:rtl w:val="true"/>
          <w:lang w:bidi="ar-SA"/>
        </w:rPr>
        <w:t>صحيحة ابن مسلم</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لضعف الاستناد إليها في هذا الحكم مع مخالفتها فيه لفتوى المشهور وعمومات الأدلّة، فلا بدّ من حملها على الندب أو على مَنْ صلّى بعد خروج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فصحّة الغسل ابتداءً لا كلام فيها، والأخبار مشعرة بها؛ لإيجابها الإعادة مع خروج المشتبه دون ما لم يخرج شيء، فمقتضاها صحّة الغسل مع عدم خروج شيء، وإيجاب الإعادة لا يقضي إلّا بأنّ المشتبه جنابة جديدة، لا أنّها هي الجنابة الأُولى وقد انكشف بقاؤها؛ لعدم التعرّض فيها لإعادة غير الغسل، ولعدم فهم الأصحاب منها غير ذلك، ومع الحكم بأنّها جنابة جديدة يلزم صحّة الصلاة الواقعة قبلها، فلا معنى لإعادتها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أوجب الاستبراء من الأصحاب وحكى عليه الإجماع</w:t>
      </w:r>
      <w:r>
        <w:rPr>
          <w:rStyle w:val="FootnoteAnchor"/>
          <w:rtl w:val="true"/>
        </w:rPr>
        <w:footnoteReference w:id="1567"/>
      </w:r>
      <w:r>
        <w:rPr>
          <w:rFonts w:ascii="Amiri" w:hAnsi="Amiri" w:eastAsia="Amiri" w:cs="Amiri"/>
          <w:color w:val="111111"/>
          <w:sz w:val="28"/>
          <w:sz w:val="28"/>
          <w:szCs w:val="28"/>
          <w:rtl w:val="true"/>
          <w:lang w:bidi="ar-SA"/>
        </w:rPr>
        <w:t>أراد وجوبه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وجوبه الشرطي في صحّة الغسل؛ على أنّ الوجوب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للأصل وفتوى المشهور، وخلوّ الأخبار البيانيّة</w:t>
      </w:r>
      <w:r>
        <w:rPr>
          <w:rStyle w:val="FootnoteAnchor"/>
          <w:rtl w:val="true"/>
        </w:rPr>
        <w:footnoteReference w:id="1568"/>
      </w:r>
      <w:r>
        <w:rPr>
          <w:rFonts w:ascii="IRNazanin" w:hAnsi="IRNazanin" w:eastAsia="IRNazanin"/>
          <w:color w:val="111111"/>
          <w:sz w:val="28"/>
          <w:sz w:val="28"/>
          <w:szCs w:val="28"/>
          <w:rtl w:val="true"/>
          <w:lang w:bidi="fa-IR"/>
        </w:rPr>
        <w:t xml:space="preserve">عنه، وعدم اشتهار حكمه مع توفّر الدواعي لاشتهاره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عليه سوی ظاهر بعض الروايات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وتبول إن قدرت على البول</w:t>
      </w:r>
      <w:r>
        <w:rPr>
          <w:rFonts w:eastAsia="IRNazanin" w:cs="IRNazanin"/>
          <w:color w:val="111111"/>
          <w:sz w:val="28"/>
          <w:szCs w:val="28"/>
          <w:rtl w:val="true"/>
          <w:lang w:bidi="fa-IR"/>
        </w:rPr>
        <w:t>»</w:t>
      </w:r>
      <w:r>
        <w:rPr>
          <w:rStyle w:val="FootnoteAnchor"/>
          <w:rtl w:val="true"/>
        </w:rPr>
        <w:footnoteReference w:id="1569"/>
      </w:r>
      <w:r>
        <w:rPr>
          <w:rFonts w:ascii="Amiri" w:hAnsi="Amiri" w:eastAsia="Amiri" w:cs="Amiri"/>
          <w:color w:val="111111"/>
          <w:sz w:val="28"/>
          <w:sz w:val="28"/>
          <w:szCs w:val="28"/>
          <w:rtl w:val="true"/>
          <w:lang w:bidi="ar-SA"/>
        </w:rPr>
        <w:t>وهو ظاهر في الإرشاد؛ لسياقه مساق المندوبات، فلا يصلح لمعارضة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الآمرة بالإعادة على مَنْ ترك البول</w:t>
      </w:r>
      <w:r>
        <w:rPr>
          <w:rStyle w:val="FootnoteAnchor"/>
          <w:rtl w:val="true"/>
        </w:rPr>
        <w:footnoteReference w:id="1570"/>
      </w:r>
      <w:r>
        <w:rPr>
          <w:rFonts w:ascii="Amiri" w:hAnsi="Amiri" w:eastAsia="Amiri" w:cs="Amiri"/>
          <w:color w:val="111111"/>
          <w:sz w:val="28"/>
          <w:sz w:val="28"/>
          <w:szCs w:val="28"/>
          <w:rtl w:val="true"/>
          <w:lang w:bidi="ar-SA"/>
        </w:rPr>
        <w:t>فلا شاهد فيها على وجوبه، بل الشاهد فيها على العكس؛ لعدم التعرّض فيها لحكم الاستبراء، ولو كان واجباً لكان بيان حكمه مقدّماً على بيان ثمرة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قبل الغَسل ولم يستبرئ، والظاهر هنا عدم وجوب إعادة الغسل عند رؤية المشتبه بعد الغسل، ووجوب إعادة الوضوء؛ للأخبار النافية لوجوب الغسل، والمثبتة للوضوء على مَن اغتسل بعد البول ورأى المشتبه</w:t>
      </w:r>
      <w:r>
        <w:rPr>
          <w:rStyle w:val="FootnoteAnchor"/>
          <w:rtl w:val="true"/>
        </w:rPr>
        <w:footnoteReference w:id="1571"/>
      </w:r>
      <w:r>
        <w:rPr>
          <w:rFonts w:ascii="Amiri" w:hAnsi="Amiri" w:eastAsia="Amiri" w:cs="Amiri"/>
          <w:color w:val="111111"/>
          <w:sz w:val="28"/>
          <w:sz w:val="28"/>
          <w:szCs w:val="28"/>
          <w:rtl w:val="true"/>
          <w:lang w:bidi="ar-SA"/>
        </w:rPr>
        <w:t>، وهي و إن كانت مطلقةً في وجوب الوضوء عليه استبراً أم لم يستبرئ، ولكنّها مقيّدة بما دلّ على أنّ المستبرئ لا يبالي وإن بلغ الساق</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الأخبار يقيّد ما جاء من أنّ كلّ غسل معه وضوء إلّا الجنابة</w:t>
      </w:r>
      <w:r>
        <w:rPr>
          <w:rStyle w:val="FootnoteAnchor"/>
          <w:rtl w:val="true"/>
        </w:rPr>
        <w:footnoteReference w:id="1573"/>
      </w:r>
      <w:r>
        <w:rPr>
          <w:rFonts w:ascii="Amiri" w:hAnsi="Amiri" w:eastAsia="Amiri" w:cs="Amiri"/>
          <w:color w:val="111111"/>
          <w:sz w:val="28"/>
          <w:sz w:val="28"/>
          <w:szCs w:val="28"/>
          <w:rtl w:val="true"/>
          <w:lang w:bidi="ar-SA"/>
        </w:rPr>
        <w:t>، فاحتمال عدم وجوب الوضوء ضعيف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يستبرئ بعد الجنابة من غير أن يبول مع إمكان البول، والظاهر هنا وجوب</w:t>
      </w:r>
    </w:p>
    <w:p>
      <w:pPr>
        <w:pStyle w:val="BookText"/>
        <w:rPr/>
      </w:pPr>
      <w:r>
        <w:rPr>
          <w:rFonts w:ascii="Amiri" w:hAnsi="Amiri" w:eastAsia="Amiri" w:cs="Amiri"/>
          <w:color w:val="111111"/>
          <w:sz w:val="28"/>
          <w:sz w:val="28"/>
          <w:szCs w:val="28"/>
          <w:rtl w:val="true"/>
          <w:lang w:bidi="ar-SA"/>
        </w:rPr>
        <w:t>إعادة الغسل؛ للأخبار الدالّة على وجوب الإعادة مع عدم البول</w:t>
      </w:r>
      <w:r>
        <w:rPr>
          <w:rStyle w:val="FootnoteAnchor"/>
          <w:rtl w:val="true"/>
        </w:rPr>
        <w:footnoteReference w:id="1574"/>
      </w:r>
      <w:r>
        <w:rPr>
          <w:rFonts w:ascii="Amiri" w:hAnsi="Amiri" w:eastAsia="Amiri" w:cs="Amiri"/>
          <w:color w:val="111111"/>
          <w:sz w:val="28"/>
          <w:sz w:val="28"/>
          <w:szCs w:val="28"/>
          <w:rtl w:val="true"/>
          <w:lang w:bidi="ar-SA"/>
        </w:rPr>
        <w:t>، ولفتوى أكثر الأصحاب</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يستبرئ مع عدم إمكان البول، والظاهر هنا عدم وجوب الإعادة؛ لدليل نفي العسر</w:t>
      </w:r>
      <w:r>
        <w:rPr>
          <w:rStyle w:val="FootnoteAnchor"/>
          <w:rtl w:val="true"/>
        </w:rPr>
        <w:footnoteReference w:id="1576"/>
      </w:r>
      <w:r>
        <w:rPr>
          <w:rFonts w:ascii="Amiri" w:hAnsi="Amiri" w:eastAsia="Amiri" w:cs="Amiri"/>
          <w:color w:val="111111"/>
          <w:sz w:val="28"/>
          <w:sz w:val="28"/>
          <w:szCs w:val="28"/>
          <w:rtl w:val="true"/>
          <w:lang w:bidi="ar-SA"/>
        </w:rPr>
        <w:t>، وللأصل والاستصحاب وعدم نقض اليقين إلّا باليقين، ولفتوى الأكثر</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وللأخبار الدالّة بإطلاقها على عدم وجوب الغسل على تارك البول مطلقاً </w:t>
      </w:r>
      <w:r>
        <w:rPr>
          <w:rStyle w:val="FootnoteAnchor"/>
          <w:rtl w:val="true"/>
        </w:rPr>
        <w:footnoteReference w:id="1578"/>
      </w:r>
      <w:r>
        <w:rPr>
          <w:rFonts w:ascii="Amiri" w:hAnsi="Amiri" w:eastAsia="Amiri" w:cs="Amiri"/>
          <w:color w:val="111111"/>
          <w:sz w:val="28"/>
          <w:sz w:val="28"/>
          <w:szCs w:val="28"/>
          <w:rtl w:val="true"/>
          <w:lang w:bidi="ar-SA"/>
        </w:rPr>
        <w:t>بحملها على ما إذا استبرأ؛ لأنّه خير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يجنب وينسى أن يبول حتّى يغتسل، ثمّ رأى بعد الغسل شيئاً أيغتسل؟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تعصّرت ونزل من الحبائل</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وموردها وإن كان الناسي ولكنّه لا يختصّ به؛ لوروده في السؤال أوّلاً، ولعدم الفرق بين الناسي وغيره في حصول التنقية بالتعصّر وعدمه، فإن حصلت فلا إعادة، و إلّا فتجب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الإعادة</w:t>
      </w:r>
      <w:r>
        <w:rPr>
          <w:rStyle w:val="FootnoteAnchor"/>
          <w:rtl w:val="true"/>
        </w:rPr>
        <w:footnoteReference w:id="1580"/>
      </w:r>
      <w:r>
        <w:rPr>
          <w:rFonts w:ascii="Amiri" w:hAnsi="Amiri" w:eastAsia="Amiri" w:cs="Amiri"/>
          <w:color w:val="111111"/>
          <w:sz w:val="28"/>
          <w:sz w:val="28"/>
          <w:szCs w:val="28"/>
          <w:rtl w:val="true"/>
          <w:lang w:bidi="ar-SA"/>
        </w:rPr>
        <w:t>لإطلاق الأخبار الموجبة للإعادة على مَنْ لم يبل، الشاملة للمتمكّن وغيره، والمستبرئ وغيره، واستضعافاً لما قدّمناه من الأدلّة على معارضتها؛ لانقطاع الأصل بها، ولضعف الأخبار المطلقة أوّلاً، وعدم دلالتها على خصوص المستبرئ مع عدم التمكّن ثانياً، وكونه وجةَ جمع فرع المقاومة ووجدان الدليل عليه، وليس فليس، ولعدم التصريح التامّ في رواية جميل بالاستبراء، ولئن كان فيها ذلك فلا دلالة فيها على صورة العمد، ولذا أنّ الشيخ فرّق بين تارك البول والاستبراء عمداً فيعيد، وبين تاركهما نسياناً فلا يعيد؛ لهذه الرواية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مردود بضعفها، وعدم مقاومتها لما قدّمنا، ولئن دلّت على صورتي العمد والنسيان في الجواب فليس فيها دلالة على حصول الاستبراء مع عدم التمكّن من البول، وحملها عليه فرع وجود دليلٍ، وليس</w:t>
      </w:r>
      <w:r>
        <w:rPr>
          <w:rFonts w:eastAsia="Amiri" w:cs="Amiri" w:ascii="Amiri" w:hAnsi="Amiri"/>
          <w:color w:val="111111"/>
          <w:sz w:val="28"/>
          <w:szCs w:val="28"/>
          <w:rtl w:val="true"/>
          <w:lang w:bidi="ar-SA"/>
        </w:rPr>
        <w:t xml:space="preserve">. </w:t>
      </w:r>
      <w:bookmarkStart w:id="851" w:name="pg18988_203454"/>
    </w:p>
    <w:p>
      <w:pPr>
        <w:pStyle w:val="BookText"/>
        <w:rPr/>
      </w:pPr>
      <w:bookmarkEnd w:id="851"/>
      <w:r>
        <w:rPr>
          <w:rFonts w:ascii="Amiri" w:hAnsi="Amiri" w:eastAsia="Amiri" w:cs="Amiri"/>
          <w:color w:val="111111"/>
          <w:sz w:val="28"/>
          <w:sz w:val="28"/>
          <w:szCs w:val="28"/>
          <w:rtl w:val="true"/>
          <w:lang w:bidi="ar-SA"/>
        </w:rPr>
        <w:t>و جميع هذه الصور مخصوصة بالرجل دون المرأة؛ لبناء حكمها على قاعدة عدم نقض  اليقين بالشكّ من غير معارضٍ؛ لاختصاص الأخبار بالرجل، ولأنّه هو الذي يمكن في حقّه تنقية المجرى بالبول؛ لاتّحاد مخرج البول والمنيّ فيه دون المرأة؛ لافتراق مخرجيهما فيها، فالاستبراء بالبول لا ثمرة له فيها، والاستبراء به هو العمدة في الحكم بالإعادة وجوداً وعدماً، وللأخبار النافية لإعادة الغسل عن المرأة بخصوصها</w:t>
      </w:r>
      <w:r>
        <w:rPr>
          <w:rStyle w:val="FootnoteAnchor"/>
          <w:rtl w:val="true"/>
        </w:rPr>
        <w:footnoteReference w:id="1582"/>
      </w:r>
      <w:r>
        <w:rPr>
          <w:rFonts w:ascii="Amiri" w:hAnsi="Amiri" w:eastAsia="Amiri" w:cs="Amiri"/>
          <w:color w:val="111111"/>
          <w:sz w:val="28"/>
          <w:sz w:val="28"/>
          <w:szCs w:val="28"/>
          <w:rtl w:val="true"/>
          <w:lang w:bidi="ar-SA"/>
        </w:rPr>
        <w:t>، الفارقة بينها وبين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وسوّى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المرأة والرجل في ترتّب ثمرة الاستبراء بالبول</w:t>
      </w:r>
      <w:r>
        <w:rPr>
          <w:rStyle w:val="FootnoteAnchor"/>
          <w:rtl w:val="true"/>
        </w:rPr>
        <w:footnoteReference w:id="1583"/>
      </w:r>
      <w:r>
        <w:rPr>
          <w:rFonts w:ascii="Amiri" w:hAnsi="Amiri" w:eastAsia="Amiri" w:cs="Amiri"/>
          <w:color w:val="111111"/>
          <w:sz w:val="28"/>
          <w:sz w:val="28"/>
          <w:szCs w:val="28"/>
          <w:rtl w:val="true"/>
          <w:lang w:bidi="ar-SA"/>
        </w:rPr>
        <w:t>، وربما علّل بأنّ للبول تأثيراً في التنقية وإن كان من مخرجٍ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للمرأة الاستبراء بالاجتهاد لإخراج المنيّ بالعصر ونحوه، فإن لم تفعل فالأحوط لها إعادة الغسل عند خروج المشتبه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3198009_1280447820"/>
      <w:bookmarkStart w:id="853" w:name="_Toc331"/>
      <w:bookmarkEnd w:id="852"/>
      <w:r>
        <w:rPr>
          <w:rtl w:val="true"/>
        </w:rPr>
        <w:t>خامسها</w:t>
      </w:r>
      <w:r>
        <w:rPr>
          <w:rtl w:val="true"/>
        </w:rPr>
        <w:t xml:space="preserve">: </w:t>
      </w:r>
      <w:r>
        <w:rPr>
          <w:rtl w:val="true"/>
        </w:rPr>
        <w:t>يجب غَسْل جميع البدن للمجنب إجماعاً وكتاباً وسنّۀ</w:t>
      </w:r>
      <w:bookmarkEnd w:id="853"/>
    </w:p>
    <w:p>
      <w:pPr>
        <w:pStyle w:val="Heading6"/>
        <w:numPr>
          <w:ilvl w:val="5"/>
          <w:numId w:val="1"/>
        </w:numPr>
        <w:rPr/>
      </w:pPr>
      <w:bookmarkStart w:id="854" w:name="__RefHeading___Toc13198011_1280447820"/>
      <w:bookmarkStart w:id="855" w:name="_Toc332"/>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يجب غَسْل جميع البدن للمجنب إجماعاً وكتاباً وسنّۀ</w:t>
      </w:r>
      <w:r>
        <w:rPr>
          <w:rStyle w:val="FootnoteAnchor"/>
          <w:rtl w:val="true"/>
        </w:rPr>
        <w:footnoteReference w:id="1584"/>
      </w:r>
      <w:r>
        <w:rPr>
          <w:rFonts w:ascii="Amiri" w:hAnsi="Amiri" w:eastAsia="Amiri" w:cs="Amiri"/>
          <w:color w:val="111111"/>
          <w:sz w:val="28"/>
          <w:sz w:val="28"/>
          <w:szCs w:val="28"/>
          <w:rtl w:val="true"/>
          <w:lang w:bidi="ar-SA"/>
        </w:rPr>
        <w:t>وسنّةً</w:t>
      </w:r>
      <w:r>
        <w:rPr>
          <w:rStyle w:val="FootnoteAnchor"/>
          <w:rtl w:val="true"/>
        </w:rPr>
        <w:footnoteReference w:id="1585"/>
      </w:r>
      <w:r>
        <w:rPr>
          <w:rFonts w:ascii="Amiri" w:hAnsi="Amiri" w:eastAsia="Amiri" w:cs="Amiri"/>
          <w:color w:val="111111"/>
          <w:sz w:val="28"/>
          <w:sz w:val="28"/>
          <w:szCs w:val="28"/>
          <w:rtl w:val="true"/>
          <w:lang w:bidi="ar-SA"/>
        </w:rPr>
        <w:t>، بما يُسمّى غَسْلاً ولو خفيفاً كالدهن، لكن بشرط الجريان عرفاً، فلا تجزئ المماسّة للماء ولا الدهن الذي هو عبارة عن انتشار الرطوبة وشيوعها في الجسد بدون إجراءٍ؛ لإطلاقات الكتاب والسنّة بأوامر الغسل، وهو حقيقة في الإجراء؛ إذ فرده الظاهر ذلك، فلا يجزئ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بإجزاء الدهن</w:t>
      </w:r>
      <w:r>
        <w:rPr>
          <w:rStyle w:val="FootnoteAnchor"/>
          <w:rtl w:val="true"/>
        </w:rPr>
        <w:footnoteReference w:id="1586"/>
      </w:r>
      <w:r>
        <w:rPr>
          <w:rFonts w:ascii="Amiri" w:hAnsi="Amiri" w:eastAsia="Amiri" w:cs="Amiri"/>
          <w:color w:val="111111"/>
          <w:sz w:val="28"/>
          <w:sz w:val="28"/>
          <w:szCs w:val="28"/>
          <w:rtl w:val="true"/>
          <w:lang w:bidi="ar-SA"/>
        </w:rPr>
        <w:t>محمول على المبالغة</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13198013_1280447820"/>
      <w:bookmarkStart w:id="857" w:name="_Toc333"/>
      <w:bookmarkEnd w:id="856"/>
      <w:r>
        <w:rPr>
          <w:rtl w:val="true"/>
        </w:rPr>
        <w:t>والغسل للبدن قسمان</w:t>
      </w:r>
      <w:r>
        <w:rPr>
          <w:rtl w:val="true"/>
        </w:rPr>
        <w:t>:</w:t>
      </w:r>
      <w:bookmarkEnd w:id="857"/>
    </w:p>
    <w:p>
      <w:pPr>
        <w:pStyle w:val="Heading6"/>
        <w:numPr>
          <w:ilvl w:val="5"/>
          <w:numId w:val="1"/>
        </w:numPr>
        <w:rPr/>
      </w:pPr>
      <w:bookmarkStart w:id="858" w:name="__RefHeading___Toc13198015_1280447820"/>
      <w:bookmarkStart w:id="859" w:name="_Toc334"/>
      <w:bookmarkEnd w:id="858"/>
      <w:r>
        <w:rPr>
          <w:rtl w:val="true"/>
        </w:rPr>
        <w:t>أحدهما</w:t>
      </w:r>
      <w:r>
        <w:rPr>
          <w:rtl w:val="true"/>
        </w:rPr>
        <w:t xml:space="preserve">: </w:t>
      </w:r>
      <w:r>
        <w:rPr>
          <w:rtl w:val="true"/>
        </w:rPr>
        <w:t>الترتیبی</w:t>
      </w:r>
      <w:bookmarkEnd w:id="859"/>
    </w:p>
    <w:p>
      <w:pPr>
        <w:pStyle w:val="BookText"/>
        <w:rPr/>
      </w:pPr>
      <w:r>
        <w:rPr>
          <w:rFonts w:ascii="Amiri" w:hAnsi="Amiri" w:eastAsia="Amiri" w:cs="Amiri"/>
          <w:color w:val="111111"/>
          <w:sz w:val="28"/>
          <w:sz w:val="28"/>
          <w:szCs w:val="28"/>
          <w:rtl w:val="true"/>
          <w:lang w:bidi="ar-SA"/>
        </w:rPr>
        <w:t>الترتيب، بأن يغسل الرأس أوّلاً، ثمّ الشقّ الأيمن ثمّ الأيسر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فتوى المشهور، والإجماع المنقول</w:t>
      </w:r>
      <w:r>
        <w:rPr>
          <w:rStyle w:val="FootnoteAnchor"/>
          <w:rtl w:val="true"/>
        </w:rPr>
        <w:footnoteReference w:id="1587"/>
      </w:r>
      <w:r>
        <w:rPr>
          <w:rFonts w:ascii="Amiri" w:hAnsi="Amiri" w:eastAsia="Amiri" w:cs="Amiri"/>
          <w:color w:val="111111"/>
          <w:sz w:val="28"/>
          <w:sz w:val="28"/>
          <w:szCs w:val="28"/>
          <w:rtl w:val="true"/>
          <w:lang w:bidi="ar-SA"/>
        </w:rPr>
        <w:t>، والاحتياط اللازم في الخروج عن العهدة بعد يقين الشغل، وما ورد في الأخبار</w:t>
      </w:r>
      <w:r>
        <w:rPr>
          <w:rStyle w:val="FootnoteAnchor"/>
          <w:rtl w:val="true"/>
        </w:rPr>
        <w:footnoteReference w:id="1588"/>
      </w:r>
      <w:r>
        <w:rPr>
          <w:rFonts w:ascii="Amiri" w:hAnsi="Amiri" w:eastAsia="Amiri" w:cs="Amiri"/>
          <w:color w:val="111111"/>
          <w:sz w:val="28"/>
          <w:sz w:val="28"/>
          <w:szCs w:val="28"/>
          <w:rtl w:val="true"/>
          <w:lang w:bidi="ar-SA"/>
        </w:rPr>
        <w:t xml:space="preserve">وأفتى به الأخيار من لزوم الترتيب في غسل الميّت، </w:t>
      </w:r>
    </w:p>
    <w:p>
      <w:pPr>
        <w:pStyle w:val="BookText"/>
        <w:rPr/>
      </w:pPr>
      <w:r>
        <w:rPr>
          <w:rFonts w:ascii="Amiri" w:hAnsi="Amiri" w:eastAsia="Amiri" w:cs="Amiri"/>
          <w:color w:val="111111"/>
          <w:sz w:val="28"/>
          <w:sz w:val="28"/>
          <w:szCs w:val="28"/>
          <w:rtl w:val="true"/>
          <w:lang w:bidi="ar-SA"/>
        </w:rPr>
        <w:t>وأنّ غسل الميّت كغسل الجنابة، وأنّ علّة غسل الميّت خروج النطفة منه عند الموت، كما دلّت على ذلك الأخبار</w:t>
      </w:r>
      <w:r>
        <w:rPr>
          <w:rStyle w:val="FootnoteAnchor"/>
          <w:rtl w:val="true"/>
        </w:rPr>
        <w:footnoteReference w:id="1589"/>
      </w:r>
      <w:r>
        <w:rPr>
          <w:rFonts w:ascii="Amiri" w:hAnsi="Amiri" w:eastAsia="Amiri" w:cs="Amiri"/>
          <w:color w:val="111111"/>
          <w:sz w:val="28"/>
          <w:sz w:val="28"/>
          <w:szCs w:val="28"/>
          <w:rtl w:val="true"/>
          <w:lang w:bidi="ar-SA"/>
        </w:rPr>
        <w:t>ونطقت به كلمات الأخيار، حتّى أنّه ورد في السؤال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غسل الميّت كغسل الجنابة ؟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ويدلّ على لزوم الترتيب عمل العلماء والسيرة القطعيّة المستمرة على فعله وأنّه المعهود بين الشيعة والشائع لديهم، وأنّه لو كان خلافه لبانَ ولما خفي على أحد؛ لتوفّر الدواعي على نقله وكثرة الحاجة إلى عمله ووفور تكرّره، وأنّه من خواصّ مذهبهم؛ لأنّ العامّة لا يرون وجوبه، والرشد بخلافهم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أنّ المفهوم من الأخبار وكلام الأصحاب أنّ الغسل ماهيّة واحدة كالوضوء لا تختلف أفراده ولا تتغاير أنواعه وغير الجنابة يلزم فيه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يجيء إن شاء الله تعالى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حسنة زرارة الواردة في كيفيّة اغتسال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منكبه الأيمن مرّتين، وعلى منكبه الأيسر مرّتين</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مقام البيان والعطف بذلك النحو والسياق إرادة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الترتيب الذكري قرينة على الترتيب الحكمي في أمثال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الحسنة موثّقته عن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على رأسك ثلاث أكفّ، وعن يمينك، وعن يسارك</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 فإنّها ظاهرة في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ذكرناه ما ورد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بدأ بميامينه</w:t>
      </w:r>
      <w:r>
        <w:rPr>
          <w:rStyle w:val="FootnoteAnchor"/>
          <w:rtl w:val="true"/>
        </w:rPr>
        <w:footnoteReference w:id="1593"/>
      </w:r>
      <w:r>
        <w:rPr>
          <w:rFonts w:ascii="Amiri" w:hAnsi="Amiri" w:eastAsia="Amiri" w:cs="Amiri"/>
          <w:color w:val="111111"/>
          <w:sz w:val="28"/>
          <w:sz w:val="28"/>
          <w:szCs w:val="28"/>
          <w:rtl w:val="true"/>
          <w:lang w:bidi="ar-SA"/>
        </w:rPr>
        <w:t xml:space="preserve">، وما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يحبّ التيامن في كلّ شيء</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خصوص لزوم تقديم الرأس خصوصاً ما جاء من الأمر بإعادة الغسل لمن لم يبدأ برأسه</w:t>
      </w:r>
      <w:r>
        <w:rPr>
          <w:rStyle w:val="FootnoteAnchor"/>
          <w:rtl w:val="true"/>
        </w:rPr>
        <w:footnoteReference w:id="1595"/>
      </w:r>
      <w:r>
        <w:rPr>
          <w:rFonts w:ascii="Amiri" w:hAnsi="Amiri" w:eastAsia="Amiri" w:cs="Amiri"/>
          <w:color w:val="111111"/>
          <w:sz w:val="28"/>
          <w:sz w:val="28"/>
          <w:szCs w:val="28"/>
          <w:rtl w:val="true"/>
          <w:lang w:bidi="ar-SA"/>
        </w:rPr>
        <w:t>، وكونه الآن إجماعاً محصلاً، بل كاد أن يلحق بالضروريّات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يعارض ما قدّمنا ما جاء من الأخبار الدالّة على عدم لزوم الترتيب بين الرأس والجسد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يصبّ الماء على رأسه وعلى جسده كلّه</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 على رأسك وجسدك</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xml:space="preserve">بناءً على عدم فهم الترتيب من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لزوم الترتيب بين الجانبين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على رأسك ثلاثاً، ثمّ تصبّ على سائر جسدك مرّتين</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محمول على بيان أصل الأمر بالغسل وعدم افتقاره للوضوء لا لبيان كيفيّته، أو محمول على أنّه ترك بيان الكيفيّة للتقيّة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الرأس حكماً لا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 فيجب غَسْلها معه، ويجب تقديمها على الجانبين، ويجوز تقديمها على الرأس؛ لأنّها بمنزلة جزئه، وتأخيرها عنه، فتجوز مقارنة النيّة لغسلها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غَسْلها مقارناً للرأس، ولا ترتيب بين أجزائها، وذلك كلّه لا بأس به؛ لفتوى الفحول، ولأنّه المعهود، والظاهر من بعض الأخبار،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منكبه الأيمن مرّتين، وعلى منكبه الأيسر مرّتين</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ضرورة عدم جواز إبقائها بلا غَسْل، وعدم دخولها في المنكب، وعدم كونها واسطةً بحيث يجب غَسْلها وسطاً؛ لعدم البيان في مقام الحاجة، ويشعر بذلك غيره من الأخبار</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من المتّفق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يدّعى أنّ إطلاق الرأس على ما يشمل الرقبة من الحقائق لا المجازات، أو أنّه مجاز قرينته الشهرة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فالرأس حقيقة في العرف العامّ في الكرة التي هي منبت الشعر كرأس المُحْرم، وقد يطلق على ذلك مع الأُذنين كرأس الصائم، وعلى ما يشمل الوجه كرأس الجنابة، وعلى ما يشمل الرقبة كرأس الغُسْل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الإطلاقات إمّا حقيقة فيكون مشتركاً لفظيّاً، وقرينة التعيين فتوى الأصحاب وظاهر الاتّفاق في الباب، أو مجاز وقرينته ما قدّمناه، أو أنّها مشاركة للرأس في الحكم لا في الاسم، وترك بيان ذلك لظهوره</w:t>
      </w:r>
      <w:r>
        <w:rPr>
          <w:rFonts w:eastAsia="Amiri" w:cs="Amiri" w:ascii="Amiri" w:hAnsi="Amiri"/>
          <w:color w:val="111111"/>
          <w:sz w:val="28"/>
          <w:szCs w:val="28"/>
          <w:rtl w:val="true"/>
          <w:lang w:bidi="ar-SA"/>
        </w:rPr>
        <w:t xml:space="preserve">. </w:t>
      </w:r>
      <w:bookmarkStart w:id="860" w:name="pg18988_203457"/>
    </w:p>
    <w:p>
      <w:pPr>
        <w:pStyle w:val="BookText"/>
        <w:rPr/>
      </w:pPr>
      <w:bookmarkEnd w:id="860"/>
      <w:r>
        <w:rPr>
          <w:rFonts w:ascii="IRNazanin" w:hAnsi="IRNazanin" w:eastAsia="IRNazanin"/>
          <w:color w:val="111111"/>
          <w:sz w:val="28"/>
          <w:sz w:val="28"/>
          <w:szCs w:val="28"/>
          <w:rtl w:val="true"/>
          <w:lang w:bidi="fa-IR"/>
        </w:rPr>
        <w:t>وبعض أصحابنا</w:t>
      </w:r>
      <w:r>
        <w:rPr>
          <w:rStyle w:val="FootnoteAnchor"/>
          <w:rtl w:val="true"/>
        </w:rPr>
        <w:footnoteReference w:id="1601"/>
      </w:r>
      <w:r>
        <w:rPr>
          <w:rFonts w:ascii="Amiri" w:hAnsi="Amiri" w:eastAsia="Amiri" w:cs="Amiri"/>
          <w:color w:val="111111"/>
          <w:sz w:val="28"/>
          <w:sz w:val="28"/>
          <w:szCs w:val="28"/>
          <w:rtl w:val="true"/>
          <w:lang w:bidi="ar-SA"/>
        </w:rPr>
        <w:t>أشكل عليهم حكم الرقبة؛ لعدم التصريح به في الأخبار، فينبغي الاحتياط بغَسْلها بعد الرأس كلاًّ، وأحوط منه غَسْلها مرتّباً، وأحوط منهما غَسْل شقّها الأيمن بعد غَسْلها أجمع مع اليمين، و غَسْل شقّها الأيسر مع اليسار، والاحتياط الشديد أن لا يبتدئ بها قبل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العورتان فالظاهر من أخبار الترتيب دخول كلّ نصف منهما في شقّه المضاف إليه، ويؤخذ شيء من باب المقدّمة لتحصيله، والأحوط غَسْلهما مع الجانبين، وأحوط منه غَسْلهما بعد الفراغ من الجانبين منفردتين، ولو أخّر غَسْلهما إلى تمام الشقّ الأيمن كفى غَسْل جميعهما على الوجه الأوّل مرّةً واحدة منتهياً بهما للشقّ اليمين ومبتدئاً بهما بشق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أغفل لمعة من المتقدّم غَسْلها وغسل العضو اللاحق، ولو كان من المتأخّر كفى غَسْلها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لمعة فعاد إليها</w:t>
      </w:r>
      <w:r>
        <w:rPr>
          <w:rStyle w:val="FootnoteAnchor"/>
          <w:rtl w:val="true"/>
        </w:rPr>
        <w:footnoteReference w:id="1602"/>
      </w:r>
      <w:r>
        <w:rPr>
          <w:rFonts w:ascii="Amiri" w:hAnsi="Amiri" w:eastAsia="Amiri" w:cs="Amiri"/>
          <w:color w:val="111111"/>
          <w:sz w:val="28"/>
          <w:sz w:val="28"/>
          <w:szCs w:val="28"/>
          <w:rtl w:val="true"/>
          <w:lang w:bidi="ar-SA"/>
        </w:rPr>
        <w:t>، وهو محمول على التعليم للغير، أو على أنّ اللمعة في نفس العضو المغسول الذي لم يفرغ منه، أو على أنّ الترك ليس للنسيان بل لكفاية الظنّ بالوصول، وهو لا ينافي مرتبة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الابتداء بالأعلى؛ لإطلاق الأخبار</w:t>
      </w:r>
      <w:r>
        <w:rPr>
          <w:rStyle w:val="FootnoteAnchor"/>
          <w:rtl w:val="true"/>
        </w:rPr>
        <w:footnoteReference w:id="1603"/>
      </w:r>
      <w:r>
        <w:rPr>
          <w:rFonts w:ascii="IRNazanin" w:hAnsi="IRNazanin" w:eastAsia="IRNazanin"/>
          <w:color w:val="111111"/>
          <w:sz w:val="28"/>
          <w:sz w:val="28"/>
          <w:szCs w:val="28"/>
          <w:rtl w:val="true"/>
          <w:lang w:bidi="fa-IR"/>
        </w:rPr>
        <w:t>، ولفتوى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يجوز الغسل منكوساً ومستوياً؛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موالاة في أجزاء الغسل الترتيبي ولا في أجزاء أجزائه، لا موالاة عرفيّة ولا موالاة جفافيّة؛ للأخبار</w:t>
      </w:r>
      <w:r>
        <w:rPr>
          <w:rStyle w:val="FootnoteAnchor"/>
          <w:rtl w:val="true"/>
        </w:rPr>
        <w:footnoteReference w:id="1604"/>
      </w:r>
      <w:r>
        <w:rPr>
          <w:rFonts w:ascii="Amiri" w:hAnsi="Amiri" w:eastAsia="Amiri" w:cs="Amiri"/>
          <w:color w:val="111111"/>
          <w:sz w:val="28"/>
          <w:sz w:val="28"/>
          <w:szCs w:val="28"/>
          <w:rtl w:val="true"/>
          <w:lang w:bidi="ar-SA"/>
        </w:rPr>
        <w:t>، وكلام الأصحاب، ويدلّ على ذلك خصوصاً ما جاء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13198017_1280447820"/>
      <w:bookmarkStart w:id="862" w:name="_Toc335"/>
      <w:bookmarkEnd w:id="861"/>
      <w:r>
        <w:rPr>
          <w:rtl w:val="true"/>
        </w:rPr>
        <w:t>ثانيهما</w:t>
      </w:r>
      <w:r>
        <w:rPr>
          <w:rtl w:val="true"/>
        </w:rPr>
        <w:t xml:space="preserve">: </w:t>
      </w:r>
      <w:r>
        <w:rPr>
          <w:rtl w:val="true"/>
        </w:rPr>
        <w:t>غسل الارتماس</w:t>
      </w:r>
      <w:bookmarkEnd w:id="862"/>
    </w:p>
    <w:p>
      <w:pPr>
        <w:pStyle w:val="BookText"/>
        <w:rPr/>
      </w:pPr>
      <w:r>
        <w:rPr>
          <w:rFonts w:ascii="Amiri" w:hAnsi="Amiri" w:eastAsia="Amiri" w:cs="Amiri"/>
          <w:color w:val="111111"/>
          <w:sz w:val="28"/>
          <w:sz w:val="28"/>
          <w:szCs w:val="28"/>
          <w:rtl w:val="true"/>
          <w:lang w:bidi="ar-SA"/>
        </w:rPr>
        <w:t>وهو أن يغسل نفسه بالماء دفعةً واحدة على وجه الانغماس فيه، لا على وجه الإصابة كيف اتّفقت، كالوقوف تحت الميزاب ونحوه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الإطلاقات والإجماعات المنقولة</w:t>
      </w:r>
      <w:r>
        <w:rPr>
          <w:rStyle w:val="FootnoteAnchor"/>
          <w:rtl w:val="true"/>
        </w:rPr>
        <w:footnoteReference w:id="1605"/>
      </w:r>
      <w:r>
        <w:rPr>
          <w:rFonts w:ascii="Amiri" w:hAnsi="Amiri" w:eastAsia="Amiri" w:cs="Amiri"/>
          <w:color w:val="111111"/>
          <w:sz w:val="28"/>
          <w:sz w:val="28"/>
          <w:szCs w:val="28"/>
          <w:rtl w:val="true"/>
          <w:lang w:bidi="ar-SA"/>
        </w:rPr>
        <w:t>وفتوى الأصحاب، والروايات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ارتمس في الماء ارتماسة واحدة أجزأه ذلك وإن لم يدلك جسده</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البدليّة،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إرادة عدم تعدّد الارتماسات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الدفعة العرفية؛ احترازاً عن الارتماس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أقرب لحاقّ اللفظ، والثاني أقرب لفهم الفقهاء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أنّ الدفعة العرفيّة كافية في الغسل الارتماسي، فلا يضرّ بها التخليل اليسير، ودَلْك ما يحتاج إلى الدلك داخل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التدريج فيها بحيث ينوي الغسل عند ابتداء دخوله وينزل في الماء تدريجاً إلى أن يتمّ الارتماس، بل الأحوط مقارنة النيّة للارتماس الحكمي، فينوي عند اشتمال الماء عليه جميعاً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المرتمس له أن ينوي الغسل حال دخوله إذا لم يكن تدريجاً؛ لأنّ أوّل دخوله هو أوّل أجزاء الارتماسة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الارتماس يصدق من أوّل ملاقاة الماء إلى انتهائه فيه، وفيه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ينوي حال خروجه ما دام الماء مشتملاً عليه، وله أن ينوي حال كونه تحت الماء، سواء في ذلك الكونُ الأوّل أو الوسط أو الأخير، وله أن ينوي عند اختلاف سطوح الماء عليه، وله أن ينوي عند تحريكاته الماء أو تحريك جسمه فيه، وكلّ ذلك جائز، غير أنّ الأظهر لزوم مقارنة النيّة لاشتمال الماء على جميع جسده؛ خروجاً عن شبهة أنّ الغسل الارتماسي عبارة عن اشتمال الماء على جميع البدن آناً مّا، ودخول الأجزاء في الماء قبل استكمالها من باب المقدّمة، لا أنّها من أجزاء الغسل الارتماسي، كما بنى عليه بعض المحقّقين</w:t>
      </w:r>
      <w:r>
        <w:rPr>
          <w:rStyle w:val="FootnoteAnchor"/>
          <w:rtl w:val="true"/>
        </w:rPr>
        <w:footnoteReference w:id="1610"/>
      </w:r>
      <w:r>
        <w:rPr>
          <w:rFonts w:ascii="Amiri" w:hAnsi="Amiri" w:eastAsia="Amiri" w:cs="Amiri"/>
          <w:color w:val="111111"/>
          <w:sz w:val="28"/>
          <w:sz w:val="28"/>
          <w:szCs w:val="28"/>
          <w:rtl w:val="true"/>
          <w:lang w:bidi="ar-SA"/>
        </w:rPr>
        <w:t>، وهو الأظهر من كلام الفقهاء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يضعف ما ذكره بعضهم</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الارتماسي ابتداؤه ابتداء الملاقاة للماء وانتهاؤه </w:t>
      </w:r>
      <w:bookmarkStart w:id="863" w:name="pg18988_203459"/>
    </w:p>
    <w:p>
      <w:pPr>
        <w:pStyle w:val="BookText"/>
        <w:rPr/>
      </w:pPr>
      <w:bookmarkEnd w:id="863"/>
      <w:r>
        <w:rPr>
          <w:rFonts w:ascii="Amiri" w:hAnsi="Amiri" w:eastAsia="Amiri" w:cs="Amiri"/>
          <w:color w:val="111111"/>
          <w:sz w:val="28"/>
          <w:sz w:val="28"/>
          <w:szCs w:val="28"/>
          <w:rtl w:val="true"/>
          <w:lang w:bidi="ar-SA"/>
        </w:rPr>
        <w:t>بانتهائه، على أنّه يلزم منه أن يترتّب على الغسل الارتماسي كثير من ثمرات غسل الترتيب، والقائل به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الارتماس بين أن يكون جميعه خارجاً عن الماء، أو يكون بعضه في الماء وبعضه خارجاً ، أو يكون كلّه داخل الماء، فينوي بالأكوان أو التحريكات أو الجريات الغسلّ، كلّ ذلك لإطلاق الأخبار في إجزاء الارتماسة، والاستدامة كالابتداء</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13198019_1280447820"/>
      <w:bookmarkStart w:id="865" w:name="_Toc336"/>
      <w:bookmarkEnd w:id="864"/>
      <w:r>
        <w:rPr>
          <w:rtl w:val="true"/>
        </w:rPr>
        <w:t>ما يتعلّق بنفس الغسل</w:t>
      </w:r>
      <w:bookmarkEnd w:id="865"/>
    </w:p>
    <w:p>
      <w:pPr>
        <w:pStyle w:val="Heading6"/>
        <w:numPr>
          <w:ilvl w:val="5"/>
          <w:numId w:val="1"/>
        </w:numPr>
        <w:rPr/>
      </w:pPr>
      <w:bookmarkStart w:id="866" w:name="__RefHeading___Toc13198021_1280447820"/>
      <w:bookmarkStart w:id="867" w:name="_Toc337"/>
      <w:bookmarkEnd w:id="866"/>
      <w:r>
        <w:rPr>
          <w:rtl w:val="true"/>
        </w:rPr>
        <w:t>بیان أمور تتعلق بنفس الغسل ترتیباً أو ارتماساً</w:t>
      </w:r>
      <w:bookmarkEnd w:id="867"/>
    </w:p>
    <w:p>
      <w:pPr>
        <w:pStyle w:val="BookText"/>
        <w:rPr/>
      </w:pPr>
      <w:r>
        <w:rPr>
          <w:rFonts w:ascii="Amiri" w:hAnsi="Amiri" w:eastAsia="Amiri" w:cs="Amiri"/>
          <w:color w:val="111111"/>
          <w:sz w:val="28"/>
          <w:sz w:val="28"/>
          <w:szCs w:val="28"/>
          <w:rtl w:val="true"/>
          <w:lang w:bidi="ar-SA"/>
        </w:rPr>
        <w:t>و لابدّ من بيان أُمور متعلّقة بنفس الغسل، تعمّ الترتيب والارتماس، أو تخصّ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 غسل الترتيب الإجراء على نفس البشرة ؛ لظهور أوامر الغسل به،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من جسده قليله وكثيره فقد أجزأه</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إجزاء بلل الجسد وكفاية ما كان مثل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الارتماس الإصابة لجميع البشرة عند النيّة، ولا يفتقر إلى الإجراء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فيهما تخليل ما يمنع الإجراء في الأوّل والإصابة في الثاني من شعر أو 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غَسْل الشعر هاهنا عن البشرة؛ للاحتياط ، ولظهور تعلّق الأوامر بالبشرة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عليها الدملج</w:t>
      </w:r>
      <w:r>
        <w:rPr>
          <w:rStyle w:val="FootnoteAnchor"/>
          <w:rtl w:val="true"/>
        </w:rPr>
        <w:footnoteReference w:id="1614"/>
      </w:r>
      <w:r>
        <w:rPr>
          <w:rFonts w:ascii="Amiri" w:hAnsi="Amiri" w:eastAsia="Amiri" w:cs="Amiri"/>
          <w:color w:val="111111"/>
          <w:sz w:val="28"/>
          <w:sz w:val="28"/>
          <w:szCs w:val="28"/>
          <w:rtl w:val="true"/>
          <w:lang w:bidi="ar-SA"/>
        </w:rPr>
        <w:t>، والسوار في وضوء أو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تحرّكه ليدخل الماء تحته أو تنزعه</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بخلاف ذلك مَنْ عدم إعادة من نسي الخاتم بعد وضوئه حتّى صلّى أنّه لا يعيد</w:t>
      </w:r>
      <w:r>
        <w:rPr>
          <w:rStyle w:val="FootnoteAnchor"/>
          <w:rtl w:val="true"/>
        </w:rPr>
        <w:footnoteReference w:id="1616"/>
      </w:r>
      <w:r>
        <w:rPr>
          <w:rFonts w:ascii="Amiri" w:hAnsi="Amiri" w:eastAsia="Amiri" w:cs="Amiri"/>
          <w:color w:val="111111"/>
          <w:sz w:val="28"/>
          <w:sz w:val="28"/>
          <w:szCs w:val="28"/>
          <w:rtl w:val="true"/>
          <w:lang w:bidi="ar-SA"/>
        </w:rPr>
        <w:t>، فمحمول على عدم حجبه، أو على صورة الشكّ بتحويله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وكذا ما ورد من أنّ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اغتسلن بقيت صفرة الطيب في أجسادهنّ</w:t>
      </w:r>
      <w:r>
        <w:rPr>
          <w:rStyle w:val="FootnoteAnchor"/>
          <w:rtl w:val="true"/>
        </w:rPr>
        <w:footnoteReference w:id="1617"/>
      </w:r>
      <w:r>
        <w:rPr>
          <w:rFonts w:ascii="Amiri" w:hAnsi="Amiri" w:eastAsia="Amiri" w:cs="Amiri"/>
          <w:color w:val="111111"/>
          <w:sz w:val="28"/>
          <w:sz w:val="28"/>
          <w:szCs w:val="28"/>
          <w:rtl w:val="true"/>
          <w:lang w:bidi="ar-SA"/>
        </w:rPr>
        <w:t>، وأنّه لا بأس على مَنْ أجنب فيصيب رأسه الخلوق والطيب وغير ذلك ثمّ يغتسل فيجد شيئاً من ذلك</w:t>
      </w:r>
      <w:r>
        <w:rPr>
          <w:rStyle w:val="FootnoteAnchor"/>
          <w:rtl w:val="true"/>
        </w:rPr>
        <w:footnoteReference w:id="1618"/>
      </w:r>
      <w:r>
        <w:rPr>
          <w:rFonts w:ascii="Amiri" w:hAnsi="Amiri" w:eastAsia="Amiri" w:cs="Amiri"/>
          <w:color w:val="111111"/>
          <w:sz w:val="28"/>
          <w:sz w:val="28"/>
          <w:szCs w:val="28"/>
          <w:rtl w:val="true"/>
          <w:lang w:bidi="ar-SA"/>
        </w:rPr>
        <w:t>، محمول على عدم مانعيّته لوصول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الغسل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دون البواطن؛ لانصراف أدلّتهما إليها، ولأصل البراءة، ولخصوص ما ورد في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يجنب الظاهر</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و أنّه إنّما يجب غسل ما ظهر</w:t>
      </w:r>
      <w:r>
        <w:rPr>
          <w:rStyle w:val="FootnoteAnchor"/>
          <w:rtl w:val="true"/>
        </w:rPr>
        <w:footnoteReference w:id="1620"/>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على ما ظهر لا على ما بطن</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والباطن عرفيّان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أخذ شيء من الباطن مقدّمةً لتحصيل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يُرى من الأُذنين ولم يحتج إلى التخليل فهو من الظاهر قطعاً، وكذا ما احتاج بعض الأحيان وهو ممّا يرى فإنّه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تحت الأظفار ما لم يخرج عن العادة فيستر شيئاً من الأنملة، وموضع انطباق الشفتين وأجفان العينين كلّه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تحت وسخ الأظفار ولم يعلو على الأنملة فالظاهر أنّه من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باطن جرح أو شقّ أو مشق، فإن كان مرئيّاً فالظاهر أنّه من الظاهر، و إلّا كان من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غَسْل الشعر في الغسل مطلقاً إلّا إذا توقّف عليه غَسْل البشرة؛ لظاهر الاتّفاق، وللأصل، ولعدم شمول أوامر غسل البدن له،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إيصال الماء إلى أُصوله بحيث يستدير الماء حول كلّ شعرةٍ شعرة؛ لقيام الشعرة مقام منبتها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إلى وجوب غَسْل الشعر مع البشرة</w:t>
      </w:r>
      <w:r>
        <w:rPr>
          <w:rStyle w:val="FootnoteAnchor"/>
          <w:rtl w:val="true"/>
        </w:rPr>
        <w:footnoteReference w:id="1623"/>
      </w:r>
      <w:r>
        <w:rPr>
          <w:rFonts w:ascii="Amiri" w:hAnsi="Amiri" w:eastAsia="Amiri" w:cs="Amiri"/>
          <w:color w:val="111111"/>
          <w:sz w:val="28"/>
          <w:sz w:val="28"/>
          <w:szCs w:val="28"/>
          <w:rtl w:val="true"/>
          <w:lang w:bidi="ar-SA"/>
        </w:rPr>
        <w:t xml:space="preserve">، استناداً إلى ظاهر رواياتٍ دالّةٍ على </w:t>
      </w:r>
    </w:p>
    <w:p>
      <w:pPr>
        <w:pStyle w:val="BookText"/>
        <w:rPr/>
      </w:pPr>
      <w:r>
        <w:rPr>
          <w:rFonts w:ascii="Amiri" w:hAnsi="Amiri" w:eastAsia="Amiri" w:cs="Amiri"/>
          <w:color w:val="111111"/>
          <w:sz w:val="28"/>
          <w:sz w:val="28"/>
          <w:szCs w:val="28"/>
          <w:rtl w:val="true"/>
          <w:lang w:bidi="ar-SA"/>
        </w:rPr>
        <w:t>ذلك،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شعرة جنابة، فبلّوا الشعر وأنقوا البشرة</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وما ورد في علّة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كلّ عرق وشعرة جنابة</w:t>
      </w:r>
      <w:r>
        <w:rPr>
          <w:rStyle w:val="FootnoteAnchor"/>
          <w:rtl w:val="true"/>
        </w:rPr>
        <w:footnoteReference w:id="1627"/>
      </w:r>
      <w:r>
        <w:rPr>
          <w:rFonts w:ascii="Amiri" w:hAnsi="Amiri" w:eastAsia="Amiri" w:cs="Amiri"/>
          <w:color w:val="111111"/>
          <w:sz w:val="28"/>
          <w:sz w:val="28"/>
          <w:szCs w:val="28"/>
          <w:rtl w:val="true"/>
          <w:lang w:bidi="ar-SA"/>
        </w:rPr>
        <w:t>، وإلى غير ذلك من الروايات المشعرة بذلك، وإلى أنّ الشعر من الجسد فيجب غَسْله؛ لوجوب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لضعف دلالة الصحيح، وعدم صحّة الصريح، فلا يعارض ما قدّمناه، ولمنع أنّ الشعر من الجسد، ودخوله في اليد في باب الوضوء قضى به المشهور، وإلّا لكان منعه متوجّهاً، واحتمال إرادة القدر من الشعرة في الصحيح الأوّل، وإرادة عدم حلّه في الصحيح ربّما كان أظهر في المقام من فهم إرادة إيجاب غَسْل نفس الشعر، فلا يصلح بهما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الظنّ في وصول الماء إلى البشرة في قسمي الغسل، ولا يجب القطع واليقين بالوصول؛ للزوم العسر والحرج بالنسبة إلى الأماكن الغير مرثيّة، والاغتسال في الليل وشبه ذلك، وفي السيرة القاطعة الدالّة على عدم التجسّس عن ذلك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الأحداث الكبريات مستوية في جواز قسمي الغسلين من الارتماس والترتيب ؛ لأنّ الغسل طبيعة واحدة لا يفترق الحال بين أسبابه ، وذلك مفهوم من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تنظيف البدن من النجاسة قبل غسل الجنابة بقسميه ،للأصل وفتوى الأصحاب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من الأمر بغَسْل الفرج قبل الغُسل و غَسْل اليدين</w:t>
      </w:r>
      <w:r>
        <w:rPr>
          <w:rStyle w:val="FootnoteAnchor"/>
          <w:rtl w:val="true"/>
        </w:rPr>
        <w:footnoteReference w:id="1628"/>
      </w:r>
      <w:r>
        <w:rPr>
          <w:rFonts w:ascii="Amiri" w:hAnsi="Amiri" w:eastAsia="Amiri" w:cs="Amiri"/>
          <w:color w:val="111111"/>
          <w:sz w:val="28"/>
          <w:sz w:val="28"/>
          <w:szCs w:val="28"/>
          <w:rtl w:val="true"/>
          <w:lang w:bidi="ar-SA"/>
        </w:rPr>
        <w:t>، محمول على الندب والإرشاد إلى عدم تلويث المجنب بدنه بالنجاسة، فيجوز غَسْل كلّ جزءٍ بعد تطهيره ولو في أثناء الغسل، بل يجوز أن يغسل العضو النجس عن الخبث والحدث دفعةً واحدة ما لم يؤدِّ إلى تنجيس الماء كالغسل في الكثير، أو قلنا بعدم نجاسة الغسالة للإجماع الدالّ على لزوم طهارة الماء، ولم يقم إجماع على سوى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واحتمال أنّهما سببان فيجب تعدّد مسبّبهما فيجب غسلان، ممنوع؛ لأنّ ارتفاع الخبث أمر قهريّ يراد به مجرّد وجوده فیجامع غيره، ولا يحتاج إلى سبب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يقال بجواز رفع الحدث والخبث باقٍ إذا لم يكن مانعاً عن وصول الماء ولا مؤدّياً لنجاسته؛ لعدم ثبوت لزوم طهارة أعضاء الغسل، وعموم الأدلّة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موالاة في الغسل الترتيبي ، فلو غسل جزءاً بكرةً و جزءاً عشيّةً، لم يضرّ؛ للأخبار وفيها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لم ير بأساً أن يغسل الجنب رأسه غدوةً وسائر جسده عند الصلاة</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وكذا الصحيح في حكاية أمّ إسماعيل</w:t>
      </w:r>
      <w:r>
        <w:rPr>
          <w:rStyle w:val="FootnoteAnchor"/>
          <w:rtl w:val="true"/>
        </w:rPr>
        <w:footnoteReference w:id="1630"/>
      </w:r>
      <w:r>
        <w:rPr>
          <w:rFonts w:ascii="Amiri" w:hAnsi="Amiri" w:eastAsia="Amiri" w:cs="Amiri"/>
          <w:color w:val="111111"/>
          <w:sz w:val="28"/>
          <w:sz w:val="28"/>
          <w:szCs w:val="28"/>
          <w:rtl w:val="true"/>
          <w:lang w:bidi="ar-SA"/>
        </w:rPr>
        <w:t>، وغيرهما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أخلّ المغتسل ترتيباً بالترتيب أعاد؛ لأنّ الترتيب شرط واقعيٌّ، كما هي القاعدة في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أغفل لمعةً عاد إليها وغسل العضو الذي بعدها إن كانت في عضوٍ متقدّم، و إلّا كفى العود إليها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جمعٌ</w:t>
      </w:r>
      <w:r>
        <w:rPr>
          <w:rStyle w:val="FootnoteAnchor"/>
          <w:rtl w:val="true"/>
        </w:rPr>
        <w:footnoteReference w:id="1632"/>
      </w:r>
      <w:r>
        <w:rPr>
          <w:rFonts w:ascii="Amiri" w:hAnsi="Amiri" w:eastAsia="Amiri" w:cs="Amiri"/>
          <w:color w:val="111111"/>
          <w:sz w:val="28"/>
          <w:sz w:val="28"/>
          <w:szCs w:val="28"/>
          <w:rtl w:val="true"/>
          <w:lang w:bidi="ar-SA"/>
        </w:rPr>
        <w:t>، بالارتماس بالماء اشتمال الماء على الجسد بمطر أو ميزاب أو إناء دفعةً واحدة، واستندوا إلى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أجنب فيقوم في المطر ويغسل رأسه وجسده وهو يقدر على سوى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يغسله اغتسالة بالماء أجزأه ذلك</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وفي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قام في المطر حتّى سال على جسده يجزئه ذلك عن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الأُولى ضعف عن الدلالة؛ لاحتمال أنّ السؤال عن صحّة الغسل الترتيبي في المطر وعدمه، وذلك لضعف ماء المطر غالباً عن الاغتسال به، وقرينة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رأسه وجسده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يقدر على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المطر إذا كان يغسله بحيث يحقّق له اغتسالة يجري فيها الماء على الجسد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الثانية ضعف في الدلالة والسند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مخصوصتان بالمطر ، فلا يسري الحكم إلى غيره، وأنّ المعهود في غير الغسل الترتيبي هو الارتماسي المتحقّق بالانغماس في الماء، وغيره لا يدخل تحته، فيحتاج في إجزائه إلى دليل قوّي يقوم به،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جاء من الأوامر بالغسل،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خاصّ بالغسل الترتيبي؛ لأنّه هو المعهود شرعاً والظاهر إرادته من الأخبار، فتُحمل عليه، فالأحوط تجنب ذلك حتّى في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المغتسل لو أغفل لمعةً من الغسل الترتيبي عاد إليها وغسلها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إجزاء المسح عليها</w:t>
      </w:r>
      <w:r>
        <w:rPr>
          <w:rStyle w:val="FootnoteAnchor"/>
          <w:rtl w:val="true"/>
        </w:rPr>
        <w:footnoteReference w:id="1636"/>
      </w:r>
      <w:r>
        <w:rPr>
          <w:rFonts w:ascii="Amiri" w:hAnsi="Amiri" w:eastAsia="Amiri" w:cs="Amiri"/>
          <w:color w:val="111111"/>
          <w:sz w:val="28"/>
          <w:sz w:val="28"/>
          <w:szCs w:val="28"/>
          <w:rtl w:val="true"/>
          <w:lang w:bidi="ar-SA"/>
        </w:rPr>
        <w:t>محمول على إرادة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يغسل ما بعدها إن كانت في عضوٍ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لمعة من ظهرك،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عليك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فمسحها</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لمعةً من غسل الجنابة فأخذ من بلل شعره فمسحها وصلّى بالناس</w:t>
      </w:r>
      <w:r>
        <w:rPr>
          <w:rStyle w:val="FootnoteAnchor"/>
          <w:rtl w:val="true"/>
        </w:rPr>
        <w:footnoteReference w:id="1638"/>
      </w:r>
      <w:r>
        <w:rPr>
          <w:rFonts w:ascii="Amiri" w:hAnsi="Amiri" w:eastAsia="Amiri" w:cs="Amiri"/>
          <w:color w:val="111111"/>
          <w:sz w:val="28"/>
          <w:sz w:val="28"/>
          <w:szCs w:val="28"/>
          <w:rtl w:val="true"/>
          <w:lang w:bidi="ar-SA"/>
        </w:rPr>
        <w:t>، وغير ذلك</w:t>
      </w:r>
      <w:r>
        <w:rPr>
          <w:rStyle w:val="FootnoteAnchor"/>
          <w:rtl w:val="true"/>
        </w:rPr>
        <w:footnoteReference w:id="1639"/>
      </w:r>
      <w:r>
        <w:rPr>
          <w:rFonts w:ascii="Amiri" w:hAnsi="Amiri" w:eastAsia="Amiri" w:cs="Amiri"/>
          <w:color w:val="111111"/>
          <w:sz w:val="28"/>
          <w:sz w:val="28"/>
          <w:szCs w:val="28"/>
          <w:rtl w:val="true"/>
          <w:lang w:bidi="ar-SA"/>
        </w:rPr>
        <w:t>، كلّه محمول على أنّ اللمعة من العضو الأخير ؛ جمعاً بينها وبين ما دلّ على وجوب الترتيب، على أنّها ضعيفة؛ لمخالفة ظاهرها لمنصب العصمة، وإن كان حملها على بيان التعليم أو على رجحان التأخير لمصلحةٍ لا يعلمها الراوي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إتمام العضو السابق بعد تلبسه باللاحق أو بالأخير بعد فراغه منه وإعراضه عنه أو دخوله في عمل آخَر، لم يلتفت؛ لعمومات الأدلّة الدالّة على أنّ مَنْ شَكّ في الشيء وقد فرغ منه لم يلتفت إليه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يستحبّ مسح المشكوك فيه بعد الفراغ منه؛ للأمر به في روايةٍ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والأحوط الإعادة على المشكوك به ما دام متشاغلاً في الغسل؛ لشبهة أنّه عمل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أغفل لمعةً من الغسل الارتماسي، قوي القول بالبطلان والإعادة؛ لأنّ المتيقّن والمقطوع به من إجزاء الارتماس هو اشتمال الماء على جميع البدن دفعةً واحدة، وبقاء جزءٍ لا يمسّه الماء منافٍ لذلك؛ لأنّ هذا الجزء إمّا أن يسقط وجوب غسله، فينافي فينافي ما دلّ على وجوب غسل البدن أجمع</w:t>
      </w:r>
      <w:r>
        <w:rPr>
          <w:rStyle w:val="FootnoteAnchor"/>
          <w:rtl w:val="true"/>
        </w:rPr>
        <w:footnoteReference w:id="1642"/>
      </w:r>
      <w:r>
        <w:rPr>
          <w:rFonts w:ascii="Amiri" w:hAnsi="Amiri" w:eastAsia="Amiri" w:cs="Amiri"/>
          <w:color w:val="111111"/>
          <w:sz w:val="28"/>
          <w:sz w:val="28"/>
          <w:szCs w:val="28"/>
          <w:rtl w:val="true"/>
          <w:lang w:bidi="ar-SA"/>
        </w:rPr>
        <w:t>، وأنّ كلّ شعرة تحتها جنابة</w:t>
      </w:r>
      <w:r>
        <w:rPr>
          <w:rStyle w:val="FootnoteAnchor"/>
          <w:rtl w:val="true"/>
        </w:rPr>
        <w:footnoteReference w:id="1643"/>
      </w:r>
      <w:r>
        <w:rPr>
          <w:rFonts w:ascii="Amiri" w:hAnsi="Amiri" w:eastAsia="Amiri" w:cs="Amiri"/>
          <w:color w:val="111111"/>
          <w:sz w:val="28"/>
          <w:sz w:val="28"/>
          <w:szCs w:val="28"/>
          <w:rtl w:val="true"/>
          <w:lang w:bidi="ar-SA"/>
        </w:rPr>
        <w:t>، و إمّا أن يغسل بعد ذلك بفاصلٍ، يعتدّ به أو لا بفاصلٍ، فينافي ما دلّ على أنّ الارتماسي هو الارتماسة بالماء دفعةً واحدة</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بعضهم</w:t>
      </w:r>
      <w:r>
        <w:rPr>
          <w:rStyle w:val="FootnoteAnchor"/>
          <w:rtl w:val="true"/>
        </w:rPr>
        <w:footnoteReference w:id="1645"/>
      </w:r>
      <w:r>
        <w:rPr>
          <w:rFonts w:ascii="Amiri" w:hAnsi="Amiri" w:eastAsia="Amiri" w:cs="Amiri"/>
          <w:color w:val="111111"/>
          <w:sz w:val="28"/>
          <w:sz w:val="28"/>
          <w:szCs w:val="28"/>
          <w:rtl w:val="true"/>
          <w:lang w:bidi="ar-SA"/>
        </w:rPr>
        <w:t>، صحّةَ الغسل وغسل اللمعة بعد ذلك؛ لحصول الغسل لأكثر بدنه وصدق أنّه ارتمس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آخَرون</w:t>
      </w:r>
      <w:r>
        <w:rPr>
          <w:rStyle w:val="FootnoteAnchor"/>
          <w:rtl w:val="true"/>
        </w:rPr>
        <w:footnoteReference w:id="1647"/>
      </w:r>
      <w:r>
        <w:rPr>
          <w:rFonts w:ascii="Amiri" w:hAnsi="Amiri" w:eastAsia="Amiri" w:cs="Amiri"/>
          <w:color w:val="111111"/>
          <w:sz w:val="28"/>
          <w:sz w:val="28"/>
          <w:szCs w:val="28"/>
          <w:rtl w:val="true"/>
          <w:lang w:bidi="ar-SA"/>
        </w:rPr>
        <w:t>الفرقَ بين طول الزمان فيبطل، وبين قصره فيصحّ؛ لصدق الارتماسة الواحدة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آخَرون</w:t>
      </w:r>
      <w:r>
        <w:rPr>
          <w:rStyle w:val="FootnoteAnchor"/>
          <w:rtl w:val="true"/>
        </w:rPr>
        <w:footnoteReference w:id="1648"/>
      </w:r>
      <w:r>
        <w:rPr>
          <w:rFonts w:ascii="Amiri" w:hAnsi="Amiri" w:eastAsia="Amiri" w:cs="Amiri"/>
          <w:color w:val="111111"/>
          <w:sz w:val="28"/>
          <w:sz w:val="28"/>
          <w:szCs w:val="28"/>
          <w:rtl w:val="true"/>
          <w:lang w:bidi="ar-SA"/>
        </w:rPr>
        <w:t>أيضاً وجوبَ غسلها وغسل ما بعدها مرتّباً، فيعود الارتماسي ترتيبيّاً؛ لأنّ الارتماسي مرتّب حكماً أو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احتُملت الصحّة وإن لم يغسل تلك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يفرّق بين العامد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الوجوه بيّنة الضعف، مخالفة للاحتياط، خالية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المباشرة في كلا الغسلين فلا تكفي التولية إلّا مع العجز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بين الغسل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العاجز الاستئجار بثمنٍ لا يضرّ بالحال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بالارتماس في الماء القليل والكثير والجاري والراكد، خلافاً لمن منع الارتماس في الراكد</w:t>
      </w:r>
      <w:r>
        <w:rPr>
          <w:rStyle w:val="FootnoteAnchor"/>
          <w:rtl w:val="true"/>
        </w:rPr>
        <w:footnoteReference w:id="1649"/>
      </w:r>
      <w:r>
        <w:rPr>
          <w:rFonts w:ascii="Amiri" w:hAnsi="Amiri" w:eastAsia="Amiri" w:cs="Amiri"/>
          <w:color w:val="111111"/>
          <w:sz w:val="28"/>
          <w:sz w:val="28"/>
          <w:szCs w:val="28"/>
          <w:rtl w:val="true"/>
          <w:lang w:bidi="ar-SA"/>
        </w:rPr>
        <w:t>، وهو ضعيف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الجبائر في الغسل حكمها في الوضوء في وجوب المسح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الأمر بالتيمّم في الغسل لذي الجروح والقروح</w:t>
      </w:r>
      <w:r>
        <w:rPr>
          <w:rStyle w:val="FootnoteAnchor"/>
          <w:rtl w:val="true"/>
        </w:rPr>
        <w:footnoteReference w:id="1650"/>
      </w:r>
      <w:r>
        <w:rPr>
          <w:rFonts w:ascii="Amiri" w:hAnsi="Amiri" w:eastAsia="Amiri" w:cs="Amiri"/>
          <w:color w:val="111111"/>
          <w:sz w:val="28"/>
          <w:sz w:val="28"/>
          <w:szCs w:val="28"/>
          <w:rtl w:val="true"/>
          <w:lang w:bidi="ar-SA"/>
        </w:rPr>
        <w:t>ظاهرٌ في أنّه لحصول الضرر بالتكشّف وغسل الصحيح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لذي الجبائر ترك الغسل الارتماسي والعدول للترتيبي، بل ربما يقال بلزومه وسقوط الارتماس من أصله، حتّى أنّه لو لم يمكنه الترتيب انتقل إلى التيمّم، ولا يصحّ منه الغسل الارتماسي؛ لعدم التمكّن من الغسل والمسح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الخروج من الماء في الغسل الارتماسي، بل لو بقي في الماء بعد نيّة الغسل أجزأ، ولا يجب إخراج نفسه قبل الارتماس،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الارتماسي هو الحاصل عند اشتمال الماء على البدن، أو قلنا بحصوله عند ابتداء دخول الأجزاء المتلاحقة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الغسل شرائط الوضوء من طهارة ماء وحلّيته وإسلام ونيّة قربةٍ أو رفع حدثٍ أو استباحةٍ أو غايةٍ أُخرى إن قلنا بوجوب ذلك، وإيمانٍ وعقلٍ وغيرهما،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يترتّب الغسل الارتماسي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للشيخ</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فُسّر بأنّ المغتسل يجب عليه أن يرتّب في النيّة، فينوي غسل رأسه أوّلاً ثمّ الأيمن ثمّ الأيسر، أو فُسّر بأنّ الارتماسي يترتّب بحكم الشارع قهراً، فيحكم على المغتسل بطهارة رأسه أوّلاً ثمّ الأيمن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يمكن أن يكون عند الارتماس نفسه، ويمكن أن يكون عند خروجه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عند إخراجه نفسه على ذلك النحو، ويمكن أن يكون عند إدخاله نفسه على ذلك النحو، وفي غيرهما يكون الترتيب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هذه الوجوه فالقول بذلك ضعيف لا تساعده الأخبار ولا كلام الأصحاب والأُصول والقواعد، وخلوّ الأخبار البيانيّة</w:t>
      </w:r>
      <w:r>
        <w:rPr>
          <w:rStyle w:val="FootnoteAnchor"/>
          <w:rtl w:val="true"/>
        </w:rPr>
        <w:footnoteReference w:id="1652"/>
      </w:r>
      <w:r>
        <w:rPr>
          <w:rFonts w:ascii="Amiri" w:hAnsi="Amiri" w:eastAsia="Amiri" w:cs="Amiri"/>
          <w:color w:val="111111"/>
          <w:sz w:val="28"/>
          <w:sz w:val="28"/>
          <w:szCs w:val="28"/>
          <w:rtl w:val="true"/>
          <w:lang w:bidi="ar-SA"/>
        </w:rPr>
        <w:t>عنه دليل على عدمه بجميع الوجوه، بل ربما تكون النيّة مفسدةً للغسل؛ لأنّها بمنزلة نيّة أحد النوعين في مكان الآخَر، فالأحوط تركها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ترتّب ثمرات الغسل الترتيبي على الغسل الارتماسي في مثل اللمعة المغفلة، وفي مثل ما إذا أصاب الماء الرأس فقط أو الرأس مع أحد الجانبين، دعوى لا يساعدها البرهان، </w:t>
      </w:r>
      <w:bookmarkStart w:id="868" w:name="pg18988_203466"/>
    </w:p>
    <w:p>
      <w:pPr>
        <w:pStyle w:val="BookText"/>
        <w:rPr/>
      </w:pPr>
      <w:bookmarkEnd w:id="868"/>
      <w:r>
        <w:rPr>
          <w:rFonts w:ascii="IRNazanin" w:hAnsi="IRNazanin" w:eastAsia="IRNazanin"/>
          <w:color w:val="111111"/>
          <w:sz w:val="28"/>
          <w:sz w:val="28"/>
          <w:szCs w:val="28"/>
          <w:rtl w:val="true"/>
          <w:lang w:bidi="fa-IR"/>
        </w:rPr>
        <w:t>وينفيها ظاهر الأخبار وكلام الأصحاب من تقسيمهم الغسل إلى ضربين وإعطاء كلٍّ منهما حکمه، وأنّ كلّاً منهما قسم برأسه، وليس هنالك ما يدلّ على عموم المنزلة والبدليّة كي يعطى الارتماس حكم الترتيب، فتأمّل</w:t>
      </w:r>
      <w:r>
        <w:rPr>
          <w:rFonts w:eastAsia="IRNazanin" w:cs="IRNazanin"/>
          <w:color w:val="111111"/>
          <w:sz w:val="28"/>
          <w:szCs w:val="28"/>
          <w:rtl w:val="true"/>
          <w:lang w:bidi="fa-IR"/>
        </w:rPr>
        <w:t>.</w:t>
      </w:r>
    </w:p>
    <w:p>
      <w:pPr>
        <w:pStyle w:val="Heading5"/>
        <w:numPr>
          <w:ilvl w:val="4"/>
          <w:numId w:val="1"/>
        </w:numPr>
        <w:rPr/>
      </w:pPr>
      <w:bookmarkStart w:id="869" w:name="__RefHeading___Toc13198023_1280447820"/>
      <w:bookmarkStart w:id="870" w:name="_Toc338"/>
      <w:bookmarkEnd w:id="869"/>
      <w:r>
        <w:rPr>
          <w:rtl w:val="true"/>
        </w:rPr>
        <w:t>سادسها</w:t>
      </w:r>
      <w:r>
        <w:rPr>
          <w:rtl w:val="true"/>
        </w:rPr>
        <w:t xml:space="preserve">: </w:t>
      </w:r>
      <w:r>
        <w:rPr>
          <w:rtl w:val="true"/>
        </w:rPr>
        <w:t>يسقط الوضوء مع غسل الجنابة وجوباً</w:t>
      </w:r>
      <w:bookmarkEnd w:id="870"/>
    </w:p>
    <w:p>
      <w:pPr>
        <w:pStyle w:val="BookText"/>
        <w:rPr/>
      </w:pPr>
      <w:r>
        <w:rPr>
          <w:rFonts w:ascii="Amiri" w:hAnsi="Amiri" w:eastAsia="Amiri" w:cs="Amiri"/>
          <w:color w:val="111111"/>
          <w:sz w:val="28"/>
          <w:sz w:val="28"/>
          <w:szCs w:val="28"/>
          <w:rtl w:val="true"/>
          <w:lang w:bidi="ar-SA"/>
        </w:rPr>
        <w:t>يسقط الوضوء مع غسل الجنابة وجوباً ؛للإجماع، والأخبار الدالّة على أنّ غسل الجنابة لا وضوء معه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يستحبّ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54"/>
      </w:r>
      <w:r>
        <w:rPr>
          <w:rFonts w:ascii="IRNazanin" w:hAnsi="IRNazanin" w:eastAsia="IRNazanin"/>
          <w:color w:val="111111"/>
          <w:sz w:val="28"/>
          <w:sz w:val="28"/>
          <w:szCs w:val="28"/>
          <w:rtl w:val="true"/>
          <w:lang w:bidi="fa-IR"/>
        </w:rPr>
        <w:t>لبعض الأخبار</w:t>
      </w:r>
      <w:r>
        <w:rPr>
          <w:rStyle w:val="FootnoteAnchor"/>
          <w:rtl w:val="true"/>
        </w:rPr>
        <w:footnoteReference w:id="1655"/>
      </w:r>
      <w:r>
        <w:rPr>
          <w:rFonts w:ascii="Amiri" w:hAnsi="Amiri" w:eastAsia="Amiri" w:cs="Amiri"/>
          <w:color w:val="111111"/>
          <w:sz w:val="28"/>
          <w:sz w:val="28"/>
          <w:szCs w:val="28"/>
          <w:rtl w:val="true"/>
          <w:lang w:bidi="ar-SA"/>
        </w:rPr>
        <w:t>الآمرة به بحملها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خلافه، وحمل الأخبار على التقيّة، أو على إرادة التنظيف من لفظ الوضوء،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المنع منه ما ورد في بعض الأخبار من نسبة ذلك إلى الناس، ومن أنّهم كذبوا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كان يأمر بالوضوء قبل غسل الجنابة</w:t>
      </w:r>
      <w:r>
        <w:rPr>
          <w:rStyle w:val="FootnoteAnchor"/>
          <w:rtl w:val="true"/>
        </w:rPr>
        <w:footnoteReference w:id="1656"/>
      </w:r>
      <w:r>
        <w:rPr>
          <w:rFonts w:ascii="Amiri" w:hAnsi="Amiri" w:eastAsia="Amiri" w:cs="Amiri"/>
          <w:color w:val="111111"/>
          <w:sz w:val="28"/>
          <w:sz w:val="28"/>
          <w:szCs w:val="28"/>
          <w:rtl w:val="true"/>
          <w:lang w:bidi="ar-SA"/>
        </w:rPr>
        <w:t>، فالأحوط الترك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الوضوء مع غير غسل الجنابة من الأغسال على الأشهر الأظهر، واجباً كان أو نفلاً، رافعاً كان أم لا؛ لفتوى المشهور، والإجماع المنقول</w:t>
      </w:r>
      <w:r>
        <w:rPr>
          <w:rStyle w:val="FootnoteAnchor"/>
          <w:rtl w:val="true"/>
        </w:rPr>
        <w:footnoteReference w:id="1657"/>
      </w:r>
      <w:r>
        <w:rPr>
          <w:rFonts w:ascii="Amiri" w:hAnsi="Amiri" w:eastAsia="Amiri" w:cs="Amiri"/>
          <w:color w:val="111111"/>
          <w:sz w:val="28"/>
          <w:sz w:val="28"/>
          <w:szCs w:val="28"/>
          <w:rtl w:val="true"/>
          <w:lang w:bidi="ar-SA"/>
        </w:rPr>
        <w:t>، وعموم الآية</w:t>
      </w:r>
      <w:r>
        <w:rPr>
          <w:rStyle w:val="FootnoteAnchor"/>
          <w:rtl w:val="true"/>
        </w:rPr>
        <w:footnoteReference w:id="1658"/>
      </w:r>
      <w:r>
        <w:rPr>
          <w:rFonts w:ascii="Amiri" w:hAnsi="Amiri" w:eastAsia="Amiri" w:cs="Amiri"/>
          <w:color w:val="111111"/>
          <w:sz w:val="28"/>
          <w:sz w:val="28"/>
          <w:szCs w:val="28"/>
          <w:rtl w:val="true"/>
          <w:lang w:bidi="ar-SA"/>
        </w:rPr>
        <w:t>الآمرة بالوضوء للصلاة، خرج غسل الجنابة وبقي الباقي، ولعموم ما دلّ على وجوبه بحدوث أسبابه</w:t>
      </w:r>
      <w:r>
        <w:rPr>
          <w:rStyle w:val="FootnoteAnchor"/>
          <w:rtl w:val="true"/>
        </w:rPr>
        <w:footnoteReference w:id="1659"/>
      </w:r>
      <w:r>
        <w:rPr>
          <w:rFonts w:ascii="Amiri" w:hAnsi="Amiri" w:eastAsia="Amiri" w:cs="Amiri"/>
          <w:color w:val="111111"/>
          <w:sz w:val="28"/>
          <w:sz w:val="28"/>
          <w:szCs w:val="28"/>
          <w:rtl w:val="true"/>
          <w:lang w:bidi="ar-SA"/>
        </w:rPr>
        <w:t>، وللاستصحاب وأصالة عدم المزيل للحدث الأصغر، وللاحتياط اللازم في العبادة بعد شغل الذمّة، ولظاهر المرسل المعدود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وللرضوي</w:t>
      </w:r>
      <w:r>
        <w:rPr>
          <w:rStyle w:val="FootnoteAnchor"/>
          <w:rtl w:val="true"/>
        </w:rPr>
        <w:footnoteReference w:id="1661"/>
      </w:r>
      <w:r>
        <w:rPr>
          <w:rFonts w:ascii="IRNazanin" w:hAnsi="IRNazanin" w:eastAsia="IRNazanin"/>
          <w:color w:val="111111"/>
          <w:sz w:val="28"/>
          <w:sz w:val="28"/>
          <w:szCs w:val="28"/>
          <w:rtl w:val="true"/>
          <w:lang w:bidi="fa-IR"/>
        </w:rPr>
        <w:t>المؤيَّد بفتوى المشهور، وكذا المرويّ في عوالي اللآلي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 الآمر بالوضوء قبل غسل الجمعة</w:t>
      </w:r>
      <w:r>
        <w:rPr>
          <w:rStyle w:val="FootnoteAnchor"/>
          <w:rtl w:val="true"/>
        </w:rPr>
        <w:footnoteReference w:id="1663"/>
      </w:r>
      <w:r>
        <w:rPr>
          <w:rFonts w:ascii="IRNazanin" w:hAnsi="IRNazanin" w:eastAsia="IRNazanin"/>
          <w:color w:val="111111"/>
          <w:sz w:val="28"/>
          <w:sz w:val="28"/>
          <w:szCs w:val="28"/>
          <w:rtl w:val="true"/>
          <w:lang w:bidi="fa-IR"/>
        </w:rPr>
        <w:t>، ولا قائل بالفرق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ولتوفّر الدواعي على اشتهار عدم وجوبه لو كان، مع أنّ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المرتضى إلى عدم وجوب الوضوء مع كلّ غسل، نفل أو فرض</w:t>
      </w:r>
      <w:r>
        <w:rPr>
          <w:rStyle w:val="FootnoteAnchor"/>
          <w:rtl w:val="true"/>
        </w:rPr>
        <w:footnoteReference w:id="1664"/>
      </w:r>
      <w:r>
        <w:rPr>
          <w:rFonts w:ascii="IRNazanin" w:hAnsi="IRNazanin" w:eastAsia="IRNazanin"/>
          <w:color w:val="111111"/>
          <w:sz w:val="28"/>
          <w:sz w:val="28"/>
          <w:szCs w:val="28"/>
          <w:rtl w:val="true"/>
          <w:lang w:bidi="fa-IR"/>
        </w:rPr>
        <w:t>لإطلاق الأخبار</w:t>
      </w:r>
      <w:r>
        <w:rPr>
          <w:rStyle w:val="FootnoteAnchor"/>
          <w:rtl w:val="true"/>
        </w:rPr>
        <w:footnoteReference w:id="1665"/>
      </w:r>
      <w:r>
        <w:rPr>
          <w:rFonts w:ascii="Amiri" w:hAnsi="Amiri" w:eastAsia="Amiri" w:cs="Amiri"/>
          <w:color w:val="111111"/>
          <w:sz w:val="28"/>
          <w:sz w:val="28"/>
          <w:szCs w:val="28"/>
          <w:rtl w:val="true"/>
          <w:lang w:bidi="ar-SA"/>
        </w:rPr>
        <w:t>بإيجاب الغسل على الحائض والمستحاضة ونحوهما في مقام البيان مع عدم ذكر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 وأيّ وضوء أطهر من الغسل</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والصحيح الآخَر مثله، ولكنّه بعد السؤال عن غسل الجنابة</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ورد في الصحيح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بعد الغسل بدعة</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ولمكاتبة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للصلاة في غسل الجمعة ولا غيره</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يغتسل للجمعة أو غير ذلك أيجزئه عن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وضوء أطهر من الغسل</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اغتسل من جنابة أو يوم جمعة أو يوم عيد، هل عليه وضوء قبل أو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وضوء قبل ولا بعد، وقد أجزأه الغسل، وكذا المرأة إذا اغتسلت من حيض أو غير ذلك فليس عليها الوضوء لا قبل ولا بعد</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الكلّ نظر؛ لضعفها عن المقاومة، ولظهور الصحيحين الأوّلين في غسل الجنابة؛ لأنّه المعهود، فينصرف إليه السؤال لكون السائل من الرجال،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للجنس، وينصرف إلى ما ذكرناه، أو للعهد والمعهود هو ما ذكرناه، ولو فرضنا أنّ اللام للاستغراق لكان مخصّصاً بما ذكرناه، والتخصيص حتّى ينتهى إلى الواحد لا بأس به، على أنّ صدر الثاني ظاهر في الجنابة؛ لذكرها فيه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ظهور العموم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وضوء أطهر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معهوديّة الجنابة وتكرّرها في السؤال، غير مسموعة، وإشعاره بالعلّيّة مع ظهور احتمال الخصوصيّة لا يفيد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دلّ على أنّ الوضوء بعد الغسل بدعة، فإنّه ظاهر في غسل الجنابة، مضافاً إلى ما قدّمنا من أنّ البدعيّة في غير غسل الجنابة لا يقولها أحد؛ للإجماع على الراجحيّة، على أنّه يمكن أن يكون متعلّق البدعة هو كون الوضوء بعده لا قبله كما أوجبه جماعة</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المكاتبة وما بعدها فضعيفتان لا تصلحان للاستدلال بهما، ومع ذلك فهما معارضتان بالصحيح الدالّ على وجوب الوضوء مع غسل الجمعة</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الموثّق فمع كونه غير صالح للمعارضة محمول على عدم احتياج الغسل نفسه للوضوء، فيتمّ رفعه للحدث بدونه وإن كان لا يجوز له الصلاة من 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خلوّ الأخبار عن الوضوء في الأغسال فلأنّها إنّما سِيقت لبيان رافع الأكبر وما يحتاج إليه، لا لبيان رافع الأصغر، بل ربما كان الاحتياج إليه معلوماً ، فلا يحتاج إلى بيان، ولأنّ السؤال عنها لم يعلم مصادفته لدخول الوقت كي يجاب بجميع ما يجب للصلاة من رافع أكبر أو أصغر،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تقديم الوضوء على الغسل ؟ ظاهر الأخبار</w:t>
      </w:r>
      <w:r>
        <w:rPr>
          <w:rStyle w:val="FootnoteAnchor"/>
          <w:rtl w:val="true"/>
        </w:rPr>
        <w:footnoteReference w:id="1674"/>
      </w:r>
      <w:r>
        <w:rPr>
          <w:rFonts w:ascii="Amiri" w:hAnsi="Amiri" w:eastAsia="Amiri" w:cs="Amiri"/>
          <w:color w:val="111111"/>
          <w:sz w:val="28"/>
          <w:sz w:val="28"/>
          <w:szCs w:val="28"/>
          <w:rtl w:val="true"/>
          <w:lang w:bidi="ar-SA"/>
        </w:rPr>
        <w:t>ذلك،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بعد الغسل بدعة</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فتوى الأصحاب والإجماع المنقول</w:t>
      </w:r>
      <w:r>
        <w:rPr>
          <w:rStyle w:val="FootnoteAnchor"/>
          <w:rtl w:val="true"/>
        </w:rPr>
        <w:footnoteReference w:id="1676"/>
      </w:r>
      <w:r>
        <w:rPr>
          <w:rFonts w:ascii="Amiri" w:hAnsi="Amiri" w:eastAsia="Amiri" w:cs="Amiri"/>
          <w:color w:val="111111"/>
          <w:sz w:val="28"/>
          <w:sz w:val="28"/>
          <w:szCs w:val="28"/>
          <w:rtl w:val="true"/>
          <w:lang w:bidi="ar-SA"/>
        </w:rPr>
        <w:t>في الباب يدلّان على التخيير، وكذا إطلاقات بعض الأخبار</w:t>
      </w:r>
      <w:r>
        <w:rPr>
          <w:rStyle w:val="FootnoteAnchor"/>
          <w:rtl w:val="true"/>
        </w:rPr>
        <w:footnoteReference w:id="1677"/>
      </w:r>
      <w:r>
        <w:rPr>
          <w:rFonts w:ascii="Amiri" w:hAnsi="Amiri" w:eastAsia="Amiri" w:cs="Amiri"/>
          <w:color w:val="111111"/>
          <w:sz w:val="28"/>
          <w:sz w:val="28"/>
          <w:szCs w:val="28"/>
          <w:rtl w:val="true"/>
          <w:lang w:bidi="ar-SA"/>
        </w:rPr>
        <w:t>، فلتُحمل أخبار القبليّة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وجوب القبليّة فالإجماع منقول</w:t>
      </w:r>
      <w:r>
        <w:rPr>
          <w:rStyle w:val="FootnoteAnchor"/>
          <w:rtl w:val="true"/>
        </w:rPr>
        <w:footnoteReference w:id="1678"/>
      </w:r>
      <w:r>
        <w:rPr>
          <w:rFonts w:ascii="Amiri" w:hAnsi="Amiri" w:eastAsia="Amiri" w:cs="Amiri"/>
          <w:color w:val="111111"/>
          <w:sz w:val="28"/>
          <w:sz w:val="28"/>
          <w:szCs w:val="28"/>
          <w:rtl w:val="true"/>
          <w:lang w:bidi="ar-SA"/>
        </w:rPr>
        <w:t>على عدم فساد غسل المؤخِّر، بل يصحّ غسله وإن أثم بالتأخير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ينوي بالوضوء رفع الأصغر فقط أو رفعه مع رفع الأكبر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لأنّه المعهود من مشروعيّة الوضوء له</w:t>
      </w:r>
      <w:r>
        <w:rPr>
          <w:rFonts w:eastAsia="Amiri" w:cs="Amiri" w:ascii="Amiri" w:hAnsi="Amiri"/>
          <w:color w:val="111111"/>
          <w:sz w:val="28"/>
          <w:szCs w:val="28"/>
          <w:rtl w:val="true"/>
          <w:lang w:bidi="ar-SA"/>
        </w:rPr>
        <w:t xml:space="preserve">. </w:t>
      </w:r>
      <w:bookmarkStart w:id="871" w:name="pg18988_203469"/>
    </w:p>
    <w:p>
      <w:pPr>
        <w:pStyle w:val="BookText"/>
        <w:rPr/>
      </w:pPr>
      <w:bookmarkEnd w:id="871"/>
      <w:r>
        <w:rPr>
          <w:rFonts w:ascii="Amiri" w:hAnsi="Amiri" w:eastAsia="Amiri" w:cs="Amiri"/>
          <w:color w:val="111111"/>
          <w:sz w:val="28"/>
          <w:sz w:val="28"/>
          <w:szCs w:val="28"/>
          <w:rtl w:val="true"/>
          <w:lang w:bidi="ar-SA"/>
        </w:rPr>
        <w:t>وتبنى المسألة على أنّ الوضوء رافع للأصغر فقط، والغسل للأكبر فقط، أو يشتركان في رفع الأمرين، أو يشارك الغسل الوضوء في رفع الأصغر، وينفرد عنه في رفع الأكبر، أو بالعكس؟ ولمّا كان أظهر الوجوه الأوّل كانت نيّة الوضوء هي النية المعهودة لمشروعيته</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3198025_1280447820"/>
      <w:bookmarkStart w:id="873" w:name="_Toc339"/>
      <w:bookmarkEnd w:id="872"/>
      <w:r>
        <w:rPr>
          <w:rtl w:val="true"/>
        </w:rPr>
        <w:t>سابعها</w:t>
      </w:r>
      <w:r>
        <w:rPr>
          <w:rtl w:val="true"/>
        </w:rPr>
        <w:t>:</w:t>
      </w:r>
      <w:r>
        <w:rPr>
          <w:rtl w:val="true"/>
        </w:rPr>
        <w:t>حکم لو أحدث المغتسل عن الجنابة ترتيباً في أثناء الغسل</w:t>
      </w:r>
      <w:bookmarkEnd w:id="873"/>
    </w:p>
    <w:p>
      <w:pPr>
        <w:pStyle w:val="BookText"/>
        <w:rPr/>
      </w:pPr>
      <w:r>
        <w:rPr>
          <w:rFonts w:ascii="IRNazanin" w:hAnsi="IRNazanin" w:eastAsia="IRNazanin"/>
          <w:color w:val="111111"/>
          <w:sz w:val="28"/>
          <w:sz w:val="28"/>
          <w:szCs w:val="28"/>
          <w:rtl w:val="true"/>
          <w:lang w:bidi="fa-IR"/>
        </w:rPr>
        <w:t>لو أحدث المغتسل عن الجنابة ترتيباً في أثناء الغسل أو ارتماساً عند نيّة الغسل فی الارتماسة، قام احتمال صحّة الغسل وإتمامه في الأوّل والبناء عليه في الثاني والوضوء للصلاة بعد ذلك؛ لأصالة البراءة، وأصل الصحّة، ولما جاء من جواز التراخي في الغسل</w:t>
      </w:r>
      <w:r>
        <w:rPr>
          <w:rStyle w:val="FootnoteAnchor"/>
          <w:rtl w:val="true"/>
        </w:rPr>
        <w:footnoteReference w:id="1679"/>
      </w:r>
      <w:r>
        <w:rPr>
          <w:rFonts w:ascii="Amiri" w:hAnsi="Amiri" w:eastAsia="Amiri" w:cs="Amiri"/>
          <w:color w:val="111111"/>
          <w:sz w:val="28"/>
          <w:sz w:val="28"/>
          <w:szCs w:val="28"/>
          <w:rtl w:val="true"/>
          <w:lang w:bidi="ar-SA"/>
        </w:rPr>
        <w:t xml:space="preserve">، من دون تفصيل بين وقوع الحدث في الأثناء وعدمه، وعموم الأدلّة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أمسسته الماء فقد أنقيته </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وإطلاقات أوامر الغسل من دون شرطٍ آخَر، ولعموم أدلّة إيجاب الحدث الأصغر الوضوء</w:t>
      </w:r>
      <w:r>
        <w:rPr>
          <w:rStyle w:val="FootnoteAnchor"/>
          <w:rtl w:val="true"/>
        </w:rPr>
        <w:footnoteReference w:id="1682"/>
      </w:r>
      <w:r>
        <w:rPr>
          <w:rFonts w:ascii="Amiri" w:hAnsi="Amiri" w:eastAsia="Amiri" w:cs="Amiri"/>
          <w:color w:val="111111"/>
          <w:sz w:val="28"/>
          <w:sz w:val="28"/>
          <w:szCs w:val="28"/>
          <w:rtl w:val="true"/>
          <w:lang w:bidi="ar-SA"/>
        </w:rPr>
        <w:t>، والمتيقّن من رافعه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الغسل كلّاً، أو الوضوء، والأوّل غير حاصل فيبقى الوضوء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احتمال لزوم الإعادة من رأس لبطلان الغسل ؛ لأنّ المفهوم من أخبار غسل الجنابة أنّ الصحيح من الغسل ما ترتفع معه الأحداث الصغار بالمرّة، ومثل هذا لا يرفع ما تخلّله قطعاً، ولأنّ المتخلّل حدث فلا بدّ له من أثر ، فهو إمّا الغسل وهو المطلوب، أو الوضوء وهو منافٍ لما دلّ على أنّ كلّ غسل معه وضوء إلّا الجنابة</w:t>
      </w:r>
      <w:r>
        <w:rPr>
          <w:rStyle w:val="FootnoteAnchor"/>
          <w:rtl w:val="true"/>
        </w:rPr>
        <w:footnoteReference w:id="1683"/>
      </w:r>
      <w:r>
        <w:rPr>
          <w:rFonts w:ascii="Amiri" w:hAnsi="Amiri" w:eastAsia="Amiri" w:cs="Amiri"/>
          <w:color w:val="111111"/>
          <w:sz w:val="28"/>
          <w:sz w:val="28"/>
          <w:szCs w:val="28"/>
          <w:rtl w:val="true"/>
          <w:lang w:bidi="ar-SA"/>
        </w:rPr>
        <w:t>، ولأنّ الحدث ناقض لتمام الغسل، فانتقاض بعضه به بالطريق الأولى، وحينئذٍ فارتفاعه إمّا ببعض الغسل ولا دليل عليه، أو بالوضوء وهو منهيّ عنه، أو بالغسل وهو المطلوب، ولروايتي عرض المجالس</w:t>
      </w:r>
      <w:r>
        <w:rPr>
          <w:rStyle w:val="FootnoteAnchor"/>
          <w:rtl w:val="true"/>
        </w:rPr>
        <w:footnoteReference w:id="1684"/>
      </w:r>
      <w:r>
        <w:rPr>
          <w:rFonts w:ascii="Amiri" w:hAnsi="Amiri" w:eastAsia="Amiri" w:cs="Amiri"/>
          <w:color w:val="111111"/>
          <w:sz w:val="28"/>
          <w:sz w:val="28"/>
          <w:szCs w:val="28"/>
          <w:rtl w:val="true"/>
          <w:lang w:bidi="ar-SA"/>
        </w:rPr>
        <w:t>والفقه الرضوي</w:t>
      </w:r>
      <w:r>
        <w:rPr>
          <w:rStyle w:val="FootnoteAnchor"/>
          <w:rtl w:val="true"/>
        </w:rPr>
        <w:footnoteReference w:id="1685"/>
      </w:r>
      <w:r>
        <w:rPr>
          <w:rFonts w:ascii="Amiri" w:hAnsi="Amiri" w:eastAsia="Amiri" w:cs="Amiri"/>
          <w:color w:val="111111"/>
          <w:sz w:val="28"/>
          <w:sz w:val="28"/>
          <w:szCs w:val="28"/>
          <w:rtl w:val="true"/>
          <w:lang w:bidi="ar-SA"/>
        </w:rPr>
        <w:t>الدالّتين على الأمر بالإعادة، المؤيّدتين بالشهرة المنقولة</w:t>
      </w:r>
      <w:r>
        <w:rPr>
          <w:rStyle w:val="FootnoteAnchor"/>
          <w:rtl w:val="true"/>
        </w:rPr>
        <w:footnoteReference w:id="1686"/>
      </w:r>
      <w:r>
        <w:rPr>
          <w:rFonts w:ascii="Amiri" w:hAnsi="Amiri" w:eastAsia="Amiri" w:cs="Amiri"/>
          <w:color w:val="111111"/>
          <w:sz w:val="28"/>
          <w:sz w:val="28"/>
          <w:szCs w:val="28"/>
          <w:rtl w:val="true"/>
          <w:lang w:bidi="ar-SA"/>
        </w:rPr>
        <w:t>والاحتياط في العبادة؛ للشكّ في المانعيّة، وما شكّ في مانعيتّه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وقام احتمال صحّة الغسل وإتمامه؛ للأصل، واستصحاب الصحّة، ولعدم إيجاب المتخلّل للغسل؛ لأنّه ليس من نواقضه ولا موانعه وللوضوء المنهيّ عنه، وللشكّ في سببيّة مثل هذا الحدث للوضوء؛ لأنّ تأثير الحدث قبل ارتفاع الجنابة مشكوك فيه، ولذا إنّ الحدث قبل الاغتسال لا أثر له في إيجاب شيء، ولأنّ ارتفاع الجنابة إنّما يكون بتمام الغسل وحصول الجزء الأخير منه، وهو السبب في رفع الأصغر ، فإذا حصل الجزء الأخير منه حصل ارتفاع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احتمال لزوم الإعادة من رأس؛ للشكّ في الخروج من العهدة بمثل هذا الغسل، ولزوم الوضوء؛ للشكّ في ارتفاع الأصغر بدونه؛ لاحتمال صحّة الأوّل وعدم رافعيّته للأصغر، واحتمال صحّة الثاني ورافعيّته، وحيث قام الاحتمالان بقي الحدث الأصغر 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احتمال لزوم إتمام الغسل؛ للنهي عن إبطال العمل</w:t>
      </w:r>
      <w:r>
        <w:rPr>
          <w:rStyle w:val="FootnoteAnchor"/>
          <w:rtl w:val="true"/>
        </w:rPr>
        <w:footnoteReference w:id="1687"/>
      </w:r>
      <w:r>
        <w:rPr>
          <w:rFonts w:ascii="Amiri" w:hAnsi="Amiri" w:eastAsia="Amiri" w:cs="Amiri"/>
          <w:color w:val="111111"/>
          <w:sz w:val="28"/>
          <w:sz w:val="28"/>
          <w:szCs w:val="28"/>
          <w:rtl w:val="true"/>
          <w:lang w:bidi="ar-SA"/>
        </w:rPr>
        <w:t>، ولاحتمال صحّته، فلا يجزئ عنه المُعاد، ثمّ الإعادة للغسل ثمّ الوضوء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احتمال لزوم الإتمام والإعادة، والحدث الأصغر ثمّ الوضوء بعده؛ خروجاً عن شبهة تحريم الوضوء مع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منها أقوال مشهورة معروفة كالثلاثة الأُوَل، ومنها ومنها يجيء بها الاحتياط باختلاف مراتبه، والجميع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فللقدح في الأصل والاستصحاب بطروء ما يرفعهما من الشغل اليقيني المستدعي للفراغ اليقيني، وللقدح في عمومات الأدلّة وإطلاقات الأوامر بانصرافها للمعهود المتكرّر، وهو الحاصل من غير تخلّل حدثٍ، ولأنّ ما دلّ على بيان جواز التراخي إنّما جاء لبيانه، لا لبيان جميع ما يعرض له من حدث أصغر أو أكبر أو غير ذلك، ولأنّ ما دلّ على لزوم الوضوء مخصوص بما إذا لم يكن غسل جنابة، ولو كانت جنابة كان احتمال دخول الوضوء تحت أدلّة المنع مساوياً لاحتمال دخوله تحت أدلّة الوجوب، ولا ترجيح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من كون صحيح الغسل ما رفع الأحداث الصغريات، بل للغسل أثران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الأكبر، وهو لازم لا ينفكّ، والأصغر، وهو غير لازمٍ، كالمحدث بعد الغسل والمحدث في غير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يصحّ الغسل بدونه، والثاني لا نسلّم عدم الصحّة بدونه؛ إذ لا دليل </w:t>
      </w:r>
    </w:p>
    <w:p>
      <w:pPr>
        <w:pStyle w:val="BookText"/>
        <w:rPr/>
      </w:pPr>
      <w:r>
        <w:rPr>
          <w:rFonts w:ascii="Amiri" w:hAnsi="Amiri" w:eastAsia="Amiri" w:cs="Amiri"/>
          <w:color w:val="111111"/>
          <w:sz w:val="28"/>
          <w:sz w:val="28"/>
          <w:szCs w:val="28"/>
          <w:rtl w:val="true"/>
          <w:lang w:bidi="ar-SA"/>
        </w:rPr>
        <w:t>على أنّ ما لم يرفع الأصغر باطل كي يؤخذ به، غاية ما جاء أن لا وضوء مع غسل الجنابة، وهو منصرف لغير الحدث المتخلّل، فيقتصر فيه على المورد اليقيني، فحينئذٍ يصحّ الغسل ويلزم معه الوضوء للاستباحة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الأصغر والأكبر لا ينفكّان في غسل الجنابة، وأنّ الطهارة في الجنابة لا تتركّب من صغرى وكبرى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كلّ غسل معه الوضوء إلّا الجنابة مشكوك في شموله للغسل المتخلّل في أثنائه الحدث الأصغر، وارتفاع الحدث بالوضوء لا بأس به في المتخلّل؛ لانصراف المنع لغيره، بل ارتفاعه ببعض الغسل لا بأس به؛ لأنّ تأثير الغسل بعد تمامه، فيؤثّر الرفع عند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رفع جزء قليل من آخر الغسل لأحداث صغار متكثّرة، ممنوع بعد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ضعيفتان والشهرة غير مسلّمة، والاحتياط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الأصل والاستصحاب بما ذكرناه، ولأنّا لا نقول بأنّ الحدث الأصغر ناقض،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الغسل المرتبط بعدم الوضوء مشكوك فيها؛ لانصراف أدلّة صحّته لغير المفروض ولمنع دعوى عدم تأثير الحدث الأصغر قبل تمام الغسل؛ لعموم دليل التأثير، والتخصيص مفتقر إلى دليل غاية ما خرج المتقدّم فيبقى الباقي، ولمنع ارتفاع الجنابة بالجزء الأخير، ولئن سُلّم فلا نسلّم أنّ ارتفاع الجنابة لازم لارتفاع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مسلَّم في غير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الاحتمالات الاحتياطيّة فأسلمها في الاحتياط هو الأخير؛ لمكان النهي عن الوضوء في غيره ولاحتمال خرق الإجماع المركّب من التزام إعادة الغسل والوضوء، وهو مخالف الجميع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وأحوط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الغسل وإعادة الجنابة والغسل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في النظر قوّة القول الأوّل فتوىً، والأخير احتياطاً؛ لقوّة دليل الأوّل لمن تأمّل، و قرب الأخير للخروج عن العهدة على أيّ تقدير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والغسل الارتماسي على الأصحّ من أنّه الارتماسة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ما يجري في الترتيب من الاحتمالات وكذا على القول بترتيبه حكماً</w:t>
      </w:r>
      <w:r>
        <w:rPr>
          <w:rFonts w:eastAsia="Amiri" w:cs="Amiri" w:ascii="Amiri" w:hAnsi="Amiri"/>
          <w:color w:val="111111"/>
          <w:sz w:val="28"/>
          <w:szCs w:val="28"/>
          <w:rtl w:val="true"/>
          <w:lang w:bidi="ar-SA"/>
        </w:rPr>
        <w:t xml:space="preserve">. </w:t>
      </w:r>
      <w:bookmarkStart w:id="874" w:name="pg18988_203472"/>
    </w:p>
    <w:p>
      <w:pPr>
        <w:pStyle w:val="BookText"/>
        <w:rPr/>
      </w:pPr>
      <w:bookmarkEnd w:id="874"/>
      <w:r>
        <w:rPr>
          <w:rFonts w:ascii="Amiri" w:hAnsi="Amiri" w:eastAsia="Amiri" w:cs="Amiri"/>
          <w:color w:val="111111"/>
          <w:sz w:val="28"/>
          <w:sz w:val="28"/>
          <w:szCs w:val="28"/>
          <w:rtl w:val="true"/>
          <w:lang w:bidi="ar-SA"/>
        </w:rPr>
        <w:t>وعلى أنّه الارتماسة الحكميّة تصحّ مقارنة الحدث لجميعه، كما تصحّ مقارنة الحدث لجميع الغسل الترتيبي ، وحينئذ فتقوم الاحتمالات المتقدمة، سوى احتمال الصحّة من غير وضوء لعدم إمكانه؛ لعدم تعقّب الحدث جزءاً من الجنابة يصحّ استناد رفع الأصغر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في أثناء غسلٍ غير غسل الجنابة من الأغسال الرافعة لا ينتقض غسله، ولا تجب عليه الإعادة إلّا على القول باشتراك الغسل والوضوء في رفع الحدث الأصغر، فإنّه قد يحتمل وجوب إعادة الغسل ليرتفع الحدث به وبالوضوء</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13198027_1280447820"/>
      <w:bookmarkStart w:id="876" w:name="_Toc340"/>
      <w:bookmarkEnd w:id="875"/>
      <w:r>
        <w:rPr>
          <w:rtl w:val="true"/>
        </w:rPr>
        <w:t>ثامنها</w:t>
      </w:r>
      <w:r>
        <w:rPr>
          <w:rtl w:val="true"/>
        </w:rPr>
        <w:t xml:space="preserve">: </w:t>
      </w:r>
      <w:r>
        <w:rPr>
          <w:rtl w:val="true"/>
        </w:rPr>
        <w:t>لا يشترط تعيين نوع الغسل من كونه ارتماسيّاً أو ترتيبيّاً</w:t>
      </w:r>
      <w:bookmarkEnd w:id="876"/>
    </w:p>
    <w:p>
      <w:pPr>
        <w:pStyle w:val="BookText"/>
        <w:rPr/>
      </w:pPr>
      <w:r>
        <w:rPr>
          <w:rFonts w:ascii="Amiri" w:hAnsi="Amiri" w:eastAsia="Amiri" w:cs="Amiri"/>
          <w:color w:val="111111"/>
          <w:sz w:val="28"/>
          <w:sz w:val="28"/>
          <w:szCs w:val="28"/>
          <w:rtl w:val="true"/>
          <w:lang w:bidi="ar-SA"/>
        </w:rPr>
        <w:t xml:space="preserve">لا يشترط تعيين نوع الغسل من كونه ارتماسيّاً أو ترتيبيّاً على الوجه القويّ، فلو أدخل رأسه ناوياً الارتماس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الرأس من أجزائه لا من مقدّماته ، فعدل إلى الترتيب صحّ،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الأجزاء من مقدّمات الارتماس في النيّة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للمغتسل ترتيباً العدول عنه بعد إبطاله إلى الارتماس، وكذا العكس لو أمكن؛ لجواز العدول من أحد فردي الواجب قبل إتمامه إلى الآخَر، ويكون هذا طريقاً للاحتياط لمن أحدث في أثناء الغسل، ولكنّه لا يخلو أيضاً عن احتياطٍ لازم</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3198029_1280447820"/>
      <w:bookmarkStart w:id="878" w:name="_Toc341"/>
      <w:bookmarkEnd w:id="877"/>
      <w:r>
        <w:rPr>
          <w:rtl w:val="true"/>
        </w:rPr>
        <w:t>تاسعها</w:t>
      </w:r>
      <w:r>
        <w:rPr>
          <w:rtl w:val="true"/>
        </w:rPr>
        <w:t>:</w:t>
      </w:r>
      <w:r>
        <w:rPr>
          <w:rtl w:val="true"/>
        </w:rPr>
        <w:t>حکم ما لو كانت عليه أغسال معها جنابة</w:t>
      </w:r>
      <w:bookmarkEnd w:id="878"/>
    </w:p>
    <w:p>
      <w:pPr>
        <w:pStyle w:val="BookText"/>
        <w:rPr/>
      </w:pPr>
      <w:r>
        <w:rPr>
          <w:rFonts w:ascii="Amiri" w:hAnsi="Amiri" w:eastAsia="Amiri" w:cs="Amiri"/>
          <w:color w:val="111111"/>
          <w:sz w:val="28"/>
          <w:sz w:val="28"/>
          <w:szCs w:val="28"/>
          <w:rtl w:val="true"/>
          <w:lang w:bidi="ar-SA"/>
        </w:rPr>
        <w:t>مَنْ كانت عليه أغسال معها جنابة جاز أن يفرّق كلّاً أو بعضاً، وجاز أن يداخل كلّاً أو بعضاً، قيل</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فرّق وجب تأخير غسل الجنابة عن باقي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وللمغتسل عن حدثٍ معيّن أن يغتسل في أثنائه عن حدثٍ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الجنابة فإنّه لا يجوز إيقاع غسلها في أثناء غسلٍ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جمع بنيّته بين الأغسال في الغسل الترتيبي فغسل رأسه أن يعدل، فيفرّق فيجعل غسل الشفّين لواحدٍ معيّن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لمن فرّق فغسل رأسه عن حديثٍ ثمّ غسله مرّة أُخرى عن حدثٍ آخَر أن يجمع بعد ذلك في الشقّين، أم لا يجوز؟ 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3198031_1280447820"/>
      <w:bookmarkStart w:id="880" w:name="_Toc342"/>
      <w:bookmarkEnd w:id="879"/>
      <w:r>
        <w:rPr>
          <w:rtl w:val="true"/>
        </w:rPr>
        <w:t xml:space="preserve">عاشرها </w:t>
      </w:r>
      <w:r>
        <w:rPr>
          <w:rtl w:val="true"/>
        </w:rPr>
        <w:t>:</w:t>
      </w:r>
      <w:r>
        <w:rPr>
          <w:rtl w:val="true"/>
        </w:rPr>
        <w:t>فیما يحرم على المجنب</w:t>
      </w:r>
      <w:bookmarkEnd w:id="88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على المجنب الجلوس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w:t>
      </w:r>
      <w:r>
        <w:rPr>
          <w:rStyle w:val="FootnoteAnchor"/>
          <w:rtl w:val="true"/>
        </w:rPr>
        <w:footnoteReference w:id="1690"/>
      </w:r>
      <w:r>
        <w:rPr>
          <w:rFonts w:ascii="IRNazanin" w:hAnsi="IRNazanin" w:eastAsia="IRNazanin"/>
          <w:color w:val="111111"/>
          <w:sz w:val="28"/>
          <w:sz w:val="28"/>
          <w:szCs w:val="28"/>
          <w:rtl w:val="true"/>
          <w:lang w:bidi="fa-IR"/>
        </w:rPr>
        <w:t>، والأخبار</w:t>
      </w:r>
      <w:r>
        <w:rPr>
          <w:rStyle w:val="FootnoteAnchor"/>
          <w:rtl w:val="true"/>
        </w:rPr>
        <w:footnoteReference w:id="1691"/>
      </w:r>
      <w:r>
        <w:rPr>
          <w:rFonts w:ascii="IRNazanin" w:hAnsi="IRNazanin" w:eastAsia="IRNazanin"/>
          <w:color w:val="111111"/>
          <w:sz w:val="28"/>
          <w:sz w:val="28"/>
          <w:szCs w:val="28"/>
          <w:rtl w:val="true"/>
          <w:lang w:bidi="fa-IR"/>
        </w:rPr>
        <w:t xml:space="preserve">، وفتوى </w:t>
      </w:r>
    </w:p>
    <w:p>
      <w:pPr>
        <w:pStyle w:val="BookText"/>
        <w:rPr/>
      </w:pPr>
      <w:r>
        <w:rPr>
          <w:rFonts w:ascii="IRNazanin" w:hAnsi="IRNazanin" w:eastAsia="IRNazanin"/>
          <w:color w:val="111111"/>
          <w:sz w:val="28"/>
          <w:sz w:val="28"/>
          <w:szCs w:val="28"/>
          <w:rtl w:val="true"/>
          <w:lang w:bidi="fa-IR"/>
        </w:rPr>
        <w:t>الأصحاب، والإجماع المنقول</w:t>
      </w:r>
      <w:r>
        <w:rPr>
          <w:rStyle w:val="FootnoteAnchor"/>
          <w:rtl w:val="true"/>
        </w:rPr>
        <w:footnoteReference w:id="1692"/>
      </w:r>
      <w:r>
        <w:rPr>
          <w:rFonts w:ascii="Amiri" w:hAnsi="Amiri" w:eastAsia="Amiri" w:cs="Amiri"/>
          <w:color w:val="111111"/>
          <w:sz w:val="28"/>
          <w:sz w:val="28"/>
          <w:szCs w:val="28"/>
          <w:rtl w:val="true"/>
          <w:lang w:bidi="ar-SA"/>
        </w:rPr>
        <w:t>في الباب، والمخالف</w:t>
      </w:r>
      <w:r>
        <w:rPr>
          <w:rStyle w:val="FootnoteAnchor"/>
          <w:rtl w:val="true"/>
        </w:rPr>
        <w:footnoteReference w:id="1693"/>
      </w:r>
      <w:r>
        <w:rPr>
          <w:rFonts w:ascii="Amiri" w:hAnsi="Amiri" w:eastAsia="Amiri" w:cs="Amiri"/>
          <w:color w:val="111111"/>
          <w:sz w:val="28"/>
          <w:sz w:val="28"/>
          <w:szCs w:val="28"/>
          <w:rtl w:val="true"/>
          <w:lang w:bidi="ar-SA"/>
        </w:rPr>
        <w:t xml:space="preserve">شاذّ، وما ورد بخلاف ذلك </w:t>
      </w:r>
      <w:r>
        <w:rPr>
          <w:rStyle w:val="FootnoteAnchor"/>
          <w:rtl w:val="true"/>
        </w:rPr>
        <w:footnoteReference w:id="1694"/>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 وضع شيء فيها، ولا يحرم أخذ شيء منها؛ للأخبار</w:t>
      </w:r>
      <w:r>
        <w:rPr>
          <w:rStyle w:val="FootnoteAnchor"/>
          <w:rtl w:val="true"/>
        </w:rPr>
        <w:footnoteReference w:id="1695"/>
      </w:r>
      <w:r>
        <w:rPr>
          <w:rFonts w:ascii="IRNazanin" w:hAnsi="IRNazanin" w:eastAsia="IRNazanin"/>
          <w:color w:val="111111"/>
          <w:sz w:val="28"/>
          <w:sz w:val="28"/>
          <w:szCs w:val="28"/>
          <w:rtl w:val="true"/>
          <w:lang w:bidi="fa-IR"/>
        </w:rPr>
        <w:t>، وفتوى الأصحاب، والإجماع المنقول</w:t>
      </w:r>
      <w:r>
        <w:rPr>
          <w:rStyle w:val="FootnoteAnchor"/>
          <w:rtl w:val="true"/>
        </w:rPr>
        <w:footnoteReference w:id="1696"/>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 الاجتياز في المسجدين؛ للأخبار</w:t>
      </w:r>
      <w:r>
        <w:rPr>
          <w:rStyle w:val="FootnoteAnchor"/>
          <w:rtl w:val="true"/>
        </w:rPr>
        <w:footnoteReference w:id="1697"/>
      </w:r>
      <w:r>
        <w:rPr>
          <w:rFonts w:ascii="Amiri" w:hAnsi="Amiri" w:eastAsia="Amiri" w:cs="Amiri"/>
          <w:color w:val="111111"/>
          <w:sz w:val="28"/>
          <w:sz w:val="28"/>
          <w:szCs w:val="28"/>
          <w:rtl w:val="true"/>
          <w:lang w:bidi="ar-SA"/>
        </w:rPr>
        <w:t>، وفتوى الأخيار، ومنقول الإجماع</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ونفس بيوت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حكمها كحكم المسجدين في عدم جواز الاجتياز أحياءً وأمواتاً لا كحكم باقي المساجد من حرمة اللبث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الأحوط في الرواق وشبهه إجراء حكم باقي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الحكم في جزء بدن المجنب ككلّه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وسطح المسجد وبطنه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عليه قراءة العزائم المختصّ من القرآن بها والمشترك مع نيّته؛ للأخبار المشتملة على النهي عن قراءة السجدة </w:t>
      </w:r>
      <w:r>
        <w:rPr>
          <w:rStyle w:val="FootnoteAnchor"/>
          <w:rtl w:val="true"/>
        </w:rPr>
        <w:footnoteReference w:id="1699"/>
      </w:r>
      <w:r>
        <w:rPr>
          <w:rFonts w:ascii="Amiri" w:hAnsi="Amiri" w:eastAsia="Amiri" w:cs="Amiri"/>
          <w:color w:val="111111"/>
          <w:sz w:val="28"/>
          <w:sz w:val="28"/>
          <w:szCs w:val="28"/>
          <w:rtl w:val="true"/>
          <w:lang w:bidi="ar-SA"/>
        </w:rPr>
        <w:t>المراد بها السورة؛ لفتوى الأصحاب، وشهرة الإطلاق، والإجماع المنقول</w:t>
      </w:r>
      <w:r>
        <w:rPr>
          <w:rStyle w:val="FootnoteAnchor"/>
          <w:rtl w:val="true"/>
        </w:rPr>
        <w:footnoteReference w:id="1700"/>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ترجمة الأخرس مقام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بقراءة ترجمتها من غير ألفاظها وإن أدّت معناها بأيّ لسان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بأس بتقطيع حروفها إذا أتى بها تامة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بها مقطّعةً على حالها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الإشكال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أتى بحرفٍ مقتصراً عليه، فكذلك لا يخلو من إشكال، حتّى لو كان مداً</w:t>
      </w:r>
      <w:r>
        <w:rPr>
          <w:rFonts w:eastAsia="Amiri" w:cs="Amiri" w:ascii="Amiri" w:hAnsi="Amiri"/>
          <w:color w:val="111111"/>
          <w:sz w:val="28"/>
          <w:szCs w:val="28"/>
          <w:rtl w:val="true"/>
          <w:lang w:bidi="ar-SA"/>
        </w:rPr>
        <w:t xml:space="preserve">. </w:t>
      </w:r>
      <w:bookmarkStart w:id="881" w:name="pg18988_203474"/>
    </w:p>
    <w:p>
      <w:pPr>
        <w:pStyle w:val="BookText"/>
        <w:rPr/>
      </w:pPr>
      <w:bookmarkEnd w:id="881"/>
      <w:r>
        <w:rPr>
          <w:rFonts w:ascii="Amiri" w:hAnsi="Amiri" w:eastAsia="Amiri" w:cs="Amiri"/>
          <w:color w:val="111111"/>
          <w:sz w:val="28"/>
          <w:sz w:val="28"/>
          <w:szCs w:val="28"/>
          <w:rtl w:val="true"/>
          <w:lang w:bidi="ar-SA"/>
        </w:rPr>
        <w:t>ويحرم عليه مسّ كتابة القرآن المختصّ به والمشترك مع نيّة الكاتب؛ للإجماع، والأخبار</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يختصّ بنفس ألفاظه دون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بين المجتمع والمقطّع على إشكالٍ سيّما لو كان المقطّع تمام الحرف، ولا يبعد عدم وجوب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 والتشديد من القرآن، دون الحركات والسكنات والمرسوم بريح أو تفطير أرض أو بلا قصد إذا كان غير مشتركٍ من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مسّ اسم الله تعالى؛ للأخبار</w:t>
      </w:r>
      <w:r>
        <w:rPr>
          <w:rStyle w:val="FootnoteAnchor"/>
          <w:rtl w:val="true"/>
        </w:rPr>
        <w:footnoteReference w:id="1702"/>
      </w:r>
      <w:r>
        <w:rPr>
          <w:rFonts w:ascii="Amiri" w:hAnsi="Amiri" w:eastAsia="Amiri" w:cs="Amiri"/>
          <w:color w:val="111111"/>
          <w:sz w:val="28"/>
          <w:sz w:val="28"/>
          <w:szCs w:val="28"/>
          <w:rtl w:val="true"/>
          <w:lang w:bidi="ar-SA"/>
        </w:rPr>
        <w:t>، والإجماع، والأظهر إلحاق المقطّع به ما لم يكن الحرف تامّاً، والتشديد منه ويلحق به الأعلام الباقية كـ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الأعلام في سائر اللغات، والصفات الخاصّة، ولفظ الجلالة عند تركيبه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كذلك؟ الأقوى ذلك؛ للاشتراك في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تجنّب أسماء الأنبياء والأئمّة والملائكة</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3198033_1280447820"/>
      <w:bookmarkStart w:id="883" w:name="_Toc343"/>
      <w:bookmarkEnd w:id="882"/>
      <w:r>
        <w:rPr>
          <w:rtl w:val="true"/>
        </w:rPr>
        <w:t>حادي عشرها</w:t>
      </w:r>
      <w:r>
        <w:rPr>
          <w:rtl w:val="true"/>
        </w:rPr>
        <w:t xml:space="preserve">: </w:t>
      </w:r>
      <w:r>
        <w:rPr>
          <w:rtl w:val="true"/>
        </w:rPr>
        <w:t>فیما يكره للجنب</w:t>
      </w:r>
      <w:bookmarkEnd w:id="883"/>
    </w:p>
    <w:p>
      <w:pPr>
        <w:pStyle w:val="BookText"/>
        <w:rPr/>
      </w:pPr>
      <w:r>
        <w:rPr>
          <w:rFonts w:ascii="Amiri" w:hAnsi="Amiri" w:eastAsia="Amiri" w:cs="Amiri"/>
          <w:color w:val="111111"/>
          <w:sz w:val="28"/>
          <w:sz w:val="28"/>
          <w:szCs w:val="28"/>
          <w:rtl w:val="true"/>
          <w:lang w:bidi="ar-SA"/>
        </w:rPr>
        <w:t>يكره للجنب الأكل والشرب بما يُسمّى عرفاً، إلّا أن يتوضأ، أو يغسل وجهه ويديه ويتمضمض ، أو يتمضمض ويستنشق ويتوضّأ، أو يتمضمض ويستنشق فقط، أو يغسل يديه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أبلغه الجمع بين غَسْل اليدين والمضمضة والاستنشاق والوضوء، والباقي تخفيف لها بحسب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 النوم إلّا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 الخضاب في يد أو غيرها، كما تكره الجنابة للمختضب إلّا أن يأخذ الخضاب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 قراءة ما زاد على سبع آيات ولو آية مكرّرة، وتشتدّ في قراءة ما زاد على سبعين، والأحوط تركها؛ تفصّياً عن شبهة القائل</w:t>
      </w:r>
      <w:r>
        <w:rPr>
          <w:rStyle w:val="FootnoteAnchor"/>
          <w:rtl w:val="true"/>
        </w:rPr>
        <w:footnoteReference w:id="1703"/>
      </w:r>
      <w:r>
        <w:rPr>
          <w:rFonts w:ascii="Amiri" w:hAnsi="Amiri" w:eastAsia="Amiri" w:cs="Amiri"/>
          <w:color w:val="111111"/>
          <w:sz w:val="28"/>
          <w:sz w:val="28"/>
          <w:szCs w:val="28"/>
          <w:rtl w:val="true"/>
          <w:lang w:bidi="ar-SA"/>
        </w:rPr>
        <w:t>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الاستعانة القريبة من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مسّ جلد المصحف وورقه، كلّ ذلك للأخبار</w:t>
      </w:r>
      <w:r>
        <w:rPr>
          <w:rStyle w:val="FootnoteAnchor"/>
          <w:rtl w:val="true"/>
        </w:rPr>
        <w:footnoteReference w:id="1704"/>
      </w:r>
      <w:r>
        <w:rPr>
          <w:rFonts w:ascii="IRNazanin" w:hAnsi="IRNazanin" w:eastAsia="IRNazanin"/>
          <w:color w:val="111111"/>
          <w:sz w:val="28"/>
          <w:sz w:val="28"/>
          <w:szCs w:val="28"/>
          <w:rtl w:val="true"/>
          <w:lang w:bidi="fa-IR"/>
        </w:rPr>
        <w:t>، وفتاوى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في السنن بالأخذ بالخبر الضعيف وفتوى الفقيه كما مرّ غير مرّة</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3198035_1280447820"/>
      <w:bookmarkStart w:id="885" w:name="_Toc344"/>
      <w:bookmarkEnd w:id="884"/>
      <w:r>
        <w:rPr>
          <w:rtl w:val="true"/>
        </w:rPr>
        <w:t>ثاني عشرها</w:t>
      </w:r>
      <w:r>
        <w:rPr>
          <w:rtl w:val="true"/>
        </w:rPr>
        <w:t xml:space="preserve">: </w:t>
      </w:r>
      <w:r>
        <w:rPr>
          <w:rtl w:val="true"/>
        </w:rPr>
        <w:t>فیما يستحبّ عند غسل الجنابة</w:t>
      </w:r>
      <w:bookmarkEnd w:id="8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عند غسل الجنابة غَسْل الفرج و غَسْل اليدين ثلاثاً، والمضمضة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والاستنشاق ثلاثاً ثلاثاً، وإمرار اليد على الجسد للاستظهار، وأن يكون الغسل بصاع أربعة أمداد، والمدّ رطلان وربع بالعراقي، والظاهر أنّه هو ومستحبّاته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الاستبراء بالبول للمُنْزِل إذا كان ذكراً، فإن لم يمكنه استبرأ بالاجتهاد كما تقدّم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استحباب الاستبراء للمرأة بالاجتهاد أيضاً ، كما لا يبعد استحبابه للمولج عند الشكّ في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التسمية عند الغسل والدعاء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تخليل ما يصل إليه الماء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الموالاة بين الأعضاء وأجزائها؛ تحصيلاً للمسارعة المطلوبة، كلّ ذلك للأخبار</w:t>
      </w:r>
      <w:r>
        <w:rPr>
          <w:rStyle w:val="FootnoteAnchor"/>
          <w:rtl w:val="true"/>
        </w:rPr>
        <w:footnoteReference w:id="1705"/>
      </w:r>
      <w:r>
        <w:rPr>
          <w:rFonts w:ascii="Amiri" w:hAnsi="Amiri" w:eastAsia="Amiri" w:cs="Amiri"/>
          <w:color w:val="111111"/>
          <w:sz w:val="28"/>
          <w:sz w:val="28"/>
          <w:szCs w:val="28"/>
          <w:rtl w:val="true"/>
          <w:lang w:bidi="ar-SA"/>
        </w:rPr>
        <w:t>وفتاوى الأصحاب، والاحتياط العقلي في العبادة، مع عدم حصول المعارض بعد التتبّع للفقيه، وجواز التسامح في أدلّة السنن ، مع عدم احتمال خصوصيّة التحريم أو الكراهة من دليلٍ آخَر ما عدا مانع التشريع</w:t>
      </w:r>
      <w:r>
        <w:rPr>
          <w:rFonts w:eastAsia="Amiri" w:cs="Amiri" w:ascii="Amiri" w:hAnsi="Amiri"/>
          <w:color w:val="111111"/>
          <w:sz w:val="28"/>
          <w:szCs w:val="28"/>
          <w:rtl w:val="true"/>
          <w:lang w:bidi="ar-SA"/>
        </w:rPr>
        <w:t xml:space="preserve">. </w:t>
      </w:r>
      <w:bookmarkStart w:id="886" w:name="pg18988_203476"/>
    </w:p>
    <w:p>
      <w:pPr>
        <w:pStyle w:val="Heading3"/>
        <w:numPr>
          <w:ilvl w:val="2"/>
          <w:numId w:val="1"/>
        </w:numPr>
        <w:rPr/>
      </w:pPr>
      <w:bookmarkStart w:id="887" w:name="__RefHeading___Toc13198037_1280447820"/>
      <w:bookmarkStart w:id="888" w:name="_Toc345"/>
      <w:bookmarkEnd w:id="886"/>
      <w:bookmarkEnd w:id="887"/>
      <w:r>
        <w:rPr>
          <w:rtl w:val="true"/>
        </w:rPr>
        <w:t>القول في غسل الحيض</w:t>
      </w:r>
      <w:bookmarkEnd w:id="888"/>
    </w:p>
    <w:p>
      <w:pPr>
        <w:pStyle w:val="Heading4"/>
        <w:numPr>
          <w:ilvl w:val="3"/>
          <w:numId w:val="1"/>
        </w:numPr>
        <w:rPr/>
      </w:pPr>
      <w:bookmarkStart w:id="889" w:name="__RefHeading___Toc13198039_1280447820"/>
      <w:bookmarkStart w:id="890" w:name="_Toc346"/>
      <w:bookmarkEnd w:id="889"/>
      <w:r>
        <w:rPr>
          <w:rtl w:val="true"/>
        </w:rPr>
        <w:t>تعریف الحیض</w:t>
      </w:r>
      <w:bookmarkEnd w:id="890"/>
    </w:p>
    <w:p>
      <w:pPr>
        <w:pStyle w:val="BookText"/>
        <w:rPr/>
      </w:pPr>
      <w:r>
        <w:rPr>
          <w:rFonts w:ascii="Amiri" w:hAnsi="Amiri" w:eastAsia="Amiri" w:cs="Amiri"/>
          <w:color w:val="111111"/>
          <w:sz w:val="28"/>
          <w:sz w:val="28"/>
          <w:szCs w:val="28"/>
          <w:rtl w:val="true"/>
          <w:lang w:bidi="ar-SA"/>
        </w:rPr>
        <w:t>الحيض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w:t>
      </w:r>
      <w:r>
        <w:rPr>
          <w:rStyle w:val="FootnoteAnchor"/>
          <w:rtl w:val="true"/>
        </w:rPr>
        <w:footnoteReference w:id="1706"/>
      </w:r>
      <w:r>
        <w:rPr>
          <w:rFonts w:ascii="Amiri" w:hAnsi="Amiri" w:eastAsia="Amiri" w:cs="Amiri"/>
          <w:color w:val="111111"/>
          <w:sz w:val="28"/>
          <w:sz w:val="28"/>
          <w:szCs w:val="28"/>
          <w:rtl w:val="true"/>
          <w:lang w:bidi="ar-SA"/>
        </w:rPr>
        <w:t>مطلقاً أو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لغةً وعرفاً على دمٍ خاصّ يقذفه الرحم إلى خارج الفرج ، معروف عند النساء كمعرفة المني والبول ، فيحسسن به عند نزوله ويميّزنه عند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وتدور الأحكام على القطع به عندهنّ، سواء جمع الأوصاف اللاحقة له غالباً، أو لم يجمع، كسائر الموضوعات العرفيّة واللغويّة عند القطع بها ، فإنّها تترتّب عليها آثارها وإن لم تجمع الأوصاف اللاحقة لها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القواعد أنّه مع عدم القطع به يُتمسّك بالأصل في نفيه؛ لأصالة الطهارة وأصالة عدم حدوثه، ولكن جعل له الشارع طرقاً يحكم معها على غير المقطوع به أنّه حيض؛ لإفادتها الظنّ به غالباً عند اشتباهه بدم الاستحاضة أو دم القرحة أو دم البكارة، وجعله أصلاً في مقام الشكّ بينه وبين الاستحاضة في موارد خاصّة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الطرق القاضية به عند حصول الشكّ بينه وبين الاستحاضة، وعند حصول دمين وعدم إمكان جعلهما معاً حيضاً واحداً ولا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أوقات يعتاد وقوعه بها، أو اتّصافه بأوصاف لازمة له غالباً، كوصف السواد والحمرة، ووصف الحرارة، والخروج بحرقة ولَذْعٍ، و وصف الدفع والقوّة، ووصف الطراوة وهو العبيط،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أسود حارّ تجد له حرقة، ودم الاستحاضة دم فاسد بارد</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 الحيض حارّ عبيط أسود له </w:t>
      </w:r>
    </w:p>
    <w:p>
      <w:pPr>
        <w:pStyle w:val="BookText"/>
        <w:rPr/>
      </w:pPr>
      <w:r>
        <w:rPr>
          <w:rFonts w:ascii="Amiri" w:hAnsi="Amiri" w:eastAsia="Amiri" w:cs="Amiri"/>
          <w:color w:val="111111"/>
          <w:sz w:val="28"/>
          <w:sz w:val="28"/>
          <w:szCs w:val="28"/>
          <w:rtl w:val="true"/>
          <w:lang w:bidi="ar-SA"/>
        </w:rPr>
        <w:t>دفع وحرارة، ودم الاستحاضة أصفر بارد</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الاستحاضة بارد، ودم الحيض حار</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أسود يُعرف</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 فدعي الصلاة</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والبحراني هو الشديد الحمرة والسواد كما عن بعضهم</w:t>
      </w:r>
      <w:r>
        <w:rPr>
          <w:rStyle w:val="FootnoteAnchor"/>
          <w:rtl w:val="true"/>
        </w:rPr>
        <w:footnoteReference w:id="1712"/>
      </w:r>
      <w:r>
        <w:rPr>
          <w:rFonts w:ascii="Amiri" w:hAnsi="Amiri" w:eastAsia="Amiri" w:cs="Amiri"/>
          <w:color w:val="111111"/>
          <w:sz w:val="28"/>
          <w:sz w:val="28"/>
          <w:szCs w:val="28"/>
          <w:rtl w:val="true"/>
          <w:lang w:bidi="ar-SA"/>
        </w:rPr>
        <w:t>، أو شديد الحمرة وخالصها كما عن بعض آخَر</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هذه الأخبار أنّ هذه الأوصاف إنّما تعتبر عند حصول الاشتباه؛ لإفادتها المظنّة بالحيض أو المظنّة بالاستحاضة، فعلى ذلك فلو خلا الدم عن الوصفين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 بين الحرارة والبرودة، وبين الحمرة والصفرة كالشقرة، وبين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عليه بشيء، مع احتمال أنّ قويّ كلّ مرتبة يحكم على ضعيفها عند مرتبة يحكم على ضعيفها عند التعارض، وأنّ كلّ ما خلا عن وصف الاستحاضة فهو مفيد للظنّ بأنّه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الطرق القاضية به عند الشكّ بينه وبين دم العُذرة هو الانغماس فيه، والتطوّق فيها، والقاضية به عند الشكّ بينه وبين القرحة هو الخروج من الأيسر فيه، ومن الأيمن فيها، كما سيجيء ذلك كلّه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الطرق القاضية به أصالة الحيض عند إمكانه، كما إذا حصل دم لا يعارض بدمٍ آخَر لا يمكن جعل كلٍّ منهما حيضاً مستقلّاً ولا حيضاً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قدم الحيض غنيّ عن التحديد ، و تعاريف الفقهاء له من قبيل الرسوم لا تعاريف حقيقيّة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وأوجَه فيه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دم يقذفه رحم المرأة بعد إكمال التسع وقبل بلوغ حدّ اليأس، يعتاد لأغلب النساء في أوقات معلومة غالباً لحكمة تربية الولد، فإذا حملت صرف الله ذلك الدم إلى تغذيته، فإذا وضعت الحمل خلع الله تعالى عنه صورة الدم وكساه صورة اللبن غالباً لاغتذاء الطفل، فإذا خلت عن حملٍ ورضاع رجع دماً غالباً واستقرّ في مكانه، وخرج في </w:t>
      </w:r>
      <w:bookmarkStart w:id="891" w:name="pg18988_203478"/>
    </w:p>
    <w:p>
      <w:pPr>
        <w:pStyle w:val="BookText"/>
        <w:rPr/>
      </w:pPr>
      <w:bookmarkEnd w:id="891"/>
      <w:r>
        <w:rPr>
          <w:rFonts w:ascii="Amiri" w:hAnsi="Amiri" w:eastAsia="Amiri" w:cs="Amiri"/>
          <w:color w:val="111111"/>
          <w:sz w:val="28"/>
          <w:sz w:val="28"/>
          <w:szCs w:val="28"/>
          <w:rtl w:val="true"/>
          <w:lang w:bidi="ar-SA"/>
        </w:rPr>
        <w:t>الغالب في أوقات معلومة في كلّ شهر أو أقلّ أو أكثر بحسب قرب المزاج من الحرارة و بُعْده، كما يومئ إلى ذلك كلّه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 في الغالب أسود حارّ عبيط له دفع وحرقة، تتعلّق به أحكام مخصوصة في زمانٍ مخصوص من شخصٍ مخصوص، لقليله حدٌّ وكذا لكثيره، له تعلّق بانقضاء العدّة على وجه، إمّا بظهوره أو بانقطاعه، تحرم معه الصلاة والصوم والوطء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الرسمان وإن كانا كاشفين عن معناه ومميّزين له عمّا عداه لكنّهما مشتملان إمّا على أُمور لا يعرفها البشر إلّا بتوفيق من الله عزّ شأنه، وإمّا على أحكام لا تترتّب عليه إلّا بعد معرفته والعلم به فلو توقّف العلم به عليها دارَ، وإمّا على أوصاف لا تلزمه دائماً بحيث يستدلّ بها عليه قطعاً؛ فلا بدّ من الالتزام بكونهما كاشفين ومميّزين له واقعاً لا أنّهما معرّفان له ظاهراً ومميّزان للفرد البارز أنّه حيض أو استحاضة، فلا بدّ من الرجوع في ذلك إلى القواعد الآتية</w:t>
      </w:r>
      <w:r>
        <w:rPr>
          <w:rStyle w:val="FootnoteAnchor"/>
          <w:rtl w:val="true"/>
        </w:rPr>
        <w:footnoteReference w:id="171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 ما ذكره الفقهاء من الرسوم المشتملة على بعض أوصافٍ أو بعض أحكامٍ لا يريدون به سوى التمييز في الجملة لتوجّه النفس إلى نوعٍ خاصّ دون غيره، ولا يريدون تمييز الفرد عند الاشتباه حقيقة؛ لانتقاض أكثرها في الطرد والعكس، وعدم إمكان ذلك منها</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3198041_1280447820"/>
      <w:bookmarkStart w:id="893" w:name="_Toc347"/>
      <w:bookmarkEnd w:id="892"/>
      <w:r>
        <w:rPr>
          <w:rtl w:val="true"/>
        </w:rPr>
        <w:t>وهنا مباحث</w:t>
      </w:r>
      <w:bookmarkEnd w:id="893"/>
    </w:p>
    <w:p>
      <w:pPr>
        <w:pStyle w:val="Heading4"/>
        <w:numPr>
          <w:ilvl w:val="3"/>
          <w:numId w:val="1"/>
        </w:numPr>
        <w:rPr/>
      </w:pPr>
      <w:bookmarkStart w:id="894" w:name="__RefHeading___Toc13198043_1280447820"/>
      <w:bookmarkStart w:id="895" w:name="_Toc348"/>
      <w:bookmarkEnd w:id="894"/>
      <w:r>
        <w:rPr>
          <w:rtl w:val="true"/>
        </w:rPr>
        <w:t>أحدها</w:t>
      </w:r>
      <w:r>
        <w:rPr>
          <w:rtl w:val="true"/>
        </w:rPr>
        <w:t xml:space="preserve">: </w:t>
      </w:r>
      <w:r>
        <w:rPr>
          <w:rtl w:val="true"/>
        </w:rPr>
        <w:t>حکم ما إذا اشتبه دم الحيض بدم العُذرة</w:t>
      </w:r>
      <w:bookmarkEnd w:id="89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اشتبه دم الحيض بدم العُذرة مع العلم بأنّه أحدهما ومع العلم بحصول البكارة وافتضاضها من الزوج أو غيره، كان الحكم فيها لزوم الاختبار باستدخال القطنة والصبر قليلاً وإخراجها برفق فإن خرجت مطوّقةً فهو من العُذرة، وإن خرجت مستنقعةً فهو من الحيض؛ للأخبار</w:t>
      </w:r>
      <w:r>
        <w:rPr>
          <w:rStyle w:val="FootnoteAnchor"/>
          <w:rtl w:val="true"/>
        </w:rPr>
        <w:footnoteReference w:id="1715"/>
      </w:r>
      <w:r>
        <w:rPr>
          <w:rFonts w:ascii="Amiri" w:hAnsi="Amiri" w:eastAsia="Amiri" w:cs="Amiri"/>
          <w:color w:val="111111"/>
          <w:sz w:val="28"/>
          <w:sz w:val="28"/>
          <w:szCs w:val="28"/>
          <w:rtl w:val="true"/>
          <w:lang w:bidi="ar-SA"/>
        </w:rPr>
        <w:t xml:space="preserve">المشتملة على الصحيح الصريح، وفتوى العلماء الأخيار المشتملة على بيان ذلك،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فلا تذيعوه، وارضوا لهذا الخلق بما رضي الله تعالى لهم من الضلال</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bookmarkStart w:id="896" w:name="pg18988_203479"/>
    </w:p>
    <w:p>
      <w:pPr>
        <w:pStyle w:val="BookText"/>
        <w:rPr/>
      </w:pPr>
      <w:bookmarkEnd w:id="896"/>
      <w:r>
        <w:rPr>
          <w:rFonts w:ascii="Amiri" w:hAnsi="Amiri" w:eastAsia="Amiri" w:cs="Amiri"/>
          <w:color w:val="111111"/>
          <w:sz w:val="28"/>
          <w:sz w:val="28"/>
          <w:szCs w:val="28"/>
          <w:rtl w:val="true"/>
          <w:lang w:bidi="ar-SA"/>
        </w:rPr>
        <w:t>ويُفهم منه أنّه من خواص الإمامية ومخالف لما عليه العامة ، فلا يمكن المحيص عن القول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قصر الحكم على القطع بحصول الافتضاض، وأما مع الشك فيه فالرجوع الأصالة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الأغلب في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وقصرها على ما إذا تعقب نزول الدم الافتضاض، فلو سبقه الدم المحكوم بحيضيته ثم حصل الافتضاض وحصل الشكّ لكثرة أو غيرها، استصحب الدم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أوّلاً نزول دم العُذرة ثم حصل الشكّ بعده، فإنّ الأظهر أن الحكم بكونه دم عُذرة؛ للاستصحاب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الرجوع للعلامة المتقدمة؛ لإطلاق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الاختبار لازم؛ لظاهر الأمر فى الخبر</w:t>
      </w:r>
      <w:r>
        <w:rPr>
          <w:rStyle w:val="FootnoteAnchor"/>
          <w:rtl w:val="true"/>
        </w:rPr>
        <w:footnoteReference w:id="1717"/>
      </w:r>
      <w:r>
        <w:rPr>
          <w:rFonts w:ascii="Amiri" w:hAnsi="Amiri" w:eastAsia="Amiri" w:cs="Amiri"/>
          <w:color w:val="111111"/>
          <w:sz w:val="28"/>
          <w:sz w:val="28"/>
          <w:szCs w:val="28"/>
          <w:rtl w:val="true"/>
          <w:lang w:bidi="ar-SA"/>
        </w:rPr>
        <w:t>، وللاحتياط، ولو قصرت فالظاهر بطلان عبادتها ولزوم الاحتياط عليها بالصلاة والصوم وقضائه بعد ذلك ومنع الزوج عن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الاختبار قوي الحكم بحيضيّتها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الرجوع لأصل الطهارة، سيّما مع سبق دم العذرة، فإن استمرّ الاشتباه فظاهر، وإن انكشفت طهارتها صحّ ما عملته البناء على أصل الطهارة، وكذا ما عملته مع البناء مع على الحيض احتياطاً منها على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جرح أو قرح محيطين بالفرج كإحاطة البكارة، احتُمل بطلان الاختبار، والرجوع لأصالة الحيض، أو الرجوع 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لزوم الاختبار فيدور الأمر بين دم البكارة و دمهما مع التطويق، والحكم بالحيض مع عدمه،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أرسلت قطنة فتجاوزت محلّ العذرة إلى فوقٍ فتلوّثت بعد تجاوزها، حُكم لها بالحيض، سواء خرجت مطوّقةً أم لا</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3198045_1280447820"/>
      <w:bookmarkStart w:id="898" w:name="_Toc349"/>
      <w:bookmarkEnd w:id="897"/>
      <w:r>
        <w:rPr>
          <w:rtl w:val="true"/>
        </w:rPr>
        <w:t>ثانيها</w:t>
      </w:r>
      <w:r>
        <w:rPr>
          <w:rtl w:val="true"/>
        </w:rPr>
        <w:t xml:space="preserve">: </w:t>
      </w:r>
      <w:r>
        <w:rPr>
          <w:rtl w:val="true"/>
        </w:rPr>
        <w:t>حکم ما إذا اشتبه دم الحيض بدم الجرح والقرح</w:t>
      </w:r>
      <w:bookmarkEnd w:id="89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اشتبه دم الحيض بدم الجرح والقرح بعد العلم بحصولهما، سواء علم بسيلان </w:t>
      </w:r>
      <w:bookmarkStart w:id="899" w:name="pg18988_203480"/>
    </w:p>
    <w:p>
      <w:pPr>
        <w:pStyle w:val="BookText"/>
        <w:rPr/>
      </w:pPr>
      <w:bookmarkEnd w:id="899"/>
      <w:r>
        <w:rPr>
          <w:rFonts w:ascii="Amiri" w:hAnsi="Amiri" w:eastAsia="Amiri" w:cs="Amiri"/>
          <w:color w:val="111111"/>
          <w:sz w:val="28"/>
          <w:sz w:val="28"/>
          <w:szCs w:val="28"/>
          <w:rtl w:val="true"/>
          <w:lang w:bidi="ar-SA"/>
        </w:rPr>
        <w:t>دمٍ منهما أم لا، وجب عليها الاختبار بإدخال قطنة أو الإصبع الوسطى، فإن خرج الدم من الجانب الأيسر فهو من الحيض، وإن خرج من الأيمن فهو منهما؛ للخبر المنجبر بفتوى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فلتستلقِ على ظهرها وترفع رِجْليها وتستدخل إصبعها الوسطى، فإن خرج الدم من الجانب الأيسر فهو من الحيض، وإن خرج من الجانب الأيمن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رواية التهذيب</w:t>
      </w:r>
      <w:r>
        <w:rPr>
          <w:rStyle w:val="FootnoteAnchor"/>
          <w:rtl w:val="true"/>
        </w:rPr>
        <w:footnoteReference w:id="1718"/>
      </w:r>
      <w:r>
        <w:rPr>
          <w:rFonts w:ascii="Amiri" w:hAnsi="Amiri" w:eastAsia="Amiri" w:cs="Amiri"/>
          <w:color w:val="111111"/>
          <w:sz w:val="28"/>
          <w:sz w:val="28"/>
          <w:szCs w:val="28"/>
          <w:rtl w:val="true"/>
          <w:lang w:bidi="ar-SA"/>
        </w:rPr>
        <w:t>، وفي رواية الكافي</w:t>
      </w:r>
      <w:r>
        <w:rPr>
          <w:rStyle w:val="FootnoteAnchor"/>
          <w:rtl w:val="true"/>
        </w:rPr>
        <w:footnoteReference w:id="1719"/>
      </w:r>
      <w:r>
        <w:rPr>
          <w:rFonts w:ascii="Amiri" w:hAnsi="Amiri" w:eastAsia="Amiri" w:cs="Amiri"/>
          <w:color w:val="111111"/>
          <w:sz w:val="28"/>
          <w:sz w:val="28"/>
          <w:szCs w:val="28"/>
          <w:rtl w:val="true"/>
          <w:lang w:bidi="ar-SA"/>
        </w:rPr>
        <w:t>بعكس ذلك، وهو وإن كان أضبط إلّا أنّ الأُولى مؤيّدة بفتوى المشهور، ورواية الفقه الرضوي</w:t>
      </w:r>
      <w:r>
        <w:rPr>
          <w:rStyle w:val="FootnoteAnchor"/>
          <w:rtl w:val="true"/>
        </w:rPr>
        <w:footnoteReference w:id="1720"/>
      </w:r>
      <w:r>
        <w:rPr>
          <w:rFonts w:ascii="Amiri" w:hAnsi="Amiri" w:eastAsia="Amiri" w:cs="Amiri"/>
          <w:color w:val="111111"/>
          <w:sz w:val="28"/>
          <w:sz w:val="28"/>
          <w:szCs w:val="28"/>
          <w:rtl w:val="true"/>
          <w:lang w:bidi="ar-SA"/>
        </w:rPr>
        <w:t>، وشهادة الموثّقات من النسوة بذلك على ما نُقل</w:t>
      </w:r>
      <w:r>
        <w:rPr>
          <w:rStyle w:val="FootnoteAnchor"/>
          <w:rtl w:val="true"/>
        </w:rPr>
        <w:footnoteReference w:id="1721"/>
      </w:r>
      <w:r>
        <w:rPr>
          <w:rFonts w:ascii="Amiri" w:hAnsi="Amiri" w:eastAsia="Amiri" w:cs="Amiri"/>
          <w:color w:val="111111"/>
          <w:sz w:val="28"/>
          <w:sz w:val="28"/>
          <w:szCs w:val="28"/>
          <w:rtl w:val="true"/>
          <w:lang w:bidi="ar-SA"/>
        </w:rPr>
        <w:t>، فيجب تقديمها على 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فيشترط في الاختبار عدم العلم باستدارة الجرح والقرح، وعدم العلم بكونهما في جانب الأيسر والأيمن معاً، أو الأيسر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اشتراط عدم العلم بسبق دم حيض، فلو علم سبقه وجب الحكم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بطلان عبادة التاركة للاختبار عمداً، وأمّا التاركة اضطراراً فيقوى الحكم عليها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الحكم بأصل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عملت مع الحكم بالحيض احتياطاً، أو مع التمسّك بأصل الطهارة فبانَ كذلك، أجزأها، على إشكالٍ في الأوّل</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3198047_1280447820"/>
      <w:bookmarkStart w:id="901" w:name="_Toc350"/>
      <w:bookmarkEnd w:id="900"/>
      <w:r>
        <w:rPr>
          <w:rtl w:val="true"/>
        </w:rPr>
        <w:t>ثالثها</w:t>
      </w:r>
      <w:r>
        <w:rPr>
          <w:rtl w:val="true"/>
        </w:rPr>
        <w:t xml:space="preserve">: </w:t>
      </w:r>
      <w:r>
        <w:rPr>
          <w:rtl w:val="true"/>
        </w:rPr>
        <w:t>حکم صُور ما إذا اشتبه دم الحیض بغیره</w:t>
      </w:r>
      <w:bookmarkEnd w:id="901"/>
    </w:p>
    <w:p>
      <w:pPr>
        <w:pStyle w:val="BookText"/>
        <w:rPr/>
      </w:pPr>
      <w:r>
        <w:rPr>
          <w:rFonts w:ascii="Amiri" w:hAnsi="Amiri" w:eastAsia="Amiri" w:cs="Amiri"/>
          <w:color w:val="111111"/>
          <w:sz w:val="28"/>
          <w:sz w:val="28"/>
          <w:szCs w:val="28"/>
          <w:rtl w:val="true"/>
          <w:lang w:bidi="ar-SA"/>
        </w:rPr>
        <w:t>إذا اشتبه دم الحيض بدم النفاس فإن كان مع الشكّ بالولادة فالحيض أصل له، وإن كان مع الولادة ومع الشكّ في الدم ابتداءً أو مع العلم بسبق دم النفاس، فالحكم بأنّه دم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للظاهر في الأوّل، وله وللاستصحاب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اشتبه دم الحيض بدم الاستحاضة ، ترتّبت عليه أحكام يأتي الكلام عليها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الخارج من المرأة إمّا أن يكون دم حيض أو استحاضة أو نفاس أو عُذْرة أو قرح وجرح، وصُور اشتباهها المعتدّ بها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النفاس أصل لغيره بعد تحقّق الولادة مطلقاً، سال دمها أم لا، ولا يعتبر فيه الرجوع للتطويق وعدمه، والأيسر والأيمن عند اشتباهه بالعُذْرة أو الجرح والقرح على الأقوى، إلّا مع العلم بسبق دم القرح والجرح على الولادة، فإنّه يمكن البناء عليهما مع الشكّ؛ لأصالة الطهارة، ولكنّه ضعيف؛ لأنّ الظاهر مقدّم على الأصل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الحيض أصل لغيره بعد العلم بتحقّقه، ومع عدم العلم فهو الأصل، إلّا فيما يستثنى ممّا قدّمنا من اشتباهه بالجرح والعُذرة، وممّا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اشتباهه بالاستحاضة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 الاستحاضة أصل بعد العلم بحصولها، أو بعد العلم بعدم الحيضيّة عند ابتدائها ما لم يُعلم نزول الدم من سببٍ آخَر من جرح أو عُذرة و يُشكّ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تسرية حكم الحيض إليه في وجوب الاعتبار والأخذ بما قدّمنا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وجود سببه أو وجود دمه أصل بالنسبة إلى غيره ممّا لم يعلم منه ذلك أمٍن جرح أو قرح أو عُذرة، ومع العلم بهما يرتفع التمييز، مع احتمال الرجوع إلى التطويق وعدمه، والخروج من الجانب الأيسر وعدمه للتمييز بين العُذرة والجرح والقرح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فصُور اشتباه الحيض بغيره أربع إذا عدّدنا القرح والجرح واحداً، والحكم فيها أنّه مع العلم بعدم الولادة وسبق الحيض يُحكم به، ومع عدم العلم يرجع في التمييز بينه وبين العُذرة والجرح والقرح لما قدّمناه حتّى لو علم سبق دمهما، وبينه وبين الاستحاضة إلى ما سيأتي إن شاء الله تعالى، وبينه وبين النفاس إلى الحكم بالحيضيّة وتأخّر النفاس ما لم تعلم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الاستحاضة والنفاس إلى الاستحاضة ما لم تعلم الولادة، فإنّه يقدّم ولو مع العلم بسبق الاستحاضة ترجيحاً للظاهر على الأصل، وبين الاستحاضة والعُذْرة والجرح والقرح إلى الاستحاضة ما لم تعلم أسبابها ونزول الدم منها فتستصحب، ويحتمل الرجوع إلى الطرق المتقدّمة في الفرق ما بينها وبين الحيض، ولكنّه بعيد، وبين العُذْرة والجرح والقرح إلى المعلوم سبق دمه، أو المعلوم تحقّق سببه، أو التطويق وعدمه إذا لم يعلم تطويق الجرح والقرح أو علم عدمه</w:t>
      </w:r>
      <w:r>
        <w:rPr>
          <w:rFonts w:eastAsia="Amiri" w:cs="Amiri" w:ascii="Amiri" w:hAnsi="Amiri"/>
          <w:color w:val="111111"/>
          <w:sz w:val="28"/>
          <w:szCs w:val="28"/>
          <w:rtl w:val="true"/>
          <w:lang w:bidi="ar-SA"/>
        </w:rPr>
        <w:t xml:space="preserve">. </w:t>
      </w:r>
      <w:bookmarkStart w:id="902" w:name="pg18988_203482"/>
    </w:p>
    <w:p>
      <w:pPr>
        <w:pStyle w:val="BookText"/>
        <w:rPr/>
      </w:pPr>
      <w:bookmarkEnd w:id="902"/>
      <w:r>
        <w:rPr>
          <w:rFonts w:ascii="Amiri" w:hAnsi="Amiri" w:eastAsia="Amiri" w:cs="Amiri"/>
          <w:color w:val="111111"/>
          <w:sz w:val="28"/>
          <w:sz w:val="28"/>
          <w:szCs w:val="28"/>
          <w:rtl w:val="true"/>
          <w:lang w:bidi="ar-SA"/>
        </w:rPr>
        <w:t>وصُور اشتباه الاستحاضة بغيرها ممّا عدا الحيض ثلاث، والحكم فيها بالاستحاضة إلّا مع العلم بالولادة، أو العلم بالدم الخارج سابقاً أنّه من عُذرة أو قرح أو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الرجوع لما قدّمناه فيها،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اشتباه النفاس بغيره ممّا عدا الحيض والاستحاضة اثنان، والحكم فيهما بالنفاس مع العلم بالولادة، ومع عدم العلم يقدّم معلوم السبب أو الدم أو الأمارات المتقدّمة، ومع عدم ذلك فالتوقّف، والأصل يقضي بالطهارة من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اشتباه العُذرة بغيرها ممّا قدّمنا يرجع فيه إلى العلائم، وإلّا فالتوقّف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دم العُذرة؛ لكونه كالطبيعي</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3198049_1280447820"/>
      <w:bookmarkStart w:id="904" w:name="_Toc351"/>
      <w:bookmarkEnd w:id="903"/>
      <w:r>
        <w:rPr>
          <w:rtl w:val="true"/>
        </w:rPr>
        <w:t>رابعها</w:t>
      </w:r>
      <w:r>
        <w:rPr>
          <w:rtl w:val="true"/>
        </w:rPr>
        <w:t xml:space="preserve">: </w:t>
      </w:r>
      <w:r>
        <w:rPr>
          <w:rtl w:val="true"/>
        </w:rPr>
        <w:t>فی دنّ الحيض لا يجامع الصغر</w:t>
      </w:r>
      <w:bookmarkEnd w:id="904"/>
    </w:p>
    <w:p>
      <w:pPr>
        <w:pStyle w:val="BookText"/>
        <w:rPr/>
      </w:pPr>
      <w:r>
        <w:rPr>
          <w:rFonts w:ascii="Amiri" w:hAnsi="Amiri" w:eastAsia="Amiri" w:cs="Amiri"/>
          <w:color w:val="111111"/>
          <w:sz w:val="28"/>
          <w:sz w:val="28"/>
          <w:szCs w:val="28"/>
          <w:rtl w:val="true"/>
          <w:lang w:bidi="ar-SA"/>
        </w:rPr>
        <w:t>الحيض لا يجامع الصغر ؛للإجماع بقسميه</w:t>
      </w:r>
      <w:r>
        <w:rPr>
          <w:rStyle w:val="FootnoteAnchor"/>
          <w:rtl w:val="true"/>
        </w:rPr>
        <w:footnoteReference w:id="1722"/>
      </w:r>
      <w:r>
        <w:rPr>
          <w:rFonts w:ascii="Amiri" w:hAnsi="Amiri" w:eastAsia="Amiri" w:cs="Amiri"/>
          <w:color w:val="111111"/>
          <w:sz w:val="28"/>
          <w:sz w:val="28"/>
          <w:szCs w:val="28"/>
          <w:rtl w:val="true"/>
          <w:lang w:bidi="ar-SA"/>
        </w:rPr>
        <w:t xml:space="preserve">، والسنّة المعلومة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عدم بلوغ التسع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الطعن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هلاليّةً إن قارنت الولادة أوّل الهلال، وإن لم تقارن فالأقوى احتساب الشهر المنكسر عدديّاً والباقي هلاليّةً، مع احتمال تكميل الأيّام الفائتة من الثاني والثاني من الثالث وهكذا فيكون الجميع هلاليّةً، واحتمال انكسار جميع الشهور فتكون الجميع عدديّةً، 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ويلفّق اليوم المنكسر بقدر ما فات منه، مع احتمال إسقاطه، واحتمال احتسابه يوماً تامّاً، واحتمال الفرق بين الكثير والقليل، 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دمٍ كان قبل البلوغ قطعاً فليس بحيض وإن جمع الأوصاف، وما كان مع الشكّ في البلوغ وكان جامعاً للوصف كان حيضاً وكان علامة على البلوغ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العلامة على البلوغ هو المقطوع بحيضيّته كالمني، لا مجرّد الجامع للأوصاف</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3198051_1280447820"/>
      <w:bookmarkStart w:id="906" w:name="_Toc352"/>
      <w:bookmarkEnd w:id="905"/>
      <w:r>
        <w:rPr>
          <w:rtl w:val="true"/>
        </w:rPr>
        <w:t>خامسها</w:t>
      </w:r>
      <w:r>
        <w:rPr>
          <w:rtl w:val="true"/>
        </w:rPr>
        <w:t xml:space="preserve">: </w:t>
      </w:r>
      <w:r>
        <w:rPr>
          <w:rtl w:val="true"/>
        </w:rPr>
        <w:t>فی أنّ الحیض لا يجامع سنّ اليأس وبیان حدّه</w:t>
      </w:r>
      <w:bookmarkEnd w:id="90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يجامع الحیض سنّ اليأس، وهو بلوغ ستّين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النحو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المنتسبة إلى قريش بالأب لا بالأُمّ فقط، كما قد يتخيّل، والمعروف منهم نسب </w:t>
      </w:r>
    </w:p>
    <w:p>
      <w:pPr>
        <w:pStyle w:val="BookText"/>
        <w:rPr/>
      </w:pPr>
      <w:r>
        <w:rPr>
          <w:rFonts w:ascii="Amiri" w:hAnsi="Amiri" w:eastAsia="Amiri" w:cs="Amiri"/>
          <w:color w:val="111111"/>
          <w:sz w:val="28"/>
          <w:sz w:val="28"/>
          <w:szCs w:val="28"/>
          <w:rtl w:val="true"/>
          <w:lang w:bidi="ar-SA"/>
        </w:rPr>
        <w:t>هاشم، وربما قيل بدخول كلّ من انتسب إلى قريش الآن كبعض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ويوافقه الاحتياط، وفي النبطيّة، وهي المنسوبة إلى النبط، وهُمْ قوم كانوا ينزلون سواد العراق وقت صدور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إلحاق جميع النازلين سواد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ولكن بشرط التوطّن في النزول، فلا يكفي مجرّد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ينزلون البطائح بين العراقين</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من العجم</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كان أحد أبويه عجميّاً والآخر عربيّاً</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عرب استعجموا أو عجم استعربوا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عمان عرب استنبطوا، وأهل البحرين نبط استعربوا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 في هذا الوقت لا يُعلمون، وبالأصل والغالب ينفون ، وليسوا من باب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الزنى من قريش والنبط حكمه حكمهم؛ لأنّ الاعتبار بالمزاج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غيرهما بلوغ خمسين تامّة على نحو ما تقدّم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ما ذكرناه هو الجمع بين الأخبار المعتبرة المعمول فيها عند جماعة من أصحابنا الدالّة على اعتبار الخمسين في تحديد اليأس مطلقاً</w:t>
      </w:r>
      <w:r>
        <w:rPr>
          <w:rStyle w:val="FootnoteAnchor"/>
          <w:rtl w:val="true"/>
        </w:rPr>
        <w:footnoteReference w:id="1729"/>
      </w:r>
      <w:r>
        <w:rPr>
          <w:rFonts w:ascii="Amiri" w:hAnsi="Amiri" w:eastAsia="Amiri" w:cs="Amiri"/>
          <w:color w:val="111111"/>
          <w:sz w:val="28"/>
          <w:sz w:val="28"/>
          <w:szCs w:val="28"/>
          <w:rtl w:val="true"/>
          <w:lang w:bidi="ar-SA"/>
        </w:rPr>
        <w:t>، والأخبار الدالّة على اعتبار الستّين</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وأفتى بها جمع من أصحابنا</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المعتبر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روايات التحديد بالخمسين على غير القرشيّة وروايات الستّين عليها</w:t>
      </w:r>
      <w:r>
        <w:rPr>
          <w:rFonts w:eastAsia="Amiri" w:cs="Amiri" w:ascii="Amiri" w:hAnsi="Amiri"/>
          <w:color w:val="111111"/>
          <w:sz w:val="28"/>
          <w:szCs w:val="28"/>
          <w:rtl w:val="true"/>
          <w:lang w:bidi="ar-SA"/>
        </w:rPr>
        <w:t xml:space="preserve">. </w:t>
      </w:r>
      <w:bookmarkStart w:id="907" w:name="pg18988_203484"/>
    </w:p>
    <w:p>
      <w:pPr>
        <w:pStyle w:val="BookText"/>
        <w:rPr/>
      </w:pPr>
      <w:bookmarkEnd w:id="907"/>
      <w:r>
        <w:rPr>
          <w:rFonts w:ascii="Amiri" w:hAnsi="Amiri" w:eastAsia="Amiri" w:cs="Amiri"/>
          <w:color w:val="111111"/>
          <w:sz w:val="28"/>
          <w:sz w:val="28"/>
          <w:szCs w:val="28"/>
          <w:rtl w:val="true"/>
          <w:lang w:bidi="ar-SA"/>
        </w:rPr>
        <w:t xml:space="preserve">وشاهد الجمع مرسلة ابن أبي عمير، المنزلة منزلة المسند، المعتضدة بفتوى المشهور نقلاً </w:t>
      </w:r>
      <w:r>
        <w:rPr>
          <w:rStyle w:val="FootnoteAnchor"/>
          <w:rtl w:val="true"/>
        </w:rPr>
        <w:footnoteReference w:id="1732"/>
      </w:r>
      <w:r>
        <w:rPr>
          <w:rFonts w:ascii="Amiri" w:hAnsi="Amiri" w:eastAsia="Amiri" w:cs="Amiri"/>
          <w:color w:val="111111"/>
          <w:sz w:val="28"/>
          <w:sz w:val="28"/>
          <w:szCs w:val="28"/>
          <w:rtl w:val="true"/>
          <w:lang w:bidi="ar-SA"/>
        </w:rPr>
        <w:t>بل تحصيلاً،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وظاهر الحمرة هو الحيض، و إلّا لفسد ظاهر الكلام، ولا قائل بالتحديد بما بين الخمسين والستّين، فتعيّن إرادة الستّين من القرشيّة في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إليه فهم المشهور، وورود الستّين في الأخبار الأُخَر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الجمع أقوى من الجمع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مفهوم ما دلّ على الستّين من عدم اليأس بما قبلها بمنطوق ما دلّ على الخمسين؛ لبُعْده عن مقام البيان وفهم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النبطيّة فالدليل على كون الحكم فيها كذلك هو ما أرسله الشيخ المفيد من الرواية الدالّة على أنّ النبطيّة حدّ يأسها إلى الستّين</w:t>
      </w:r>
      <w:r>
        <w:rPr>
          <w:rStyle w:val="FootnoteAnchor"/>
          <w:rtl w:val="true"/>
        </w:rPr>
        <w:footnoteReference w:id="1735"/>
      </w:r>
      <w:r>
        <w:rPr>
          <w:rFonts w:ascii="IRNazanin" w:hAnsi="IRNazanin" w:eastAsia="IRNazanin"/>
          <w:color w:val="111111"/>
          <w:sz w:val="28"/>
          <w:sz w:val="28"/>
          <w:szCs w:val="28"/>
          <w:rtl w:val="true"/>
          <w:lang w:bidi="fa-IR"/>
        </w:rPr>
        <w:t>، ونُسب الفتوى به إلى مشهور الأصحاب</w:t>
      </w:r>
      <w:r>
        <w:rPr>
          <w:rStyle w:val="FootnoteAnchor"/>
          <w:rtl w:val="true"/>
        </w:rPr>
        <w:footnoteReference w:id="1736"/>
      </w:r>
      <w:r>
        <w:rPr>
          <w:rFonts w:ascii="Amiri" w:hAnsi="Amiri" w:eastAsia="Amiri" w:cs="Amiri"/>
          <w:color w:val="111111"/>
          <w:sz w:val="28"/>
          <w:sz w:val="28"/>
          <w:szCs w:val="28"/>
          <w:rtl w:val="true"/>
          <w:lang w:bidi="ar-SA"/>
        </w:rPr>
        <w:t>، فيكون هو شاهد الجمع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المقام لا يخلو من إشكالٍ، والاستصحاب يقضي بعدم اليأس قبل الستّين لمن اتّصفت الآن به ،والاحتياط في العبادة يقضي بثبوته عند بلوغها الخمسين، وإجراء أحكام الطاهرة والحائض عليهما هو الأحوط</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3198053_1280447820"/>
      <w:bookmarkStart w:id="909" w:name="_Toc353"/>
      <w:bookmarkEnd w:id="908"/>
      <w:r>
        <w:rPr>
          <w:rtl w:val="true"/>
        </w:rPr>
        <w:t>سادسها</w:t>
      </w:r>
      <w:r>
        <w:rPr>
          <w:rtl w:val="true"/>
        </w:rPr>
        <w:t xml:space="preserve">: </w:t>
      </w:r>
      <w:r>
        <w:rPr>
          <w:rtl w:val="true"/>
        </w:rPr>
        <w:t>فی انّه هل يجامع الحيض الحمل؟</w:t>
      </w:r>
      <w:bookmarkEnd w:id="909"/>
    </w:p>
    <w:p>
      <w:pPr>
        <w:pStyle w:val="BookText"/>
        <w:rPr/>
      </w:pPr>
      <w:r>
        <w:rPr>
          <w:rFonts w:ascii="Amiri" w:hAnsi="Amiri" w:eastAsia="Amiri" w:cs="Amiri"/>
          <w:color w:val="111111"/>
          <w:sz w:val="28"/>
          <w:sz w:val="28"/>
          <w:szCs w:val="28"/>
          <w:rtl w:val="true"/>
          <w:lang w:bidi="ar-SA"/>
        </w:rPr>
        <w:t>هل يجامع الحيض الحمل مطلقاً، أو لا يجامعه مطلقاً، أو يجامعه بشرط عدم استبانة الحمل ولا يجامعه إذا استبان، أو يجامعه إذا مضى من العادة قدر عشرين يوماً؟ أقوال أصحّها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للروايات المتكثّرة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أتترك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الحبلى ربّما قذفت بالدم</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ثلاثة أيّام أو أربعة أتصلّي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ترى الدم في أيّام حيضها،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 متعدّدة فيها الموثّق وغيره كذلك</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يزيد عن غذاء الولد فتدفعه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المتكثّرة المنجبرة بفتوى الأصحاب لا يصلح لمعارضتها ما دلّ على القول الأخير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الحامل الدم بعدما يمضي عشرون يوماً من الوقت الذي كانت ترى فيه الدم من الشهر الذي كانت تقعد فيه، فإنّ ذلك ليس من الرحم ولا من الطمث، فلتتوضأ وتحتشي بكرسف وتصلّي، وإذا رأت الحامل الدم قبل الوقت الذي كانت ترى فيه الدم بقليل أو في الوقت من ذلك الشهر فإنّه من الحيضة، فلتمسك عن الصلاة عدد أيّامها التي كانت تقعد في حيضها، فإن انقطع عنها الدم قبل ذلك فلتغتسل ولتصلِّ</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 فإنّه لوحدته وعدم اشتهاره وعدم استفاضته لا يصلح لمقاومة تلك الأخبار المخالفة لفتوى العامّة كما قيل</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بفتوى مشهور الأخيار، المشتملة على الصحاح والموثّقات، كي يحكم عليها أو يقيّدها أو يخصّصها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من استمرّ بها الدم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يصلح لمعارضتها ما دلّ على القول الثاني من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تعالى ليجعل حيضاً مع حبلٍ</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لضعفه، وموافقته لمشهور فتوى العامّة على ما نقل</w:t>
      </w:r>
      <w:r>
        <w:rPr>
          <w:rStyle w:val="FootnoteAnchor"/>
          <w:rtl w:val="true"/>
        </w:rPr>
        <w:footnoteReference w:id="1745"/>
      </w:r>
      <w:r>
        <w:rPr>
          <w:rFonts w:ascii="Amiri" w:hAnsi="Amiri" w:eastAsia="Amiri" w:cs="Amiri"/>
          <w:color w:val="111111"/>
          <w:sz w:val="28"/>
          <w:sz w:val="28"/>
          <w:szCs w:val="28"/>
          <w:rtl w:val="true"/>
          <w:lang w:bidi="ar-SA"/>
        </w:rPr>
        <w:t>، فليُحمل على التقيّة أو على الأغلبيّة أو يُطرح</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الصحيح في الحبلى ترى الدفقة والدفقتين من الدم؟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الهراقة، ليس تمسك هذه عن الصلاة</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الضعفه دلالةً بظهوره فيما لم يجمع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صحّة طلاق الحامل مطلقاً رأت دماً أو لا، ولو كان ما رأته حيضاً لما صحّ طلاقها؛ وذلك لمنع عدم صحّة طلاق الحائض مطلقاً، بل المتيقّن منه ما لم تكن حاملاً، كما صحّ طلاق الحائض مع غيبة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تعليق العدد والاستبراء بالحيض؛ فإنّه لو جامع الحيض الحمل لما صحّ الاعتداد به استبراء الرحم من الحمل في العدّة والاستبراء؛ وذلك لمنع التلازم؛ لجواز اكتفاء الشارع في العدّة والاستبراء بالمظنّة الناشئة من غلبة عدم اجتماع الحيض والحمل عادة، كما يرشد إليه التعدّد في الحرّة والوحدة في الأمة؛ إذ لو كان الاجتماع ممتنعاً لاكتفى فيه بالمرّة فيهما، ولكن لمّا كان الاحتياط في الحرّة أشدّ لزم اتّباع ما هو أقوى في حصول الظنّ، والاكتفاء بما هو أضعف في الأمة،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يصلح لمعارضتها ما دلّ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إشعار الصحيح به من إرادة الاستبانة من مضيّ عشرين يوماً</w:t>
      </w:r>
      <w:r>
        <w:rPr>
          <w:rStyle w:val="FootnoteAnchor"/>
          <w:rtl w:val="true"/>
        </w:rPr>
        <w:footnoteReference w:id="1747"/>
      </w:r>
      <w:r>
        <w:rPr>
          <w:rFonts w:ascii="Amiri" w:hAnsi="Amiri" w:eastAsia="Amiri" w:cs="Amiri"/>
          <w:color w:val="111111"/>
          <w:sz w:val="28"/>
          <w:sz w:val="28"/>
          <w:szCs w:val="28"/>
          <w:rtl w:val="true"/>
          <w:lang w:bidi="ar-SA"/>
        </w:rPr>
        <w:t>، ومن إشعار الرضوي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أنّها تعمل ما تعمله المستحاضة إذا صحّ لها الحمل</w:t>
      </w:r>
      <w:r>
        <w:rPr>
          <w:rFonts w:eastAsia="Amiri" w:cs="Amiri" w:ascii="Amiri" w:hAnsi="Amiri"/>
          <w:color w:val="111111"/>
          <w:sz w:val="28"/>
          <w:szCs w:val="28"/>
          <w:rtl w:val="true"/>
          <w:lang w:bidi="ar-SA"/>
        </w:rPr>
        <w:t>»</w:t>
      </w:r>
      <w:r>
        <w:rPr>
          <w:rStyle w:val="FootnoteAnchor"/>
          <w:rtl w:val="true"/>
        </w:rPr>
        <w:footnoteReference w:id="1748"/>
      </w:r>
      <w:r>
        <w:rPr>
          <w:rFonts w:ascii="IRNazanin" w:hAnsi="IRNazanin" w:eastAsia="IRNazanin"/>
          <w:color w:val="111111"/>
          <w:sz w:val="28"/>
          <w:sz w:val="28"/>
          <w:szCs w:val="28"/>
          <w:rtl w:val="true"/>
          <w:lang w:bidi="fa-IR"/>
        </w:rPr>
        <w:t>و من الإجماع المنقول</w:t>
      </w:r>
      <w:r>
        <w:rPr>
          <w:rStyle w:val="FootnoteAnchor"/>
          <w:rtl w:val="true"/>
        </w:rPr>
        <w:footnoteReference w:id="1749"/>
      </w:r>
      <w:r>
        <w:rPr>
          <w:rFonts w:ascii="Amiri" w:hAnsi="Amiri" w:eastAsia="Amiri" w:cs="Amiri"/>
          <w:color w:val="111111"/>
          <w:sz w:val="28"/>
          <w:sz w:val="28"/>
          <w:szCs w:val="28"/>
          <w:rtl w:val="true"/>
          <w:lang w:bidi="ar-SA"/>
        </w:rPr>
        <w:t>على ذلك؛ وذلك لضعف الإشعار في الأوّل دلالةً واعتباراً؛ لبُعْد الاستبانة في تلك المدّة، وضعف الإشعار في الثاني سنداً ودلالة، وضعف الإجماع المنقول؛ لمعارضته بفتوى المشهور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يصلح جميع ذلك لمعارضة ما ذكرنا ولا لمقاومته كي يمكن تقييده به، سيّما وقد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قد استبان ذلك منها ترى كما ترى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الهراقة، إن كان دماً كثيراً فلا تصلّينّ، وإن كان قليلاً فلتغتسل</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 وفي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استبان حبلها ترى ما ترى الحائض من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الهراقة من الدم، إن كان دماً أحمر كثيراً فلا تصلّي، وإن كان قليلاً أصفر فليس عليها إلّا الوضوء</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الجمع بين الأخبار بحمل ما دلّ على جواز الاجتماع على صورة اتّصاف </w:t>
      </w:r>
      <w:bookmarkStart w:id="910" w:name="pg18988_203487"/>
    </w:p>
    <w:p>
      <w:pPr>
        <w:pStyle w:val="BookText"/>
        <w:rPr/>
      </w:pPr>
      <w:bookmarkEnd w:id="910"/>
      <w:r>
        <w:rPr>
          <w:rFonts w:ascii="Amiri" w:hAnsi="Amiri" w:eastAsia="Amiri" w:cs="Amiri"/>
          <w:color w:val="111111"/>
          <w:sz w:val="28"/>
          <w:sz w:val="28"/>
          <w:szCs w:val="28"/>
          <w:rtl w:val="true"/>
          <w:lang w:bidi="ar-SA"/>
        </w:rPr>
        <w:t>الدم بلون الحيض وكثرته وعدم تقدّمه على أيّام العادة وتأخّره كثيراً، وما دلّ على المنع منه على غيرها؛ لأنّ الأخبار ما بين مثبت مطلقاً، ونافٍ مطلقاً، ومفصّل بين الكثير والقليل، وبين المتقدّم والمتأخّر بعشرين يوماً ، وبين الجامع للأوصاف وغيره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الحبلى ترى الدم اليوم واليومين؟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عبيطاً فلا تصلّي ذينك اليومين، وإن كان صفرة فلتغسل</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الجمع أن يحمل المطلق على المقيّد، ويؤخذ بالسابق من كلّ مقيّد من المقيّدات، كما هي القاعدة عند تكثّر المقيدات ، إلّا أنّ هذا التفصيل لا قائل به، فالركون إليه مشكل والاحتياط غير خفي</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3198055_1280447820"/>
      <w:bookmarkStart w:id="912" w:name="_Toc354"/>
      <w:bookmarkEnd w:id="911"/>
      <w:r>
        <w:rPr>
          <w:rtl w:val="true"/>
        </w:rPr>
        <w:t>سابعها</w:t>
      </w:r>
      <w:r>
        <w:rPr>
          <w:rtl w:val="true"/>
        </w:rPr>
        <w:t xml:space="preserve">: </w:t>
      </w:r>
      <w:r>
        <w:rPr>
          <w:rtl w:val="true"/>
        </w:rPr>
        <w:t>بیان أقلّ الحیض</w:t>
      </w:r>
      <w:bookmarkEnd w:id="912"/>
    </w:p>
    <w:p>
      <w:pPr>
        <w:pStyle w:val="BookText"/>
        <w:rPr/>
      </w:pPr>
      <w:r>
        <w:rPr>
          <w:rFonts w:ascii="Amiri" w:hAnsi="Amiri" w:eastAsia="Amiri" w:cs="Amiri"/>
          <w:color w:val="111111"/>
          <w:sz w:val="28"/>
          <w:sz w:val="28"/>
          <w:szCs w:val="28"/>
          <w:rtl w:val="true"/>
          <w:lang w:bidi="ar-SA"/>
        </w:rPr>
        <w:t>لا يكون الحيض أقلّ من ثلاثة أيّام بلياليها كاملة، متوالية 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إن ابتدأ الحيض في أوّلها، وملفّقة إن انكسر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تدخل الليلتان المتوسّطتان، وعلى الثاني تدخل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احتساب اليوم المنكسر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احتسابه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 الكسر القليل فالثاني والكثير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ما قدّمنا،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وتكميل الكسر من الليل وجه، والأوجَه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الاستمرار في الثلاثة ولو في الرحم بحيث كلّما أدخلت القطنة وجدت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يكفي في الحيض أقلّ من ثلاثة أيّام؛ للإجماع، والأخبار المتكثّرة الدالّة على أنّ الحيض لا يكون أقلّ من ثلاث، وأنّ أدنى الحيض ثلاث</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تكفي الليالي الثلاث دون الأيّام؛ لأنّ الموجود في الأخبار هو الأيّام لا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 الأيّام دون الليلتين المتوسّطتين في الصحاح، أو دون الثلاث في الملفّق، لتبادر دخولها في مثل هذا التركيب عرفاً وشرعاً واستقراء، ولظاهر الاتّفاق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يكفي وجودها في ضمن العشرة غير متوالية كما اكتفى بها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1754"/>
      </w:r>
      <w:r>
        <w:rPr>
          <w:rFonts w:ascii="Amiri" w:hAnsi="Amiri" w:eastAsia="Amiri" w:cs="Amiri"/>
          <w:color w:val="111111"/>
          <w:sz w:val="28"/>
          <w:sz w:val="28"/>
          <w:szCs w:val="28"/>
          <w:rtl w:val="true"/>
          <w:lang w:bidi="ar-SA"/>
        </w:rPr>
        <w:t>، سواء كان وجودها أيّاماً كاليوم الأوّل والخامس والعاشر أو دون ذلك أو أكثر أو أبعاضاً بحيث لو اجتمعت كانت ثلاثة، كما إذا رأته ستّة أنصاف أيّام في ستّة أيّام أو أكثر، أو تسعة أثلاث في تسعة أيّام أو أكثر، أو تناوب عليها النقاء والدم ساعة وساعة إلى ستّة أيّام أو أكثر، إلى غير ذلك، كلّ ذلك لتبادر التوالي من الروايات الحاكمة بأنّ أدنى الحيض ثلاث، وللرضوي</w:t>
      </w:r>
      <w:r>
        <w:rPr>
          <w:rStyle w:val="FootnoteAnchor"/>
          <w:rtl w:val="true"/>
        </w:rPr>
        <w:footnoteReference w:id="1755"/>
      </w:r>
      <w:r>
        <w:rPr>
          <w:rFonts w:ascii="Amiri" w:hAnsi="Amiri" w:eastAsia="Amiri" w:cs="Amiri"/>
          <w:color w:val="111111"/>
          <w:sz w:val="28"/>
          <w:sz w:val="28"/>
          <w:szCs w:val="28"/>
          <w:rtl w:val="true"/>
          <w:lang w:bidi="ar-SA"/>
        </w:rPr>
        <w:t>الدالّ على ذلك ، المعتضد بفتوى المشهور نقلاً</w:t>
      </w:r>
      <w:r>
        <w:rPr>
          <w:rStyle w:val="FootnoteAnchor"/>
          <w:rtl w:val="true"/>
        </w:rPr>
        <w:footnoteReference w:id="1756"/>
      </w:r>
      <w:r>
        <w:rPr>
          <w:rFonts w:ascii="Amiri" w:hAnsi="Amiri" w:eastAsia="Amiri" w:cs="Amiri"/>
          <w:color w:val="111111"/>
          <w:sz w:val="28"/>
          <w:sz w:val="28"/>
          <w:szCs w:val="28"/>
          <w:rtl w:val="true"/>
          <w:lang w:bidi="ar-SA"/>
        </w:rPr>
        <w:t>بل تحصيلاً، وللأصل النافي للحيض عند الشكّ فيه ،وللاستصحاب المثبت لصحّة العبادات السابقة والمثبت لإمكان تعلّق الخطاب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بمنع تبادر التوالي، أو بتسليمه ودعوى حصوله؛ إذ من يقول بكفاية وجودها في ضمن العشرة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الثلاث حيض وإن لم يكن فيه دم، وبمنع حجّيّة الرضوي، وبمنع الأصل؛ لمعارضته بأصالة البراءة من التكليف سيّما قبل دخول الوقت،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منع تبادر التوالي مكابرة، و أنّ الظاهر من لفظ الحيض هو الدم دون النقاء المتخلّل، وأنّ الرضوي حجّة إذا تأيّد بفتوى المشهور، وأنّ أصالة البراءة لا تعارض استصحاب القابليّة للتكليف وتعلّق التكليف أو التكليف المحقّق بعد تعلّقه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جاء حجّةً للشيخ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مرسل يونس وقوله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انقطع الدم من بعد ما رأته يوماً أو يومين اغتسلت وصلّت وانتظرت من يوم رأت الدم إلى عشرة أيّام، فإن رأت في تلك العشرة أيّام من يوم رأت الدم يوماً أو يومين حتّى يتمّ لها ثلاثة أيّام فذلك الذي رأته في أوّل الأمر مع هذا الذي رأته بعد ذلك في العشرة من الحيض</w:t>
      </w:r>
      <w:r>
        <w:rPr>
          <w:rFonts w:eastAsia="IRNazanin" w:cs="IRNazanin"/>
          <w:color w:val="111111"/>
          <w:sz w:val="28"/>
          <w:szCs w:val="28"/>
          <w:rtl w:val="true"/>
          <w:lang w:bidi="fa-IR"/>
        </w:rPr>
        <w:t>»</w:t>
      </w:r>
      <w:r>
        <w:rPr>
          <w:rStyle w:val="FootnoteAnchor"/>
          <w:rtl w:val="true"/>
        </w:rPr>
        <w:footnoteReference w:id="1757"/>
      </w:r>
      <w:r>
        <w:rPr>
          <w:rFonts w:ascii="Amiri" w:hAnsi="Amiri" w:eastAsia="Amiri" w:cs="Amiri"/>
          <w:color w:val="111111"/>
          <w:sz w:val="28"/>
          <w:sz w:val="28"/>
          <w:szCs w:val="28"/>
          <w:rtl w:val="true"/>
          <w:lang w:bidi="ar-SA"/>
        </w:rPr>
        <w:t>وهو طويل أخذنا منه موضع الحاجة، ومن صحيح محمّد بن مسلم وموثّقته الدالّتين على أنّ المرأة إن رأت الدم قبل العشرة فهو من الحيضة الأُولى، وإن رأته بعد العشرة فهو من الحيضة المستقلّة</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لضعف المرسل سنداً ومتناً؛ لاشتماله ظاهراً على كون ما بين الدمين طهراً، ولا يقول به أحد؛ لأنّ الطهر لا يكون </w:t>
      </w:r>
    </w:p>
    <w:p>
      <w:pPr>
        <w:pStyle w:val="BookText"/>
        <w:rPr/>
      </w:pPr>
      <w:r>
        <w:rPr>
          <w:rFonts w:ascii="Amiri" w:hAnsi="Amiri" w:eastAsia="Amiri" w:cs="Amiri"/>
          <w:color w:val="111111"/>
          <w:sz w:val="28"/>
          <w:sz w:val="28"/>
          <w:szCs w:val="28"/>
          <w:rtl w:val="true"/>
          <w:lang w:bidi="ar-SA"/>
        </w:rPr>
        <w:t>أقلّ من عشرة، كما دلّت عليه الأخبار</w:t>
      </w:r>
      <w:r>
        <w:rPr>
          <w:rStyle w:val="FootnoteAnchor"/>
          <w:rtl w:val="true"/>
        </w:rPr>
        <w:footnoteReference w:id="1759"/>
      </w:r>
      <w:r>
        <w:rPr>
          <w:rFonts w:ascii="Amiri" w:hAnsi="Amiri" w:eastAsia="Amiri" w:cs="Amiri"/>
          <w:color w:val="111111"/>
          <w:sz w:val="28"/>
          <w:sz w:val="28"/>
          <w:szCs w:val="28"/>
          <w:rtl w:val="true"/>
          <w:lang w:bidi="ar-SA"/>
        </w:rPr>
        <w:t>ونطق به أخير هذا المرسل، وضعف دلالة الروايتين على ذلك؛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الحيضة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ثبوت كون الأوّل حيضاً، وهو أوّل المسألة، وبعد ثبوت اشتراط التوالي يكون الحيض الأوّل هو ما كان ثلاثة أيّام متوالية، فلا تصلحان لمعارضة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الطهر الذي لا يكون أقلّ من عشرة هو ما كان بين حيضتين لا ما كان متخلّلاً بين حيض واحد من أيّام النقاء، فإنّ ذلك لا يكون إلّا أقلّ من عشرة وهو كالطهر في الأحكام، فلا ضعف في المتن، ومن أنّ المرسل حجة عند المتقدّمين فلا ضعف في السند، ومن أنّ الروايتين ظاهرتان بذلك إن لم تكونا نصّاً، على أنّه يلزم على فهم المشهور الاختلال بلفظهما ؛ لأنّ العشرة المضاف إليها بعدُ يراد بها عشرة الطهر، والمضاف إليها قبل هي عشرة الدم التي قد حصل الدم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فهمهم، مع أنّ المراد بالعشرتين واحد، وهي عشرة الطهر ، فإن وقع الدم قبلها كان من الحيضة الأُولى، ولو زاد مجموعه والبياض على العشرة، كما لو رأت خمسة دماً وثلاثة بياضاً وخمسة دماً وهكذا كان كلّ دم حيضاً وكلّ بياض طهراً ما لم يزد الدم على عشرة فإنّه لا يكون حيضاً، وإن وقع بعدها كان من الحيضة الثانية</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بعيد عن الصواب ومخالف لفتاوى الأصحاب، القاضية بإطلاقها على أنّ الطهر الذي يعاند الحيض اسماً وحكماً لا يكون أقلّ من عشرة مطلقاً من غير تفصيلٍ، والقاضية بأنّ المراسيل ما لم تعتضد بفتوى المشهور أو عملهم أو كانت ممّن أجمع العصابة على قبول مراسيله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الاختلال في نظم الروايتين، فمردود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بحمل لفظ العشرة على عشرة الطهر في المقامين على فهم المشهور أيضاً، ويكون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تراه قبل عشرة الطهر إذا تقدّمه ما يصلح لأن يكون حيضاً ولم يتجاوز العشرة فهو من الحيضة الأُولى، وما تراه بعدها فهو من المستقبلة، ويكون التخصيص بتقدّم ما يصلح للحيضيّة وبعدم تجاوز العشرة؛ للدليل الدالّ على أنّ الحيض ثلاثة متوالية وأنّه مع بياضه المتخلّل لا يتجاوز العشرة؛ لأنّ البياض بين الدمين إذا كان دون العشرة حيض أو بحكم الحيض</w:t>
      </w:r>
      <w:r>
        <w:rPr>
          <w:rFonts w:eastAsia="Amiri" w:cs="Amiri" w:ascii="Amiri" w:hAnsi="Amiri"/>
          <w:color w:val="111111"/>
          <w:sz w:val="28"/>
          <w:szCs w:val="28"/>
          <w:rtl w:val="true"/>
          <w:lang w:bidi="ar-SA"/>
        </w:rPr>
        <w:t xml:space="preserve">. </w:t>
      </w:r>
      <w:bookmarkStart w:id="913" w:name="pg18988_203490"/>
    </w:p>
    <w:p>
      <w:pPr>
        <w:pStyle w:val="BookText"/>
        <w:rPr/>
      </w:pPr>
      <w:bookmarkEnd w:id="913"/>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باختلاف معنى العشرتين بعد فهم الأصحاب وقرائن الباب، مع أنّه قد يمكن إرادة عشرة الدم من العشرتين معاً، ويكون عدم الحكم بحيضيّة ما فوق العشرة من الدم الذي لم يتخلّله أقلّ الطهر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الثلاث مسمّاها، بل لا بدّ من كمالها واستمرار الدم فيها؛ للأصل، ولعدم تيقّن الحيض إلّا بذلك، ولظهور الأخبار به، ولظاهر الإجماع المنقول</w:t>
      </w:r>
      <w:r>
        <w:rPr>
          <w:rStyle w:val="FootnoteAnchor"/>
          <w:rtl w:val="true"/>
        </w:rPr>
        <w:footnoteReference w:id="1761"/>
      </w:r>
      <w:r>
        <w:rPr>
          <w:rFonts w:ascii="Amiri" w:hAnsi="Amiri" w:eastAsia="Amiri" w:cs="Amiri"/>
          <w:color w:val="111111"/>
          <w:sz w:val="28"/>
          <w:sz w:val="28"/>
          <w:szCs w:val="28"/>
          <w:rtl w:val="true"/>
          <w:lang w:bidi="ar-SA"/>
        </w:rPr>
        <w:t>على أنّها لو رأت يومين ونصفاً لم يكن حيضاً، ولظاهر الاتّفاق المنقول</w:t>
      </w:r>
      <w:r>
        <w:rPr>
          <w:rStyle w:val="FootnoteAnchor"/>
          <w:rtl w:val="true"/>
        </w:rPr>
        <w:footnoteReference w:id="1762"/>
      </w:r>
      <w:r>
        <w:rPr>
          <w:rFonts w:ascii="Amiri" w:hAnsi="Amiri" w:eastAsia="Amiri" w:cs="Amiri"/>
          <w:color w:val="111111"/>
          <w:sz w:val="28"/>
          <w:sz w:val="28"/>
          <w:szCs w:val="28"/>
          <w:rtl w:val="true"/>
          <w:lang w:bidi="ar-SA"/>
        </w:rPr>
        <w:t>عن القائلين بالتوالي أنّهم قائلون بالكمال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بالاستمرار هو الاستمرار العرفي، فلا تضرّ الفترات المعتادة للنساء، ونقل عليه الإجماع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بعضهم لزوم الاستمرار حقيقة وأنّه لا بد ّمن ذلك</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قول مَن اكتفى بالمسمّى في الثلاث مطلقاً</w:t>
      </w:r>
      <w:r>
        <w:rPr>
          <w:rStyle w:val="FootnoteAnchor"/>
          <w:rtl w:val="true"/>
        </w:rPr>
        <w:footnoteReference w:id="1765"/>
      </w:r>
      <w:r>
        <w:rPr>
          <w:rFonts w:ascii="Amiri" w:hAnsi="Amiri" w:eastAsia="Amiri" w:cs="Amiri"/>
          <w:color w:val="111111"/>
          <w:sz w:val="28"/>
          <w:sz w:val="28"/>
          <w:szCs w:val="28"/>
          <w:rtl w:val="true"/>
          <w:lang w:bidi="ar-SA"/>
        </w:rPr>
        <w:t>، و مَن اكتفى بالمسمّى في الوسط وأوجب مقارنته لأوّل الأوّل ولأخير الأخير تحقيقاً لصدق الثلاثة</w:t>
      </w:r>
      <w:r>
        <w:rPr>
          <w:rStyle w:val="FootnoteAnchor"/>
          <w:rtl w:val="true"/>
        </w:rPr>
        <w:footnoteReference w:id="1766"/>
      </w:r>
      <w:r>
        <w:rPr>
          <w:rFonts w:ascii="Amiri" w:hAnsi="Amiri" w:eastAsia="Amiri" w:cs="Amiri"/>
          <w:color w:val="111111"/>
          <w:sz w:val="28"/>
          <w:sz w:val="28"/>
          <w:szCs w:val="28"/>
          <w:rtl w:val="true"/>
          <w:lang w:bidi="ar-SA"/>
        </w:rPr>
        <w:t>لمخالفتهما للأصل، مع عدم دليلٍ عليهما</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3198057_1280447820"/>
      <w:bookmarkStart w:id="915" w:name="_Toc355"/>
      <w:bookmarkEnd w:id="914"/>
      <w:r>
        <w:rPr>
          <w:rtl w:val="true"/>
        </w:rPr>
        <w:t>ثامنها</w:t>
      </w:r>
      <w:r>
        <w:rPr>
          <w:rtl w:val="true"/>
        </w:rPr>
        <w:t xml:space="preserve">: </w:t>
      </w:r>
      <w:r>
        <w:rPr>
          <w:rtl w:val="true"/>
        </w:rPr>
        <w:t>بیان أکثر الحیض</w:t>
      </w:r>
      <w:bookmarkEnd w:id="915"/>
    </w:p>
    <w:p>
      <w:pPr>
        <w:pStyle w:val="BookText"/>
        <w:rPr/>
      </w:pPr>
      <w:r>
        <w:rPr>
          <w:rFonts w:ascii="Amiri" w:hAnsi="Amiri" w:eastAsia="Amiri" w:cs="Amiri"/>
          <w:color w:val="111111"/>
          <w:sz w:val="28"/>
          <w:sz w:val="28"/>
          <w:szCs w:val="28"/>
          <w:rtl w:val="true"/>
          <w:lang w:bidi="ar-SA"/>
        </w:rPr>
        <w:t>لا يكون الحيض أكثر من عشرة أيّام بالليالي التسع مع عدم الانكسار، وبالعشر مع الانكسار، وفي احتساب المنكسر يوماً، أو طرحه، أو الفرق بين قليله وكثيره، أو تلفيقه من اليوم الأخير، أو من الليل الخارج وجوه أقواها ما تقدّم من البناء على التلفيق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 أكثر الحيض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المتكثّرة الدالّة على أنّه لا يكون أكثر من ذلك</w:t>
      </w:r>
      <w:r>
        <w:rPr>
          <w:rStyle w:val="FootnoteAnchor"/>
          <w:rtl w:val="true"/>
        </w:rPr>
        <w:footnoteReference w:id="1767"/>
      </w:r>
      <w:r>
        <w:rPr>
          <w:rFonts w:ascii="Amiri" w:hAnsi="Amiri" w:eastAsia="Amiri" w:cs="Amiri"/>
          <w:color w:val="111111"/>
          <w:sz w:val="28"/>
          <w:sz w:val="28"/>
          <w:szCs w:val="28"/>
          <w:rtl w:val="true"/>
          <w:lang w:bidi="ar-SA"/>
        </w:rPr>
        <w:t xml:space="preserve">، كما أنّه لا يكون الطهر أقلّ من ذلك، والإجماع محصّلاً ومنقولاً </w:t>
      </w:r>
      <w:r>
        <w:rPr>
          <w:rStyle w:val="FootnoteAnchor"/>
          <w:rtl w:val="true"/>
        </w:rPr>
        <w:footnoteReference w:id="1768"/>
      </w:r>
      <w:r>
        <w:rPr>
          <w:rFonts w:ascii="Amiri" w:hAnsi="Amiri" w:eastAsia="Amiri" w:cs="Amiri"/>
          <w:color w:val="111111"/>
          <w:sz w:val="28"/>
          <w:sz w:val="28"/>
          <w:szCs w:val="28"/>
          <w:rtl w:val="true"/>
          <w:lang w:bidi="ar-SA"/>
        </w:rPr>
        <w:t>عليهما معاً</w:t>
      </w:r>
      <w:r>
        <w:rPr>
          <w:rFonts w:eastAsia="Amiri" w:cs="Amiri" w:ascii="Amiri" w:hAnsi="Amiri"/>
          <w:color w:val="111111"/>
          <w:sz w:val="28"/>
          <w:szCs w:val="28"/>
          <w:rtl w:val="true"/>
          <w:lang w:bidi="ar-SA"/>
        </w:rPr>
        <w:t xml:space="preserve">. </w:t>
      </w:r>
      <w:bookmarkStart w:id="916" w:name="pg18988_203491"/>
    </w:p>
    <w:p>
      <w:pPr>
        <w:pStyle w:val="BookText"/>
        <w:rPr/>
      </w:pPr>
      <w:bookmarkEnd w:id="916"/>
      <w:r>
        <w:rPr>
          <w:rFonts w:ascii="Amiri" w:hAnsi="Amiri" w:eastAsia="Amiri" w:cs="Amiri"/>
          <w:color w:val="111111"/>
          <w:sz w:val="28"/>
          <w:sz w:val="28"/>
          <w:szCs w:val="28"/>
          <w:rtl w:val="true"/>
          <w:lang w:bidi="ar-SA"/>
        </w:rPr>
        <w:t>فما دلّ على أنّ أكثر الحيض ثمان</w:t>
      </w:r>
      <w:r>
        <w:rPr>
          <w:rStyle w:val="FootnoteAnchor"/>
          <w:rtl w:val="true"/>
        </w:rPr>
        <w:footnoteReference w:id="1769"/>
      </w:r>
      <w:r>
        <w:rPr>
          <w:rFonts w:ascii="Amiri" w:hAnsi="Amiri" w:eastAsia="Amiri" w:cs="Amiri"/>
          <w:color w:val="111111"/>
          <w:sz w:val="28"/>
          <w:sz w:val="28"/>
          <w:szCs w:val="28"/>
          <w:rtl w:val="true"/>
          <w:lang w:bidi="ar-SA"/>
        </w:rPr>
        <w:t>، مطروح، أو محمول على التقيّة أو على الغالب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دلّ على أنّ مَنْ رأت الدم خمسة والنقاء خمسة والدم أربعة والنقاء ستّة أنّها لا تصلّي إذا رأت الدم إلى ثلاثين يوماً</w:t>
      </w:r>
      <w:r>
        <w:rPr>
          <w:rStyle w:val="FootnoteAnchor"/>
          <w:rtl w:val="true"/>
        </w:rPr>
        <w:footnoteReference w:id="1770"/>
      </w:r>
      <w:r>
        <w:rPr>
          <w:rFonts w:ascii="Amiri" w:hAnsi="Amiri" w:eastAsia="Amiri" w:cs="Amiri"/>
          <w:color w:val="111111"/>
          <w:sz w:val="28"/>
          <w:sz w:val="28"/>
          <w:szCs w:val="28"/>
          <w:rtl w:val="true"/>
          <w:lang w:bidi="ar-SA"/>
        </w:rPr>
        <w:t>، فإنّه محمول على المتحيّرة المستمرّ بها الدم؛ فإنّ الأحوط لها ترك الصلاة عند رؤية الدم والصلاة عند عدم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يحتسب من الحيض أيّام النقاء الواقعة في العشرة بعد مضيّ ثلاثة أيّام الدم إذا انقطع الدم على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الشيخ بكفاية الثلاثة المتفرّقة في العشرة</w:t>
      </w:r>
      <w:r>
        <w:rPr>
          <w:rStyle w:val="FootnoteAnchor"/>
          <w:rtl w:val="true"/>
        </w:rPr>
        <w:footnoteReference w:id="1771"/>
      </w:r>
      <w:r>
        <w:rPr>
          <w:rFonts w:ascii="Amiri" w:hAnsi="Amiri" w:eastAsia="Amiri" w:cs="Amiri"/>
          <w:color w:val="111111"/>
          <w:sz w:val="28"/>
          <w:sz w:val="28"/>
          <w:szCs w:val="28"/>
          <w:rtl w:val="true"/>
          <w:lang w:bidi="ar-SA"/>
        </w:rPr>
        <w:t>فإن جعل النقاء بينها حيضاً كان أكثره وأقلّه سواءً فيما لو رأت يوماً وخامسه وعاشره، وإن جعل النقاء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تخيّله بعض المتأخّرين</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أقلّه مقصوراً على حصوله في العشرة، وأكثره قد يحصل بالعشرة إذا ملأها، وقد يحصل بالأكثر حتّى ينتهي إلى ثمانين يوماً، ثلاثة في العشرة المتقدّمة وسبعة كلّ تسعة أيّام، وعاشرها دم يكون حيضاً إلى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فصل بين الدّمين طهر قدره عشرة أيّام، كانت الحيضتان مستقلّتين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رأت ثلاثة في ضمن عشرة ثمّ رأت بعدها دماً ، كان المجموع حيضاً ما لم يفصل أقلّ الطهر أو يزيد مجموع الدم على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 هذا عن كلام الأصحاب بل عن الإجماع المحصّل</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3198059_1280447820"/>
      <w:bookmarkStart w:id="918" w:name="_Toc356"/>
      <w:bookmarkEnd w:id="917"/>
      <w:r>
        <w:rPr>
          <w:rtl w:val="true"/>
        </w:rPr>
        <w:t xml:space="preserve">تاسعها </w:t>
      </w:r>
      <w:r>
        <w:rPr>
          <w:rtl w:val="true"/>
        </w:rPr>
        <w:t>:</w:t>
      </w:r>
      <w:r>
        <w:rPr>
          <w:rtl w:val="true"/>
        </w:rPr>
        <w:t>قاعدۀ الإمکان</w:t>
      </w:r>
      <w:bookmarkEnd w:id="918"/>
    </w:p>
    <w:p>
      <w:pPr>
        <w:pStyle w:val="BookText"/>
        <w:rPr/>
      </w:pPr>
      <w:r>
        <w:rPr>
          <w:rFonts w:ascii="Amiri" w:hAnsi="Amiri" w:eastAsia="Amiri" w:cs="Amiri"/>
          <w:color w:val="111111"/>
          <w:sz w:val="28"/>
          <w:sz w:val="28"/>
          <w:szCs w:val="28"/>
          <w:rtl w:val="true"/>
          <w:lang w:bidi="ar-SA"/>
        </w:rPr>
        <w:t>كلّ دم تراه المرأة ممّا يمكن أن يكون حيضاً غير معارض بإمكان حيضيّة دمٍ آخَر فهو حيض، سواء جمع صفات دم الحيض أم لا، وسواء كانت المرأة معتادةً أم لا، كما إذا كانت مبتدأةً أو مضطربةً، وسواء وقع في العادة للمعتادة أم لا، كما إذا وقع قبلها أو بعدها، وسواء كان المرئي قبل تمام الثلاثة أو بعد تمامها إلى العشرة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لأصالة دم الحيض وأغلبيّته بالنسبة إلى الدماء الخارجة من فروج النساء، ولقوّة </w:t>
      </w:r>
    </w:p>
    <w:p>
      <w:pPr>
        <w:pStyle w:val="BookText"/>
        <w:rPr/>
      </w:pPr>
      <w:r>
        <w:rPr>
          <w:rFonts w:ascii="Amiri" w:hAnsi="Amiri" w:eastAsia="Amiri" w:cs="Amiri"/>
          <w:color w:val="111111"/>
          <w:sz w:val="28"/>
          <w:sz w:val="28"/>
          <w:szCs w:val="28"/>
          <w:rtl w:val="true"/>
          <w:lang w:bidi="ar-SA"/>
        </w:rPr>
        <w:t>الظنّ به وضعف الظنّ بغيره، واتّباع قوي الظنّ واجب في الموضوعات العرفيّة، ولأنّ الحيض طبيعيّ وغيره لا يكون إلّا من آفةٍ أو علّةٍ، ولا شكّ أنّ الطبيعيّ أصل بالنسبة إلى غيره، وقد يناقش في هذا الأصل قبل تمام الثلاثة؛ للشكّ في تحقّق الإمكان لإمكان الانقطاع، إلّا أنّ الأخبار تدلّ عليه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ولإطلاق الأخبار المتقدّمة</w:t>
      </w:r>
      <w:r>
        <w:rPr>
          <w:rStyle w:val="FootnoteAnchor"/>
          <w:rtl w:val="true"/>
        </w:rPr>
        <w:footnoteReference w:id="1773"/>
      </w:r>
      <w:r>
        <w:rPr>
          <w:rFonts w:ascii="Amiri" w:hAnsi="Amiri" w:eastAsia="Amiri" w:cs="Amiri"/>
          <w:color w:val="111111"/>
          <w:sz w:val="28"/>
          <w:sz w:val="28"/>
          <w:szCs w:val="28"/>
          <w:rtl w:val="true"/>
          <w:lang w:bidi="ar-SA"/>
        </w:rPr>
        <w:t>المثبتة لحيضيّة الدم ما لم يكن من جرح أو قرح أو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الأخبار الحاكمة بحيضيّة ما تراه المرأة من الدم في أيّ وقت رأته،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رأت الصائمة الدم تفطر</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إنّما فطرها من الدم</w:t>
      </w:r>
      <w:r>
        <w:rPr>
          <w:rFonts w:eastAsia="Amiri" w:cs="Amiri" w:ascii="Amiri" w:hAnsi="Amiri"/>
          <w:color w:val="111111"/>
          <w:sz w:val="28"/>
          <w:szCs w:val="28"/>
          <w:rtl w:val="true"/>
          <w:lang w:bidi="ar-SA"/>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الأخبار</w:t>
      </w:r>
      <w:r>
        <w:rPr>
          <w:rStyle w:val="FootnoteAnchor"/>
          <w:rtl w:val="true"/>
        </w:rPr>
        <w:footnoteReference w:id="1776"/>
      </w:r>
      <w:r>
        <w:rPr>
          <w:rFonts w:ascii="Amiri" w:hAnsi="Amiri" w:eastAsia="Amiri" w:cs="Amiri"/>
          <w:color w:val="111111"/>
          <w:sz w:val="28"/>
          <w:sz w:val="28"/>
          <w:szCs w:val="28"/>
          <w:rtl w:val="true"/>
          <w:lang w:bidi="ar-SA"/>
        </w:rPr>
        <w:t>الدالّة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الدم قبل العشرة فهو من الحيضة الأولى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خصوص حيضيّة الجامع للصفات أخبار التمييز</w:t>
      </w:r>
      <w:r>
        <w:rPr>
          <w:rStyle w:val="FootnoteAnchor"/>
          <w:rtl w:val="true"/>
        </w:rPr>
        <w:footnoteReference w:id="1777"/>
      </w:r>
      <w:r>
        <w:rPr>
          <w:rFonts w:ascii="Amiri" w:hAnsi="Amiri" w:eastAsia="Amiri" w:cs="Amiri"/>
          <w:color w:val="111111"/>
          <w:sz w:val="28"/>
          <w:sz w:val="28"/>
          <w:szCs w:val="28"/>
          <w:rtl w:val="true"/>
          <w:lang w:bidi="ar-SA"/>
        </w:rPr>
        <w:t>بإطلاقها، وعلى خصوص الواقع في العادة أخبار التحيّض بالدم الواقع في العادة،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في أيّامها؟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حتّى تنقضي أيّامها</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وعلى خصوص ما وقع قبل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الصفرة قبل الحيض بيومين من الحيض</w:t>
      </w:r>
      <w:r>
        <w:rPr>
          <w:rStyle w:val="FootnoteAnchor"/>
          <w:rtl w:val="true"/>
        </w:rPr>
        <w:footnoteReference w:id="1779"/>
      </w:r>
      <w:r>
        <w:rPr>
          <w:rFonts w:ascii="Amiri" w:hAnsi="Amiri" w:eastAsia="Amiri" w:cs="Amiri"/>
          <w:color w:val="111111"/>
          <w:sz w:val="28"/>
          <w:sz w:val="28"/>
          <w:szCs w:val="28"/>
          <w:rtl w:val="true"/>
          <w:lang w:bidi="ar-SA"/>
        </w:rPr>
        <w:t>، وما ورد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الدم قبل وقت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الصلاة، فإنّه ربّما تعجّل بها الوقت</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 xml:space="preserve">وعلى خصوص ما وقع بين الثلاثة والعشرة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كثير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أخبار الاستظهار لذات العادة</w:t>
      </w:r>
      <w:r>
        <w:rPr>
          <w:rStyle w:val="FootnoteAnchor"/>
          <w:rtl w:val="true"/>
        </w:rPr>
        <w:footnoteReference w:id="1781"/>
      </w:r>
      <w:r>
        <w:rPr>
          <w:rFonts w:ascii="Amiri" w:hAnsi="Amiri" w:eastAsia="Amiri" w:cs="Amiri"/>
          <w:color w:val="111111"/>
          <w:sz w:val="28"/>
          <w:sz w:val="28"/>
          <w:szCs w:val="28"/>
          <w:rtl w:val="true"/>
          <w:lang w:bidi="ar-SA"/>
        </w:rPr>
        <w:t xml:space="preserve">، القاضية بثبوته لغيرها بطريق أولى إلى غير ذلك من الأدلّة الدالّة على القاعدة المزبورة المنقول عليها الإجماع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bookmarkStart w:id="919" w:name="pg18988_203493"/>
    </w:p>
    <w:p>
      <w:pPr>
        <w:pStyle w:val="BookText"/>
        <w:rPr/>
      </w:pPr>
      <w:bookmarkEnd w:id="919"/>
      <w:r>
        <w:rPr>
          <w:rFonts w:ascii="Amiri" w:hAnsi="Amiri" w:eastAsia="Amiri" w:cs="Amiri"/>
          <w:color w:val="111111"/>
          <w:sz w:val="28"/>
          <w:sz w:val="28"/>
          <w:szCs w:val="28"/>
          <w:rtl w:val="true"/>
          <w:lang w:bidi="ar-SA"/>
        </w:rPr>
        <w:t>فما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 ذلك؛ لعدم الدليل عليه، ولأنّه عدول من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الاشتغال بالعبادة وأصالة عدم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الموهوم من أصالة الحيض</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رأت ثلاثة جامعاً للأوصاف أم لا ثمّ رأت عشرة بياضاً ثمّ رأت ثلاثة، كان كلٌّ منهما حيضاً مستقلّاً؛ لأصالة حيضيّة ما أمكن أن يكون حيضاً، والأوصاف إنّما تعتبر عند الحاجة إليها؛ للنصّ والإجماع على جواز انتفائها؛ وكذا لو رأت ثلاثة ثمّ رأت بياضاً إلى اليوم العاشر ثمّ رأت فيه دماً ثمّ انقطع، كان الدمان وما بينهما حيضاً، ولو لم ينقطع كان حكمه على ما سيجيء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3198061_1280447820"/>
      <w:bookmarkStart w:id="921" w:name="_Toc357"/>
      <w:bookmarkEnd w:id="920"/>
      <w:r>
        <w:rPr>
          <w:rtl w:val="true"/>
        </w:rPr>
        <w:t>عاشرها</w:t>
      </w:r>
      <w:r>
        <w:rPr>
          <w:rtl w:val="true"/>
        </w:rPr>
        <w:t xml:space="preserve">: </w:t>
      </w:r>
      <w:r>
        <w:rPr>
          <w:rtl w:val="true"/>
        </w:rPr>
        <w:t>تتحيّض ذات العادة الوقتيّة</w:t>
      </w:r>
      <w:bookmarkEnd w:id="921"/>
    </w:p>
    <w:p>
      <w:pPr>
        <w:pStyle w:val="BookText"/>
        <w:rPr/>
      </w:pPr>
      <w:r>
        <w:rPr>
          <w:rFonts w:ascii="Amiri" w:hAnsi="Amiri" w:eastAsia="Amiri" w:cs="Amiri"/>
          <w:color w:val="111111"/>
          <w:sz w:val="28"/>
          <w:sz w:val="28"/>
          <w:szCs w:val="28"/>
          <w:rtl w:val="true"/>
          <w:lang w:bidi="ar-SA"/>
        </w:rPr>
        <w:t>تتحيّض ذات العادة الوقتيّة بمجرّد رؤية الدم في أيّام العادة من دون استظهار إلى مضيّ ثلاثة أيّام، سواء رأته مقارناً لأوّل أيّام العادة، أو رأته في أثنائها، أو رأته قبلها فاستمر إلى أيّام العادة؛ للإجماع المنقول</w:t>
      </w:r>
      <w:r>
        <w:rPr>
          <w:rStyle w:val="FootnoteAnchor"/>
          <w:rtl w:val="true"/>
        </w:rPr>
        <w:footnoteReference w:id="1784"/>
      </w:r>
      <w:r>
        <w:rPr>
          <w:rFonts w:ascii="Amiri" w:hAnsi="Amiri" w:eastAsia="Amiri" w:cs="Amiri"/>
          <w:color w:val="111111"/>
          <w:sz w:val="28"/>
          <w:sz w:val="28"/>
          <w:szCs w:val="28"/>
          <w:rtl w:val="true"/>
          <w:lang w:bidi="ar-SA"/>
        </w:rPr>
        <w:t>على ذلك، وفتوى المشهور، والأخبار الدالّة على ذلك، كمرسل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في أيّام حيضها تركت الصلاة، فإن استمرّ بها الدم ثلاثة أيّام فهي حائض</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المطلقة الدالّة على التحيّض بمجرّد رؤية الدم</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رأت الدم قبل العادة أو بعدها بكثير أو بقليل، جمع للصفات أم لم يجمع، على الأظهر الأشهر؛ لقاعدة الإمكان، وللأخبار الدالّة على التحيّض بمجرّد رؤية الدم</w:t>
      </w:r>
      <w:r>
        <w:rPr>
          <w:rStyle w:val="FootnoteAnchor"/>
          <w:rtl w:val="true"/>
        </w:rPr>
        <w:footnoteReference w:id="1787"/>
      </w:r>
      <w:r>
        <w:rPr>
          <w:rFonts w:ascii="Amiri" w:hAnsi="Amiri" w:eastAsia="Amiri" w:cs="Amiri"/>
          <w:color w:val="111111"/>
          <w:sz w:val="28"/>
          <w:sz w:val="28"/>
          <w:szCs w:val="28"/>
          <w:rtl w:val="true"/>
          <w:lang w:bidi="ar-SA"/>
        </w:rPr>
        <w:t>، والمعتبرة الدالّة على أنّ ما تراه المرأة قبل وقت حيضها تترك له الصلاة، فإنّه ربّما تعجّل بها الوقت</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والدالّة على أنّ الصفرة المرئيّة قبل الحيض بيومين منه</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به ابتداءً قبل إكمال الثلاث، وإطلاقها شامل للقليل والكثير من التقدّم وإن كانت في المتقدم قليلاً </w:t>
      </w:r>
      <w:bookmarkStart w:id="922" w:name="pg18988_203494"/>
    </w:p>
    <w:p>
      <w:pPr>
        <w:pStyle w:val="BookText"/>
        <w:rPr/>
      </w:pPr>
      <w:bookmarkEnd w:id="922"/>
      <w:r>
        <w:rPr>
          <w:rFonts w:ascii="Amiri" w:hAnsi="Amiri" w:eastAsia="Amiri" w:cs="Amiri"/>
          <w:color w:val="111111"/>
          <w:sz w:val="28"/>
          <w:sz w:val="28"/>
          <w:szCs w:val="28"/>
          <w:rtl w:val="true"/>
          <w:lang w:bidi="ar-SA"/>
        </w:rPr>
        <w:t>أظهر؛ لظهور القبليّة في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وتقييدها باليومين في بعض الروايات، وإلحاق المتأخّر بالمتقدّم من باب تنقيح المناط أو مفهوم الأولويّة؛ لأنّ التأخّر عن العادة أقوى من التقدّم في إفادة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بالتقدّم والتأخّر هو التقدّم والتأخّر عن كلّ أيّام العادة، وأمّا التقدّم والتأخّر عن أوّل أوقاتها فالظاهر أنّه يجري على المتقدّم حكم ما ذكرناه، وعلى ما صاحب أيّام العادة حكم الواقع في العادة</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3198063_1280447820"/>
      <w:bookmarkStart w:id="924" w:name="_Toc358"/>
      <w:bookmarkEnd w:id="923"/>
      <w:r>
        <w:rPr>
          <w:rtl w:val="true"/>
        </w:rPr>
        <w:t>حادي عشرها</w:t>
      </w:r>
      <w:r>
        <w:rPr>
          <w:rtl w:val="true"/>
        </w:rPr>
        <w:t xml:space="preserve">: </w:t>
      </w:r>
      <w:r>
        <w:rPr>
          <w:rtl w:val="true"/>
        </w:rPr>
        <w:t>فی أنّ المبتدأة والمضطربة ومثلهما ذات العادة العدديّة تتحيّضان بمجرّد رؤية الدم</w:t>
      </w:r>
      <w:bookmarkEnd w:id="924"/>
    </w:p>
    <w:p>
      <w:pPr>
        <w:pStyle w:val="BookText"/>
        <w:rPr/>
      </w:pPr>
      <w:r>
        <w:rPr>
          <w:rFonts w:ascii="Amiri" w:hAnsi="Amiri" w:eastAsia="Amiri" w:cs="Amiri"/>
          <w:color w:val="111111"/>
          <w:sz w:val="28"/>
          <w:sz w:val="28"/>
          <w:szCs w:val="28"/>
          <w:rtl w:val="true"/>
          <w:lang w:bidi="ar-SA"/>
        </w:rPr>
        <w:t xml:space="preserve">المبتدأة والمضطربة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ومثلهما ذات العادة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تتحيّضان بمجرّد رؤية الدم، ولا يجب عليهما الانتظار إلى ثلاثة أيّام لقاعدة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فيها أنّ قاعدة الإمكان إنّما تجري فيما أمكن كونه حيضاً بعد بروزه ووجوده، وأمّا قبل ذلك فلا تجري؛ لأنّ الإمكان مشكوك به؛ لاحتمال انقطاعه دون الثلاثة، فلا يمكن أن يكون حيضاً، فلا يمكن الاستدلال به على ذلك، ولأنّ الحيض هو المظنون، فيجب اتّباعه في الموضوعات و إلّا لما حكم بحيضيّة الثلاثة فيما لو رأته أحمر؛ لجواز رؤيتها الأسود بعد تجاوز العشرة ثلاثةً، فيكون هو الحيض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حجيّة هذا الظنّ، وأنّه لا يعارض استصحاب حال التكاليف السابقة والمتيقّن من الخطابات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فالأوجَه الاستدلال عليه بفتوى المشهور، وإطلاقِ الإجماع المنقول</w:t>
      </w:r>
      <w:r>
        <w:rPr>
          <w:rStyle w:val="FootnoteAnchor"/>
          <w:rtl w:val="true"/>
        </w:rPr>
        <w:footnoteReference w:id="1790"/>
      </w:r>
      <w:r>
        <w:rPr>
          <w:rFonts w:ascii="Amiri" w:hAnsi="Amiri" w:eastAsia="Amiri" w:cs="Amiri"/>
          <w:color w:val="111111"/>
          <w:sz w:val="28"/>
          <w:sz w:val="28"/>
          <w:szCs w:val="28"/>
          <w:rtl w:val="true"/>
          <w:lang w:bidi="ar-SA"/>
        </w:rPr>
        <w:t>على أنّ كلّ ما يمكن أن يكون حيضاً فهو حيض، الشامل بظاهر كلماتهم لذلك، وإطلاق الأخبار الدالّة على تحيّض ذات الدم بمجرّد الرؤية</w:t>
      </w:r>
      <w:r>
        <w:rPr>
          <w:rStyle w:val="FootnoteAnchor"/>
          <w:rtl w:val="true"/>
        </w:rPr>
        <w:footnoteReference w:id="1791"/>
      </w:r>
      <w:r>
        <w:rPr>
          <w:rFonts w:ascii="Amiri" w:hAnsi="Amiri" w:eastAsia="Amiri" w:cs="Amiri"/>
          <w:color w:val="111111"/>
          <w:sz w:val="28"/>
          <w:sz w:val="28"/>
          <w:szCs w:val="28"/>
          <w:rtl w:val="true"/>
          <w:lang w:bidi="ar-SA"/>
        </w:rPr>
        <w:t>، وما دلّ في خصوص المقام على التحيّض بذلك، ففي موثّقة سماعة عن البكر أوّل ما تحيض؟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وتدع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ما دامت ترى الدم</w:t>
      </w:r>
      <w:r>
        <w:rPr>
          <w:rFonts w:eastAsia="Amiri" w:cs="Amiri" w:ascii="Amiri" w:hAnsi="Amiri"/>
          <w:color w:val="111111"/>
          <w:sz w:val="28"/>
          <w:szCs w:val="28"/>
          <w:rtl w:val="true"/>
          <w:lang w:bidi="ar-SA"/>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 إطلاق الأخبار بذات العادة للتنصيص عليها في أخبار أُخَر</w:t>
      </w:r>
      <w:r>
        <w:rPr>
          <w:rStyle w:val="FootnoteAnchor"/>
          <w:rtl w:val="true"/>
        </w:rPr>
        <w:footnoteReference w:id="1793"/>
      </w:r>
      <w:r>
        <w:rPr>
          <w:rFonts w:ascii="IRNazanin" w:hAnsi="IRNazanin" w:eastAsia="IRNazanin"/>
          <w:color w:val="111111"/>
          <w:sz w:val="28"/>
          <w:sz w:val="28"/>
          <w:szCs w:val="28"/>
          <w:rtl w:val="true"/>
          <w:lang w:bidi="fa-IR"/>
        </w:rPr>
        <w:t xml:space="preserve">، أو بالدم الجامع </w:t>
      </w:r>
      <w:bookmarkStart w:id="925" w:name="pg18988_203495"/>
    </w:p>
    <w:p>
      <w:pPr>
        <w:pStyle w:val="BookText"/>
        <w:rPr/>
      </w:pPr>
      <w:bookmarkEnd w:id="925"/>
      <w:r>
        <w:rPr>
          <w:rFonts w:ascii="Amiri" w:hAnsi="Amiri" w:eastAsia="Amiri" w:cs="Amiri"/>
          <w:color w:val="111111"/>
          <w:sz w:val="28"/>
          <w:sz w:val="28"/>
          <w:szCs w:val="28"/>
          <w:rtl w:val="true"/>
          <w:lang w:bidi="ar-SA"/>
        </w:rPr>
        <w:t xml:space="preserve">للصفات دون غيره وإن أمكن إلّا أنّه خلاف فتوى المشهور، فضعف المقيّد عن تقييد المطلق، على أنّ الفرق بين الجامع وغيره لا قائل به من القدماء ممّن يعتدّ بقوله، بل ونُقل الإجماع </w:t>
      </w:r>
      <w:r>
        <w:rPr>
          <w:rStyle w:val="FootnoteAnchor"/>
          <w:rtl w:val="true"/>
        </w:rPr>
        <w:footnoteReference w:id="1794"/>
      </w:r>
      <w:r>
        <w:rPr>
          <w:rFonts w:ascii="Amiri" w:hAnsi="Amiri" w:eastAsia="Amiri" w:cs="Amiri"/>
          <w:color w:val="111111"/>
          <w:sz w:val="28"/>
          <w:sz w:val="28"/>
          <w:szCs w:val="28"/>
          <w:rtl w:val="true"/>
          <w:lang w:bidi="ar-SA"/>
        </w:rPr>
        <w:t>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حينئذٍ تحيّض ما قدّمنا بمجرّد رؤية الدم والأحوط لها فعل العبادة الواجبة عليها وترك ما يحرم عليها</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3198065_1280447820"/>
      <w:bookmarkStart w:id="927" w:name="_Toc359"/>
      <w:bookmarkEnd w:id="926"/>
      <w:r>
        <w:rPr>
          <w:rtl w:val="true"/>
        </w:rPr>
        <w:t>ثاني عشرها</w:t>
      </w:r>
      <w:r>
        <w:rPr>
          <w:rtl w:val="true"/>
        </w:rPr>
        <w:t xml:space="preserve">: </w:t>
      </w:r>
      <w:r>
        <w:rPr>
          <w:rtl w:val="true"/>
        </w:rPr>
        <w:t>حکم ما إذا تجاوز الدم العشره</w:t>
      </w:r>
      <w:bookmarkEnd w:id="927"/>
    </w:p>
    <w:p>
      <w:pPr>
        <w:pStyle w:val="BookText"/>
        <w:rPr/>
      </w:pPr>
      <w:r>
        <w:rPr>
          <w:rFonts w:ascii="Amiri" w:hAnsi="Amiri" w:eastAsia="Amiri" w:cs="Amiri"/>
          <w:color w:val="111111"/>
          <w:sz w:val="28"/>
          <w:sz w:val="28"/>
          <w:szCs w:val="28"/>
          <w:rtl w:val="true"/>
          <w:lang w:bidi="ar-SA"/>
        </w:rPr>
        <w:t>لو تمّت الثلاثة فحكمت بما تراه حيضاً، استمرّ ذلك الحكم إلى العاشر وإن وقع نقاء في الأثناء، فإن انقطع الدم على العاشر فالكلّ حيض؛ لظاهر الاتّفاق، وللأصل المتقدّم، ولظاهر الأخبار، ولحصول الظنّ بحيضيّته عند الانقطاع، ومغايرته لما بعد العشرة دون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بعد انقطاعه بين عوده في الحادي عشر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 أنّ المراد بالتجاوز هو عود الدم بعد العشرة قبل مضيّ أقلّ الطهر، فإنّه يكشف عن أنّ الحيض هو ما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إلّا أنّ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تجاوز الدم العاشر بأن امتزج اليوم العاشر في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بعد الامتزاج بسرعة أم 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يُحكم بحيضيّة الجميع، بل ترجع ذات العادة إلى عادتها؛ لحصول الظنّ عند الامتزاج بعدم اختلاف الدمين اللّذين هُما قبل العشرة وبعدها فيغلب الظنّ الحاصل من العادة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المبتدأة والمضطربة في الرجوع إلى الوصف أو عادة الأقران أو إلى ما في الروايات، كما سيجيء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الاتّفاق على ذلك، و يُفهم من الأخبار أيضاً ذلك كأخبار الاستظهار ونحوها، فإنّه يُفهم منها أنّ الاستظهار إنّما شُرّع لمعرفة الانقطاع والاستمرار</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3198067_1280447820"/>
      <w:bookmarkStart w:id="929" w:name="_Toc360"/>
      <w:bookmarkEnd w:id="928"/>
      <w:r>
        <w:rPr>
          <w:rtl w:val="true"/>
        </w:rPr>
        <w:t>ثالث عشرها</w:t>
      </w:r>
      <w:r>
        <w:rPr>
          <w:rtl w:val="true"/>
        </w:rPr>
        <w:t xml:space="preserve">: </w:t>
      </w:r>
      <w:r>
        <w:rPr>
          <w:rtl w:val="true"/>
        </w:rPr>
        <w:t>فی بیان ما تستقرّ به العادۀ</w:t>
      </w:r>
      <w:bookmarkEnd w:id="92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إما ذات عادة أو غير ذات عادة، وذات العادة هي ما تكرّر عليها الدم عدّة أيّام سواء، فلا بدّ من التكرّر والعود فلا تكفي المرّة الواحدة إجماعاً منّا، ولا تفتقر إلى دم 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ويدلّ على ذلك فتوى الأصحاب، ومرسلة يونس حيث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انقطع الدم لوقته في الشهر الأوّل سواء حتّى توالى عليها حيضتان أو ثلاث، فقد علم الآن أنّ ذلك قد صار لها وقتاً وخلقاً معروفاً، فتعمل عليه وتدع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ذلك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تعرف أيّامها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w:t>
      </w:r>
      <w:r>
        <w:rPr>
          <w:rStyle w:val="FootnoteAnchor"/>
          <w:rtl w:val="true"/>
        </w:rPr>
        <w:footnoteReference w:id="1795"/>
      </w:r>
      <w:r>
        <w:rPr>
          <w:rFonts w:ascii="Amiri" w:hAnsi="Amiri" w:eastAsia="Amiri" w:cs="Amiri"/>
          <w:color w:val="111111"/>
          <w:sz w:val="28"/>
          <w:sz w:val="28"/>
          <w:szCs w:val="28"/>
          <w:rtl w:val="true"/>
          <w:lang w:bidi="ar-SA"/>
        </w:rPr>
        <w:t>ولم يقل قرءيكِ، وأدنى الأقراء الحيضتان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ومقطوعة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فيها إلى تكرّر الطهر الثاني كالأوّل، بل لو رأته في أوّل شهر خمسة وفي ثاني شهر كذلك، ثمّ انقطع عشرة فيه وعاد واستمرّت كانت ذات عادة، وفاقاً للمشهور وإطلاق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تفتقر إلى تكرار الدم في شهرين هلاليّين، بل يكفي تكراره في الشهر الواحد فتثبت به عادة عدديّة، ويمكن وقوعه في ثلاث أو أكثر فتثبت به عادة وقتيّة 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الشهر في الروايتين وإن كان المراد به الشهر الهلالي لاشهر الحيضي؛ لأنّه المنصرف إليه الإطلاق، لكنّه محمول على الغالب، والوصف وشبهه إذا خرج مخرج الغالب لا عبرة به وكذا تخصيص التكرار بالشهرين دون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والعادة إمّا وجوديّة، وهي ما تؤخذ من تكرّر نفس الدم، أو وصفيّة، وهي ما تؤخذ من تكرّر وصفه، أو مركّبة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جواز أخذها من عادة الأقران أو من حكم الشرع به عند الاضطرار أو غير ذلك؛ لعدم انصراف الأخبار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أخذها من رؤيته أشدّ وأجمع وصفاً من غيره مع الاستمرار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والنقاء المتخلّل بين دمين إذا اعتُيد حُكم عليه بالاعتياد كالدم، فيُحكم بحيضيّته، ومع عدم اعتياده فهل يخلّ بالعادة عند تخلّله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رأت في أوّل الشهر خمسة دماً متواصلاً وفي الثاني خمسة بين الرابع والخامس يوماً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يخلّ؟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العادة أن لا يتخلّل بين المرّتين دم مخالف فلو تخلّل دم بين المرّتين مخالف لم تثبت بهما عادة</w:t>
      </w:r>
      <w:r>
        <w:rPr>
          <w:rFonts w:eastAsia="Amiri" w:cs="Amiri" w:ascii="Amiri" w:hAnsi="Amiri"/>
          <w:color w:val="111111"/>
          <w:sz w:val="28"/>
          <w:szCs w:val="28"/>
          <w:rtl w:val="true"/>
          <w:lang w:bidi="ar-SA"/>
        </w:rPr>
        <w:t xml:space="preserve">. </w:t>
      </w:r>
      <w:bookmarkStart w:id="930" w:name="pg18988_203497"/>
    </w:p>
    <w:p>
      <w:pPr>
        <w:pStyle w:val="BookText"/>
        <w:rPr/>
      </w:pPr>
      <w:bookmarkEnd w:id="930"/>
      <w:r>
        <w:rPr>
          <w:rFonts w:ascii="Amiri" w:hAnsi="Amiri" w:eastAsia="Amiri" w:cs="Amiri"/>
          <w:color w:val="111111"/>
          <w:sz w:val="28"/>
          <w:sz w:val="28"/>
          <w:szCs w:val="28"/>
          <w:rtl w:val="true"/>
          <w:lang w:bidi="ar-SA"/>
        </w:rPr>
        <w:t>وقد تتركّب العادة من عادتين كما إذا رأت أوّل الشهر وآخره ثمّ رأت كذلك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رأت في العدديّة أربعاً ثمّ رأت خمساً، ثمّ تكرّر ذلك، فإنّها تثبت بها عادة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يتكرّر الأوّل بعينه بل تكرّر غيره، كانت الثانية ناسخةً للأُولى، مع احتمال أنّ النسخ متوقّف على كثرة التكرّر؛ لقوّة الظنّ بالعادة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تختلف العادة بحسب المكان والزمان، فتكون العادة في مكانٍ مغايرةً للعادة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العادة طهراً، بل إنّما تثبت حيضاً في الشهر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ذلك كون بقيّة الشهر عند استمرار الدم وعدم فاصلة أقلّ الطهر طهراً، وحينئذٍ فلو رأت في شهر دماً ولم ترَ في الثاني شيئاً، ورأت في الثالث دماً ولم ترَ في الرابع شيئاً، ثمّ رأت في الخامس والسادس دماً، لم تحكم على السادس بالطهريّة مع عدم استمرار الدم، بل كان صدوره على حسب ما رأته أوّلاً وإنّما يُحكم بحيضيّته</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3198069_1280447820"/>
      <w:bookmarkStart w:id="932" w:name="_Toc361"/>
      <w:bookmarkEnd w:id="931"/>
      <w:r>
        <w:rPr>
          <w:rtl w:val="true"/>
        </w:rPr>
        <w:t>رابع عشرها</w:t>
      </w:r>
      <w:r>
        <w:rPr>
          <w:rtl w:val="true"/>
        </w:rPr>
        <w:t xml:space="preserve">: </w:t>
      </w:r>
      <w:r>
        <w:rPr>
          <w:rtl w:val="true"/>
        </w:rPr>
        <w:t>فی بیان ما تستقرّ به العادۀ الوقتیّه العددیّه أو الوقتیّه أو العددیّه</w:t>
      </w:r>
      <w:bookmarkEnd w:id="932"/>
    </w:p>
    <w:p>
      <w:pPr>
        <w:pStyle w:val="BookText"/>
        <w:rPr/>
      </w:pPr>
      <w:r>
        <w:rPr>
          <w:rFonts w:ascii="Amiri" w:hAnsi="Amiri" w:eastAsia="Amiri" w:cs="Amiri"/>
          <w:color w:val="111111"/>
          <w:sz w:val="28"/>
          <w:sz w:val="28"/>
          <w:szCs w:val="28"/>
          <w:rtl w:val="true"/>
          <w:lang w:bidi="ar-SA"/>
        </w:rPr>
        <w:t>العادة إمّا وقتيّة عدديّة وهي ما تكرّر دمها في وقتين متساويين في الوقت، ولا يضرّ الكسر من اليوم سيّما لو كان قليلاً، وفي الكثير إشكال، واليوم التامّ مخلّ على الأظهر، وفي عددين متساويين لا يزيد أحدهما على الآخَر بيومٍ تامّ، ولا بأس بالكسر القليل، وفي الكثير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لا يتخلّلهما دم مخالف للوقت أو العدد، فلو تخلّلهما لم تثبت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وقتيّة فقط، وهي ما ضبط الوقت فيها من أوّل الحيض، أو آخره، أو وسطه، أو أوّله ووسطه، أو وسطه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صحّة هذه العادة مطلقاً والرجوع إليها عند الاشتباه بإضافة ما يكمل به العدد من رجوع إلى وصفٍ أو عادة أقرانٍ أو 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بالتخيير لها في إضافة ما شاءت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بالوسط أن تعتاد أنّ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لحيضها مع عدم معرفة قدر الطرفين وعدم استقرارهما، و إلّا فمن اعتاد الوسط الخاصّ اعتاد الطرفين وعرفهما، فتكون العادة عدديّةً وقتيّةٌ حينئذٍ، وكذا مَنْ عرف الأوّل والآخِر، أو الأوّل والوسط، أو الوسط والآخِر، فقد عرف</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والعدد</w:t>
      </w:r>
      <w:r>
        <w:rPr>
          <w:rFonts w:eastAsia="IRNazanin" w:cs="IRNazanin"/>
          <w:color w:val="111111"/>
          <w:sz w:val="28"/>
          <w:szCs w:val="28"/>
          <w:rtl w:val="true"/>
          <w:lang w:bidi="fa-IR"/>
        </w:rPr>
        <w:t xml:space="preserve">. </w:t>
      </w:r>
      <w:bookmarkStart w:id="933" w:name="pg18988_203498"/>
    </w:p>
    <w:p>
      <w:pPr>
        <w:pStyle w:val="BookText"/>
        <w:rPr/>
      </w:pPr>
      <w:bookmarkEnd w:id="933"/>
      <w:r>
        <w:rPr>
          <w:rFonts w:ascii="Amiri" w:hAnsi="Amiri" w:eastAsia="Amiri" w:cs="Amiri"/>
          <w:color w:val="111111"/>
          <w:sz w:val="28"/>
          <w:sz w:val="28"/>
          <w:szCs w:val="28"/>
          <w:rtl w:val="true"/>
          <w:lang w:bidi="ar-SA"/>
        </w:rPr>
        <w:t>ولو اعتادت أنّ يوماً مّا من أيّام حيضها هو أوّل الشهر كانت من العادة الوقتيّة في وجهٍ، وتخيّرت في الإضافة إليه من قبلُ أو من بعدُ أو من الطرفين بعد فقد الصفات وعادة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الرجوع إلى الروايات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اعتادت أنّ حيضها في النصف الأوّل أو الأخير، ففي إلحاقها بالعادة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عدديّة فقط وهي ما اعتادت عدداً خاصّاً من غير زيادة يومٍ تامّ أو أغلبه على وجهٍ، من غير تعيين وقتٍ خاصّ، ومن غير فصل لما بين المرّتين بدمٍ مغاير لهما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مَن اعتادت قدراً ناقصاً في ضمن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رأت أربعة ثمّ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العكس، كأن رأت خمسة ثمّ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جعل الأربعة عادةً في كلٍّ من المثالين</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3198071_1280447820"/>
      <w:bookmarkStart w:id="935" w:name="_Toc362"/>
      <w:bookmarkEnd w:id="934"/>
      <w:r>
        <w:rPr>
          <w:rtl w:val="true"/>
        </w:rPr>
        <w:t>خامس عشرها</w:t>
      </w:r>
      <w:r>
        <w:rPr>
          <w:rtl w:val="true"/>
        </w:rPr>
        <w:t xml:space="preserve">: </w:t>
      </w:r>
      <w:r>
        <w:rPr>
          <w:rtl w:val="true"/>
        </w:rPr>
        <w:t>حکم ما إذا تکثّر الدم واجتمع مع العادۀ تمییز</w:t>
      </w:r>
      <w:bookmarkEnd w:id="935"/>
    </w:p>
    <w:p>
      <w:pPr>
        <w:pStyle w:val="BookText"/>
        <w:rPr/>
      </w:pPr>
      <w:r>
        <w:rPr>
          <w:rFonts w:ascii="Amiri" w:hAnsi="Amiri" w:eastAsia="Amiri" w:cs="Amiri"/>
          <w:color w:val="111111"/>
          <w:sz w:val="28"/>
          <w:sz w:val="28"/>
          <w:szCs w:val="28"/>
          <w:rtl w:val="true"/>
          <w:lang w:bidi="ar-SA"/>
        </w:rPr>
        <w:t>الدم في العادة إذا استكمل شرائط الحيض كان مثبتاً لنفسه ونافياً لغيره عند المعارضة، فلو تكثّر الدم واجتمع مع العادة تمييز فإن اتّفقا فلا كلام، وإن اختلفا فهل ترجّح العادة مطلقاً، أو التمييز كذلك، أو التخيير بينهما، أو العادة إن كانت مأخوذةً من الابتداء والانقطاع، و إلّا فالتمييز كما إذا أخذت العادة من التمييز كالأخذ بالجامع دون غيره، أو الأقوى دون الأضعف ؟ أقوال أقواها الأوّل؛ لزيادة حصول الظنّ بحيضيّة ما في العادة دون غيره وإن جمع الصفات، ولفتوى المشهور حتّى كاد أن يكون إجماعاً، ولأنّ بين أدلّة التمييز والعادة عموماً من وجهٍ، ويجب عند التعارض تقديم الراجح، ولا شكّ أنّ الراجح بحسب الفتوى والمظنون بحسب العادة هو تقديم العادة، ولخصوص ما ورد أنّ الصفرة في أيّام الحيض حيض، وكذا الكدرة</w:t>
      </w:r>
      <w:r>
        <w:rPr>
          <w:rStyle w:val="FootnoteAnchor"/>
          <w:rtl w:val="true"/>
        </w:rPr>
        <w:footnoteReference w:id="1797"/>
      </w:r>
      <w:r>
        <w:rPr>
          <w:rFonts w:ascii="Amiri" w:hAnsi="Amiri" w:eastAsia="Amiri" w:cs="Amiri"/>
          <w:color w:val="111111"/>
          <w:sz w:val="28"/>
          <w:sz w:val="28"/>
          <w:szCs w:val="28"/>
          <w:rtl w:val="true"/>
          <w:lang w:bidi="ar-SA"/>
        </w:rPr>
        <w:t xml:space="preserve">، وما ورد في مرسلة يونس من أنّ الصفرة في أيّام الحيض حيض، فإذا جهلت الأيّام وعددها احتاجت إلى إقبال الدم وإدباره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بذلك ضعف اختيار تقديم التمييز حتّى نقل أنّه ادعي الإجماع عليه</w:t>
      </w:r>
      <w:r>
        <w:rPr>
          <w:rStyle w:val="FootnoteAnchor"/>
          <w:rtl w:val="true"/>
        </w:rPr>
        <w:footnoteReference w:id="1799"/>
      </w:r>
      <w:r>
        <w:rPr>
          <w:rFonts w:ascii="IRNazanin" w:hAnsi="IRNazanin" w:eastAsia="IRNazanin"/>
          <w:color w:val="111111"/>
          <w:sz w:val="28"/>
          <w:sz w:val="28"/>
          <w:szCs w:val="28"/>
          <w:rtl w:val="true"/>
          <w:lang w:bidi="fa-IR"/>
        </w:rPr>
        <w:t xml:space="preserve">واستند </w:t>
      </w:r>
      <w:bookmarkStart w:id="936" w:name="pg18988_203499"/>
    </w:p>
    <w:p>
      <w:pPr>
        <w:pStyle w:val="BookText"/>
        <w:rPr/>
      </w:pPr>
      <w:bookmarkEnd w:id="936"/>
      <w:r>
        <w:rPr>
          <w:rFonts w:ascii="Amiri" w:hAnsi="Amiri" w:eastAsia="Amiri" w:cs="Amiri"/>
          <w:color w:val="111111"/>
          <w:sz w:val="28"/>
          <w:sz w:val="28"/>
          <w:szCs w:val="28"/>
          <w:rtl w:val="true"/>
          <w:lang w:bidi="ar-SA"/>
        </w:rPr>
        <w:t>لعموم أدلّته، وضعف اختيار تقديم التمييز إذا كانت العادة مأخوذةً منه؛ لعدم زيادة الفرع على أصله، وضعف الحكم بالتخيير؛ جمعاً بين الأدلّة؛ لضعف جميع ذلك عن مقاومة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تقديم العادة على التمييز بين كون الدم الجامع للصفات متقدّماً على العادة أو متأخّراً عنها، كان ما بينه وبين العادة من الدم الضعيف ما يبلغ أقلّ الطهر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للعلّامة والشهيدين</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خصّوا الرجوع إلى العادة بصورة عدم إمكان الجمع ، فلو أمكن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تخلّل بين العادة والتمييز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بحيضيّة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خلاف الظاهر من الروايات الحاكمة بإطلاقها بالرجوع للعادة مطلقاً، المخصّصة لقاعدة الإمكان ولأخبار الصفات </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3198073_1280447820"/>
      <w:bookmarkStart w:id="938" w:name="_Toc363"/>
      <w:bookmarkEnd w:id="937"/>
      <w:r>
        <w:rPr>
          <w:rtl w:val="true"/>
        </w:rPr>
        <w:t>سادس عشرها</w:t>
      </w:r>
      <w:r>
        <w:rPr>
          <w:rtl w:val="true"/>
        </w:rPr>
        <w:t xml:space="preserve">: </w:t>
      </w:r>
      <w:r>
        <w:rPr>
          <w:rtl w:val="true"/>
        </w:rPr>
        <w:t>حکم ما إذا تجاوز الدم العشرة مستمرّاً</w:t>
      </w:r>
      <w:bookmarkEnd w:id="938"/>
    </w:p>
    <w:p>
      <w:pPr>
        <w:pStyle w:val="BookText"/>
        <w:rPr/>
      </w:pPr>
      <w:r>
        <w:rPr>
          <w:rFonts w:ascii="Amiri" w:hAnsi="Amiri" w:eastAsia="Amiri" w:cs="Amiri"/>
          <w:color w:val="111111"/>
          <w:sz w:val="28"/>
          <w:sz w:val="28"/>
          <w:szCs w:val="28"/>
          <w:rtl w:val="true"/>
          <w:lang w:bidi="ar-SA"/>
        </w:rPr>
        <w:t xml:space="preserve">إذا تجاوز الدم العشرة مستمرّا لم ينقطع عليها أو على ما دونها حتّى انتهى الانقطاع للعاشر، رجعت ذات العادة الوقتيّة العدديّة إليها؛ إجماعاً محصّلاً ومنقولاً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به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تستحاض؟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تستحاض؟ فأمرها أن تمكث أيّام حيضها لا تصلّي</w:t>
      </w:r>
      <w:r>
        <w:rPr>
          <w:rFonts w:eastAsia="IRNazanin" w:cs="IRNazanin"/>
          <w:color w:val="111111"/>
          <w:sz w:val="28"/>
          <w:szCs w:val="28"/>
          <w:rtl w:val="true"/>
          <w:lang w:bidi="fa-IR"/>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ولا يقربها بعلها</w:t>
      </w:r>
      <w:r>
        <w:rPr>
          <w:rFonts w:eastAsia="Amiri" w:cs="Amiri" w:ascii="Amiri" w:hAnsi="Amiri"/>
          <w:color w:val="111111"/>
          <w:sz w:val="28"/>
          <w:szCs w:val="28"/>
          <w:rtl w:val="true"/>
          <w:lang w:bidi="ar-SA"/>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ورجعت ذات العادة العدديّة فقط إلى أيامها المعلومة مخيّرة في احتسابها من مبدأ الدم أو آخره أو وسطه، وإنّ الأولى احتسابها من مبدأ رؤية الدم؛ لحصول الظنّ بذلك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فقدت التمييز، وإن حصل لها تمييز مع العادة، فإن توافقا وجب تخصيص العادة به، وإن اختلفا فإن لم يجمع شرائط الحيض طرح ولم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جمع الشرائط فإن نقص عن </w:t>
      </w:r>
      <w:bookmarkStart w:id="939" w:name="pg18988_203500"/>
    </w:p>
    <w:p>
      <w:pPr>
        <w:pStyle w:val="BookText"/>
        <w:rPr/>
      </w:pPr>
      <w:bookmarkEnd w:id="939"/>
      <w:r>
        <w:rPr>
          <w:rFonts w:ascii="Amiri" w:hAnsi="Amiri" w:eastAsia="Amiri" w:cs="Amiri"/>
          <w:color w:val="111111"/>
          <w:sz w:val="28"/>
          <w:sz w:val="28"/>
          <w:szCs w:val="28"/>
          <w:rtl w:val="true"/>
          <w:lang w:bidi="ar-SA"/>
        </w:rPr>
        <w:t>أيّام العادة تحيّضت به وكمّلته من الآخر قدر العادة، وإن زاد تحيّضت منه بقدر العادة وطرحت الباقي، بناءً على المختار من تقديم العادة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دمين موصوفين ولكن أحدهما موافق لأيّام العادة والآخَر غير موافقٍ، كان الأحوط لها التحيّض بالموافق، أو رأت دمين أحدهما أشدّ من الآخَر أو أجمع، كان الأحوط لها تخصيص التحيّض بالجامع والأشدّ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العادة العدديّة تتحيّض في كلّ شهرٍ مرّةً من غير نقيصة ولا زيادة، جرياً على الغالب والمعتاد والمظنون من أحوال النساء، والمفهوم من الروايات ورجعت ذات العادة الوقتيّة إلى وقتها وأكملته من الآخر إن اعتادت الوقت الأوّل، ومن الأوّل إن اعتادت الوقت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الطرفين إن اعتادت الوسط، ولها الخيار إن اعتادت وقتاً مّا إن لم يترجّح أحد الطرفين بوصفٍ وشبهه، وإلّا وجب عليها اتّباع الموصوف دون غيره إن جمع شرائط الحيض، والأحوط تقديم الجامع والأشدّ</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3198075_1280447820"/>
      <w:bookmarkStart w:id="941" w:name="_Toc364"/>
      <w:bookmarkEnd w:id="940"/>
      <w:r>
        <w:rPr>
          <w:rtl w:val="true"/>
        </w:rPr>
        <w:t xml:space="preserve">سابع عشرها </w:t>
      </w:r>
      <w:r>
        <w:rPr>
          <w:rtl w:val="true"/>
        </w:rPr>
        <w:t xml:space="preserve">: </w:t>
      </w:r>
      <w:r>
        <w:rPr>
          <w:rtl w:val="true"/>
        </w:rPr>
        <w:t>فی أنّه تستظهر ذات العادة بعد تمام العادة بترك العبادة والبناء على الحيض إذا لم ينقطع الدم عليها واستمرّ بعدها بيوم أو يومين أو ثلاثة</w:t>
      </w:r>
      <w:bookmarkEnd w:id="941"/>
    </w:p>
    <w:p>
      <w:pPr>
        <w:pStyle w:val="BookText"/>
        <w:rPr/>
      </w:pPr>
      <w:r>
        <w:rPr>
          <w:rFonts w:ascii="Amiri" w:hAnsi="Amiri" w:eastAsia="Amiri" w:cs="Amiri"/>
          <w:color w:val="111111"/>
          <w:sz w:val="28"/>
          <w:sz w:val="28"/>
          <w:szCs w:val="28"/>
          <w:rtl w:val="true"/>
          <w:lang w:bidi="ar-SA"/>
        </w:rPr>
        <w:t>تستظهر ذات العادة بعد تمام العادة بترك العبادة والبناء على الحيض إذا لم ينقطع الدم عليها واستمرّ بعدها بيوم أو يومين أو ثلاثة ،كما في الصحيح</w:t>
      </w:r>
      <w:r>
        <w:rPr>
          <w:rStyle w:val="FootnoteAnchor"/>
          <w:rtl w:val="true"/>
        </w:rPr>
        <w:footnoteReference w:id="1804"/>
      </w:r>
      <w:r>
        <w:rPr>
          <w:rFonts w:ascii="Amiri" w:hAnsi="Amiri" w:eastAsia="Amiri" w:cs="Amiri"/>
          <w:color w:val="111111"/>
          <w:sz w:val="28"/>
          <w:sz w:val="28"/>
          <w:szCs w:val="28"/>
          <w:rtl w:val="true"/>
          <w:lang w:bidi="ar-SA"/>
        </w:rPr>
        <w:t>، أو بثلاثة، كما في صحيح محمّد ابن عمرو بن سعيد</w:t>
      </w:r>
      <w:r>
        <w:rPr>
          <w:rStyle w:val="FootnoteAnchor"/>
          <w:rtl w:val="true"/>
        </w:rPr>
        <w:footnoteReference w:id="1805"/>
      </w:r>
      <w:r>
        <w:rPr>
          <w:rFonts w:ascii="Amiri" w:hAnsi="Amiri" w:eastAsia="Amiri" w:cs="Amiri"/>
          <w:color w:val="111111"/>
          <w:sz w:val="28"/>
          <w:sz w:val="28"/>
          <w:szCs w:val="28"/>
          <w:rtl w:val="true"/>
          <w:lang w:bidi="ar-SA"/>
        </w:rPr>
        <w:t>، أو بيومين، كما في صحيح زرارة</w:t>
      </w:r>
      <w:r>
        <w:rPr>
          <w:rStyle w:val="FootnoteAnchor"/>
          <w:rtl w:val="true"/>
        </w:rPr>
        <w:footnoteReference w:id="1806"/>
      </w:r>
      <w:r>
        <w:rPr>
          <w:rFonts w:ascii="Amiri" w:hAnsi="Amiri" w:eastAsia="Amiri" w:cs="Amiri"/>
          <w:color w:val="111111"/>
          <w:sz w:val="28"/>
          <w:sz w:val="28"/>
          <w:szCs w:val="28"/>
          <w:rtl w:val="true"/>
          <w:lang w:bidi="ar-SA"/>
        </w:rPr>
        <w:t>، أو بيومٍ واحد كما في موثّقة إسحاق ابن جرير</w:t>
      </w:r>
      <w:r>
        <w:rPr>
          <w:rStyle w:val="FootnoteAnchor"/>
          <w:rtl w:val="true"/>
        </w:rPr>
        <w:footnoteReference w:id="1807"/>
      </w:r>
      <w:r>
        <w:rPr>
          <w:rFonts w:ascii="Amiri" w:hAnsi="Amiri" w:eastAsia="Amiri" w:cs="Amiri"/>
          <w:color w:val="111111"/>
          <w:sz w:val="28"/>
          <w:sz w:val="28"/>
          <w:szCs w:val="28"/>
          <w:rtl w:val="true"/>
          <w:lang w:bidi="ar-SA"/>
        </w:rPr>
        <w:t>، أو إلى العشرة، كما في موثّقة يونس بن يعقوب</w:t>
      </w:r>
      <w:r>
        <w:rPr>
          <w:rStyle w:val="FootnoteAnchor"/>
          <w:rtl w:val="true"/>
        </w:rPr>
        <w:footnoteReference w:id="1808"/>
      </w:r>
      <w:r>
        <w:rPr>
          <w:rFonts w:ascii="Amiri" w:hAnsi="Amiri" w:eastAsia="Amiri" w:cs="Amiri"/>
          <w:color w:val="111111"/>
          <w:sz w:val="28"/>
          <w:sz w:val="28"/>
          <w:szCs w:val="28"/>
          <w:rtl w:val="true"/>
          <w:lang w:bidi="ar-SA"/>
        </w:rPr>
        <w:t>، ويشعر بها غيرها من الأخبار</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الروايات التخيير في قدر الاستظهار بين هذه المراتب، وأنّ مراد الشارع التأنّي لذات العادة عن المبادرة إلى الحكم بالطهارة واستعمال العبادات؛ لقوّة الظنّ بالحيض واستمراره إلى العشرة، بل كلّما ازداد الاستظهار بحيث وصل العاشر كان أولى، ومن ذلك كان من المحتمل </w:t>
      </w:r>
    </w:p>
    <w:p>
      <w:pPr>
        <w:pStyle w:val="BookText"/>
        <w:rPr/>
      </w:pPr>
      <w:r>
        <w:rPr>
          <w:rFonts w:ascii="Amiri" w:hAnsi="Amiri" w:eastAsia="Amiri" w:cs="Amiri"/>
          <w:color w:val="111111"/>
          <w:sz w:val="28"/>
          <w:sz w:val="28"/>
          <w:szCs w:val="28"/>
          <w:rtl w:val="true"/>
          <w:lang w:bidi="ar-SA"/>
        </w:rPr>
        <w:t>أنّ إرادة الشارع استمرار الاستظهار إلى العشرة؛ لأنّ بها يبين الحيض عن غيره، وتنزّل الأخبار المحدّدة باليومين والثلاث والواحد على اختلاف العادات، فمَن كانت عادتها سبعةً استظهرت بثلاث، وثمانيةً بيومين، وتسعةٌ بيومٍ؛ لأنّ غالب عادات النساء ذلك، ويبقى غير الغالب داخلاً</w:t>
      </w:r>
    </w:p>
    <w:p>
      <w:pPr>
        <w:pStyle w:val="BookText"/>
        <w:rPr/>
      </w:pPr>
      <w:r>
        <w:rPr>
          <w:rFonts w:ascii="Amiri" w:hAnsi="Amiri" w:eastAsia="Amiri" w:cs="Amiri"/>
          <w:color w:val="111111"/>
          <w:sz w:val="28"/>
          <w:sz w:val="28"/>
          <w:szCs w:val="28"/>
          <w:rtl w:val="true"/>
          <w:lang w:bidi="ar-SA"/>
        </w:rPr>
        <w:t>تحت روايات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الاستظهار على سبيل الوجوب أو الندب أو الإباحة؟ أقوال تنشأ من ظاهر الأوامر وأنّها للوجوب، ومن حصول القرائن على الندب كخلوّ كثير من الصحاح عن الأمر به، بل الأمر بالاغتسال بعد العادة، كصحيحة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ولا يقربها بعلها، فإذا جازت أيّامها ورأت الدم اغتسلت للظهر والعصر</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وصحيحة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يأتيها بعلها متى شاء، إلّا أيّام قرئها</w:t>
      </w:r>
      <w:r>
        <w:rPr>
          <w:rStyle w:val="FootnoteAnchor"/>
          <w:rtl w:val="true"/>
        </w:rPr>
        <w:footnoteReference w:id="1811"/>
      </w:r>
      <w:r>
        <w:rPr>
          <w:rFonts w:ascii="Amiri" w:hAnsi="Amiri" w:eastAsia="Amiri" w:cs="Amiri"/>
          <w:color w:val="111111"/>
          <w:sz w:val="28"/>
          <w:sz w:val="28"/>
          <w:szCs w:val="28"/>
          <w:rtl w:val="true"/>
          <w:lang w:bidi="ar-SA"/>
        </w:rPr>
        <w:t>وموثّقة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تصوم شهر رمضان إلّا الأيّام التي كانت تحيض فيها</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وإن كان بينها وبين الأخبار الأُوَل عموم مطلق، فينبغي حمل العامّ على الخاصّ فيها، إلّا أنّ اختلافها في قدر الاستظهار، وفتوى المشهور بخلاف ظاهرها من الوجوب يضعّف إرادة الوجوب، وحينئذٍ فهذا القول أقوى،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بروايات الأمر بالطهارة، وحمل ما دلّ على الاستظهار على إرادة الإباحة؛ لوقوعه في مقام توهّم الحظر في ترك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حظر تركها ليس بأولى من توهّم حظر فعلها، فلا معنى لتوهّم ذلك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دلّ على الاستظهار على ما إذا كان الدم بصفة الحيض و ما دلّ على عدمه على ما إذا لم يكن بصفته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الأخبار وكلام الأخيار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على القول بندب الاستظهار أو إباحته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كون العبادة مرجوحةً عند فعلها أو مباحةً، وذلك غير جائزٍ،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العبادة عند عدم البناء على الاستظهار راجحة بل واجبة، وينوى بها الوجوب، وعند البناء عليه محرّمة غير مشروعة، فالتخيير في البناء عليه وعدمه، ويترتّب عليهما فعل العبادة وتركها لا في نفس العبادة 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التخييرُ </w:t>
      </w:r>
      <w:bookmarkStart w:id="942" w:name="pg18988_203502"/>
    </w:p>
    <w:p>
      <w:pPr>
        <w:pStyle w:val="BookText"/>
        <w:rPr/>
      </w:pPr>
      <w:bookmarkEnd w:id="942"/>
      <w:r>
        <w:rPr>
          <w:rFonts w:ascii="Amiri" w:hAnsi="Amiri" w:eastAsia="Amiri" w:cs="Amiri"/>
          <w:color w:val="111111"/>
          <w:sz w:val="28"/>
          <w:sz w:val="28"/>
          <w:szCs w:val="28"/>
          <w:rtl w:val="true"/>
          <w:lang w:bidi="ar-SA"/>
        </w:rPr>
        <w:t>في الرجوع إلى المجتهدين المختلفين في الفتوى أو إلى الروايتين المختلفتين في الحكم،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ممّا تعارض فيه نصّان، وليس لنا عند فقد المرجّح والعجز عن الجمع إلّا التخيير، وهو قاضٍ بذلك</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3198077_1280447820"/>
      <w:bookmarkStart w:id="944" w:name="_Toc365"/>
      <w:bookmarkEnd w:id="943"/>
      <w:r>
        <w:rPr>
          <w:rtl w:val="true"/>
        </w:rPr>
        <w:t>ثامن عشرها</w:t>
      </w:r>
      <w:r>
        <w:rPr>
          <w:rtl w:val="true"/>
        </w:rPr>
        <w:t>:</w:t>
      </w:r>
      <w:r>
        <w:rPr>
          <w:rtl w:val="true"/>
        </w:rPr>
        <w:t>حکم ما إذا استظهرت المرأة فاستمرّ الدم إلى ما فوق العشرة أو انقطع علی العاشر فما دون</w:t>
      </w:r>
      <w:bookmarkEnd w:id="944"/>
    </w:p>
    <w:p>
      <w:pPr>
        <w:pStyle w:val="BookText"/>
        <w:rPr/>
      </w:pPr>
      <w:r>
        <w:rPr>
          <w:rFonts w:ascii="IRNazanin" w:hAnsi="IRNazanin" w:eastAsia="IRNazanin"/>
          <w:color w:val="111111"/>
          <w:sz w:val="28"/>
          <w:sz w:val="28"/>
          <w:szCs w:val="28"/>
          <w:rtl w:val="true"/>
          <w:lang w:bidi="fa-IR"/>
        </w:rPr>
        <w:t>إذا استظهرت المرأة فاستمرّ الدم إلى ما فوق العشرة بحیث امتزج العاشر بالحادی عشر، تبيّن أنّ ما فوق العادة من أيّام الاستظهار ونحوها استحاضة؛ للقطع بأنّ ما فوق العشرة استحاضة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البعيد كون ما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 وما بعد ذلك استحاضة؛ لأنّ المظنون عدم انتقال دمٍ إلى آخَر مغاير له في الطبع والمخرج دفعةً واحدة، بل الظاهر اتّحاد كلّ دمٍ مع ما قاربه، وهكذا إلى أن ينتهي الحال إلى العادة، فيغلب ظنّ الاعتياد على ذلك الظنّ، ويُحكم فيه بالحيضيّة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انقطع على العاشر فما دون تبيّن أنّه حيض؛ لارتفاع ذلك الاستبعاد، فينقلب الظنّ إلى الحيضيّة؛ لأنّ العادة ممّا تزيد وتنقص ولقاعدة الإمكان، ولإشعار أخبار الاستظهار بذلك، سيّما ما ورد بالأمر به إلى العشرة</w:t>
      </w:r>
      <w:r>
        <w:rPr>
          <w:rStyle w:val="FootnoteAnchor"/>
          <w:rtl w:val="true"/>
        </w:rPr>
        <w:footnoteReference w:id="1813"/>
      </w:r>
      <w:r>
        <w:rPr>
          <w:rFonts w:ascii="Amiri" w:hAnsi="Amiri" w:eastAsia="Amiri" w:cs="Amiri"/>
          <w:color w:val="111111"/>
          <w:sz w:val="28"/>
          <w:sz w:val="28"/>
          <w:szCs w:val="28"/>
          <w:rtl w:val="true"/>
          <w:lang w:bidi="ar-SA"/>
        </w:rPr>
        <w:t>، ولقوله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تستظهر بيوم إن كان حيضها دون العشرة أيّام، فإن استمرّ الدم فهي مستحاضة، وإن انقطع الدم اغتسلت وصلّت </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 xml:space="preserve">فإنّ الظاهر من الانقطاع والاستمرار هو الانقطاع على العشرة فما دون والاستمرار من العشرة فما فوق، وغير المرسل من الأخبار تشعر بذلك </w:t>
      </w:r>
      <w:r>
        <w:rPr>
          <w:rStyle w:val="FootnoteAnchor"/>
          <w:rtl w:val="true"/>
        </w:rPr>
        <w:footnoteReference w:id="1815"/>
      </w:r>
      <w:r>
        <w:rPr>
          <w:rFonts w:ascii="Amiri" w:hAnsi="Amiri" w:eastAsia="Amiri" w:cs="Amiri"/>
          <w:color w:val="111111"/>
          <w:sz w:val="28"/>
          <w:sz w:val="28"/>
          <w:szCs w:val="28"/>
          <w:rtl w:val="true"/>
          <w:lang w:bidi="ar-SA"/>
        </w:rPr>
        <w:t>، مضافاً إلى فهم الفقهاء ذلك أيضاً من الأخبار، وفتوى مشهورهم، فيجب اتّباع 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الاستظهار الوارد في الأخبار هو طلب ظهور الحال في الدم المردّد بين الحيض والاستحاضة واقعاً، وطلب ظهور الحال لازم لحصوله، وليس له مظهر إلّا الاستمرار والانقطاع وليس لهما حدّ إلّا العشرة، كما تشعر به الأخبار وفتوى الأصحاب</w:t>
      </w:r>
      <w:r>
        <w:rPr>
          <w:rFonts w:eastAsia="Amiri" w:cs="Amiri" w:ascii="Amiri" w:hAnsi="Amiri"/>
          <w:color w:val="111111"/>
          <w:sz w:val="28"/>
          <w:szCs w:val="28"/>
          <w:rtl w:val="true"/>
          <w:lang w:bidi="ar-SA"/>
        </w:rPr>
        <w:t xml:space="preserve">. </w:t>
      </w:r>
      <w:bookmarkStart w:id="945" w:name="pg18988_203503"/>
    </w:p>
    <w:p>
      <w:pPr>
        <w:pStyle w:val="BookText"/>
        <w:rPr/>
      </w:pPr>
      <w:bookmarkEnd w:id="945"/>
      <w:r>
        <w:rPr>
          <w:rFonts w:ascii="Amiri" w:hAnsi="Amiri" w:eastAsia="Amiri" w:cs="Amiri"/>
          <w:color w:val="111111"/>
          <w:sz w:val="28"/>
          <w:sz w:val="28"/>
          <w:szCs w:val="28"/>
          <w:rtl w:val="true"/>
          <w:lang w:bidi="ar-SA"/>
        </w:rPr>
        <w:t>ولأنّ هذا وجه جمعٍ بين الأخبار الدالّة على أنّ ما بعد العادة استحاضة، والأخبار الدالّة على الأمر بالاستظهار وترك العبادة، وقاعدة الإمكان، فإنّ المفهوم من الجميع أنّ ما بين العشرة والعادة مردّد بين الحيض والاستحاضة، وأمره مجمل دائر بينهما، وأنّ الشارع خيرٌ النساء بين الأخذ بالأوّل أو الأخير إلى أن يتّضح الحال فإذا ظهر الحال وجب اتّباعه، فإن ظهر أنّ الدم حيض وجب الرجوع فيه إلى أحكام الحيض واغتفر ما فعلته من منافياته؛ لمكان الجهل به، فيرتفع ما فيه من السمّ بدواء الجهل، وإن ظهر أنّه استحاضة لحقته أحكامه واغتفر ما تركته منها لمكان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أحكام الحيض الضروريّة قضاء الصوم وجب قضاؤه عند انقطاع الدم على العاشر، سواء استظهرت في تلك الأيّام كلّاً أو بعضاً أو لم تستظهر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أحكام المستحاضة أن تفعل ما تفعل الطاهرة بعد الاغتسال، فإن أخلّت بذلك قضت، كما قضت به القواعد وفحاوي الأخبار وكلام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عليها أيضاً عند الإخلال بأحكام المستحاضة قضاء ما فاتها في أيّام الاستظهار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ذكرناه أنّه لا وجه لما استشكله جمعٌ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قضاء الصوم عند الانقطاع على العشرة، ولا على قضاء الصوم والصلاة الفائتين أيّام الاستظهار عند تجاوزها، وأنّ غاية ما تدلّ عليه الأخبار أنّها تستظهر وبعد ذلك تعمل ما تعمله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بيّنّاه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3198079_1280447820"/>
      <w:bookmarkStart w:id="947" w:name="_Toc366"/>
      <w:bookmarkEnd w:id="946"/>
      <w:r>
        <w:rPr>
          <w:rtl w:val="true"/>
        </w:rPr>
        <w:t>تاسع عشرها</w:t>
      </w:r>
      <w:r>
        <w:rPr>
          <w:rtl w:val="true"/>
        </w:rPr>
        <w:t xml:space="preserve">: </w:t>
      </w:r>
      <w:r>
        <w:rPr>
          <w:rtl w:val="true"/>
        </w:rPr>
        <w:t>حکم النقاء المتخلّل</w:t>
      </w:r>
      <w:bookmarkEnd w:id="947"/>
    </w:p>
    <w:p>
      <w:pPr>
        <w:pStyle w:val="BookText"/>
        <w:rPr/>
      </w:pPr>
      <w:r>
        <w:rPr>
          <w:rFonts w:ascii="Amiri" w:hAnsi="Amiri" w:eastAsia="Amiri" w:cs="Amiri"/>
          <w:color w:val="111111"/>
          <w:sz w:val="28"/>
          <w:sz w:val="28"/>
          <w:szCs w:val="28"/>
          <w:rtl w:val="true"/>
          <w:lang w:bidi="ar-SA"/>
        </w:rPr>
        <w:t>ما ذكرناه كلّه في ذات العادة ظاهر الانطباق على ما إذا ملأ الدم العادة الوقتية العدديّة وانقطع على ما دون العشرة، سواء عاد قبل مضي أقلّ الطهر أم لا، أو تجاوز العشرة وانقطع، أو عاد، فإنّه يُحكم عليه بحيضيّة ما في العادة إن استمرّ، وبحيضيّتها مع تمام العشرة إن انقطع</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يكن كذلك، فإن كانت كلّ العادة بياضاً وكان الدم من طرفيها فإن كانت عشرة كان الدمان حيضاً مع استجماع الشرائط، وإلّا فالحيض المستجمع دون غيره</w:t>
      </w:r>
      <w:r>
        <w:rPr>
          <w:rFonts w:eastAsia="Amiri" w:cs="Amiri" w:ascii="Amiri" w:hAnsi="Amiri"/>
          <w:color w:val="111111"/>
          <w:sz w:val="28"/>
          <w:szCs w:val="28"/>
          <w:rtl w:val="true"/>
          <w:lang w:bidi="ar-SA"/>
        </w:rPr>
        <w:t xml:space="preserve">. </w:t>
      </w:r>
      <w:bookmarkStart w:id="948" w:name="pg18988_203504"/>
    </w:p>
    <w:p>
      <w:pPr>
        <w:pStyle w:val="BookText"/>
        <w:rPr/>
      </w:pPr>
      <w:bookmarkEnd w:id="948"/>
      <w:r>
        <w:rPr>
          <w:rFonts w:ascii="Amiri" w:hAnsi="Amiri" w:eastAsia="Amiri" w:cs="Amiri"/>
          <w:color w:val="111111"/>
          <w:sz w:val="28"/>
          <w:sz w:val="28"/>
          <w:szCs w:val="28"/>
          <w:rtl w:val="true"/>
          <w:lang w:bidi="ar-SA"/>
        </w:rPr>
        <w:t>وإن كانت أقلّ من عشرة، فإن كان الدمان مع العادة لا تزيد على العشرة فمجموعها حيض، و إن زادت أخذت من أحدهما العادة العدديّة مع التساوي في الصفات، وإلّا قدّم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تقديم المقدّم ثمّ الأقرب إلى عدد العادة ثمّ الأشدّ أو الأجمع أو الأقرب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بعضها بياضاً وبعضها دماً فإن أمكن كون ما في العادة حيضاً ولم يكن دم سواه، حُكم عليه بالحيض، وإن كان سواه ،دم، فإن فصل بينهما أقلّ الطهر وأمكن كونه حيضاً كان حيضاً آخَر، و إلّا فإن أمكن كون المجموع حيضاً كان كذلك، وإلّا أخذت منه ما يكمل به العادة من الابتداء أو الأخير مخيّرةً بينهما، ومقدّمةً للجامع أو الأشدّ أو الأقرب أو المتّصل أو الذي لا يبعث على الزيادة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تجاوز الدم الثاني المنفصل العشر، فهل تتمّ العادة منه، أو تتمّها من البياض وتحكم على ما زاد بالاستحاضة؟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إتمامها من البياض الحكم بكونه طهراً؛ لأنّه ليس ما بين دمين للحيض</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3198081_1280447820"/>
      <w:bookmarkStart w:id="950" w:name="_Toc367"/>
      <w:bookmarkEnd w:id="949"/>
      <w:r>
        <w:rPr>
          <w:rtl w:val="true"/>
        </w:rPr>
        <w:t>العشرون</w:t>
      </w:r>
      <w:r>
        <w:rPr>
          <w:rtl w:val="true"/>
        </w:rPr>
        <w:t xml:space="preserve">: </w:t>
      </w:r>
      <w:r>
        <w:rPr>
          <w:rtl w:val="true"/>
        </w:rPr>
        <w:t>حکم المبتدأۀ إذا انقطع دمها لدون العشرۀ</w:t>
      </w:r>
      <w:bookmarkEnd w:id="950"/>
    </w:p>
    <w:p>
      <w:pPr>
        <w:pStyle w:val="BookText"/>
        <w:rPr/>
      </w:pPr>
      <w:r>
        <w:rPr>
          <w:rFonts w:ascii="Amiri" w:hAnsi="Amiri" w:eastAsia="Amiri" w:cs="Amiri"/>
          <w:color w:val="111111"/>
          <w:sz w:val="28"/>
          <w:sz w:val="28"/>
          <w:szCs w:val="28"/>
          <w:rtl w:val="true"/>
          <w:lang w:bidi="ar-SA"/>
        </w:rPr>
        <w:t xml:space="preserve">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ابتدأها الدم ، أو ما لم تستقرّ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دمها لدون العشرة تحيّضت به، وإن تجاوز العشرة رجعت إلى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عليها الاستبراء بالقطنة لتعرف الانقطاع وعدمه، ولا يجب عليها الاستظهار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للاستبراء كيفيّة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قطنةٍ، كما دلّت عليه صحيحة محمّد بن مسلم</w:t>
      </w:r>
      <w:r>
        <w:rPr>
          <w:rStyle w:val="FootnoteAnchor"/>
          <w:rtl w:val="true"/>
        </w:rPr>
        <w:footnoteReference w:id="1817"/>
      </w:r>
      <w:r>
        <w:rPr>
          <w:rFonts w:ascii="IRNazanin" w:hAnsi="IRNazanin" w:eastAsia="IRNazanin"/>
          <w:color w:val="111111"/>
          <w:sz w:val="28"/>
          <w:sz w:val="28"/>
          <w:szCs w:val="28"/>
          <w:rtl w:val="true"/>
          <w:lang w:bidi="fa-IR"/>
        </w:rPr>
        <w:t>، أو تقوم قائمة وتلزق بطنها للحائط، وتستدخل قطنة بيضاء، وترفع رِجْلها، كما دلّ عليه مرسل یونس</w:t>
      </w:r>
      <w:r>
        <w:rPr>
          <w:rStyle w:val="FootnoteAnchor"/>
          <w:rtl w:val="true"/>
        </w:rPr>
        <w:footnoteReference w:id="1818"/>
      </w:r>
      <w:r>
        <w:rPr>
          <w:rFonts w:ascii="Amiri" w:hAnsi="Amiri" w:eastAsia="Amiri" w:cs="Amiri"/>
          <w:color w:val="111111"/>
          <w:sz w:val="28"/>
          <w:sz w:val="28"/>
          <w:szCs w:val="28"/>
          <w:rtl w:val="true"/>
          <w:lang w:bidi="ar-SA"/>
        </w:rPr>
        <w:t>، أو تقوم وتلصق بطنها للحائط، وترفع رِجْلها كالكلب إذا أراد أن يبول، وتستدخل الكرسف كما دلّ عليه موثّقة سماعة</w:t>
      </w:r>
      <w:r>
        <w:rPr>
          <w:rStyle w:val="FootnoteAnchor"/>
          <w:rtl w:val="true"/>
        </w:rPr>
        <w:footnoteReference w:id="1819"/>
      </w:r>
      <w:r>
        <w:rPr>
          <w:rFonts w:ascii="Amiri" w:hAnsi="Amiri" w:eastAsia="Amiri" w:cs="Amiri"/>
          <w:color w:val="111111"/>
          <w:sz w:val="28"/>
          <w:sz w:val="28"/>
          <w:szCs w:val="28"/>
          <w:rtl w:val="true"/>
          <w:lang w:bidi="ar-SA"/>
        </w:rPr>
        <w:t>، أو تضع رِجْلها اليسرى على الحائط وتستدخل الكرسف بيدها اليمنى، كما دلّ عليه رواية شرحبيل</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bookmarkStart w:id="951" w:name="pg18988_203505"/>
    </w:p>
    <w:p>
      <w:pPr>
        <w:pStyle w:val="BookText"/>
        <w:rPr/>
      </w:pPr>
      <w:bookmarkEnd w:id="951"/>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لظهور الأوامر بالإرشاد إلى الاستخبار بالوجود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عدم الاستبراء يبطل غسلها وعبادتها</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3198083_1280447820"/>
      <w:bookmarkStart w:id="953" w:name="_Toc368"/>
      <w:bookmarkEnd w:id="952"/>
      <w:r>
        <w:rPr>
          <w:rtl w:val="true"/>
        </w:rPr>
        <w:t>الواحد والعشرون</w:t>
      </w:r>
      <w:r>
        <w:rPr>
          <w:rtl w:val="true"/>
        </w:rPr>
        <w:t xml:space="preserve">: </w:t>
      </w:r>
      <w:r>
        <w:rPr>
          <w:rtl w:val="true"/>
        </w:rPr>
        <w:t>حکم المبتدأۀ إذا تجاوز دمها العشرۀ</w:t>
      </w:r>
      <w:bookmarkEnd w:id="953"/>
    </w:p>
    <w:p>
      <w:pPr>
        <w:pStyle w:val="Heading5"/>
        <w:numPr>
          <w:ilvl w:val="4"/>
          <w:numId w:val="1"/>
        </w:numPr>
        <w:rPr/>
      </w:pPr>
      <w:bookmarkStart w:id="954" w:name="__RefHeading___Toc13198085_1280447820"/>
      <w:bookmarkStart w:id="955" w:name="_Toc369"/>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إذا تجاوز الدم بالمبتدأة العشرة رجعت إلى الوصف، فما جمع الأوصاف تحيّضت به وما خلا عنها تركه لفتوى المشهور والإجماع المنقول</w:t>
      </w:r>
      <w:r>
        <w:rPr>
          <w:rStyle w:val="FootnoteAnchor"/>
          <w:rtl w:val="true"/>
        </w:rPr>
        <w:footnoteReference w:id="1821"/>
      </w:r>
      <w:r>
        <w:rPr>
          <w:rFonts w:ascii="Amiri" w:hAnsi="Amiri" w:eastAsia="Amiri" w:cs="Amiri"/>
          <w:color w:val="111111"/>
          <w:sz w:val="28"/>
          <w:sz w:val="28"/>
          <w:szCs w:val="28"/>
          <w:rtl w:val="true"/>
          <w:lang w:bidi="ar-SA"/>
        </w:rPr>
        <w:t>، ولحصول الظنّ بالحيض المعمول عليه في هذه المقامات، كما يظهر من كلمات الأصحاب وأخبار الباب، ولأخبار التمييز</w:t>
      </w:r>
      <w:r>
        <w:rPr>
          <w:rStyle w:val="FootnoteAnchor"/>
          <w:rtl w:val="true"/>
        </w:rPr>
        <w:footnoteReference w:id="1822"/>
      </w:r>
      <w:r>
        <w:rPr>
          <w:rFonts w:ascii="Amiri" w:hAnsi="Amiri" w:eastAsia="Amiri" w:cs="Amiri"/>
          <w:color w:val="111111"/>
          <w:sz w:val="28"/>
          <w:sz w:val="28"/>
          <w:szCs w:val="28"/>
          <w:rtl w:val="true"/>
          <w:lang w:bidi="ar-SA"/>
        </w:rPr>
        <w:t>، مع عدم المعارض من عادة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رجوع المبتدأة إلى الأيّام</w:t>
      </w:r>
      <w:r>
        <w:rPr>
          <w:rStyle w:val="FootnoteAnchor"/>
          <w:rtl w:val="true"/>
        </w:rPr>
        <w:footnoteReference w:id="1823"/>
      </w:r>
      <w:r>
        <w:rPr>
          <w:rFonts w:ascii="IRNazanin" w:hAnsi="IRNazanin" w:eastAsia="IRNazanin"/>
          <w:color w:val="111111"/>
          <w:sz w:val="28"/>
          <w:sz w:val="28"/>
          <w:szCs w:val="28"/>
          <w:rtl w:val="true"/>
          <w:lang w:bidi="fa-IR"/>
        </w:rPr>
        <w:t>، مخصوص بما قدّمناه؛ لقوّته واعتضاده بفتوى الأصحاب</w:t>
      </w:r>
      <w:r>
        <w:rPr>
          <w:rFonts w:eastAsia="IRNazanin" w:cs="IRNazanin"/>
          <w:color w:val="111111"/>
          <w:sz w:val="28"/>
          <w:szCs w:val="28"/>
          <w:rtl w:val="true"/>
          <w:lang w:bidi="fa-IR"/>
        </w:rPr>
        <w:t>.</w:t>
      </w:r>
    </w:p>
    <w:p>
      <w:pPr>
        <w:pStyle w:val="Heading5"/>
        <w:numPr>
          <w:ilvl w:val="4"/>
          <w:numId w:val="1"/>
        </w:numPr>
        <w:rPr/>
      </w:pPr>
      <w:bookmarkStart w:id="956" w:name="__RefHeading___Toc13198087_1280447820"/>
      <w:bookmarkStart w:id="957" w:name="_Toc370"/>
      <w:bookmarkEnd w:id="956"/>
      <w:r>
        <w:rPr>
          <w:rtl w:val="true"/>
        </w:rPr>
        <w:t>ويشترط في الرجوع إلى التمييز أُمور</w:t>
      </w:r>
      <w:r>
        <w:rPr>
          <w:rtl w:val="true"/>
        </w:rPr>
        <w:t>:</w:t>
      </w:r>
      <w:bookmarkEnd w:id="95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صفة الدم، فلو كان كلّه بصفة الحيض أو كلّه بصفة الاستحاضة بطل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بيان وصفي الدمين من سواد وحمرة وحرارة ودفق وصفرة وبرودة وفتورة ورقّة، وأنّ الأربعة الأُوَل للحيض، والأخيرة للاستحاضة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وصف الغلظ للحيض ووصف الرقّة في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الرائحة فشهدت بها التجربة دون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وجدت جميع الأوصاف في دم وضدّها في آخَر فلا إشكال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اتّحدا في وصفٍ كاللون مثلاً واختلفا في آخَر، أو كان أحدهما أجمع، أو اتّفقا وكان أحدهما أشدَّ في الوصف الواحد كشديد السواد وضعيفه، أو القوي بالنسبة إلى وصفين متغايرين كالأسود بالنسبة إلى الأحمر، والأحمر إلى الأشقر، والأشقر إلى الأصفر، والأصفر إلى الأكدر، فالسابق أقوى من اللاحق، فالحكم به لا يخلو من إشكالٍ، إلّا أنّ الظاهر من الأخبار وكلام الأخيار أنّ أمر الحيض يرجع إلى ظنون النساء واجتهادهنّ، فبمقتضى ذلك يجب تقديم قويّ الصفة على ضعيفها، والجامع على غيره، والأكثر على غيره، والصفة العليا على الدنيا،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تعارض الأقوى والأكثر يُنظر إلى الترجيح،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ينقص ما هو بصفة الحيض عن الثلاثة؛ لما دلّ على أنّ أقلّ الحيض ثلاثة</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وجوب التحيّض بالقليل وإتمامه بما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يزيد على عشرة؛ لما دلّ على عدم زيادة الحيض على العشرة</w:t>
      </w:r>
      <w:r>
        <w:rPr>
          <w:rStyle w:val="FootnoteAnchor"/>
          <w:rtl w:val="true"/>
        </w:rPr>
        <w:footnoteReference w:id="1825"/>
      </w:r>
      <w:r>
        <w:rPr>
          <w:rFonts w:ascii="Amiri" w:hAnsi="Amiri" w:eastAsia="Amiri" w:cs="Amiri"/>
          <w:color w:val="111111"/>
          <w:sz w:val="28"/>
          <w:sz w:val="28"/>
          <w:szCs w:val="28"/>
          <w:rtl w:val="true"/>
          <w:lang w:bidi="ar-SA"/>
        </w:rPr>
        <w:t>، مع احتمال وجوب التحيّض به إلى عشرة، أو تخصيصه عند التحيّض بالروايات، ولكنّه خلاف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ينقص الضعيف المحكوم بطهريّته عن العشرة؛ لأنّ أقلّ الطهر لا يكون أقلّ منها، وحينئذٍ فلو رأت دمين موصوفين بوصف الحيض وبينهما دم غير موصوف ينقص عن أقلّ الطهر ، فإنّه لا يُحكم بكون ذلك طهراً، ولا يمكن أن يُحكم بأنّهما حيضتان؛ لعدم تخلّل أقلّ الطهر، ولا أنّ أحدهما دون الآخَر؛ لأنّه ترجيح من غير مرجّحٍ، فيبطل العمل بالتمييز، ويرجع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الحكم بحيضيّة المقدّم ؛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المؤخّر ؛ لتأخّره عن وصف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ثلاثة أسود وثلاثة أصفر وأربعة أسود وخمسة أصفر، احتُمل جعل الثلاثة حيضاً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جعل الأربعة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جعل مجموع العشرة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جمعٍ من الفقهاء سقوط التمييز والرجوع إلى الروايات، ونقل عليه الإجماع</w:t>
      </w:r>
      <w:r>
        <w:rPr>
          <w:rStyle w:val="FootnoteAnchor"/>
          <w:rtl w:val="true"/>
        </w:rPr>
        <w:footnoteReference w:id="1826"/>
      </w: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فقدت الأوصاف من الدم أو فقدت الاختلاف، أو فقدت الترجيح مع الاختلاف، أو فقدت إمكان الاختبار لعمى وشبهه مع عدم المرشد، رجعت إلى عادة الأقارب من الأبوين من أُخت أو بنت أو أُمّ أو عمّة أو خالة؛ لفتوى الأصحاب، وأخبار الباب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كمضمر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جارية حاضت أوّل حيضها فدام دمها ثلاثة أشهر وهي لا تعرف أيّام أقرائها؟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أقراؤها مثل أقراء نسائها، فإن كنّ نساؤها مختلفات فأكثر جلوسها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وأقلّه ثلاثة أيّام</w:t>
      </w:r>
      <w:r>
        <w:rPr>
          <w:rFonts w:eastAsia="Amiri" w:cs="Amiri" w:ascii="Amiri" w:hAnsi="Amiri"/>
          <w:color w:val="111111"/>
          <w:sz w:val="28"/>
          <w:szCs w:val="28"/>
          <w:rtl w:val="true"/>
          <w:lang w:bidi="ar-SA"/>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ورواية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المستحاضة أن تنظر بعض نسائها فتقتدي بأقرائها</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هاتين الروايتين شمول الحكم للمبتدأة والمضطربة، وكون السؤال في الأُولى عمّن حاضت أوّل حيضها لا يخصّص إطلاق الرواية الثانية، وحكي الإجماع</w:t>
      </w:r>
      <w:r>
        <w:rPr>
          <w:rStyle w:val="FootnoteAnchor"/>
          <w:rtl w:val="true"/>
        </w:rPr>
        <w:footnoteReference w:id="1829"/>
      </w:r>
      <w:r>
        <w:rPr>
          <w:rFonts w:ascii="Amiri" w:hAnsi="Amiri" w:eastAsia="Amiri" w:cs="Amiri"/>
          <w:color w:val="111111"/>
          <w:sz w:val="28"/>
          <w:sz w:val="28"/>
          <w:szCs w:val="28"/>
          <w:rtl w:val="true"/>
          <w:lang w:bidi="ar-SA"/>
        </w:rPr>
        <w:t>على العمل بمضمون الرواية الأُولى، وعن العلّامة أنّ الأصحاب تلقّوها بالقبول</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وحكيت الشهرة على مضمون الثانية</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وجود ابن فضّال فيها؛ لأنّ الأصحاب شهدوا له بالوثاقة والصدق وعملت بأخباره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اتّفقن وعلم الاتّفاق، وإن اختلفن رجعت إلى الأغلب؛ لحصول الظّن بذلك، ولانصراف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الأغلب غالباً، وللجمع 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تتّبع جميع النساء مع عدم العلم بالاختلاف، بل يكفي الرجوع إلى قدر يظنّ معه الاتّفاق غالباً؛ للزوم العسر والحرج، وللأمر بالرجوع إلى البعض في رواية زرارة</w:t>
      </w:r>
      <w:r>
        <w:rPr>
          <w:rStyle w:val="FootnoteAnchor"/>
          <w:rtl w:val="true"/>
        </w:rPr>
        <w:footnoteReference w:id="1832"/>
      </w:r>
      <w:r>
        <w:rPr>
          <w:rFonts w:ascii="Amiri" w:hAnsi="Amiri" w:eastAsia="Amiri" w:cs="Amiri"/>
          <w:color w:val="111111"/>
          <w:sz w:val="28"/>
          <w:sz w:val="28"/>
          <w:szCs w:val="28"/>
          <w:rtl w:val="true"/>
          <w:lang w:bidi="ar-SA"/>
        </w:rPr>
        <w:t>، ويصدّقن في إخبارهن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عليهنّ الإخبار،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الرجوع للأموات إن فقدت الأحياء، ومع وجود الأحياء لا عبرة بالأموات، ولا يضرّ اختلافها مع الأحياء؛ لظهور انصراف اللفظ إلى الأحياء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يقدّم الأقرب فالأقرب عند الاختلاف أو تقدّم نساء البلد على غيرهنّ؟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للأمر عند الاختلاف بالرجوع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تقديم نساء البلد قوّة؛ الحصول الظنّ بها، وظهور انصراف اللفظ إليها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فقدت الأقارب أو كانت ولم تتمكّن من الرجوع إليها أو تمكّنت ولكن اضطرب حالها أو اختلفن في العادات، رجعت إلى عادة الأقران، ويقوى تخصيصها بنساء بلدها؛ لقرب المزاج، </w:t>
      </w:r>
    </w:p>
    <w:p>
      <w:pPr>
        <w:pStyle w:val="BookText"/>
        <w:rPr/>
      </w:pPr>
      <w:r>
        <w:rPr>
          <w:rFonts w:ascii="Amiri" w:hAnsi="Amiri" w:eastAsia="Amiri" w:cs="Amiri"/>
          <w:color w:val="111111"/>
          <w:sz w:val="28"/>
          <w:sz w:val="28"/>
          <w:szCs w:val="28"/>
          <w:rtl w:val="true"/>
          <w:lang w:bidi="ar-SA"/>
        </w:rPr>
        <w:t xml:space="preserve">وهي التي في سنّها عرفاً بحيث لم يكن بينها وبينهنّ ما يزيد على السنة وما قاربها من شهر أو شهرين؛ لقاعدة الإمكان، خرج غيرها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ولحصول الظنّ بها؛ لقرب المزاج واتّحاد الطبيعة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ولمفهوم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أوّل ما تحيض ربّما كانت كثيرة الدم فيكون حيضها عشرة أيّام، فلا تزال كلّما كبرت نقصت حتّى ترجع إلى ثلاثة أيّام</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فالمفهوم منه توزيع الأيّام على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للأقران، ومقتضاه انضمامهنّ للأقارب أو التخيير بينهنّ، ولكن لمّا كان القول بهما ضعيفاً جدّاً والقول بالترتيب هو المعروف، لزم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نُقل من بدليّة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w:t>
      </w:r>
      <w:r>
        <w:rPr>
          <w:rStyle w:val="FootnoteAnchor"/>
          <w:rtl w:val="true"/>
        </w:rPr>
        <w:footnoteReference w:id="1834"/>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835"/>
      </w:r>
      <w:r>
        <w:rPr>
          <w:rFonts w:ascii="IRNazanin" w:hAnsi="IRNazanin" w:eastAsia="IRNazanin"/>
          <w:color w:val="111111"/>
          <w:sz w:val="28"/>
          <w:sz w:val="28"/>
          <w:szCs w:val="28"/>
          <w:rtl w:val="true"/>
          <w:lang w:bidi="fa-IR"/>
        </w:rPr>
        <w:t>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يظهر من بعضهم أنّه المشهور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الجميع نظر؛ للمناقشة في إجراء قاعدة الإمكان في هذا المكان، ومنع حصول الظنّ، ومنع حجّيّته بهذا النحو، وبُعْد المفهوم عن إثبات هذا الحكم، ومنع شمول لفظ النساء؛ لتبادر الأقارب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أُبقي على عمومه؛ لصدق الإضافة بأدنى ملابسة، للزم الرجوع لكلّ امرأة يصحّ أن يضاف إليها إمّا جمعاً أو تخييراً، وذلك لا نقول به، وإخراج ما انعقد الإجماع على خلافه وإبقاء الباقي يلزم منه كون الخارج أكثر من الداخل وهو متروك، على أنّ العموم يلزم منه دخول الأقران جمعاً أو تخييراً، لا ترتيباً؛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مورد اليقين إنّما يكون في مدلول اللفظ والترتيب لا يقضي به الإطلاق، فلا يدلّ عليه اللفظ بوجهٍ، ونسخة الأقران غير ثابتةٍ بنقلٍ معتبر ، فلا تصلح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 الشهرة، فلا بدّ من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فقدت الأقران أو لم يمكنها الرجوع إليها أو اختلفن، رجعت إلى جعل حيضها في كلّ شهر سبعة؛ لمرسلة يونس، الدالّة على تحيّضها بالسبع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والترديد في صدرها بين السبع والستّ لم يثبت أنّه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من الراوي، ويؤيّده بُعد التخيير بين الأقلّ والأكثر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المرسلة قد تلقّاها الأصحاب بالقبول، وإرسالها عن غير واحدٍ، ومثله لا يُعدّ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الإجماع على مضمونها في المضطربة</w:t>
      </w:r>
      <w:r>
        <w:rPr>
          <w:rStyle w:val="FootnoteAnchor"/>
          <w:rtl w:val="true"/>
        </w:rPr>
        <w:footnoteReference w:id="1837"/>
      </w:r>
      <w:r>
        <w:rPr>
          <w:rFonts w:ascii="Amiri" w:hAnsi="Amiri" w:eastAsia="Amiri" w:cs="Amiri"/>
          <w:color w:val="111111"/>
          <w:sz w:val="28"/>
          <w:sz w:val="28"/>
          <w:szCs w:val="28"/>
          <w:rtl w:val="true"/>
          <w:lang w:bidi="ar-SA"/>
        </w:rPr>
        <w:t>، ومضمونها يوافق أغلب عادات النساء أيضاً، ونُقل على الإفتاء بمضمونها ونقلها الشهرةُ بل الإجماع</w:t>
      </w:r>
      <w:r>
        <w:rPr>
          <w:rStyle w:val="FootnoteAnchor"/>
          <w:rtl w:val="true"/>
        </w:rPr>
        <w:footnoteReference w:id="1838"/>
      </w:r>
      <w:r>
        <w:rPr>
          <w:rFonts w:ascii="Amiri" w:hAnsi="Amiri" w:eastAsia="Amiri" w:cs="Amiri"/>
          <w:color w:val="111111"/>
          <w:sz w:val="28"/>
          <w:sz w:val="28"/>
          <w:szCs w:val="28"/>
          <w:rtl w:val="true"/>
          <w:lang w:bidi="ar-SA"/>
        </w:rPr>
        <w:t xml:space="preserve">، وصحّح طريقَ الرواية إلى يونس بعضُ أصحابنا أيضاً، وذكر أنّ يونس ممّن أجمعت العصابة على تصحيح ما يصحّ عنه </w:t>
      </w:r>
      <w:r>
        <w:rPr>
          <w:rStyle w:val="FootnoteAnchor"/>
          <w:rtl w:val="true"/>
        </w:rPr>
        <w:footnoteReference w:id="1839"/>
      </w:r>
      <w:r>
        <w:rPr>
          <w:rFonts w:ascii="Amiri" w:hAnsi="Amiri" w:eastAsia="Amiri" w:cs="Amiri"/>
          <w:color w:val="111111"/>
          <w:sz w:val="28"/>
          <w:sz w:val="28"/>
          <w:szCs w:val="28"/>
          <w:rtl w:val="true"/>
          <w:lang w:bidi="ar-SA"/>
        </w:rPr>
        <w:t>، فبمجموع ذلك يحصل الظنّ بالاعتماد عليها والأخذ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وجوب جعل السبع في مبدأ الدم؛ لظهور ذلك من الأخبار، وللاحتياط، ولأنّها بعد التحيّض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للعدول حينئذٍ وجعل ما تحيّضت به به طهراً وما تطهّرت به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الشهور الباقية فيحتمل بقاء التخيير فيها؛ لإطلاق الأخبار، ويحتمل تعيين ما عيّنته من الوقت في الشهر الأوّل، حتّى احتمل بعضٌ </w:t>
      </w:r>
      <w:r>
        <w:rPr>
          <w:rStyle w:val="FootnoteAnchor"/>
          <w:rtl w:val="true"/>
        </w:rPr>
        <w:footnoteReference w:id="1840"/>
      </w:r>
      <w:r>
        <w:rPr>
          <w:rFonts w:ascii="Amiri" w:hAnsi="Amiri" w:eastAsia="Amiri" w:cs="Amiri"/>
          <w:color w:val="111111"/>
          <w:sz w:val="28"/>
          <w:sz w:val="28"/>
          <w:szCs w:val="28"/>
          <w:rtl w:val="true"/>
          <w:lang w:bidi="ar-SA"/>
        </w:rPr>
        <w:t>وجوبَ ذلك مع الحكم بالتخيير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على القول بالتخيير في باقي الشهور يتعيّن عليها ما عيّنته حيضاً من الأيّام، ولا يجوز لها العدول بعد ما جلست و تحيّضت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841"/>
      </w:r>
      <w:r>
        <w:rPr>
          <w:rFonts w:ascii="Amiri" w:hAnsi="Amiri" w:eastAsia="Amiri" w:cs="Amiri"/>
          <w:color w:val="111111"/>
          <w:sz w:val="28"/>
          <w:sz w:val="28"/>
          <w:szCs w:val="28"/>
          <w:rtl w:val="true"/>
          <w:lang w:bidi="ar-SA"/>
        </w:rPr>
        <w:t>إلى التخيير بين الستّة والسبعة؛ عملاً بصدر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آخرها ناصٌّ على السبع ؛ لأنّ فيها 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سنّة التي استمرّ بها الدم أوّل ما تراه، أقصى وقتها سبع، وأقصى طهرها ثلاث وعشرون</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ومع ذلك فهو الأحوط والمتيقّن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w:t>
      </w:r>
      <w:r>
        <w:rPr>
          <w:rStyle w:val="FootnoteAnchor"/>
          <w:rtl w:val="true"/>
        </w:rPr>
        <w:footnoteReference w:id="1843"/>
      </w:r>
      <w:r>
        <w:rPr>
          <w:rFonts w:ascii="Amiri" w:hAnsi="Amiri" w:eastAsia="Amiri" w:cs="Amiri"/>
          <w:color w:val="111111"/>
          <w:sz w:val="28"/>
          <w:sz w:val="28"/>
          <w:szCs w:val="28"/>
          <w:rtl w:val="true"/>
          <w:lang w:bidi="ar-SA"/>
        </w:rPr>
        <w:t>آخَر إلى التخيير بين التحيّض بالستّ أو السبع في كلّ شهر، وبين التحيّض بثلاثة من شهر وعشرة من آخَر في جميع الأدوار؛ جمعاً بين المرسل المتقدّم، وبين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في أوّل حيضها فاستمرّ الدم تركت الصلاة عشرة أيّام، ثمّ تصلّي عشرين يوماً، </w:t>
      </w:r>
    </w:p>
    <w:p>
      <w:pPr>
        <w:pStyle w:val="BookText"/>
        <w:rPr/>
      </w:pPr>
      <w:r>
        <w:rPr>
          <w:rFonts w:ascii="Amiri" w:hAnsi="Amiri" w:eastAsia="Amiri" w:cs="Amiri"/>
          <w:color w:val="111111"/>
          <w:sz w:val="28"/>
          <w:sz w:val="28"/>
          <w:szCs w:val="28"/>
          <w:rtl w:val="true"/>
          <w:lang w:bidi="ar-SA"/>
        </w:rPr>
        <w:t>فإن استمرّ بها الدم بعد ذلك تركت الصلاة ثلاثة أيّام وصلّت سبعة وعشرين يوماً</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ونقل الإجماع على روايته</w:t>
      </w:r>
      <w:r>
        <w:rPr>
          <w:rStyle w:val="FootnoteAnchor"/>
          <w:rtl w:val="true"/>
        </w:rPr>
        <w:footnoteReference w:id="1845"/>
      </w:r>
      <w:r>
        <w:rPr>
          <w:rFonts w:ascii="Amiri" w:hAnsi="Amiri" w:eastAsia="Amiri" w:cs="Amiri"/>
          <w:color w:val="111111"/>
          <w:sz w:val="28"/>
          <w:sz w:val="28"/>
          <w:szCs w:val="28"/>
          <w:rtl w:val="true"/>
          <w:lang w:bidi="ar-SA"/>
        </w:rPr>
        <w:t>، ومثله غيره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اختصاصهما في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فيهما على التحيّض بذلك في جميع الأدوار، بل العشرة في الدور الأوّل، والثلاثة في باقي الأدوار، وأنّ العشرة مقدّمة، والقول به شاذّ لم يُنسب إلّا إلى الإسكافي، كما يُنسب إليه القول بالثلاث مطلقاً</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w:t>
      </w:r>
      <w:r>
        <w:rPr>
          <w:rStyle w:val="FootnoteAnchor"/>
          <w:rtl w:val="true"/>
        </w:rPr>
        <w:footnoteReference w:id="1848"/>
      </w:r>
      <w:r>
        <w:rPr>
          <w:rFonts w:ascii="Amiri" w:hAnsi="Amiri" w:eastAsia="Amiri" w:cs="Amiri"/>
          <w:color w:val="111111"/>
          <w:sz w:val="28"/>
          <w:sz w:val="28"/>
          <w:szCs w:val="28"/>
          <w:rtl w:val="true"/>
          <w:lang w:bidi="ar-SA"/>
        </w:rPr>
        <w:t>إلى تحيّض المبتدأة بالتخيير ما بين الثلاث إلى العشرة؛ جمعاً بين الأخبار المتقدّمة، ومضمر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نساؤها مختلفات فأكثر جلوسها عشرة أيّام وأقلّه ثلاثة</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وبعض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كيف تصنع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الحيض ثلاثة وأكثره عشرة</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فرع المقاومة للمرسل المنجبر بالشهرة والإجماع المحكيّ،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تجعل عشرةً من شهرها حيضاً وعشرةً طهراً؛ لقاعدة الإمكان</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حيضاً وعشرين طهراً؛ لأنّ الشهر لا يكون فيه إلّا حيض واحد</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تتحيّض بالثلاثة دائماً؛ اقتصاراً على مورد اليقين</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بالتخيير بين السبعة والثلاثة</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بالتخيير بينهما وبين العشرة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 لا يقاوم ما ذكرناه</w:t>
      </w:r>
      <w:r>
        <w:rPr>
          <w:rFonts w:eastAsia="Amiri" w:cs="Amiri" w:ascii="Amiri" w:hAnsi="Amiri"/>
          <w:color w:val="111111"/>
          <w:sz w:val="28"/>
          <w:szCs w:val="28"/>
          <w:rtl w:val="true"/>
          <w:lang w:bidi="ar-SA"/>
        </w:rPr>
        <w:t xml:space="preserve">. </w:t>
      </w:r>
      <w:bookmarkStart w:id="958" w:name="pg18988_203511"/>
    </w:p>
    <w:p>
      <w:pPr>
        <w:pStyle w:val="Heading4"/>
        <w:numPr>
          <w:ilvl w:val="3"/>
          <w:numId w:val="1"/>
        </w:numPr>
        <w:rPr/>
      </w:pPr>
      <w:bookmarkStart w:id="959" w:name="__RefHeading___Toc13198089_1280447820"/>
      <w:bookmarkStart w:id="960" w:name="_Toc371"/>
      <w:bookmarkEnd w:id="958"/>
      <w:bookmarkEnd w:id="959"/>
      <w:r>
        <w:rPr>
          <w:rtl w:val="true"/>
        </w:rPr>
        <w:t>الثاني والعشرون</w:t>
      </w:r>
      <w:r>
        <w:rPr>
          <w:rtl w:val="true"/>
        </w:rPr>
        <w:t xml:space="preserve">: </w:t>
      </w:r>
      <w:r>
        <w:rPr>
          <w:rtl w:val="true"/>
        </w:rPr>
        <w:t>فی بیان أحکام المضطربة التي لم تستقرّ لها عادة والمضطربة وقتاً المبتدأة عدداً وبالعكس</w:t>
      </w:r>
      <w:bookmarkEnd w:id="960"/>
    </w:p>
    <w:p>
      <w:pPr>
        <w:pStyle w:val="Heading5"/>
        <w:numPr>
          <w:ilvl w:val="4"/>
          <w:numId w:val="1"/>
        </w:numPr>
        <w:rPr/>
      </w:pPr>
      <w:bookmarkStart w:id="961" w:name="__RefHeading___Toc13198091_1280447820"/>
      <w:bookmarkStart w:id="962" w:name="_Toc372"/>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المضطربة التي لم تستقرّ لها عادة أصلاً، والمضطربة التي كانت لها عادة فاضطربت بعدها حتّى صار لها الاضطراب سنّةً ودأباً، والمضطربة وقتاً المبتدئة عدداً وبالعكس، كلّها ترجع إلى التمييز؛ لعموم أدلّته، و إلّا فإلى نسائها، و إلّا فإلى الروايات، كما قدّمنا، وكذا الناسية لحالها من عادة أو اضطراب أو غيرهما</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3198093_1280447820"/>
      <w:bookmarkStart w:id="964" w:name="_Toc373"/>
      <w:bookmarkEnd w:id="963"/>
      <w:r>
        <w:rPr>
          <w:rtl w:val="true"/>
        </w:rPr>
        <w:t>فی بیان حکم المضطربة الناسية للوقت والعدد</w:t>
      </w:r>
      <w:bookmarkEnd w:id="964"/>
    </w:p>
    <w:p>
      <w:pPr>
        <w:pStyle w:val="BookText"/>
        <w:rPr/>
      </w:pPr>
      <w:r>
        <w:rPr>
          <w:rFonts w:ascii="Amiri" w:hAnsi="Amiri" w:eastAsia="Amiri" w:cs="Amiri"/>
          <w:color w:val="111111"/>
          <w:sz w:val="28"/>
          <w:sz w:val="28"/>
          <w:szCs w:val="28"/>
          <w:rtl w:val="true"/>
          <w:lang w:bidi="ar-SA"/>
        </w:rPr>
        <w:t>وأمّا المضطربة الناسية للوقت والعدد، فالمشهور أنّها عند فقد التمييز ترجع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السبع في كلّ شهر، أو الثلاث من شهر والعشرة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على ذلك الإجماع</w:t>
      </w:r>
      <w:r>
        <w:rPr>
          <w:rStyle w:val="FootnoteAnchor"/>
          <w:rtl w:val="true"/>
        </w:rPr>
        <w:footnoteReference w:id="1856"/>
      </w:r>
      <w:r>
        <w:rPr>
          <w:rFonts w:ascii="Amiri" w:hAnsi="Amiri" w:eastAsia="Amiri" w:cs="Amiri"/>
          <w:color w:val="111111"/>
          <w:sz w:val="28"/>
          <w:sz w:val="28"/>
          <w:szCs w:val="28"/>
          <w:rtl w:val="true"/>
          <w:lang w:bidi="ar-SA"/>
        </w:rPr>
        <w:t>، وهو الأقرب للجمع بين الأخبار المتقدّمة بضميمة نقل الشهرة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المضطربة بهذا المعنى ترجع إلى السبع لا غير</w:t>
      </w:r>
      <w:r>
        <w:rPr>
          <w:rStyle w:val="FootnoteAnchor"/>
          <w:rtl w:val="true"/>
        </w:rPr>
        <w:footnoteReference w:id="1857"/>
      </w:r>
      <w:r>
        <w:rPr>
          <w:rFonts w:ascii="Amiri" w:hAnsi="Amiri" w:eastAsia="Amiri" w:cs="Amiri"/>
          <w:color w:val="111111"/>
          <w:sz w:val="28"/>
          <w:sz w:val="28"/>
          <w:szCs w:val="28"/>
          <w:rtl w:val="true"/>
          <w:lang w:bidi="ar-SA"/>
        </w:rPr>
        <w:t>، كالمبتدأة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الستّ</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الصلاة كلّما رأت الدم، وتصلّي كلّما رأت النقاء إلى أن ترجع إلى الصحّة</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ذلك إلى شهر ، ثمّ تعمل عمل المستحاضة</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عادة نسائها، ثمّ التمييز، ثمّ إلى السبعة</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الثلاثة ثمّ العشرة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بالعكس</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الثلاثة في كلّ شهر</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bookmarkStart w:id="965" w:name="pg18988_203512"/>
    </w:p>
    <w:p>
      <w:pPr>
        <w:pStyle w:val="BookText"/>
        <w:rPr/>
      </w:pPr>
      <w:bookmarkEnd w:id="96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عشرة طهر وعشرة حيض</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بالاحتياط عمل المستحاضة، وتغتسل بعد الثلاثة لكلّ صلاة؛ لاحتمال الانقطاع</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13198095_1280447820"/>
      <w:bookmarkStart w:id="967" w:name="_Toc374"/>
      <w:bookmarkEnd w:id="966"/>
      <w:r>
        <w:rPr>
          <w:rtl w:val="true"/>
        </w:rPr>
        <w:t>الثالث والعشرون في بيان عمل النساء ذوات الدم ممّا تقدّم بيانه</w:t>
      </w:r>
      <w:r>
        <w:rPr>
          <w:rtl w:val="true"/>
        </w:rPr>
        <w:t>.</w:t>
      </w:r>
      <w:bookmarkEnd w:id="967"/>
    </w:p>
    <w:p>
      <w:pPr>
        <w:pStyle w:val="BookText"/>
        <w:rPr/>
      </w:pPr>
      <w:r>
        <w:rPr>
          <w:rFonts w:ascii="Amiri" w:hAnsi="Amiri" w:eastAsia="Amiri" w:cs="Amiri"/>
          <w:color w:val="111111"/>
          <w:sz w:val="28"/>
          <w:sz w:val="28"/>
          <w:szCs w:val="28"/>
          <w:rtl w:val="true"/>
          <w:lang w:bidi="ar-SA"/>
        </w:rPr>
        <w:t>اعلم أنّ كلّ دم تراه المرأة ممّا يمكن أن يكون حيضاً فهو حيض عند اجتماع شرائطه، ويستمرّ الحكم للعاشر، فإن انقطع كان الجميع حيضاً، وإن عاد بعد الانقطاع، فإن كان بعد مضيّ عشرة نقاء فكلٌّ منهما حيض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عاد قبل مضيّ العشرة، فإن كانت ذات عادة حُكم على ما في العادة بالحيض، سواء ملأ العادة أو بعضها أو زاد عليها، فإنّه يُحكم بالحيض إلى حين الانقطاع ولو زاد الانقطاع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وقتيّةً عدديّةً، وإن كانت وقتيّةٌ فقط، تحيّضت بما في الوقت إلى حين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عدديّةً وكان الدم متساوياً في الوصف والعدد تخيّرت، ولا يبعد ترجيح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 الوصف، تحيّضت بالموصوف دون غيره، أو الأجمع، أو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 العدد، تحيّضت بما يوافق العدد دون ما زاد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مضطربةً أو مبتدأةً، تحيّضت برؤية الدم إلى حين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انقطع على العشرة فما دون وإن استمرّ حتّى تجاوز العشرة أو انقطع قبل العشرة فعاد قبلها فاستمرّ، فذات العادة الوقتيّة العدديّة ترجع إليها، وذات الوقتيّة ترجع إلى الوقت وتكمل الأوّل ما يُحكم به للمضطربة إن عيّنت الأوّل، أو تكمل الأخير من الأوّل إن عيّنت الأخير، أو تكمل الوسط من الطرفين إن عيّنت الوسط ولها التخيير إن عيّنت يوماً مّا، وذات العدديّة ترجع إلى العدد، وفي تعيين الوقت ترجع إلى الموصوف أو الأشدّ أو الأجمع، وإلّا فالتخيير، ولا يبعد ترجيح السابق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العادة تميّز مطلقاً، والعادة مقدّمة عليه، سواء أمكن الأخذ بهما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رأته في العادة ثمّ بعدها بعشرة رأته موصوفاً بوصف الحيض، فإنّ حيضها ما في العادة؛ لأنّ لكلّ شهرٍ حيضة، وكذا لو رأته في العادة ثمّ رأته بعدها موصوفاً وكان المجموع منها ومنه لم يزد </w:t>
      </w:r>
    </w:p>
    <w:p>
      <w:pPr>
        <w:pStyle w:val="BookText"/>
        <w:rPr/>
      </w:pPr>
      <w:r>
        <w:rPr>
          <w:rFonts w:ascii="Amiri" w:hAnsi="Amiri" w:eastAsia="Amiri" w:cs="Amiri"/>
          <w:color w:val="111111"/>
          <w:sz w:val="28"/>
          <w:sz w:val="28"/>
          <w:szCs w:val="28"/>
          <w:rtl w:val="true"/>
          <w:lang w:bidi="ar-SA"/>
        </w:rPr>
        <w:t xml:space="preserve">على عشرة، فإنّه يُحكم بحيضيّة ما في العادة فقط دون المجموع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يمكن الأخذ بهما، كما إذا رأته في العادة ثمّ رأته موصوفاً بعدها دون أقلّ الظهر وقد تجاوز معها العشرة، فإنّه يُحكم بحيضيّة ما في العادة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اتّفق التمييز مع العادة العدديّة فلا كلام، ولو اختلفا أُخذ من الموصوف قدر العادة وتُرك الباقي وإن نقص عن العشرة على الأقوى، مع احتمال الأخذ بجميع الموصوف؛ جمعاً بین العادة والتمييز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اجتمع غير موصوف قدر العادة وموصوف أزيد منها أو أنقص،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الموصوف و تكميله بقدر العادة إن نقص، والاقتصار على مقدار العادة إن زاد وتجاوز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يتجاوز، فالأظهر أنّه كذلك، مع احتمال جعل مجموعه حيضاً،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المبتدأة والمضطربة بجميع معانيها ما عدا الناسية، فإنّهما عند التجاوز ترجعان إلى التمييز، ثمّ إلى عادة نسائهنّ، ثمّ إلى رواية السبع</w:t>
      </w:r>
      <w:r>
        <w:rPr>
          <w:rStyle w:val="FootnoteAnchor"/>
          <w:rtl w:val="true"/>
        </w:rPr>
        <w:footnoteReference w:id="1867"/>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الناسية فترجع إلى التمييز، ثمّ إلى التخيير بين رواية السبع </w:t>
      </w:r>
      <w:r>
        <w:rPr>
          <w:rStyle w:val="FootnoteAnchor"/>
          <w:rtl w:val="true"/>
        </w:rPr>
        <w:footnoteReference w:id="1868"/>
      </w:r>
      <w:r>
        <w:rPr>
          <w:rFonts w:ascii="Amiri" w:hAnsi="Amiri" w:eastAsia="Amiri" w:cs="Amiri"/>
          <w:color w:val="111111"/>
          <w:sz w:val="28"/>
          <w:sz w:val="28"/>
          <w:szCs w:val="28"/>
          <w:rtl w:val="true"/>
          <w:lang w:bidi="ar-SA"/>
        </w:rPr>
        <w:t>في كلّ شهر وبين رواية الثلاث والعشر</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نسيت الوقت والعدد بعد أن كانت لها عادة، وإن نسيت ما كانت عليه من عادة أو اضطراب أو غيرهما، فلا يبعد رجوعها بعد التمييز للنساء ثم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نسيت الوقت فقط بعد أن كان لها وقت أو لم تدر تحيّضت بالعدد، وتخيّرت في وضعه حيث شاءت، 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يكن مختلفاً بالوصف، و إلّا قدّمت الموصوف على غيره أو الأشدّ أو الأجمع،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رجوعها للأنساب والأقران في الوقت وجه لا يبعد البناء عليه سيّما في الثاني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نسيت الوقت وذكرت بعض العدد أضافت إلى العدد ما يكمل به العدد المخيّرة به من السبعة والثلاثة والعشرة بعد فقد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الرجوع إلى الأنساب والأقران وجه، وترجع الوقت إلى ما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نسيت العدد فقط بعد أن كان لها عدد أو لم تدر بما كانت عليه، رجعت إلى التمييز، و إلّا فإلى الأنساب ثمّ الأقران في وجهٍ، ثمّ إلى التخيير بما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الوقت فإن كان المحفوظ أوّل الوقت أضافت إليه يومين من بعدُ، وإن كان آخره أضافت إليه كذلك من قبلُ، وإن كان وسطه أضافت إليه كذلك من الطرفين ورجعت فيما زاد إلى الوصف، ثمّ إلى التخيير بما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عيّنت من الأوّل أو الوسط أو الآخر ما يساوي أقلّ الحيض أو يزيد عليه جعلته حيضاً ورجعت فيما زاد إلى حكم الناسية المتقدّم، مع احتمال تقديم أصل الحيض إلى عشرة، واحتمال الاقتصار على الثلاثة؛ 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عيّنت يوماً مّا خصّته للحيض ورجعت فيما زاد إلى حكم المضطربة 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الناسية للذكر، فإن ذكرت الجميع ووجدته موافقاً فلا كلام، وإن ذكرت شيئاً من أوصاف العادة ينافي الرجوع إلى أحكام المضطربة جمعت بينهما إن أمكنت، وإلّا قدّمت ما تقضي به العادة على الوصف والروايات، فلو ذكرت أنّ حيضها فوق السبع لغا الرجوع للسبعة وللثلاثة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وجدته مخالفاً قضت ما يجب قضاؤه، وفي صحّة طلاقها إشكال، ولا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ذكرت بعض الوقت فإن كان الأوّل أضافت إليه من بعدُ يومين، وإن كان الآخر أضافت إليه من قبلُ، وإن كان الوسط أضافت إليه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يوماً مّا أضافت إليه من أيّ طرفٍ شاءت، والأقوى ترجيح الموصوف في الإضافة وترجيح الأسبق، وكانت فيما زاد بحكم المضطربة 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تشخّص الوقت ولكن عيّنته في وقتٍ يزيد عليه، فإن ساوى العدد نصف الوقت أو أقلّ منه كانت بحكم المضطربة فتلحظ الوقت مع الإمكان، و إلّا تخيّرت، والأولى مراعاة الأوّل كما إذا كان العدد المحفوظ ثلاثةً في ضمن عشرة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زاد العدد، كما لو ضيّعت ستّة فما فوق في ضمن عشرة معيّنة، أخذت ما تيقّنته أنّه حيض، وعملت في الباقي عمل المضطربة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علمت أنّها كانت تصل العشرة الأُولى بالوسطى بيومين، فالعاشر والحادي عشر حيض بيقين، وكذا لو علمت أنها توصل العشرة الوسطى بالأخيرة وهكذا، وترجع في الباقي </w:t>
      </w:r>
      <w:bookmarkStart w:id="968" w:name="pg18988_203515"/>
    </w:p>
    <w:p>
      <w:pPr>
        <w:pStyle w:val="BookText"/>
        <w:rPr/>
      </w:pPr>
      <w:bookmarkEnd w:id="968"/>
      <w:r>
        <w:rPr>
          <w:rFonts w:ascii="Amiri" w:hAnsi="Amiri" w:eastAsia="Amiri" w:cs="Amiri"/>
          <w:color w:val="111111"/>
          <w:sz w:val="28"/>
          <w:sz w:val="28"/>
          <w:szCs w:val="28"/>
          <w:rtl w:val="true"/>
          <w:lang w:bidi="ar-SA"/>
        </w:rPr>
        <w:t>إلى عمل المضطربة من الرجوع إلى الوصف ثمّ إلى التخيير بين الروايات، وتتخيّر في التكميل بين الأوّل أو الآخر أو الطرف وإن كان تقديم السابق أولى</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3198097_1280447820"/>
      <w:bookmarkStart w:id="970" w:name="_Toc375"/>
      <w:bookmarkEnd w:id="969"/>
      <w:r>
        <w:rPr>
          <w:rtl w:val="true"/>
        </w:rPr>
        <w:t>الرابع والعشرون</w:t>
      </w:r>
      <w:r>
        <w:rPr>
          <w:rtl w:val="true"/>
        </w:rPr>
        <w:t xml:space="preserve">: </w:t>
      </w:r>
      <w:r>
        <w:rPr>
          <w:rtl w:val="true"/>
        </w:rPr>
        <w:t>للحائض أحكام</w:t>
      </w:r>
      <w:bookmarkEnd w:id="97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التحيّض في مقام التخيير بيدها، ولو امتنعت جبرها الحاكم، ولا يبعد أنّ لذي الحقّ جبرها من سيّد أو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اختارت عدداً ، جاز لها العدول إلى غيره ما لم تتعدّاه ، والأحوط عدم ذلك بعد التلبّس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تلتزم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عملت على مرتبة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إلى عادة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مرتبة عليا كالوصف، أو عملت على الروايات فظهرت عادة نسائها، فإن كان في الأثناء ألغته وعملت على المرتبة العليا، وإن كان بعد الفراغ فوجهان،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الأقوى بعد ذلك، والأخذ بما يجتمع فيه كلٌّ من حكمي الطاهر والحائض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يحرم عليها الصلاة والصوم والطواف ومسّ كتابة القرآن؛ للأخبار</w:t>
      </w:r>
      <w:r>
        <w:rPr>
          <w:rStyle w:val="FootnoteAnchor"/>
          <w:rtl w:val="true"/>
        </w:rPr>
        <w:footnoteReference w:id="1870"/>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تتوقّف صحّة صومها على غسلها قبل الفجر بعد النقاء، أم لا؟ قولان،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طلاقها مع حضور الزوج أو حكمه بعد الدخول بها وعدم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عليها اللبث في المساجد ودخول المسجدين؛ لفتوى الأصحاب وأخبار الباب</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بالمسجدين الحضرات المنوّرة على الأظهر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عليها وضع شيء في المسجد؛ لأنّها تقدر أن تضع ما في يدها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عليها أخذ شيء منه؛ لأنّها لا تستطيع أن تأخذ ما فيه إلّا منه، كما هو مضمون الرواية</w:t>
      </w:r>
      <w:r>
        <w:rPr>
          <w:rStyle w:val="FootnoteAnchor"/>
          <w:rtl w:val="true"/>
        </w:rPr>
        <w:footnoteReference w:id="1872"/>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ويحرم عليها قراءة العزائم؛ للأخبار الدالّة على تحريم قراءة السجدة عليها</w:t>
      </w:r>
      <w:r>
        <w:rPr>
          <w:rStyle w:val="FootnoteAnchor"/>
          <w:rtl w:val="true"/>
        </w:rPr>
        <w:footnoteReference w:id="1873"/>
      </w:r>
      <w:r>
        <w:rPr>
          <w:rFonts w:ascii="Amiri" w:hAnsi="Amiri" w:eastAsia="Amiri" w:cs="Amiri"/>
          <w:color w:val="111111"/>
          <w:sz w:val="28"/>
          <w:sz w:val="28"/>
          <w:szCs w:val="28"/>
          <w:rtl w:val="true"/>
          <w:lang w:bidi="ar-SA"/>
        </w:rPr>
        <w:t>، وفتوى الأصحاب، ولا يراد بالسجدة في الأخبار نفسها قطعاً، بل إمّا الآية أو السورة، و لمّا كان المتعارف بالإطلاق والذي فهمه الأصحاب هو السورة كان التحريم متعلّقاً بها، ويتعلّق التحريم بالمختصّ منها وبالمشترك مع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وأجاز بعضهم</w:t>
      </w:r>
      <w:r>
        <w:rPr>
          <w:rStyle w:val="FootnoteAnchor"/>
          <w:rtl w:val="true"/>
        </w:rPr>
        <w:footnoteReference w:id="1874"/>
      </w:r>
      <w:r>
        <w:rPr>
          <w:rFonts w:ascii="Amiri" w:hAnsi="Amiri" w:eastAsia="Amiri" w:cs="Amiri"/>
          <w:color w:val="111111"/>
          <w:sz w:val="28"/>
          <w:sz w:val="28"/>
          <w:szCs w:val="28"/>
          <w:rtl w:val="true"/>
          <w:lang w:bidi="ar-SA"/>
        </w:rPr>
        <w:t>للحائض دخول الحضرات بل اللبث فيهنّ؛ لعدم الدليل على حرمة ذلك، وقياسها على الجنب قياس لا نقول به على أنّ دليل الجنب هو ما ورد من النهي عن دخول الجنب بيوت الأنبياء حال الحياة</w:t>
      </w:r>
      <w:r>
        <w:rPr>
          <w:rStyle w:val="FootnoteAnchor"/>
          <w:rtl w:val="true"/>
        </w:rPr>
        <w:footnoteReference w:id="1875"/>
      </w:r>
      <w:r>
        <w:rPr>
          <w:rFonts w:ascii="Amiri" w:hAnsi="Amiri" w:eastAsia="Amiri" w:cs="Amiri"/>
          <w:color w:val="111111"/>
          <w:sz w:val="28"/>
          <w:sz w:val="28"/>
          <w:szCs w:val="28"/>
          <w:rtl w:val="true"/>
          <w:lang w:bidi="ar-SA"/>
        </w:rPr>
        <w:t>، ولم يرد في الحائض ذلك، بل سيرة النساء عند سؤال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عليهم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عليها السجدة إذا استمعتها؛ للأخبار</w:t>
      </w:r>
      <w:r>
        <w:rPr>
          <w:rStyle w:val="FootnoteAnchor"/>
          <w:rtl w:val="true"/>
        </w:rPr>
        <w:footnoteReference w:id="1876"/>
      </w:r>
      <w:r>
        <w:rPr>
          <w:rFonts w:ascii="Amiri" w:hAnsi="Amiri" w:eastAsia="Amiri" w:cs="Amiri"/>
          <w:color w:val="111111"/>
          <w:sz w:val="28"/>
          <w:sz w:val="28"/>
          <w:szCs w:val="28"/>
          <w:rtl w:val="true"/>
          <w:lang w:bidi="ar-SA"/>
        </w:rPr>
        <w:t>وكلام الأصحاب، ويلحق بها تلاوتها بطريق أولى؛ لأنّه سماع وزيادة خلافاً للشيخ حيث منع السجود عليها؛ لاشتراط الطهارة فيه</w:t>
      </w:r>
      <w:r>
        <w:rPr>
          <w:rStyle w:val="FootnoteAnchor"/>
          <w:rtl w:val="true"/>
        </w:rPr>
        <w:footnoteReference w:id="1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تجب عليها عند السماع من دون الاستماع والإنصات، أم لا تجب؟ قولان،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للأصل، والإجماع المنقول</w:t>
      </w:r>
      <w:r>
        <w:rPr>
          <w:rStyle w:val="FootnoteAnchor"/>
          <w:rtl w:val="true"/>
        </w:rPr>
        <w:footnoteReference w:id="1878"/>
      </w:r>
      <w:r>
        <w:rPr>
          <w:rFonts w:ascii="Amiri" w:hAnsi="Amiri" w:eastAsia="Amiri" w:cs="Amiri"/>
          <w:color w:val="111111"/>
          <w:sz w:val="28"/>
          <w:sz w:val="28"/>
          <w:szCs w:val="28"/>
          <w:rtl w:val="true"/>
          <w:lang w:bidi="ar-SA"/>
        </w:rPr>
        <w:t>، وصحيحة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سجده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أن يكون منصتاً لقراءته مستمعاً لها، أو يصلّي بصلاته</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وموثّقة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السجود قبل الغروب وبعد الفجر فلا يسجد</w:t>
      </w:r>
      <w:r>
        <w:rPr>
          <w:rFonts w:eastAsia="Amiri" w:cs="Amiri" w:ascii="Amiri" w:hAnsi="Amiri"/>
          <w:color w:val="111111"/>
          <w:sz w:val="28"/>
          <w:szCs w:val="28"/>
          <w:rtl w:val="true"/>
          <w:lang w:bidi="ar-SA"/>
        </w:rPr>
        <w:t>»</w:t>
      </w:r>
      <w:r>
        <w:rPr>
          <w:rStyle w:val="FootnoteAnchor"/>
          <w:rtl w:val="true"/>
        </w:rPr>
        <w:footnoteReference w:id="1880"/>
      </w:r>
      <w:r>
        <w:rPr>
          <w:rFonts w:ascii="Amiri" w:hAnsi="Amiri" w:eastAsia="Amiri" w:cs="Amiri"/>
          <w:color w:val="111111"/>
          <w:sz w:val="28"/>
          <w:sz w:val="28"/>
          <w:szCs w:val="28"/>
          <w:rtl w:val="true"/>
          <w:lang w:bidi="ar-SA"/>
        </w:rPr>
        <w:t>فإنّ الواجب لا يجوز تركه للكراهية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هل تقرأ القرآن وتسجد إذا سمعت السجدة؟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ولا تسجد</w:t>
      </w:r>
      <w:r>
        <w:rPr>
          <w:rFonts w:eastAsia="Amiri" w:cs="Amiri" w:ascii="Amiri" w:hAnsi="Amiri"/>
          <w:color w:val="111111"/>
          <w:sz w:val="28"/>
          <w:szCs w:val="28"/>
          <w:rtl w:val="true"/>
          <w:lang w:bidi="ar-SA"/>
        </w:rPr>
        <w:t>»</w:t>
      </w:r>
      <w:r>
        <w:rPr>
          <w:rStyle w:val="FootnoteAnchor"/>
          <w:rtl w:val="true"/>
        </w:rPr>
        <w:footnoteReference w:id="1881"/>
      </w:r>
      <w:r>
        <w:rPr>
          <w:rFonts w:ascii="Amiri" w:hAnsi="Amiri" w:eastAsia="Amiri" w:cs="Amiri"/>
          <w:color w:val="111111"/>
          <w:sz w:val="28"/>
          <w:sz w:val="28"/>
          <w:szCs w:val="28"/>
          <w:rtl w:val="true"/>
          <w:lang w:bidi="ar-SA"/>
        </w:rPr>
        <w:t>والنهي بعد توهّم الوجوب ،للإباحة، وحملها على النهي عن قراءة السجدة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بالوجوب</w:t>
      </w:r>
      <w:r>
        <w:rPr>
          <w:rStyle w:val="FootnoteAnchor"/>
          <w:rtl w:val="true"/>
        </w:rPr>
        <w:footnoteReference w:id="1882"/>
      </w:r>
      <w:r>
        <w:rPr>
          <w:rFonts w:ascii="Amiri" w:hAnsi="Amiri" w:eastAsia="Amiri" w:cs="Amiri"/>
          <w:color w:val="111111"/>
          <w:sz w:val="28"/>
          <w:sz w:val="28"/>
          <w:szCs w:val="28"/>
          <w:rtl w:val="true"/>
          <w:lang w:bidi="ar-SA"/>
        </w:rPr>
        <w:t>، ونقل عليه الإجماع</w:t>
      </w:r>
      <w:r>
        <w:rPr>
          <w:rStyle w:val="FootnoteAnchor"/>
          <w:rtl w:val="true"/>
        </w:rPr>
        <w:footnoteReference w:id="1883"/>
      </w:r>
      <w:r>
        <w:rPr>
          <w:rFonts w:ascii="Amiri" w:hAnsi="Amiri" w:eastAsia="Amiri" w:cs="Amiri"/>
          <w:color w:val="111111"/>
          <w:sz w:val="28"/>
          <w:sz w:val="28"/>
          <w:szCs w:val="28"/>
          <w:rtl w:val="true"/>
          <w:lang w:bidi="ar-SA"/>
        </w:rPr>
        <w:t>، واستدلّ عليه بالأخبار الآمرة بالسجود على مَنْ سمع السجدة</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معارض بإجماعٍ أقوى منه، والأخبار مقيّدة بصورة الاستماع حملاً للمطلق على المقيّد إن كان السماع أعمّ من الاستماع، وإن كان بينهما مقابلة حملناها على الندب؛ لأنّه خير من طرحها بعد معارضتها بما هو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وطؤها قُبُلاً، إجماعاً وكتاباً</w:t>
      </w:r>
      <w:r>
        <w:rPr>
          <w:rStyle w:val="FootnoteAnchor"/>
          <w:rtl w:val="true"/>
        </w:rPr>
        <w:footnoteReference w:id="1885"/>
      </w:r>
      <w:r>
        <w:rPr>
          <w:rFonts w:ascii="Amiri" w:hAnsi="Amiri" w:eastAsia="Amiri" w:cs="Amiri"/>
          <w:color w:val="111111"/>
          <w:sz w:val="28"/>
          <w:sz w:val="28"/>
          <w:szCs w:val="28"/>
          <w:rtl w:val="true"/>
          <w:lang w:bidi="ar-SA"/>
        </w:rPr>
        <w:t>، وسنّةً</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في قولها إذا لم تكن متّهمة؛ لما ورد من الحكم بتصديقهنّ</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وذات العادة يجب اجتنابها ما دامت في العادة والأحوط انتظارها للعشر؛ للاستصحاب، واحتمال الانقطاع والمبتدأة إلى تمام العشر والمضطربة إلى تمام ما تتحيّض به كما مرّ آنفاً، ولو لم تُعيّن حيضها في مقام التخيير جبرها الحاكم على التعيين، فإن لم يمكن احتمل جواز وطئها مطلقاً؛ للأصل، والاجتناب مطلقاً؛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وتفويض أمر التعيين إليه والنقاء المعتاد لها بين الدمين حكمه حكم الدم على الأظهر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وطؤها بعد النقاء قبل الغسل شبقاً كان أم لا؛ للأصل، وعدم صدق الحائض عليها بعد ذلك لغةً وشرعاً، ووجوب الغسل تابع لحدث الحيض شرعاً لا للحيض نفسه، ولفتوى المشهور، والإجماع المنقول</w:t>
      </w:r>
      <w:r>
        <w:rPr>
          <w:rStyle w:val="FootnoteAnchor"/>
          <w:rtl w:val="true"/>
        </w:rPr>
        <w:footnoteReference w:id="1888"/>
      </w:r>
      <w:r>
        <w:rPr>
          <w:rFonts w:ascii="Amiri" w:hAnsi="Amiri" w:eastAsia="Amiri" w:cs="Amiri"/>
          <w:color w:val="111111"/>
          <w:sz w:val="28"/>
          <w:sz w:val="28"/>
          <w:szCs w:val="28"/>
          <w:rtl w:val="true"/>
          <w:lang w:bidi="ar-SA"/>
        </w:rPr>
        <w:t>، والأخبار كموثّقة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ترى الطهر فيقع عليها زوجها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وبعد الغسل أحبّ إليَّ</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من الحيض ولم تمسّ الماء فلا يقع عليها زوجها حتّى تغتسل، فإن فعل ذلك فلا بأس به</w:t>
      </w:r>
      <w:r>
        <w:rPr>
          <w:rFonts w:eastAsia="Amiri" w:cs="Amiri" w:ascii="Amiri" w:hAnsi="Amiri"/>
          <w:color w:val="111111"/>
          <w:sz w:val="28"/>
          <w:szCs w:val="28"/>
          <w:rtl w:val="true"/>
          <w:lang w:bidi="ar-SA"/>
        </w:rPr>
        <w:t>»</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Style w:val="FootnoteAnchor"/>
          <w:rtl w:val="true"/>
        </w:rPr>
        <w:footnoteReference w:id="1891"/>
      </w:r>
      <w:r>
        <w:rPr>
          <w:rFonts w:ascii="Amiri" w:hAnsi="Amiri" w:eastAsia="Amiri" w:cs="Amiri"/>
          <w:color w:val="111111"/>
          <w:sz w:val="28"/>
          <w:sz w:val="28"/>
          <w:szCs w:val="28"/>
          <w:rtl w:val="true"/>
          <w:lang w:bidi="ar-SA"/>
        </w:rPr>
        <w:t xml:space="preserve">بقراءة التخفيف، حيث إنّ الطهارة بالمعنى </w:t>
      </w:r>
    </w:p>
    <w:p>
      <w:pPr>
        <w:pStyle w:val="BookText"/>
        <w:rPr/>
      </w:pPr>
      <w:r>
        <w:rPr>
          <w:rFonts w:ascii="Amiri" w:hAnsi="Amiri" w:eastAsia="Amiri" w:cs="Amiri"/>
          <w:color w:val="111111"/>
          <w:sz w:val="28"/>
          <w:sz w:val="28"/>
          <w:szCs w:val="28"/>
          <w:rtl w:val="true"/>
          <w:lang w:bidi="ar-SA"/>
        </w:rPr>
        <w:t>الشرعي الذي هو رفع الحدث لم يثبت، والمعنى اللغوي شاهد لنا؛ لأنّه صالح لإرادة انقطاع الدم، ومفهوم الغاية يشعر بجوازه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أن غسل الحيض سنّة لا فريضة</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قراءة التشديد؛ 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صالحاً لإرادة التنظيف عن النجاسة وغَسْل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به جمع</w:t>
      </w:r>
      <w:r>
        <w:rPr>
          <w:rStyle w:val="FootnoteAnchor"/>
          <w:rtl w:val="true"/>
        </w:rPr>
        <w:footnoteReference w:id="1893"/>
      </w:r>
      <w:r>
        <w:rPr>
          <w:rFonts w:ascii="Amiri" w:hAnsi="Amiri" w:eastAsia="Amiri" w:cs="Amiri"/>
          <w:color w:val="111111"/>
          <w:sz w:val="28"/>
          <w:sz w:val="28"/>
          <w:szCs w:val="28"/>
          <w:rtl w:val="true"/>
          <w:lang w:bidi="ar-SA"/>
        </w:rPr>
        <w:t>و دلّ عليه الخبر فيمن انقطع عنها حيضها وأصاب زوجها شبق فليأمرها فلتغسل فرجها ثمّ يمسّها</w:t>
      </w:r>
      <w:r>
        <w:rPr>
          <w:rStyle w:val="FootnoteAnchor"/>
          <w:rtl w:val="true"/>
        </w:rPr>
        <w:footnoteReference w:id="1894"/>
      </w:r>
      <w:r>
        <w:rPr>
          <w:rFonts w:ascii="Amiri" w:hAnsi="Amiri" w:eastAsia="Amiri" w:cs="Amiri"/>
          <w:color w:val="111111"/>
          <w:sz w:val="28"/>
          <w:sz w:val="28"/>
          <w:szCs w:val="28"/>
          <w:rtl w:val="true"/>
          <w:lang w:bidi="ar-SA"/>
        </w:rPr>
        <w:t>، ويساعده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جوب غَسْل الفرج والتنظيف كما أفتى به جمع عيناً</w:t>
      </w:r>
      <w:r>
        <w:rPr>
          <w:rStyle w:val="FootnoteAnchor"/>
          <w:rtl w:val="true"/>
        </w:rPr>
        <w:footnoteReference w:id="1896"/>
      </w:r>
      <w:r>
        <w:rPr>
          <w:rFonts w:ascii="Amiri" w:hAnsi="Amiri" w:eastAsia="Amiri" w:cs="Amiri"/>
          <w:color w:val="111111"/>
          <w:sz w:val="28"/>
          <w:sz w:val="28"/>
          <w:szCs w:val="28"/>
          <w:rtl w:val="true"/>
          <w:lang w:bidi="ar-SA"/>
        </w:rPr>
        <w:t>، وجمع آخَر تخييراً بينه وبين الغسل</w:t>
      </w:r>
      <w:r>
        <w:rPr>
          <w:rStyle w:val="FootnoteAnchor"/>
          <w:rtl w:val="true"/>
        </w:rPr>
        <w:footnoteReference w:id="1897"/>
      </w:r>
      <w:r>
        <w:rPr>
          <w:rFonts w:ascii="Amiri" w:hAnsi="Amiri" w:eastAsia="Amiri" w:cs="Amiri"/>
          <w:color w:val="111111"/>
          <w:sz w:val="28"/>
          <w:sz w:val="28"/>
          <w:szCs w:val="28"/>
          <w:rtl w:val="true"/>
          <w:lang w:bidi="ar-SA"/>
        </w:rPr>
        <w:t xml:space="preserve">للأصل، وخلوّ الأخبار البيانيّة في مقام الحاجة عنه، فلتُحمل الآية والرواية على الندب، أو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أنّ مفهوم الشرط نفي الإباحة وهو حاصل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 الأخبار من المنع عن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كموثّقة أبي بصير، الناهية عن وطئها حتّى تغتسل</w:t>
      </w:r>
      <w:r>
        <w:rPr>
          <w:rStyle w:val="FootnoteAnchor"/>
          <w:rtl w:val="true"/>
        </w:rPr>
        <w:footnoteReference w:id="1898"/>
      </w:r>
      <w:r>
        <w:rPr>
          <w:rFonts w:ascii="Amiri" w:hAnsi="Amiri" w:eastAsia="Amiri" w:cs="Amiri"/>
          <w:color w:val="111111"/>
          <w:sz w:val="28"/>
          <w:sz w:val="28"/>
          <w:szCs w:val="28"/>
          <w:rtl w:val="true"/>
          <w:lang w:bidi="ar-SA"/>
        </w:rPr>
        <w:t>، وموثّقة عبد الرحمن</w:t>
      </w:r>
      <w:r>
        <w:rPr>
          <w:rStyle w:val="FootnoteAnchor"/>
          <w:rtl w:val="true"/>
        </w:rPr>
        <w:footnoteReference w:id="1899"/>
      </w:r>
      <w:r>
        <w:rPr>
          <w:rFonts w:ascii="Amiri" w:hAnsi="Amiri" w:eastAsia="Amiri" w:cs="Amiri"/>
          <w:color w:val="111111"/>
          <w:sz w:val="28"/>
          <w:sz w:val="28"/>
          <w:szCs w:val="28"/>
          <w:rtl w:val="true"/>
          <w:lang w:bidi="ar-SA"/>
        </w:rPr>
        <w:t>وموثّقة سعيد</w:t>
      </w:r>
      <w:r>
        <w:rPr>
          <w:rStyle w:val="FootnoteAnchor"/>
          <w:rtl w:val="true"/>
        </w:rPr>
        <w:footnoteReference w:id="1900"/>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أو الكراهة جمعاً؛ لعدم القائل بمضمونها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الإتيان إليها قبل الغسل، إلّا أن يكون شبقاً فيأمرها بغَسْل فرجها؛ لفتوى الصدوق</w:t>
      </w:r>
      <w:r>
        <w:rPr>
          <w:rStyle w:val="FootnoteAnchor"/>
          <w:rtl w:val="true"/>
        </w:rPr>
        <w:footnoteReference w:id="1901"/>
      </w:r>
      <w:r>
        <w:rPr>
          <w:rFonts w:ascii="Amiri" w:hAnsi="Amiri" w:eastAsia="Amiri" w:cs="Amiri"/>
          <w:color w:val="111111"/>
          <w:sz w:val="28"/>
          <w:sz w:val="28"/>
          <w:szCs w:val="28"/>
          <w:rtl w:val="true"/>
          <w:lang w:bidi="ar-SA"/>
        </w:rPr>
        <w:t>، وأن لا يؤتى إليها مطلقاً إلّا بعد غسل فرجها؛ لفتوى جمع بذلك</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الاستمتاع بها في غير القُبُل ولو في الدُّبُر؛ للأصل، وفتوى المشهور، وظاهر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فِي الْمَحِيضِ</w:t>
      </w:r>
      <w:r>
        <w:rPr>
          <w:rStyle w:val="FootnoteAnchor"/>
          <w:rtl w:val="true"/>
        </w:rPr>
        <w:footnoteReference w:id="1903"/>
      </w:r>
      <w:r>
        <w:rPr>
          <w:rFonts w:ascii="Amiri" w:hAnsi="Amiri" w:eastAsia="Amiri" w:cs="Amiri"/>
          <w:color w:val="111111"/>
          <w:sz w:val="28"/>
          <w:sz w:val="28"/>
          <w:szCs w:val="28"/>
          <w:rtl w:val="true"/>
          <w:lang w:bidi="ar-SA"/>
        </w:rPr>
        <w:t xml:space="preserve">بإرادة اسم المكان دون المصدر </w:t>
      </w:r>
    </w:p>
    <w:p>
      <w:pPr>
        <w:pStyle w:val="BookText"/>
        <w:rPr/>
      </w:pPr>
      <w:r>
        <w:rPr>
          <w:rFonts w:ascii="Amiri" w:hAnsi="Amiri" w:eastAsia="Amiri" w:cs="Amiri"/>
          <w:color w:val="111111"/>
          <w:sz w:val="28"/>
          <w:sz w:val="28"/>
          <w:szCs w:val="28"/>
          <w:rtl w:val="true"/>
          <w:lang w:bidi="ar-SA"/>
        </w:rPr>
        <w:t>واسم الزمان؛ لافتقارهما إلى تكلّفٍ،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w:t>
      </w:r>
      <w:r>
        <w:rPr>
          <w:rStyle w:val="FootnoteAnchor"/>
          <w:rtl w:val="true"/>
        </w:rPr>
        <w:footnoteReference w:id="1904"/>
      </w:r>
      <w:r>
        <w:rPr>
          <w:rFonts w:ascii="Amiri" w:hAnsi="Amiri" w:eastAsia="Amiri" w:cs="Amiri"/>
          <w:color w:val="111111"/>
          <w:sz w:val="28"/>
          <w:sz w:val="28"/>
          <w:szCs w:val="28"/>
          <w:rtl w:val="true"/>
          <w:lang w:bidi="ar-SA"/>
        </w:rPr>
        <w:t>وعمومات الأدلّة المجوّزة لمباشرة النساء والمجوّزة للوطء في الدُّبُر</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فليأتها زوجها حيث شاء ما اتّقى موضع الدم</w:t>
      </w:r>
      <w:r>
        <w:rPr>
          <w:rFonts w:eastAsia="Amiri" w:cs="Amiri" w:ascii="Amiri" w:hAnsi="Amiri"/>
          <w:color w:val="111111"/>
          <w:sz w:val="28"/>
          <w:szCs w:val="28"/>
          <w:rtl w:val="true"/>
          <w:lang w:bidi="ar-SA"/>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إليتيها ولا يوقب</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والنهي عن الإيقاب للكراهة؛ إذ لا مفصّل بالمنع بين الإيقاب وغيره من أنواع الاستمتاع، أو محمول على الوطء من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لصاحب المرأة الحائض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ما عدا القُبثل بعينه</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والضعيف من هذه الأخبار مجبور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المرتضى إلى تحريم الاستمتاع بها إلّا بما فوق المئزر، ومنع من الاستمتاع بها ما بين السرّة والركبة </w:t>
      </w:r>
      <w:r>
        <w:rPr>
          <w:rStyle w:val="FootnoteAnchor"/>
          <w:rtl w:val="true"/>
        </w:rPr>
        <w:footnoteReference w:id="1909"/>
      </w:r>
      <w:r>
        <w:rPr>
          <w:rFonts w:ascii="IRNazanin" w:hAnsi="IRNazanin" w:eastAsia="IRNazanin"/>
          <w:color w:val="111111"/>
          <w:sz w:val="28"/>
          <w:sz w:val="28"/>
          <w:szCs w:val="28"/>
          <w:rtl w:val="true"/>
          <w:lang w:bidi="fa-IR"/>
        </w:rPr>
        <w:t xml:space="preserve">استناداً لقوله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فَاعْتَزِلُوا النِّسَاءَ فِي الْمَحِيضِ</w:t>
      </w:r>
      <w:r>
        <w:rPr>
          <w:rStyle w:val="FootnoteAnchor"/>
          <w:rtl w:val="true"/>
        </w:rPr>
        <w:footnoteReference w:id="1910"/>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تَقْرَبُوهُنَّ حَتَّى يَطْهُرْنَ</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ما يحلّ لزوجها؟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تتّزر بإزار إلى الركبتين وتخرج سرّتها ثمّ له ما فوق الإزار</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درعاً ثمّ تضطجع معه</w:t>
      </w:r>
      <w:r>
        <w:rPr>
          <w:rFonts w:eastAsia="Amiri" w:cs="Amiri" w:ascii="Amiri" w:hAnsi="Amiri"/>
          <w:color w:val="111111"/>
          <w:sz w:val="28"/>
          <w:szCs w:val="28"/>
          <w:rtl w:val="true"/>
          <w:lang w:bidi="ar-SA"/>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من الطامث؟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حتّى تطهر</w:t>
      </w:r>
      <w:r>
        <w:rPr>
          <w:rFonts w:eastAsia="Amiri" w:cs="Amiri" w:ascii="Amiri" w:hAnsi="Amiri"/>
          <w:color w:val="111111"/>
          <w:sz w:val="28"/>
          <w:szCs w:val="28"/>
          <w:rtl w:val="true"/>
          <w:lang w:bidi="ar-SA"/>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لظهور إرادة المكان من لفظ المحيض دون المصدريّة والزمان، وظهور المقاربة في النكاح؛ ولأنّه لا يراد بها المعنى الحقيقي إجماعاً، فيتعيّن حمله على أقرب المجازات </w:t>
      </w:r>
    </w:p>
    <w:p>
      <w:pPr>
        <w:pStyle w:val="BookText"/>
        <w:rPr/>
      </w:pPr>
      <w:r>
        <w:rPr>
          <w:rFonts w:ascii="Amiri" w:hAnsi="Amiri" w:eastAsia="Amiri" w:cs="Amiri"/>
          <w:color w:val="111111"/>
          <w:sz w:val="28"/>
          <w:sz w:val="28"/>
          <w:szCs w:val="28"/>
          <w:rtl w:val="true"/>
          <w:lang w:bidi="ar-SA"/>
        </w:rPr>
        <w:t>وأشهرها؛ ولأنّه يلزم من إرادة العموم وخرج منه ما خرج وبقي الباقي كون الخارج أكثر من الداخل، وهو متروك، والمجاز خير منه، ولمعارضة الأخبار بما هو أقوى منها سنداً وعدداً وبُعْداً عن فتوى العامّة وعمومات الأدلّة، فلا بدّ من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وطأ الحائض عُزّر بما يراه الحاكم وقيل عليه ثُمْن حدّ الزاني</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وطأها جهلاً أو نسياناً،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فعلم في أثناء الوطء، وجب عليه الانتزاع، ويصدّقها في دعواها ما لم تكن متّهمةً أو مؤوفة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العدّة والحيض للنساء إذا ادّعت صُدّقت</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امرأة ادّعت أنّها حاضت في شهر واحد ثلاث مرّات، فأمر علىّ أن يسألوا نسوة من بطانتها أنّ حيضها كان فيما مضى كذلك، فإن شهدن صدقت و إلّا فلا </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والجمع بينهما بالاتّهام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الواطئ الكفّارة مع العلم بالحيض والتحريم، وفاقاً لمشهور المتقدّمين، ونقل عليه الإجماع</w:t>
      </w:r>
      <w:r>
        <w:rPr>
          <w:rStyle w:val="FootnoteAnchor"/>
          <w:rtl w:val="true"/>
        </w:rPr>
        <w:footnoteReference w:id="1918"/>
      </w:r>
      <w:r>
        <w:rPr>
          <w:rFonts w:ascii="Amiri" w:hAnsi="Amiri" w:eastAsia="Amiri" w:cs="Amiri"/>
          <w:color w:val="111111"/>
          <w:sz w:val="28"/>
          <w:sz w:val="28"/>
          <w:szCs w:val="28"/>
          <w:rtl w:val="true"/>
          <w:lang w:bidi="ar-SA"/>
        </w:rPr>
        <w:t>، ودلّ عليه ظاهر جملة من الأخبار</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أكثر المتأخّرين</w:t>
      </w:r>
      <w:r>
        <w:rPr>
          <w:rStyle w:val="FootnoteAnchor"/>
          <w:rtl w:val="true"/>
        </w:rPr>
        <w:footnoteReference w:id="1920"/>
      </w:r>
      <w:r>
        <w:rPr>
          <w:rFonts w:ascii="Amiri" w:hAnsi="Amiri" w:eastAsia="Amiri" w:cs="Amiri"/>
          <w:color w:val="111111"/>
          <w:sz w:val="28"/>
          <w:sz w:val="28"/>
          <w:szCs w:val="28"/>
          <w:rtl w:val="true"/>
          <w:lang w:bidi="ar-SA"/>
        </w:rPr>
        <w:t>إلى الاستحباب؛ للأصل، ولاختلاف الأخبار فيها المؤذن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النافية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واقع امرأته وهي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شيئاً يستغفر الله تعالى</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يستغفر الله تعالى</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 المؤيّدة بفتوى مشهور المتأخّرين والموافقة للعمومات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قويّ جمعاً بين الأخبار، وهو أولى من الجمع بحمل المثبتة على العالم والنافية على غيره؛ لشذوذ القول به، إلّا أنّ الأوّل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وقدرها دينار في أوّله، ونصف في وسطه، وربع في آخره، و مَنْ لم يجد تصدّق على مسكين واحد، و إلّا استغفر الله ، كما دلّت عليه رواية داوُد بن فرقد </w:t>
      </w:r>
      <w:r>
        <w:rPr>
          <w:rStyle w:val="FootnoteAnchor"/>
          <w:rtl w:val="true"/>
        </w:rPr>
        <w:footnoteReference w:id="1923"/>
      </w:r>
      <w:r>
        <w:rPr>
          <w:rFonts w:ascii="Amiri" w:hAnsi="Amiri" w:eastAsia="Amiri" w:cs="Amiri"/>
          <w:color w:val="111111"/>
          <w:sz w:val="28"/>
          <w:sz w:val="28"/>
          <w:szCs w:val="28"/>
          <w:rtl w:val="true"/>
          <w:lang w:bidi="ar-SA"/>
        </w:rPr>
        <w:t>، وأفتى به المشهور، ونقل عليه الإجماع فيما عدا الأمّة</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ورد من التصدّق بشبعة مسكين</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وأفتى به الصدوق</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 محمول على ما إذا كان القدر من قيمته قدر أحد المقادير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من التصدّق بنصف دينار</w:t>
      </w:r>
      <w:r>
        <w:rPr>
          <w:rStyle w:val="FootnoteAnchor"/>
          <w:rtl w:val="true"/>
        </w:rPr>
        <w:footnoteReference w:id="1927"/>
      </w:r>
      <w:r>
        <w:rPr>
          <w:rFonts w:ascii="Amiri" w:hAnsi="Amiri" w:eastAsia="Amiri" w:cs="Amiri"/>
          <w:color w:val="111111"/>
          <w:sz w:val="28"/>
          <w:sz w:val="28"/>
          <w:szCs w:val="28"/>
          <w:rtl w:val="true"/>
          <w:lang w:bidi="ar-SA"/>
        </w:rPr>
        <w:t>، وما ورد من التصدّق بدينار</w:t>
      </w:r>
      <w:r>
        <w:rPr>
          <w:rStyle w:val="FootnoteAnchor"/>
          <w:rtl w:val="true"/>
        </w:rPr>
        <w:footnoteReference w:id="1928"/>
      </w:r>
      <w:r>
        <w:rPr>
          <w:rFonts w:ascii="Amiri" w:hAnsi="Amiri" w:eastAsia="Amiri" w:cs="Amiri"/>
          <w:color w:val="111111"/>
          <w:sz w:val="28"/>
          <w:sz w:val="28"/>
          <w:szCs w:val="28"/>
          <w:rtl w:val="true"/>
          <w:lang w:bidi="ar-SA"/>
        </w:rPr>
        <w:t>، متروك، أو محمول على وسطه في الأوّل، وأوّله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فيمن أتى جاريته من التصدّق على عشرة مساكين</w:t>
      </w:r>
      <w:r>
        <w:rPr>
          <w:rStyle w:val="FootnoteAnchor"/>
          <w:rtl w:val="true"/>
        </w:rPr>
        <w:footnoteReference w:id="1929"/>
      </w:r>
      <w:r>
        <w:rPr>
          <w:rFonts w:ascii="Amiri" w:hAnsi="Amiri" w:eastAsia="Amiri" w:cs="Amiri"/>
          <w:color w:val="111111"/>
          <w:sz w:val="28"/>
          <w:sz w:val="28"/>
          <w:szCs w:val="28"/>
          <w:rtl w:val="true"/>
          <w:lang w:bidi="ar-SA"/>
        </w:rPr>
        <w:t>، إمّا مطّرح أو مخصوص في الجارية، أو محمول على بلوغها أحد المقادير وقت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بالاستحباب فالتخيير بين هذه المقادير غير بعيد عن مذاق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بالأوّل والوسط والأخير هو تقسيم الحيض أثلاثاً، والعمل على كلّ قسمٍ بما وُظّف كما فهمه الأصحاب، والظاهر من لفظ الرواية ذلك، ويُعرف هذا التقسيم عند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تعرفه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بالوسط هو ما بين اثنين مطلقاً، فالستّة أوّلها الأوّل و آخرها الأخير ووسطها الأربع؛ لأنّه خلاف فهم الأصحاب، وظاهر رواية الباب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يراد بالأوّل والآخر والوسط بنسبة أكثر الحيض، فالثلاثة لا وسط لها ولا آخر، والستّة لا آخر لها، والسبعة فما فوق لها أوّل ووسط وآخر، كما فهمه الراوندي</w:t>
      </w:r>
      <w:r>
        <w:rPr>
          <w:rStyle w:val="FootnoteAnchor"/>
          <w:rtl w:val="true"/>
        </w:rPr>
        <w:footnoteReference w:id="1930"/>
      </w:r>
      <w:r>
        <w:rPr>
          <w:rFonts w:ascii="Amiri" w:hAnsi="Amiri" w:eastAsia="Amiri" w:cs="Amiri"/>
          <w:color w:val="111111"/>
          <w:sz w:val="28"/>
          <w:sz w:val="28"/>
          <w:szCs w:val="28"/>
          <w:rtl w:val="true"/>
          <w:lang w:bidi="ar-SA"/>
        </w:rPr>
        <w:t>لشذوذه و بُعْده عن ظاهر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عن سلّار أنّ الوسط ما بين الخمس والسبع</w:t>
      </w:r>
      <w:r>
        <w:rPr>
          <w:rStyle w:val="FootnoteAnchor"/>
          <w:rtl w:val="true"/>
        </w:rPr>
        <w:footnoteReference w:id="1931"/>
      </w:r>
      <w:r>
        <w:rPr>
          <w:rFonts w:ascii="Amiri" w:hAnsi="Amiri" w:eastAsia="Amiri" w:cs="Amiri"/>
          <w:color w:val="111111"/>
          <w:sz w:val="28"/>
          <w:sz w:val="28"/>
          <w:szCs w:val="28"/>
          <w:rtl w:val="true"/>
          <w:lang w:bidi="ar-SA"/>
        </w:rPr>
        <w:t>، فمن كانت عادتها خمسة لا وسط لها، 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ترتّب الكفّارة بين الدائمة والمتمتّع بها والمزنيّ بها والموطوءة شبهةً والمملوكة؛ لإطلاق الأخبار وكلام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بعضهم </w:t>
      </w:r>
      <w:r>
        <w:rPr>
          <w:rStyle w:val="FootnoteAnchor"/>
          <w:rtl w:val="true"/>
        </w:rPr>
        <w:footnoteReference w:id="1932"/>
      </w:r>
      <w:r>
        <w:rPr>
          <w:rFonts w:ascii="Amiri" w:hAnsi="Amiri" w:eastAsia="Amiri" w:cs="Amiri"/>
          <w:color w:val="111111"/>
          <w:sz w:val="28"/>
          <w:sz w:val="28"/>
          <w:szCs w:val="28"/>
          <w:rtl w:val="true"/>
          <w:lang w:bidi="ar-SA"/>
        </w:rPr>
        <w:t>منها في الأجنبيّة؛ لغلظ الذنب فلا تكفّر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الأصحاب</w:t>
      </w:r>
      <w:r>
        <w:rPr>
          <w:rStyle w:val="FootnoteAnchor"/>
          <w:rtl w:val="true"/>
        </w:rPr>
        <w:footnoteReference w:id="1933"/>
      </w:r>
      <w:r>
        <w:rPr>
          <w:rFonts w:ascii="Amiri" w:hAnsi="Amiri" w:eastAsia="Amiri" w:cs="Amiri"/>
          <w:color w:val="111111"/>
          <w:sz w:val="28"/>
          <w:sz w:val="28"/>
          <w:szCs w:val="28"/>
          <w:rtl w:val="true"/>
          <w:lang w:bidi="ar-SA"/>
        </w:rPr>
        <w:t>، ونُسب</w:t>
      </w:r>
      <w:r>
        <w:rPr>
          <w:rStyle w:val="FootnoteAnchor"/>
          <w:rtl w:val="true"/>
        </w:rPr>
        <w:footnoteReference w:id="1934"/>
      </w:r>
      <w:r>
        <w:rPr>
          <w:rFonts w:ascii="Amiri" w:hAnsi="Amiri" w:eastAsia="Amiri" w:cs="Amiri"/>
          <w:color w:val="111111"/>
          <w:sz w:val="28"/>
          <w:sz w:val="28"/>
          <w:szCs w:val="28"/>
          <w:rtl w:val="true"/>
          <w:lang w:bidi="ar-SA"/>
        </w:rPr>
        <w:t>للمشهور، ونُقل عليه الإجماع</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غير الحرّة، وأنّ الواجب التصدّق بثلاثة أمداد تُفرَّق على ثلاث مساكين، ولم نر عليه دليلاً من الأخبار، فالقول به متّجه، إلّا أنّ الأقوى المساواة مع الحرّة،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من التصدّق على عشرة مساكين</w:t>
      </w:r>
      <w:r>
        <w:rPr>
          <w:rStyle w:val="FootnoteAnchor"/>
          <w:rtl w:val="true"/>
        </w:rPr>
        <w:footnoteReference w:id="1936"/>
      </w:r>
      <w:r>
        <w:rPr>
          <w:rFonts w:ascii="Amiri" w:hAnsi="Amiri" w:eastAsia="Amiri" w:cs="Amiri"/>
          <w:color w:val="111111"/>
          <w:sz w:val="28"/>
          <w:sz w:val="28"/>
          <w:szCs w:val="28"/>
          <w:rtl w:val="true"/>
          <w:lang w:bidi="ar-SA"/>
        </w:rPr>
        <w:t>، لم نرَ عاملاً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بالدينار هو الذهب الصنمي المسكوك، وأمّا نصفه وربعه، فإن كانا مسكوكين فلا كلام، و إلّا أجزأت عنهما القيمة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إجزاء القيمة عن المسكوك وعدمه وجهان ،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لأنّ المفهوم من الأخبار ومن تقدير النصف والربع أنّ المراد إيصال قدر ذلك لا عينه، وللزوم المشقّة غالباً، ولعدم تيسّر توزيعه على الفقراء غالباً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الاقتصار على قيمته من النقدين المسكوكين ذهباً أو فضّةً ؛ لأنّه المتيقّن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إجزاء غير المسكوك أو غير النقدين إشكال والاقتصار على عشرة دراهم في القيمة لا وجه له؛ لأنّ القيمة قد تزيد وقد تنقص</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ومصرف هذه الصدقة مصرف سائر الصدقات، ويقوى الاقتصار فيها على الفقراء والمساكين؛ </w:t>
      </w:r>
    </w:p>
    <w:p>
      <w:pPr>
        <w:pStyle w:val="BookText"/>
        <w:rPr/>
      </w:pPr>
      <w:r>
        <w:rPr>
          <w:rFonts w:ascii="Amiri" w:hAnsi="Amiri" w:eastAsia="Amiri" w:cs="Amiri"/>
          <w:color w:val="111111"/>
          <w:sz w:val="28"/>
          <w:sz w:val="28"/>
          <w:szCs w:val="28"/>
          <w:rtl w:val="true"/>
          <w:lang w:bidi="ar-SA"/>
        </w:rPr>
        <w:t>لأنّه هو الظاهر من التصدّق في الأخبار</w:t>
      </w:r>
      <w:r>
        <w:rPr>
          <w:rStyle w:val="FootnoteAnchor"/>
          <w:rtl w:val="true"/>
        </w:rPr>
        <w:footnoteReference w:id="1937"/>
      </w:r>
      <w:r>
        <w:rPr>
          <w:rFonts w:ascii="Amiri" w:hAnsi="Amiri" w:eastAsia="Amiri" w:cs="Amiri"/>
          <w:color w:val="111111"/>
          <w:sz w:val="28"/>
          <w:sz w:val="28"/>
          <w:szCs w:val="28"/>
          <w:rtl w:val="true"/>
          <w:lang w:bidi="ar-SA"/>
        </w:rPr>
        <w:t>، و للتصريح بالمسكين في جملةٍ من الأخبار</w:t>
      </w:r>
      <w:r>
        <w:rPr>
          <w:rStyle w:val="FootnoteAnchor"/>
          <w:rtl w:val="true"/>
        </w:rPr>
        <w:footnoteReference w:id="1938"/>
      </w:r>
      <w:r>
        <w:rPr>
          <w:rFonts w:ascii="Amiri" w:hAnsi="Amiri" w:eastAsia="Amiri" w:cs="Amiri"/>
          <w:color w:val="111111"/>
          <w:sz w:val="28"/>
          <w:sz w:val="28"/>
          <w:szCs w:val="28"/>
          <w:rtl w:val="true"/>
          <w:lang w:bidi="ar-SA"/>
        </w:rPr>
        <w:t>، ولأنّهما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ترتّب الكفّارة على العامد فقط دون غيره؛ لظاهر اتّفاق الأصحاب، وللإجماع المنقول</w:t>
      </w:r>
      <w:r>
        <w:rPr>
          <w:rStyle w:val="FootnoteAnchor"/>
          <w:rtl w:val="true"/>
        </w:rPr>
        <w:footnoteReference w:id="1939"/>
      </w:r>
      <w:r>
        <w:rPr>
          <w:rFonts w:ascii="IRNazanin" w:hAnsi="IRNazanin" w:eastAsia="IRNazanin"/>
          <w:color w:val="111111"/>
          <w:sz w:val="28"/>
          <w:sz w:val="28"/>
          <w:szCs w:val="28"/>
          <w:rtl w:val="true"/>
          <w:lang w:bidi="fa-IR"/>
        </w:rPr>
        <w:t>، وللأصل السالم عن المعارض من إطلاقات الأخبار؛ لانصرافها إلى العامد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وقوع الرجل على الطامث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وقد عصى ربّه</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الرواية وإطلاق كلام الأصحاب شمول ذلك للجاهل بالحكم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عصى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وظاهر الكفّارة ترتّبها على الآثم، والجاهل معذور سيّما لو لم يتفطّن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كفّارات الحجّ قياس مع الفارق، و نُقل الإجماع</w:t>
      </w:r>
      <w:r>
        <w:rPr>
          <w:rStyle w:val="FootnoteAnchor"/>
          <w:rtl w:val="true"/>
        </w:rPr>
        <w:footnoteReference w:id="1941"/>
      </w:r>
      <w:r>
        <w:rPr>
          <w:rFonts w:ascii="Amiri" w:hAnsi="Amiri" w:eastAsia="Amiri" w:cs="Amiri"/>
          <w:color w:val="111111"/>
          <w:sz w:val="28"/>
          <w:sz w:val="28"/>
          <w:szCs w:val="28"/>
          <w:rtl w:val="true"/>
          <w:lang w:bidi="ar-SA"/>
        </w:rPr>
        <w:t>على عدم الكفّارة على الجاهل أيضاً ، فالقول بعدم الكفّارة عليه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والعاجز عن الكفّارة تسقط عنه وجوباً واستحباباً، ولا يعيدها عند القدرة لو تمكّن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الاستغفار ينوب منابها، ولو لم يستغفر بقيت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على البعض فلا يبعد الوجوب؛ لتنزيل الأمر بالكلّ منزلة أوامر متعدّدة،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لا يترك</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تكرّر الوطء تكرّرت الكفّارة؛ لأصالة عدم التداخل، سواء تكرّرت في الزمن الأوّل أو الوسط أو الآخر، أو تكرّرت في جميع الأزمان، فإنّ كلّاً من المكرّر يأخذ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وقوع التكفير في الأثناء وعدمه، وإن كان في الأوّل أظهر، ولا بين مضيّ زمان كثير ، وعدمه ولا بين تغاير الأزمنة وعدمه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تداخل الأسباب هنا فيكفي فيها مسبّب واحد عرفاً، كأوامر الوضوء وغسل الجنابة، بعيد عن ظاهر الخطاب، ولولا الدليل لما كان إلى القول بالاتّحاد هناك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ثبوت الكفّارة على الاستدامة كالابتداء فيما لو علم بالحيض في الأثناء ولم ينزع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الكفّارة على الموطوءة لا ابتداءً ولا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تقضي ما فاتها من صلاة حال الحيض؛ إجماعاً وسنّةً</w:t>
      </w:r>
      <w:r>
        <w:rPr>
          <w:rStyle w:val="FootnoteAnchor"/>
          <w:rtl w:val="true"/>
        </w:rPr>
        <w:footnoteReference w:id="1944"/>
      </w:r>
      <w:r>
        <w:rPr>
          <w:rFonts w:ascii="Amiri" w:hAnsi="Amiri" w:eastAsia="Amiri" w:cs="Amiri"/>
          <w:color w:val="111111"/>
          <w:sz w:val="28"/>
          <w:sz w:val="28"/>
          <w:szCs w:val="28"/>
          <w:rtl w:val="true"/>
          <w:lang w:bidi="ar-SA"/>
        </w:rPr>
        <w:t>، وتقضي الصوم الفائت منها ولو طرأ الحيض في ذلك اليوم لحظةً قبل الغروب؛ لفساد ذلك الجزء إجماعاً، والصوم لا يتبعّض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تقضى الصلاة لو تمكّنت من فعلها بعد دخول الوقت تامّة الأجزاء جامعة الشرائط ولم تفعل حتّى حاضت للأخبار المتكثّرة الدالّة على أنّ مَنْ دخل عليها وقت الصلاة وهي طاهر فأخّرت صلاتها حتّى حاضت وجبت عليها الصلاة قضاءً</w:t>
      </w:r>
      <w:r>
        <w:rPr>
          <w:rStyle w:val="FootnoteAnchor"/>
          <w:rtl w:val="true"/>
        </w:rPr>
        <w:footnoteReference w:id="1945"/>
      </w:r>
      <w:r>
        <w:rPr>
          <w:rFonts w:ascii="Amiri" w:hAnsi="Amiri" w:eastAsia="Amiri" w:cs="Amiri"/>
          <w:color w:val="111111"/>
          <w:sz w:val="28"/>
          <w:sz w:val="28"/>
          <w:szCs w:val="28"/>
          <w:rtl w:val="true"/>
          <w:lang w:bidi="ar-SA"/>
        </w:rPr>
        <w:t xml:space="preserve">، ولصدق الفوت عليها فيشمله حينئذٍ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النصّ والفتوى أنّ المدار على التمكّن من فعلها جامعةً مانعةً و لمّا تفعل، فإن تمكّنت منها ومن الطهارة ومن باقي الشرائط حال كونها غير محرزة لها وجب عليها، أو تمكّنت منها وحدها وكانت قبل الوقت محرزةً لجميع الشرائط، أو تمكّنت منها ومن الطهارة وكانت محرزةً لغيرها غير محرزة لها وجب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تتمكّن منها وحدها، أو منها ومن باقي شرائطها الغير المحرزة طهارةً أو غيرها لم يجب القضاء؛ للأصل وظاهر بعض الأخبار</w:t>
      </w:r>
      <w:r>
        <w:rPr>
          <w:rStyle w:val="FootnoteAnchor"/>
          <w:rtl w:val="true"/>
        </w:rPr>
        <w:footnoteReference w:id="1947"/>
      </w:r>
      <w:r>
        <w:rPr>
          <w:rFonts w:ascii="Amiri" w:hAnsi="Amiri" w:eastAsia="Amiri" w:cs="Amiri"/>
          <w:color w:val="111111"/>
          <w:sz w:val="28"/>
          <w:sz w:val="28"/>
          <w:szCs w:val="28"/>
          <w:rtl w:val="true"/>
          <w:lang w:bidi="ar-SA"/>
        </w:rPr>
        <w:t>وفتوى المشهور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بين الفقهاء أنّ مَنْ مضى عليها من الوقت بقدر الصلاة والطهارة ولم تفعل وجب عليها القضاء دون مَنْ لم تكن كذلك، محمول على الغالب من إحراز باقي الشرائط قبل دخول الوقت فلا يفتقر إلى نصٍّ للإدخال، وعلى الغالب من عدم إحراز الطهارة قبله فلا يفتقر إلى نصٍّ للإخراج</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للطهارة خصوصيّةً في سقوط القضاء عند عدم التمكّن منها؛ لعدم صحّة الصلاة بدونها مطلقاً، دون باقي الشرائط فإنّها تصحّ بفقدها عند الاضطرار، بعيد كلّ البُعْد؛ لعدم الفرق </w:t>
      </w:r>
    </w:p>
    <w:p>
      <w:pPr>
        <w:pStyle w:val="BookText"/>
        <w:rPr/>
      </w:pPr>
      <w:r>
        <w:rPr>
          <w:rFonts w:ascii="Amiri" w:hAnsi="Amiri" w:eastAsia="Amiri" w:cs="Amiri"/>
          <w:color w:val="111111"/>
          <w:sz w:val="28"/>
          <w:sz w:val="28"/>
          <w:szCs w:val="28"/>
          <w:rtl w:val="true"/>
          <w:lang w:bidi="ar-SA"/>
        </w:rPr>
        <w:t>بين الطهارة وغيرها في ابتداء الخطاب عند عدم سعة الوقت لها، وإن افترقت بعد ذلك في أنّ مَنْ لم يتمكّن من الطهارة يسقط عنه الفرض ، ومَنْ لم يتمكّن من غيرها لم يسقط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مَنْ تمكّن من التيمّم والصلاة في أوّل الوقت وضاق عليه الوقت عن الطهارة المائيّة لا يجب عليه القضاء؛ لعدم اعتبار التيمّم في الضيق من أوّل الوقت؛ لأنّه بدل اضطراريّ بعد تعلّق الخطاب بالصلاة وعدم التمكّن من الماء، وتعلّق الخطاب هاهنا مشكوك فيه؛ لتوقّفه على مضيّ زمان يسع الفعل ومقدّماته الاختياريّة،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أنّ الفعل يختلف باختلاف الأشخاص سرعةً و بُطْاً، و قرباً من المقدّمات وبُعْداً، وانطلاقاً للسان وثقلاً،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المندوب بعد سعة الوقت للقدر الواجب، بل يتقدّر بأقلّ المجزئ حتّى أنّه في مقام التخيير يعتبر السعة لفعل القصر لا التمام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الترك الموجب للقضاء بين كونه عمداً أو خطأً أو نسياناً، ولا خصوصيّة للتفريط وإن اشتهر تعليق الحكم على المفرّط؛ لتنزيل كلامهم على إرادة وقوع ذلك عمداً، لكونه هو الغالب، وإطلاق التفريط عليه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حكي عن المرتضى من الاكتفاء بإدراك قدر أكثر الصلاة في وجوب القضاء</w:t>
      </w:r>
      <w:r>
        <w:rPr>
          <w:rStyle w:val="FootnoteAnchor"/>
          <w:rtl w:val="true"/>
        </w:rPr>
        <w:footnoteReference w:id="1948"/>
      </w:r>
      <w:r>
        <w:rPr>
          <w:rFonts w:ascii="Amiri" w:hAnsi="Amiri" w:eastAsia="Amiri" w:cs="Amiri"/>
          <w:color w:val="111111"/>
          <w:sz w:val="28"/>
          <w:sz w:val="28"/>
          <w:szCs w:val="28"/>
          <w:rtl w:val="true"/>
          <w:lang w:bidi="ar-SA"/>
        </w:rPr>
        <w:t>، ضعيف، تردّه ظواهر الأخبار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وتقضي الصلاة أيضاً لو تمكّنت بعد النقاء من إدراك ركعةٍ تامّة، وتتمّ بحصول مسمّى السجدتين دون الرفع؛ لأنّه من مقدّمات القيام أو القعود، ولا يكفي فيها مجرّد الركوع لإطلاق الركعة عليه؛ لبُعْده عن ظواهر الأخبار في مقام الشكّ في الركعات وشبهه، وعن كلمات الأصحاب، فالظاهر أن الركعة حقيقة شرعيّة في التامّة، لا ينصرف الإطلاق إلى غيرها، فيُحمل عليها ما ورد أنّ مَنْ أدرك ركعة فكأنّما أدرك الوقت كلّه</w:t>
      </w:r>
      <w:r>
        <w:rPr>
          <w:rStyle w:val="FootnoteAnchor"/>
          <w:rtl w:val="true"/>
        </w:rPr>
        <w:footnoteReference w:id="1949"/>
      </w:r>
      <w:r>
        <w:rPr>
          <w:rFonts w:ascii="IRNazanin" w:hAnsi="IRNazanin" w:eastAsia="IRNazanin"/>
          <w:color w:val="111111"/>
          <w:sz w:val="28"/>
          <w:sz w:val="28"/>
          <w:szCs w:val="28"/>
          <w:rtl w:val="true"/>
          <w:lang w:bidi="fa-IR"/>
        </w:rPr>
        <w:t>، المعتضد بفتوى الأصحاب والأخبار</w:t>
      </w:r>
      <w:r>
        <w:rPr>
          <w:rStyle w:val="FootnoteAnchor"/>
          <w:rtl w:val="true"/>
        </w:rPr>
        <w:footnoteReference w:id="1950"/>
      </w:r>
      <w:r>
        <w:rPr>
          <w:rFonts w:ascii="Amiri" w:hAnsi="Amiri" w:eastAsia="Amiri" w:cs="Amiri"/>
          <w:color w:val="111111"/>
          <w:sz w:val="28"/>
          <w:sz w:val="28"/>
          <w:szCs w:val="28"/>
          <w:rtl w:val="true"/>
          <w:lang w:bidi="ar-SA"/>
        </w:rPr>
        <w:t>الخاصّة المتكثّرة في الباب، فالحكم لا إشكال فيه في الجملة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مدركة الركعة هل يجب عليها البدار إليها أم لا؟ والظاهر الأوّل، وأنّها </w:t>
      </w:r>
    </w:p>
    <w:p>
      <w:pPr>
        <w:pStyle w:val="BookText"/>
        <w:rPr/>
      </w:pPr>
      <w:r>
        <w:rPr>
          <w:rFonts w:ascii="Amiri" w:hAnsi="Amiri" w:eastAsia="Amiri" w:cs="Amiri"/>
          <w:color w:val="111111"/>
          <w:sz w:val="28"/>
          <w:sz w:val="28"/>
          <w:szCs w:val="28"/>
          <w:rtl w:val="true"/>
          <w:lang w:bidi="ar-SA"/>
        </w:rPr>
        <w:t>هل تكون قضاء عند فعلها؛ لصيرورتها أجمع من غير وقتها، أو أداءً؛ لأنّ ظاهر الأخبار أنّ ذلك توقيت لها، أو ملفّقة؟ أقوال، أجودها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البناء أن نيّة القضاء والأداء غير محتاج إليها، وأنّها تقدّم على الفائتة لو كانت قلّت ثمرة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إدراك الركعة التامّة بحسب حال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سرعة و بُطْأً و خفّة و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إدراك سورة مع الحمد على القول بوجوبها، وعلى إحراز الطهارة المائيّة لمن لم يكن متطهّراً، وعلى إحراز باقي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استقبال ولباس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يكن محرزاً لها، أم لا يتوقّف على شيءٍ من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توقّفها على السورة والطهارة المائيّة دون باقي الشرائط؛ لأنّ السورة من أجزاء الصلاة، وجواز تركها اضطراراً بعد تعلّق التكليف ذلك حكمٌ آخَر، ولأنّ الطهارة المائيّة من الشرائط وبفقدها يفقد المشروط وهو الركعة، وقيام التيمّم مقامه في هذا المقام لم يقم عليه دليل وإن صحّ في مقام الضيق بعد 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غيرها من الشرائط وإن قضت القاعدة بإجرائها مجرى الطهارة إلّا أنّ المفهوم من الأخبار وكلام الأصحاب أنّ للطهارة خصوصيّةً على باقي الشرائط، و أنّ ابتداء الخطاب عند الضيق إلّا عن ركعةٍ مطلق بالنسبة إلى سائر الشرائط، ومشروط بالنسبة إلى الطهارة، فمن أدرك ركعةً متطهّراً ولم يتمكّن من باقي الشرائط صلّى مهما أمكن، ومَنْ أدركها غير متطهّرٍ سقط عنه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فمن أدرك ركعتين غير متطهّرٍ تطهّر واكتفى بإدراك ركعةٍ، و مَنْ أدرك ركعتين متطهّراً إلّا أنّه فاقد لباقي الشرائط أتى بالركعتين واكتفى بالميسور من الشرائط، ومدركة الخمس قبل الغروب تأتي بالظهرين، ومدركة الخمس في العشاءين تأتي بهما، ومدركة الأربع تخصّ بها العشاء، ومدركة الأربع قبل المغرب تخصّ بها العصر، فإدراك الركعة كإدراك الفرض يجري عليها حكم إدراك الفرض مع الطهارة فعلاً وتركاً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الطهر في وقت صلاة فقامت في تهيئة ذلك فجاز وقت الصلاة ودخل وقت صلاة أُخرى فليس عليها قضاء</w:t>
      </w:r>
      <w:r>
        <w:rPr>
          <w:rFonts w:eastAsia="Amiri" w:cs="Amiri" w:ascii="Amiri" w:hAnsi="Amiri"/>
          <w:color w:val="111111"/>
          <w:sz w:val="28"/>
          <w:szCs w:val="28"/>
          <w:rtl w:val="true"/>
          <w:lang w:bidi="ar-SA"/>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تقوم في وقت الصلاة فلا تقضي ظهرها حتّى تفوتها الصلاة ويخرج الوقت، أتقضي الصلاة التي فاتتها؟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توانت قضتها، وإن كانت دائبة في غسلها فلا تقضي</w:t>
      </w:r>
      <w:r>
        <w:rPr>
          <w:rFonts w:eastAsia="Amiri" w:cs="Amiri" w:ascii="Amiri" w:hAnsi="Amiri"/>
          <w:color w:val="111111"/>
          <w:sz w:val="28"/>
          <w:szCs w:val="28"/>
          <w:rtl w:val="true"/>
          <w:lang w:bidi="ar-SA"/>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الطهر عند الظهر فتشتغل في شأنها حتّى يدخل وقت العصر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العصر وحدها، فإن ضيعت فعليها صلاتان</w:t>
      </w:r>
      <w:r>
        <w:rPr>
          <w:rFonts w:eastAsia="Amiri" w:cs="Amiri" w:ascii="Amiri" w:hAnsi="Amiri"/>
          <w:color w:val="111111"/>
          <w:sz w:val="28"/>
          <w:szCs w:val="28"/>
          <w:rtl w:val="true"/>
          <w:lang w:bidi="ar-SA"/>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الحائض قبل العصر صلّت الظهر والعصر، فإن طهرت في آخر وقت العصر صلّت العصر</w:t>
      </w:r>
      <w:r>
        <w:rPr>
          <w:rFonts w:eastAsia="Amiri" w:cs="Amiri" w:ascii="Amiri" w:hAnsi="Amiri"/>
          <w:color w:val="111111"/>
          <w:sz w:val="28"/>
          <w:szCs w:val="28"/>
          <w:rtl w:val="true"/>
          <w:lang w:bidi="ar-SA"/>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الكناني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طلوع الفجر صلّت المغرب والعشاء، وإن طهرت قبل أن تغيب الشمس صلّت الظهر والعصر</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استخراج أكثر ما قدّمنا من الأحكام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الحائض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حدثها الأكبر، وكيفيّته ككيفيّة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عليها الوضوء لرفع الأصغر على الأظهر؛ للأخبار</w:t>
      </w:r>
      <w:r>
        <w:rPr>
          <w:rStyle w:val="FootnoteAnchor"/>
          <w:rtl w:val="true"/>
        </w:rPr>
        <w:footnoteReference w:id="1956"/>
      </w:r>
      <w:r>
        <w:rPr>
          <w:rFonts w:ascii="Amiri" w:hAnsi="Amiri" w:eastAsia="Amiri" w:cs="Amiri"/>
          <w:color w:val="111111"/>
          <w:sz w:val="28"/>
          <w:sz w:val="28"/>
          <w:szCs w:val="28"/>
          <w:rtl w:val="true"/>
          <w:lang w:bidi="ar-SA"/>
        </w:rPr>
        <w:t>والاحتياط ومشهور الأصحاب وعموم دليل الوضوء، فالمعارض مطّرح أو مؤوّل بإرادة تماميّة الغسل بدون الوضوء، وحصول تأثيره من رفع الأكبر، لا كفاية الغسل عنه في إباحة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الوضوء قبل الغسل وبعده، إلّا أنّ الأحوط القبليّة؛ لمرسل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1957"/>
      </w:r>
      <w:r>
        <w:rPr>
          <w:rFonts w:ascii="IRNazanin" w:hAnsi="IRNazanin" w:eastAsia="IRNazanin"/>
          <w:color w:val="111111"/>
          <w:sz w:val="28"/>
          <w:sz w:val="28"/>
          <w:szCs w:val="28"/>
          <w:rtl w:val="true"/>
          <w:lang w:bidi="fa-IR"/>
        </w:rPr>
        <w:t>وفتوى بعض الأصحاب</w:t>
      </w:r>
      <w:r>
        <w:rPr>
          <w:rStyle w:val="FootnoteAnchor"/>
          <w:rtl w:val="true"/>
        </w:rPr>
        <w:footnoteReference w:id="1958"/>
      </w:r>
      <w:r>
        <w:rPr>
          <w:rFonts w:ascii="IRNazanin" w:hAnsi="IRNazanin" w:eastAsia="IRNazanin"/>
          <w:color w:val="111111"/>
          <w:sz w:val="28"/>
          <w:sz w:val="28"/>
          <w:szCs w:val="28"/>
          <w:rtl w:val="true"/>
          <w:lang w:bidi="fa-IR"/>
        </w:rPr>
        <w:t>بوجوبه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للمضطربة الناسية للوقت والعدد مطلقاً، وللمضطربة التي لم تستقرّ لها عادة عند فقد التمييز الردّ إلى أسوأ الاحتمالات احتياطاً، فيُمنع الزوج والمالك من وطئها، ولو فعل كلّ يوم أو ليلة كفّر الثلاث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تُطلّق إلّا في أوّل يوم وأوّل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تنقضي عدّتها إلّا بعد مضيّ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يراجعها زوجها إلّا قبل تسع وثلاثين يوماً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تفعل ما يحرم على الحائض ممّا لا يجب فعله، ولا تترك ما يجب على الطاهر فعله، كالصلاة والصوم وقضاء صوم أحد عشر منه أو أحد وعشرين، وصوم يوم وحادي عشرة قضاء عن يوم، وثانيه وثاني عشرة، وغير ذلك من الأحوال التي ينبغي الاحتياط فيها</w:t>
      </w:r>
      <w:r>
        <w:rPr>
          <w:rFonts w:eastAsia="Amiri" w:cs="Amiri" w:ascii="Amiri" w:hAnsi="Amiri"/>
          <w:color w:val="111111"/>
          <w:sz w:val="28"/>
          <w:szCs w:val="28"/>
          <w:rtl w:val="true"/>
          <w:lang w:bidi="ar-SA"/>
        </w:rPr>
        <w:t xml:space="preserve">. </w:t>
      </w:r>
      <w:bookmarkStart w:id="971" w:name="pg18988_203529"/>
    </w:p>
    <w:p>
      <w:pPr>
        <w:pStyle w:val="Heading3"/>
        <w:numPr>
          <w:ilvl w:val="2"/>
          <w:numId w:val="1"/>
        </w:numPr>
        <w:rPr/>
      </w:pPr>
      <w:bookmarkStart w:id="972" w:name="__RefHeading___Toc13198099_1280447820"/>
      <w:bookmarkStart w:id="973" w:name="_Toc376"/>
      <w:bookmarkEnd w:id="971"/>
      <w:bookmarkEnd w:id="972"/>
      <w:r>
        <w:rPr>
          <w:rtl w:val="true"/>
        </w:rPr>
        <w:t>القول في الاستحاضة</w:t>
      </w:r>
      <w:bookmarkEnd w:id="973"/>
    </w:p>
    <w:p>
      <w:pPr>
        <w:pStyle w:val="Heading4"/>
        <w:numPr>
          <w:ilvl w:val="3"/>
          <w:numId w:val="1"/>
        </w:numPr>
        <w:rPr/>
      </w:pPr>
      <w:bookmarkStart w:id="974" w:name="__RefHeading___Toc13198101_1280447820"/>
      <w:bookmarkStart w:id="975" w:name="_Toc377"/>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وهي دم في الأغلب أصفر بارد رقيق يخرج بفتور من عرق يُسمّى العاذل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الوصفين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1959"/>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يقطين</w:t>
      </w:r>
      <w:r>
        <w:rPr>
          <w:rStyle w:val="FootnoteAnchor"/>
          <w:rtl w:val="true"/>
        </w:rPr>
        <w:footnoteReference w:id="1960"/>
      </w:r>
      <w:r>
        <w:rPr>
          <w:rFonts w:ascii="Amiri" w:hAnsi="Amiri" w:eastAsia="Amiri" w:cs="Amiri"/>
          <w:color w:val="111111"/>
          <w:sz w:val="28"/>
          <w:sz w:val="28"/>
          <w:szCs w:val="28"/>
          <w:rtl w:val="true"/>
          <w:lang w:bidi="ar-SA"/>
        </w:rPr>
        <w:t>، ويشعر بها وصف الحيض بالعبيطيّة</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وعلى كونه يخرج بفتور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الحيض بالدفق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وصفه بالفساد</w:t>
      </w:r>
      <w:r>
        <w:rPr>
          <w:rStyle w:val="FootnoteAnchor"/>
          <w:rtl w:val="true"/>
        </w:rPr>
        <w:footnoteReference w:id="1962"/>
      </w:r>
      <w:r>
        <w:rPr>
          <w:rFonts w:ascii="Amiri" w:hAnsi="Amiri" w:eastAsia="Amiri" w:cs="Amiri"/>
          <w:color w:val="111111"/>
          <w:sz w:val="28"/>
          <w:sz w:val="28"/>
          <w:szCs w:val="28"/>
          <w:rtl w:val="true"/>
          <w:lang w:bidi="ar-SA"/>
        </w:rPr>
        <w:t>، ومعرفته موكولة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دم تراه المرأة أقلّ من ثلاثة ولم يكن من جرح أو قرح أو عذرة أو نفاس، فهو استحاضة؛ لأنّه أصل للدماء بعد انتفاء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تراه بعد سنّ اليأس، أو قبل التسع، أو في الحمل على وجهٍ، أو بعد النفاس قبل مضى أقلّ الطهر، بناءً على اشتراط تخلّل أقلّ الطهر بين النفاس والحيض، أو قبل النفاس قبل تخلّل أقلّ الطهر بينه وبين النفاس، بناءً على اشتراط تخلّل أقلّ الطهر بين الحيض المتقدّم والنفاس، إمّا مع وقوعه لنفسه أو مطلقاً ولو مع فعل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تراه بعد العادة إذا كان فيها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من أيّام الاستظهار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مع العادة العشرة مستمرّاً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تراه بعد العشرة لذات العادة إذا ملأ الدم العادة وتجاوزها إلى العاشر ثمّ انقطع على العاشر</w:t>
      </w:r>
      <w:r>
        <w:rPr>
          <w:rFonts w:eastAsia="Amiri" w:cs="Amiri" w:ascii="Amiri" w:hAnsi="Amiri"/>
          <w:color w:val="111111"/>
          <w:sz w:val="28"/>
          <w:szCs w:val="28"/>
          <w:rtl w:val="true"/>
          <w:lang w:bidi="ar-SA"/>
        </w:rPr>
        <w:t xml:space="preserve">. </w:t>
      </w:r>
      <w:bookmarkStart w:id="976" w:name="pg18988_203530"/>
    </w:p>
    <w:p>
      <w:pPr>
        <w:pStyle w:val="BookText"/>
        <w:rPr/>
      </w:pPr>
      <w:bookmarkEnd w:id="976"/>
      <w:r>
        <w:rPr>
          <w:rFonts w:ascii="Amiri" w:hAnsi="Amiri" w:eastAsia="Amiri" w:cs="Amiri"/>
          <w:color w:val="111111"/>
          <w:sz w:val="28"/>
          <w:sz w:val="28"/>
          <w:szCs w:val="28"/>
          <w:rtl w:val="true"/>
          <w:lang w:bidi="ar-SA"/>
        </w:rPr>
        <w:t>وكذا ما تراه المضطربة والمبتدأة عند تجاوز العشرة مستمراً فاقد التمييز مع حصول الوصف بغيره، وما تراه عند عدم التمييز زائداً على عادة النساء، وما تراه الناسية عند فقد التمييز زائداً على ما في الروايات، وما تراه تلك بعد دم ليس بينه وبين ذلك الدم قدر عشرة وقد انقطع الأوّل على ما دون العشرة وكان الأوّل هو الجامع للوصف أو الموافق للروايات دون الثاني،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والصفرة ونحوها في أيّام الحيض حيض، كما دلّت على ذلك الأخبار</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والسواد والحمرة في أيّام الاستحاضة استحاضة، واعتبار الوصف أغلبيّ لا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يعتمد عليه عند الاشتباه وفَقد مرجّح غيره من عادة أو شبهها</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3198103_1280447820"/>
      <w:bookmarkStart w:id="978" w:name="_Toc378"/>
      <w:bookmarkEnd w:id="977"/>
      <w:r>
        <w:rPr>
          <w:rtl w:val="true"/>
        </w:rPr>
        <w:t>وها هنا أُمور</w:t>
      </w:r>
      <w:r>
        <w:rPr>
          <w:rtl w:val="true"/>
        </w:rPr>
        <w:t>:</w:t>
      </w:r>
      <w:bookmarkEnd w:id="978"/>
    </w:p>
    <w:p>
      <w:pPr>
        <w:pStyle w:val="Heading4"/>
        <w:numPr>
          <w:ilvl w:val="3"/>
          <w:numId w:val="1"/>
        </w:numPr>
        <w:rPr/>
      </w:pPr>
      <w:bookmarkStart w:id="979" w:name="__RefHeading___Toc13198105_1280447820"/>
      <w:bookmarkStart w:id="980" w:name="_Toc379"/>
      <w:bookmarkEnd w:id="979"/>
      <w:r>
        <w:rPr>
          <w:rtl w:val="true"/>
        </w:rPr>
        <w:t>أحدها</w:t>
      </w:r>
      <w:r>
        <w:rPr>
          <w:rtl w:val="true"/>
        </w:rPr>
        <w:t xml:space="preserve">: </w:t>
      </w:r>
      <w:r>
        <w:rPr>
          <w:rtl w:val="true"/>
        </w:rPr>
        <w:t>بیان أقسام الاستحاضة</w:t>
      </w:r>
      <w:bookmarkEnd w:id="980"/>
    </w:p>
    <w:p>
      <w:pPr>
        <w:pStyle w:val="BookText"/>
        <w:rPr/>
      </w:pP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ومتوسّطة وكثيرة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واحدة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المستحاضة اختبار نفسها؛ لظاهر الأمر به في الأخبار</w:t>
      </w:r>
      <w:r>
        <w:rPr>
          <w:rStyle w:val="FootnoteAnchor"/>
          <w:rtl w:val="true"/>
        </w:rPr>
        <w:footnoteReference w:id="1964"/>
      </w:r>
      <w:r>
        <w:rPr>
          <w:rFonts w:ascii="Amiri" w:hAnsi="Amiri" w:eastAsia="Amiri" w:cs="Amiri"/>
          <w:color w:val="111111"/>
          <w:sz w:val="28"/>
          <w:sz w:val="28"/>
          <w:szCs w:val="28"/>
          <w:rtl w:val="true"/>
          <w:lang w:bidi="ar-SA"/>
        </w:rPr>
        <w:t>، ولأنّه طريق إلى العلم بالتكليف الخاصّ بعد تعلّقه إجمالاً، والركون إلى أصل القلّة إلى حالة العلم بغيرها بعيد عن كلام الأصحاب وأخبار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بطلان عباداتها مع ترك الاستخبار حتّى لو أتت بجميع محتملات أقسامها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تتمكّن من الاختبار ولو مع بذل ثمن لا يضرّ بالحال، احتُمل رجوعها لحكم القلّة؛ لأنّه الأصل، ولحكم الكثرة؛ للاحتياط، وللجمع بين أحكام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والأخير أحوط</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في طريق الاختبار أن تضع قطنة أو ما شابهها رخوة يظهر عليها وصف الدم، مالئة للفرج، متساوية الأطراف على نحو الوضع المعهود للنساء في الموضع المعهود لهنّ، وتبقى مقدار ما يعهد لهنّ بقاؤها من الزمان، ولا يبعد أنّ آخره ومبدأه من وقت صلاة إلى وقت صلاة أُخرى، فإن خرجت القطنة ملطّخة ولو من جانبٍ واحد ولم يملأها أو لم يثقبها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القليلة، وإن ملأها أو ثقبها وإن لم يملأها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 من خلفها فهي متوسّطة، وإن ملأها وسال من خلفها ولو من جانبٍ واحد فهي الكثيرة</w:t>
      </w:r>
      <w:r>
        <w:rPr>
          <w:rFonts w:eastAsia="Amiri" w:cs="Amiri" w:ascii="Amiri" w:hAnsi="Amiri"/>
          <w:color w:val="111111"/>
          <w:sz w:val="28"/>
          <w:szCs w:val="28"/>
          <w:rtl w:val="true"/>
          <w:lang w:bidi="ar-SA"/>
        </w:rPr>
        <w:t xml:space="preserve">. </w:t>
      </w:r>
      <w:bookmarkStart w:id="981" w:name="pg18988_203531"/>
    </w:p>
    <w:p>
      <w:pPr>
        <w:pStyle w:val="Heading4"/>
        <w:numPr>
          <w:ilvl w:val="3"/>
          <w:numId w:val="1"/>
        </w:numPr>
        <w:rPr/>
      </w:pPr>
      <w:bookmarkStart w:id="982" w:name="__RefHeading___Toc13198107_1280447820"/>
      <w:bookmarkStart w:id="983" w:name="_Toc380"/>
      <w:bookmarkEnd w:id="981"/>
      <w:bookmarkEnd w:id="982"/>
      <w:r>
        <w:rPr>
          <w:rtl w:val="true"/>
        </w:rPr>
        <w:t>ثانيها</w:t>
      </w:r>
      <w:r>
        <w:rPr>
          <w:rtl w:val="true"/>
        </w:rPr>
        <w:t xml:space="preserve">: </w:t>
      </w:r>
      <w:r>
        <w:rPr>
          <w:rtl w:val="true"/>
        </w:rPr>
        <w:t>بیان أحکام الاستحاضة الکثیرۀ</w:t>
      </w:r>
      <w:bookmarkEnd w:id="983"/>
    </w:p>
    <w:p>
      <w:pPr>
        <w:pStyle w:val="BookText"/>
        <w:rPr/>
      </w:pPr>
      <w:r>
        <w:rPr>
          <w:rFonts w:ascii="Amiri" w:hAnsi="Amiri" w:eastAsia="Amiri" w:cs="Amiri"/>
          <w:color w:val="111111"/>
          <w:sz w:val="28"/>
          <w:sz w:val="28"/>
          <w:szCs w:val="28"/>
          <w:rtl w:val="true"/>
          <w:lang w:bidi="ar-SA"/>
        </w:rPr>
        <w:t>يجب في القليلة عند الصلاة تبديل القطنة إلى قطنة أُخرى طاهرة أو تطهيرها وإن لم تكن من الملابس بل من المحمول ومن البواطن لا من الظواهر ولا ممّا تتمّ الصلاة بل ممّا لا تتمّ به؛ للإجماع المنقول</w:t>
      </w:r>
      <w:r>
        <w:rPr>
          <w:rStyle w:val="FootnoteAnchor"/>
          <w:rtl w:val="true"/>
        </w:rPr>
        <w:footnoteReference w:id="1965"/>
      </w:r>
      <w:r>
        <w:rPr>
          <w:rFonts w:ascii="Amiri" w:hAnsi="Amiri" w:eastAsia="Amiri" w:cs="Amiri"/>
          <w:color w:val="111111"/>
          <w:sz w:val="28"/>
          <w:sz w:val="28"/>
          <w:szCs w:val="28"/>
          <w:rtl w:val="true"/>
          <w:lang w:bidi="ar-SA"/>
        </w:rPr>
        <w:t>، وفتوى المشهور، والأخبار الواردة في لزوم تبديلها في المتوسّطة والكثيرة، ولا فارق بينهما، بل نقل عليه الإجماع المركّب</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ثمّ تضع كرسفاً آخَر ثمّ تصلّي</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وتستدخل قطنة بعد أخرى</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تغيير الخرقة عند تلويثها؛ للاحتياط، ولفحوى لزوم تبديل القطنة، أو لا يجب؛ للأصل، ولعدم النصّ ؟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عليها الوضوء لكلّ صلاة؛ لفتوى المشهور، والإجماع المنقول</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الدم لا يثقب الكرسف توضّأت ودخلت المسجد وصلّت كل صلاة بوضوء</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وتصلّي كلّ صلاة بوضوء ما لم يثقب الدم الكرسف</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والأخبار الآمرة بالوضوء إذا رأت المرأة صفرة</w:t>
      </w:r>
      <w:r>
        <w:rPr>
          <w:rStyle w:val="FootnoteAnchor"/>
          <w:rtl w:val="true"/>
        </w:rPr>
        <w:footnoteReference w:id="1972"/>
      </w:r>
      <w:r>
        <w:rPr>
          <w:rFonts w:ascii="Amiri" w:hAnsi="Amiri" w:eastAsia="Amiri" w:cs="Amiri"/>
          <w:color w:val="111111"/>
          <w:sz w:val="28"/>
          <w:sz w:val="28"/>
          <w:szCs w:val="28"/>
          <w:rtl w:val="true"/>
          <w:lang w:bidi="ar-SA"/>
        </w:rPr>
        <w:t>، وهي ظاهرة في قليلة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الفرض والنفل؛ لإطلاق الأخبار وكلام الأصحاب،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الغسل لها وفاقاً للمشهور والإجماع المنقول والأخبار البيانيّة في مقام الحاجّة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وأوجبه الإسكافي كلّ يوم وليلة مرّةً</w:t>
      </w:r>
      <w:r>
        <w:rPr>
          <w:rStyle w:val="FootnoteAnchor"/>
          <w:rtl w:val="true"/>
        </w:rPr>
        <w:footnoteReference w:id="1973"/>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يجز الدم الكرسف فعليها الغسل كل يوم مرّةً و الوضوء لكلّ صلاة</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يجز الدم الكرسف صلّت بغسل واحد</w:t>
      </w:r>
      <w:r>
        <w:rPr>
          <w:rFonts w:eastAsia="Amiri" w:cs="Amiri" w:ascii="Amiri" w:hAnsi="Amiri"/>
          <w:color w:val="111111"/>
          <w:sz w:val="28"/>
          <w:szCs w:val="28"/>
          <w:rtl w:val="true"/>
          <w:lang w:bidi="ar-SA"/>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bookmarkStart w:id="984" w:name="pg18988_203532"/>
    </w:p>
    <w:p>
      <w:pPr>
        <w:pStyle w:val="BookText"/>
        <w:rPr/>
      </w:pPr>
      <w:bookmarkEnd w:id="984"/>
      <w:r>
        <w:rPr>
          <w:rFonts w:ascii="Amiri" w:hAnsi="Amiri" w:eastAsia="Amiri" w:cs="Amiri"/>
          <w:color w:val="111111"/>
          <w:sz w:val="28"/>
          <w:sz w:val="28"/>
          <w:szCs w:val="28"/>
          <w:rtl w:val="true"/>
          <w:lang w:bidi="ar-SA"/>
        </w:rPr>
        <w:t>وهما مع ضعف السند محتملان لإرادة السيلان من عدم الجواز، والأخير محتمل لإرادة غسل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ونفى الحسن عنها وجوب الغسل والوضوء</w:t>
      </w:r>
      <w:r>
        <w:rPr>
          <w:rStyle w:val="FootnoteAnchor"/>
          <w:rtl w:val="true"/>
        </w:rPr>
        <w:footnoteReference w:id="1976"/>
      </w:r>
      <w:r>
        <w:rPr>
          <w:rFonts w:ascii="IRNazanin" w:hAnsi="IRNazanin" w:eastAsia="IRNazanin"/>
          <w:color w:val="111111"/>
          <w:sz w:val="28"/>
          <w:sz w:val="28"/>
          <w:szCs w:val="28"/>
          <w:rtl w:val="true"/>
          <w:lang w:bidi="fa-IR"/>
        </w:rPr>
        <w:t>للأصل، وحصر نواقض الوضوء، والخبر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إذا مضت أيّام أقرائها اغتسلت واحتشت كرسفاً وتنظر، فإن ظهر على الكرسف زادت کرسفها وتوضّأت وصلّت</w:t>
      </w:r>
      <w:r>
        <w:rPr>
          <w:rFonts w:eastAsia="IRNazanin" w:cs="IRNazanin"/>
          <w:color w:val="111111"/>
          <w:sz w:val="28"/>
          <w:szCs w:val="28"/>
          <w:rtl w:val="true"/>
          <w:lang w:bidi="fa-IR"/>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معارض بوجوب الاحتياط، وحصر النواقض مخصّص أو إضافيّ، والخبر ضعيف، مع احتمال إرادة ظهوره على الباطن، فلا يصلح لمعارضة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عليها غَسْل الفرج لإزالة النجاسة؛ لعموم عدم العفو عن هذه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التحفّظ عن تعدّي النجاسة وسيلان الدم في الغسل وبعد الغسل، ولو سال فالأظهر وجوب إعادة العمل كما تشعر به الأخبار</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تخفيف النجاسة مهما أمكن؛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لا يترك</w:t>
      </w:r>
      <w:r>
        <w:rPr>
          <w:rFonts w:eastAsia="Amiri" w:cs="Amiri" w:ascii="Amiri" w:hAnsi="Amiri"/>
          <w:color w:val="111111"/>
          <w:sz w:val="28"/>
          <w:szCs w:val="28"/>
          <w:rtl w:val="true"/>
          <w:lang w:bidi="ar-SA"/>
        </w:rPr>
        <w:t>»</w:t>
      </w:r>
      <w:r>
        <w:rPr>
          <w:rStyle w:val="FootnoteAnchor"/>
          <w:rtl w:val="true"/>
        </w:rPr>
        <w:footnoteReference w:id="1979"/>
      </w:r>
      <w:r>
        <w:rPr>
          <w:rFonts w:ascii="Amiri" w:hAnsi="Amiri" w:eastAsia="Amiri" w:cs="Amiri"/>
          <w:color w:val="111111"/>
          <w:sz w:val="28"/>
          <w:sz w:val="28"/>
          <w:szCs w:val="28"/>
          <w:rtl w:val="true"/>
          <w:lang w:bidi="ar-SA"/>
        </w:rPr>
        <w:t>، والإشعار بتبديل القطنة به</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3198109_1280447820"/>
      <w:bookmarkStart w:id="986" w:name="_Toc381"/>
      <w:bookmarkEnd w:id="985"/>
      <w:r>
        <w:rPr>
          <w:rtl w:val="true"/>
        </w:rPr>
        <w:t xml:space="preserve">ثالثها </w:t>
      </w:r>
      <w:r>
        <w:rPr>
          <w:rtl w:val="true"/>
        </w:rPr>
        <w:t xml:space="preserve">: </w:t>
      </w:r>
      <w:r>
        <w:rPr>
          <w:rtl w:val="true"/>
        </w:rPr>
        <w:t>فیما یجب علی المستحاضة الکثیرۀ</w:t>
      </w:r>
      <w:bookmarkEnd w:id="986"/>
    </w:p>
    <w:p>
      <w:pPr>
        <w:pStyle w:val="BookText"/>
        <w:rPr/>
      </w:pPr>
      <w:r>
        <w:rPr>
          <w:rFonts w:ascii="Amiri" w:hAnsi="Amiri" w:eastAsia="Amiri" w:cs="Amiri"/>
          <w:color w:val="111111"/>
          <w:sz w:val="28"/>
          <w:sz w:val="28"/>
          <w:szCs w:val="28"/>
          <w:rtl w:val="true"/>
          <w:lang w:bidi="ar-SA"/>
        </w:rPr>
        <w:t xml:space="preserve">يجب في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للصبح، ولها أن تقدّمه فتصلّي به صلاة الليل والصبح، وغسل للظهرين، وغسل للعشاءين، تجمع بين الفريضتين؛ لفتوى الأصحاب، والإجماع المنقول</w:t>
      </w:r>
      <w:r>
        <w:rPr>
          <w:rStyle w:val="FootnoteAnchor"/>
          <w:rtl w:val="true"/>
        </w:rPr>
        <w:footnoteReference w:id="1980"/>
      </w:r>
      <w:r>
        <w:rPr>
          <w:rFonts w:ascii="Amiri" w:hAnsi="Amiri" w:eastAsia="Amiri" w:cs="Amiri"/>
          <w:color w:val="111111"/>
          <w:sz w:val="28"/>
          <w:sz w:val="28"/>
          <w:szCs w:val="28"/>
          <w:rtl w:val="true"/>
          <w:lang w:bidi="ar-SA"/>
        </w:rPr>
        <w:t>، وأخبار الباب المتكثّرة الدالّة على أنّ الدم إذا سال أو إذا جاز الكرسف اغتسلت ثلاث أغسال</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تغيير القطنة الأخبار بمنطوقها، وعلى تغيير الخرقة وتخفيف النجاسة الأخبار بفحواها، وعلى الوضوء لكلّ صلاةٍ العمومات الآمرة به</w:t>
      </w:r>
      <w:r>
        <w:rPr>
          <w:rStyle w:val="FootnoteAnchor"/>
          <w:rtl w:val="true"/>
        </w:rPr>
        <w:footnoteReference w:id="1982"/>
      </w:r>
      <w:r>
        <w:rPr>
          <w:rFonts w:ascii="Amiri" w:hAnsi="Amiri" w:eastAsia="Amiri" w:cs="Amiri"/>
          <w:color w:val="111111"/>
          <w:sz w:val="28"/>
          <w:sz w:val="28"/>
          <w:szCs w:val="28"/>
          <w:rtl w:val="true"/>
          <w:lang w:bidi="ar-SA"/>
        </w:rPr>
        <w:t>، والاحتياط، ولزومه لقليل هذا الدم فلكثيره أولى، ولأصالة عدم إغناء الغسل عنه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أوامر الوضوء لكلّ صلاة إلى المحدثين بالأحداث </w:t>
      </w:r>
    </w:p>
    <w:p>
      <w:pPr>
        <w:pStyle w:val="BookText"/>
        <w:rPr/>
      </w:pPr>
      <w:r>
        <w:rPr>
          <w:rFonts w:ascii="Amiri" w:hAnsi="Amiri" w:eastAsia="Amiri" w:cs="Amiri"/>
          <w:color w:val="111111"/>
          <w:sz w:val="28"/>
          <w:sz w:val="28"/>
          <w:szCs w:val="28"/>
          <w:rtl w:val="true"/>
          <w:lang w:bidi="ar-SA"/>
        </w:rPr>
        <w:t>المعهودة، سيّما الآية</w:t>
      </w:r>
      <w:r>
        <w:rPr>
          <w:rStyle w:val="FootnoteAnchor"/>
          <w:rtl w:val="true"/>
        </w:rPr>
        <w:footnoteReference w:id="1983"/>
      </w:r>
      <w:r>
        <w:rPr>
          <w:rFonts w:ascii="Amiri" w:hAnsi="Amiri" w:eastAsia="Amiri" w:cs="Amiri"/>
          <w:color w:val="111111"/>
          <w:sz w:val="28"/>
          <w:sz w:val="28"/>
          <w:szCs w:val="28"/>
          <w:rtl w:val="true"/>
          <w:lang w:bidi="ar-SA"/>
        </w:rPr>
        <w:t>، فإنّها مفسّرة بذلك، وإنّها خطاب للذكور، فشمولها للنساء في غير ما قام عليه الإجماع ممنوع، ومنع الاحتياط والأولويّة بعد خلوّ الأخبار البيانيّة عنه في مقام الحاجة، فالقول بعدم لزوم الوضوء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وأوجَه منه لزومه مع كلّ غسل لا لكلّ صلاة؛ لما ورد أنّ كلّ غسل معه وضوء</w:t>
      </w:r>
      <w:r>
        <w:rPr>
          <w:rStyle w:val="FootnoteAnchor"/>
          <w:rtl w:val="true"/>
        </w:rPr>
        <w:footnoteReference w:id="1984"/>
      </w:r>
      <w:r>
        <w:rPr>
          <w:rFonts w:ascii="Amiri" w:hAnsi="Amiri" w:eastAsia="Amiri" w:cs="Amiri"/>
          <w:color w:val="111111"/>
          <w:sz w:val="28"/>
          <w:sz w:val="28"/>
          <w:szCs w:val="28"/>
          <w:rtl w:val="true"/>
          <w:lang w:bidi="ar-SA"/>
        </w:rPr>
        <w:t>وعدم قابليّة تخصيص هذه الأخبار لعدم بيان الوضوء فيها لتلك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تفريق الأغسال على الصلوات الخمس لظهور أنّ الجمع رخصة وتخفيف، أو لا يجوز؛ لظاهر الأمر بالجمع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الأمر هاهنا في مقام توهّم الحظر في الجمع لاستمرار الحدث، والاحتياج إلى المبيح في كلّ آن من آناته، وأمّا تعجيل واحدة وتأخير أخرى فلا شكّ أنّه رخصة لا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وقوع الغسل بعد دخول الوقت وإن كان 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الفصل بفاصلة طويلة بين الغسل والصلاة، كما يشعر به تفريق الظهرين والعشاءين كلٌّ منهما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الفواصل المندوبة من أذان وإقامة فلا بأس بها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النوافل الرواتب فلا يبعد جواز جمعها مع فرائضها، وجواز استقلالها بغسل على حدة، وخيال سقوطها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حكم الاستحاضة الكثيرة حكم مستديم الحدث يجب لاستمرارها الأغسال المذكورة، ويجب لانقطاعها غسل، سواء انقطعت رأساً وأصلاً أو تبدّلت للأدنى منها، وسواء عادت بعد الانقطاع والتبدّل أو لم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أنّ استدامة الدم هو الحدث الموجب للأغسال فبدونه لا يجب غسل، أو هو الموجب للأغسال والوضوءات فبدونه لا يجب غسل ولا وضوء، ضعيفان مخالفان لظواهر الأخبار المشعرة بحدثيّة هذا الدم نفسه، وبترتّب لوازم الحدث عليه من حيث هو كذلك، فيجب الغسل لحدوثه، ويجب الغسل لانقطاعه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ذكرناه لو حصلت الكثيرة في الليل وانقطعت الفجر أو تبدّلت بالقليلة وجب الغسل لانقطاعها</w:t>
      </w:r>
      <w:r>
        <w:rPr>
          <w:rFonts w:eastAsia="Amiri" w:cs="Amiri" w:ascii="Amiri" w:hAnsi="Amiri"/>
          <w:color w:val="111111"/>
          <w:sz w:val="28"/>
          <w:szCs w:val="28"/>
          <w:rtl w:val="true"/>
          <w:lang w:bidi="ar-SA"/>
        </w:rPr>
        <w:t xml:space="preserve">. </w:t>
      </w:r>
      <w:bookmarkStart w:id="987" w:name="pg18988_203534"/>
    </w:p>
    <w:p>
      <w:pPr>
        <w:pStyle w:val="BookText"/>
        <w:rPr/>
      </w:pPr>
      <w:bookmarkEnd w:id="987"/>
      <w:r>
        <w:rPr>
          <w:rFonts w:ascii="Amiri" w:hAnsi="Amiri" w:eastAsia="Amiri" w:cs="Amiri"/>
          <w:color w:val="111111"/>
          <w:sz w:val="28"/>
          <w:sz w:val="28"/>
          <w:szCs w:val="28"/>
          <w:rtl w:val="true"/>
          <w:lang w:bidi="ar-SA"/>
        </w:rPr>
        <w:t>ولو اغتسلت لانقطاعها فصلّت الفجر فعادت فإن استمرّت للظهر وجب الغسل لحدوثها، وإن انقطعت قبل الظهر وجب الغسل لانقطاعها لصلاة الظهر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طرأت بعد غسل الانقطاع ولو في أثناء الصلاة وجب القطع وتجديد الغسل لحدوثها، إلّا إذا كانت الفترات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طراً الانقطاع بعد الغسل لحدوثها أو بعد التلبّس في الصلاة، وجب عليها الغسل له وقطع الصلاة، إلّا أن يكون الانقطاع قليلاً لا يسع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عملت المستحاضة العمل اللازم في الكثير، وأدخلت قطنة أُخرى واغتسلت بزعم بقاء الدم، فتبيّن انقطاعه قبل الغسل لخروج القطنة نقيّة أو شبه ذلك، كفى ذلك الغسل للانقطاع، وكفت نيّة الاستباحة عن نيّة الرفع</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3198111_1280447820"/>
      <w:bookmarkStart w:id="989" w:name="_Toc382"/>
      <w:bookmarkEnd w:id="988"/>
      <w:r>
        <w:rPr>
          <w:rtl w:val="true"/>
        </w:rPr>
        <w:t>رابعها</w:t>
      </w:r>
      <w:r>
        <w:rPr>
          <w:rtl w:val="true"/>
        </w:rPr>
        <w:t xml:space="preserve">: </w:t>
      </w:r>
      <w:r>
        <w:rPr>
          <w:rtl w:val="true"/>
        </w:rPr>
        <w:t>فیما یجب علی المستحاضۀ المتوسّطۀ</w:t>
      </w:r>
      <w:bookmarkEnd w:id="989"/>
    </w:p>
    <w:p>
      <w:pPr>
        <w:pStyle w:val="BookText"/>
        <w:rPr/>
      </w:pPr>
      <w:r>
        <w:rPr>
          <w:rFonts w:ascii="Amiri" w:hAnsi="Amiri" w:eastAsia="Amiri" w:cs="Amiri"/>
          <w:color w:val="111111"/>
          <w:sz w:val="28"/>
          <w:sz w:val="28"/>
          <w:szCs w:val="28"/>
          <w:rtl w:val="true"/>
          <w:lang w:bidi="ar-SA"/>
        </w:rPr>
        <w:t xml:space="preserve">يجب في المتوسّطة جميع ما ذكرناه سوى غسلَي الظهر والعصر والمغرب والعشاء، فيُكتفى فيها بغسلٍ واحد لصلاة الصبح؛ وفاقاً للمشهور، والرضوي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المؤيّد بفتواهم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بالوحدة وبأنّه للفجر</w:t>
      </w:r>
      <w:r>
        <w:rPr>
          <w:rStyle w:val="FootnoteAnchor"/>
          <w:rtl w:val="true"/>
        </w:rPr>
        <w:footnoteReference w:id="1985"/>
      </w:r>
      <w:r>
        <w:rPr>
          <w:rFonts w:ascii="Amiri" w:hAnsi="Amiri" w:eastAsia="Amiri" w:cs="Amiri"/>
          <w:color w:val="111111"/>
          <w:sz w:val="28"/>
          <w:sz w:val="28"/>
          <w:szCs w:val="28"/>
          <w:rtl w:val="true"/>
          <w:lang w:bidi="ar-SA"/>
        </w:rPr>
        <w:t>، وللأخبار المتكثّرة الدالّة على ثبوت غسلٍ واحد</w:t>
      </w:r>
      <w:r>
        <w:rPr>
          <w:rStyle w:val="FootnoteAnchor"/>
          <w:rtl w:val="true"/>
        </w:rPr>
        <w:footnoteReference w:id="1986"/>
      </w:r>
      <w:r>
        <w:rPr>
          <w:rFonts w:ascii="Amiri" w:hAnsi="Amiri" w:eastAsia="Amiri" w:cs="Amiri"/>
          <w:color w:val="111111"/>
          <w:sz w:val="28"/>
          <w:sz w:val="28"/>
          <w:szCs w:val="28"/>
          <w:rtl w:val="true"/>
          <w:lang w:bidi="ar-SA"/>
        </w:rPr>
        <w:t>، ويضمّ إليها عدم القول بوجوبه لغير صلاة الفجر، بل الإجماع البسيط دالّ على ثبوته للفجر، والمخالف شاذّ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ثبوته لباقي الصلوات فأنكره المشهور، وأثبته جمع من أصحابنا</w:t>
      </w:r>
      <w:r>
        <w:rPr>
          <w:rStyle w:val="FootnoteAnchor"/>
          <w:rtl w:val="true"/>
        </w:rPr>
        <w:footnoteReference w:id="1987"/>
      </w:r>
      <w:r>
        <w:rPr>
          <w:rFonts w:ascii="Amiri" w:hAnsi="Amiri" w:eastAsia="Amiri" w:cs="Amiri"/>
          <w:color w:val="111111"/>
          <w:sz w:val="28"/>
          <w:sz w:val="28"/>
          <w:szCs w:val="28"/>
          <w:rtl w:val="true"/>
          <w:lang w:bidi="ar-SA"/>
        </w:rPr>
        <w:t>و ألحقوا المتوسّطة بالكثيرة؛ تمسّكاً بإطلاقات الصحاح الدالّة على أنّ الدم إن ثقب الكرسف اغتسلت ثلاثاً و إلّا توضّأت كصحيحة معاوية بن عمّار الدالّة على أنّ المستحاضة عليها ثلاثة أغسال مطلقاً</w:t>
      </w:r>
      <w:r>
        <w:rPr>
          <w:rStyle w:val="FootnoteAnchor"/>
          <w:rtl w:val="true"/>
        </w:rPr>
        <w:footnoteReference w:id="1988"/>
      </w:r>
      <w:r>
        <w:rPr>
          <w:rFonts w:ascii="Amiri" w:hAnsi="Amiri" w:eastAsia="Amiri" w:cs="Amiri"/>
          <w:color w:val="111111"/>
          <w:sz w:val="28"/>
          <w:sz w:val="28"/>
          <w:szCs w:val="28"/>
          <w:rtl w:val="true"/>
          <w:lang w:bidi="ar-SA"/>
        </w:rPr>
        <w:t>، خرجت القليلة بالإجماع وبقي الباقي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لتقييد هذه المطلقات بالأخبار المؤيّدة بالاشتهار والموافقة للاعتبار من استبعاد الترقّي من وضوء إلى أغسال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الحسين بن نعيم،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الدم فيما بينها وبين المغرب لا يسيل من خلف الكرسف فلتتوضّأ ولتصلّ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بهذه القليلةَ بقرينة الأمر بالوضوء، وما بعده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طرحت الكرسف عنها وسال الدم وجب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بهذه المتوسّطةَ؛ لأنّ الدم عند طرح الكرسف فيها معرّض للسيلان، وبقرينة ما بعده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طرحت الكرسف ولم يسل الدم فلتتوضّاً ولتصلّ ولا غسل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بالغسل غسل الفجر الواحد دون طبيعة الغسل، بقرينة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الدم إذا أمسكت الكرسف يسيل من خلف الكرسف صبيباً لا يرقأ، فعليها أن تغتسل كلّ يوم وليلة ثلاث مرّات</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xml:space="preserve">ومفهوم الشرط وتقييده بوصف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صبيباً لا يرقأ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حكم المتوسّطة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جاز الدم الكرسف تعصّبت واغتسلت ثمّ صلّت الغداة بغسل، والظهر والعصر بغسلٍ، والمغرب والعشاء بغسلٍ، وإن لم يجز الكرسف صلّت بغسل واحد</w:t>
      </w:r>
      <w:r>
        <w:rPr>
          <w:rFonts w:eastAsia="Amiri" w:cs="Amiri" w:ascii="Amiri" w:hAnsi="Amiri"/>
          <w:color w:val="111111"/>
          <w:sz w:val="28"/>
          <w:szCs w:val="28"/>
          <w:rtl w:val="true"/>
          <w:lang w:bidi="ar-SA"/>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والقدح في الرواية بالإضمار بعد أن كان المضمر هو زرارة، كالقدح باحتمال إرادة غسل النفاس من الغسل الواحد بعد الإعراض عن أحكام النفاس والأخذ بتفصيل أحكام الاستحاضة، ضعيف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وللفجر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مع السيلان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يجز الدم الكرسف فعليها الغسل كلّ يوم مرّةً </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ويضمّ إلى ذلك الإجماع على عدمه لغير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الاستحاضة واجب إذا احتشت بالكرسف وجاز الدم الكرسف، فعليها الغسل لكلّ صلاتين وللفجر غسل، وإن لم يجز الدم الكرسف فعليها الغسل كلّ يوم مرّة والوضوء لكلّ صلاة</w:t>
      </w:r>
      <w:r>
        <w:rPr>
          <w:rFonts w:eastAsia="Amiri" w:cs="Amiri" w:ascii="Amiri" w:hAnsi="Amiri"/>
          <w:color w:val="111111"/>
          <w:sz w:val="28"/>
          <w:szCs w:val="28"/>
          <w:rtl w:val="true"/>
          <w:lang w:bidi="ar-SA"/>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أو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ولتغتسل ولتستدخل كرسفاً، فإن ظهر على الكرسف فلتغتسل ثمّ تضع كرسفاً آخَر ثمّ تصلّى، فإذا كان دماً سائلاً فلتؤخّر الصلاة </w:t>
      </w:r>
      <w:bookmarkStart w:id="990" w:name="pg18988_203536"/>
    </w:p>
    <w:p>
      <w:pPr>
        <w:pStyle w:val="BookText"/>
        <w:rPr/>
      </w:pPr>
      <w:bookmarkEnd w:id="990"/>
      <w:r>
        <w:rPr>
          <w:rFonts w:ascii="Amiri" w:hAnsi="Amiri" w:eastAsia="Amiri" w:cs="Amiri"/>
          <w:color w:val="111111"/>
          <w:sz w:val="28"/>
          <w:sz w:val="28"/>
          <w:szCs w:val="28"/>
          <w:rtl w:val="true"/>
          <w:lang w:bidi="ar-SA"/>
        </w:rPr>
        <w:t>إلى الصلاة، ثمّ تصلّي صلاتين بغسل واحد</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ويراد بالظهور على الكرسف هو ثقب القطنة بقرينة ما بعده وبقرينة مفهوم الشرط، وبقرينة السياق حيث إنّه ظاهر في اشتماله على بيان حكمين لموضوعين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المشعرة بمفهومها والمؤمية إلى وحدة غسل المتوسّطة، فمع ورود هذه الأخبار المقيّدة وجب الحكم بتقييد المطلقات الآمرة بالأغسال الثلاثة، وكان القول بوجوب الغسل الواحد للفجر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انقطعت المتوسّطة أو تبدّلت بالقليلة، وجب لانقطاعها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اغتسلت غسل الانقطاع ثمّ تجدّدت، وجب لحدوثها غسل متى حصل ولو عند كلّ فريضة؛ لأنّها حدث موجب للغسل، فمع استمراره اكتفى الشارع لطفاً وتخفيفاً منها بغسل الفجر، وأمّا مع الحدوث فلا بدّ من التجديد؛ لشغل الذمّة الموجب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اغتسلت للحدوث في غير الفجر فاستمرّ اكتفي به لذلك اليوم والليلة؛ لعدم نقصانه عن غسل الفجر إن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حدثت المتوسّطة عن الكثيرة بعد حصولها والغسل لها، فهل يجب تجديد غسلٍ آخَر لها، أم لا؟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وكفاية غسل الكثيرة للفجر عن الأغسال في بقيّة اليوم للمتوسّطة؛ لحصول الامتثال وعدم وجوب تشخيص ما عُمل له لوحدة الفعل والمفعول لأجله إلّا بنوع اعتبار لا يصلح مانعاً ولا فارقاً</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3198113_1280447820"/>
      <w:bookmarkStart w:id="992" w:name="_Toc383"/>
      <w:bookmarkEnd w:id="991"/>
      <w:r>
        <w:rPr>
          <w:rtl w:val="true"/>
        </w:rPr>
        <w:t>خامسها</w:t>
      </w:r>
      <w:r>
        <w:rPr>
          <w:rtl w:val="true"/>
        </w:rPr>
        <w:t xml:space="preserve">: </w:t>
      </w:r>
      <w:r>
        <w:rPr>
          <w:rtl w:val="true"/>
        </w:rPr>
        <w:t>فیما یجب علی المستحاضۀ القلیلۀ</w:t>
      </w:r>
      <w:bookmarkEnd w:id="992"/>
    </w:p>
    <w:p>
      <w:pPr>
        <w:pStyle w:val="BookText"/>
        <w:rPr/>
      </w:pPr>
      <w:r>
        <w:rPr>
          <w:rFonts w:ascii="Amiri" w:hAnsi="Amiri" w:eastAsia="Amiri" w:cs="Amiri"/>
          <w:color w:val="111111"/>
          <w:sz w:val="28"/>
          <w:sz w:val="28"/>
          <w:szCs w:val="28"/>
          <w:rtl w:val="true"/>
          <w:lang w:bidi="ar-SA"/>
        </w:rPr>
        <w:t>الاستحاضة حدث أصغر إن كانت قليلةً يمتنع معها ما يمتنع مع الحدث الأصغر، وحدث أكبر إن كانت كثيرةً أو متوسطةً يمتنع معها ما يمتنع مع الحدث الأكبر، استدامت أو انقطعت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ويرتفع حكم الحدث عنها مع الاستدامة إذا عملت الأعمال المذكورة للصلاة في وقتها، وصلّت بعد الأعمال، فإنّها تستبيح جميع الغايات، ولو لم تعمل تلك الأعمال حرمت عليها جميع الغايات المترتّبة على ارتفاع الحدثين من صلاةٍ و طوافٍ ومسٍّ، ومنها ومن لبثٍ في المساجد مطلقاً أو اجتياز في أحد المسجدين على الأظهر والأحوط؛ إذ لا خصوصيّة لحدث الجنب والحيض في المنع عن ذلك، بل الظاهر؛ لكونهما حدثاً أكبر، ولما يلوح من بعض الأخبار</w:t>
      </w:r>
      <w:r>
        <w:rPr>
          <w:rStyle w:val="FootnoteAnchor"/>
          <w:rtl w:val="true"/>
        </w:rPr>
        <w:footnoteReference w:id="1994"/>
      </w:r>
      <w:r>
        <w:rPr>
          <w:rFonts w:ascii="IRNazanin" w:hAnsi="IRNazanin" w:eastAsia="IRNazanin"/>
          <w:color w:val="111111"/>
          <w:sz w:val="28"/>
          <w:sz w:val="28"/>
          <w:szCs w:val="28"/>
          <w:rtl w:val="true"/>
          <w:lang w:bidi="fa-IR"/>
        </w:rPr>
        <w:t>من المنع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عملت لكن لغير الصلاة من الغايات، أو عملت قبل وقت الصلاة، أو فصلت بين الصلاة و العمل بفاصل يُعتدّ به، ففي ارتفاع حدثها بالنسبة إلى جميع الغايات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بقاء الاستباحة عند حصولها إلى وقت صلاةٍ أُخرى إذا لم يطرأ حدثٌ آخَر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وتتوقّف صحّة صوم صاحبة الكثيرة على الأغسال؛ لفتوى الأصحاب ورواية علىّ بن مهزيار</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تتوقّف على باقي الأفعال المجوّزة للدخول في الصلاة، أم لا تتوقّف؟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للأصل، واختصاص الرواية فيمن لم تعمل عمل المستحاضة من الغسل،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التوقّف على الأغسال والأفعال فهل يتوقّف صوم كلّ يوم على أغسال نهاره خاصّة، أو فجره خاصّة، أو ليلته السابقة خاصّة، أو اللاحقة خاصّة، أو الليلتين معاً، أو الجميع مطلقاً، أو الجميع مع السابقة إن لم تغتسل للفجر قبل الفجر، وإن اغتسلت أجزأ غسل الفجر عنها؟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الفجر وإن لم يكن منصوصاً عليه ولكنّ الأصحاب حكموا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غسل المتوسّطة بأغسال الكثيرة في توقّف صحّة صومها على الغسل؛ لفتوى الأصحاب والاحتياط، و إلّا ففي دخولها في الرواية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أنّ المستحاضة الكثيرة والمتوسّطة لا يحلّ لزوجها أن يطأها قُبُلاً قبل العمل المبيح للصلاة من غسل ووضوء وغيرهما؛ لما ورد في المستحاضة الكبرى في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أمرها بالأغسال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حلّت لها الصلاة حلّ لزوجها أن يغشاها</w:t>
      </w:r>
      <w:r>
        <w:rPr>
          <w:rFonts w:eastAsia="Amiri" w:cs="Amiri" w:ascii="Amiri" w:hAnsi="Amiri"/>
          <w:color w:val="111111"/>
          <w:sz w:val="28"/>
          <w:szCs w:val="28"/>
          <w:rtl w:val="true"/>
          <w:lang w:bidi="ar-SA"/>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يغشاها حتّى يأمرها بالغسل</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استحلّت به الصلاة فليأتها زوجها</w:t>
      </w:r>
      <w:r>
        <w:rPr>
          <w:rFonts w:eastAsia="Amiri" w:cs="Amiri" w:ascii="Amiri" w:hAnsi="Amiri"/>
          <w:color w:val="111111"/>
          <w:sz w:val="28"/>
          <w:szCs w:val="28"/>
          <w:rtl w:val="true"/>
          <w:lang w:bidi="ar-SA"/>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زوجها أن يأتيها فحين تغتسل</w:t>
      </w:r>
      <w:r>
        <w:rPr>
          <w:rFonts w:eastAsia="Amiri" w:cs="Amiri" w:ascii="Amiri" w:hAnsi="Amiri"/>
          <w:color w:val="111111"/>
          <w:sz w:val="28"/>
          <w:szCs w:val="28"/>
          <w:rtl w:val="true"/>
          <w:lang w:bidi="ar-SA"/>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ممّا ورد في الكثيرة والمتوسّطة، ونُسب إلى فتوى الأصحاب</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يخصّص عموم الكتاب </w:t>
      </w:r>
      <w:r>
        <w:rPr>
          <w:rStyle w:val="FootnoteAnchor"/>
          <w:rtl w:val="true"/>
        </w:rPr>
        <w:footnoteReference w:id="2001"/>
      </w:r>
      <w:r>
        <w:rPr>
          <w:rFonts w:ascii="Amiri" w:hAnsi="Amiri" w:eastAsia="Amiri" w:cs="Amiri"/>
          <w:color w:val="111111"/>
          <w:sz w:val="28"/>
          <w:sz w:val="28"/>
          <w:szCs w:val="28"/>
          <w:rtl w:val="true"/>
          <w:lang w:bidi="ar-SA"/>
        </w:rPr>
        <w:t>والسنّة</w:t>
      </w:r>
      <w:r>
        <w:rPr>
          <w:rStyle w:val="FootnoteAnchor"/>
          <w:rtl w:val="true"/>
        </w:rPr>
        <w:footnoteReference w:id="2002"/>
      </w:r>
      <w:r>
        <w:rPr>
          <w:rFonts w:ascii="Amiri" w:hAnsi="Amiri" w:eastAsia="Amiri" w:cs="Amiri"/>
          <w:color w:val="111111"/>
          <w:sz w:val="28"/>
          <w:sz w:val="28"/>
          <w:szCs w:val="28"/>
          <w:rtl w:val="true"/>
          <w:lang w:bidi="ar-SA"/>
        </w:rPr>
        <w:t>الدالّ على جواز الوطء مطلقاً، والدالّ على الجواز خصوصاً،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يأتيها بعلها متى شاء إلّا أيّام الحيض</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القليلة فالأحوط امتناع الزوج لفتوى الكثير من الأصحاب</w:t>
      </w:r>
      <w:r>
        <w:rPr>
          <w:rStyle w:val="FootnoteAnchor"/>
          <w:rtl w:val="true"/>
        </w:rPr>
        <w:footnoteReference w:id="2004"/>
      </w:r>
      <w:r>
        <w:rPr>
          <w:rFonts w:ascii="IRNazanin" w:hAnsi="IRNazanin" w:eastAsia="IRNazanin"/>
          <w:color w:val="111111"/>
          <w:sz w:val="28"/>
          <w:sz w:val="28"/>
          <w:szCs w:val="28"/>
          <w:rtl w:val="true"/>
          <w:lang w:bidi="fa-IR"/>
        </w:rPr>
        <w:t>، ولظواهر بعض أخبار الباب</w:t>
      </w:r>
      <w:r>
        <w:rPr>
          <w:rStyle w:val="FootnoteAnchor"/>
          <w:rtl w:val="true"/>
        </w:rPr>
        <w:footnoteReference w:id="2005"/>
      </w:r>
      <w:r>
        <w:rPr>
          <w:rFonts w:ascii="Amiri" w:hAnsi="Amiri" w:eastAsia="Amiri" w:cs="Amiri"/>
          <w:color w:val="111111"/>
          <w:sz w:val="28"/>
          <w:sz w:val="28"/>
          <w:szCs w:val="28"/>
          <w:rtl w:val="true"/>
          <w:lang w:bidi="ar-SA"/>
        </w:rPr>
        <w:t>، وهي وإن كان موردها الكثيرة والمتوسّطة إلا أنّ بعضها لا يخلو عن عموم أو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بقاء حكم جواز الوطء إلى تضييق العمل الآخر لصلاة أُخرى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بقائه دائماً ما لم ينتقض بناقضٍ آخَر ، كاحتمال الفوريّة والمعاقبة، بعيد عن ظاهر الأخبار وكلام الأصحاب</w:t>
      </w:r>
      <w:r>
        <w:rPr>
          <w:rFonts w:eastAsia="Amiri" w:cs="Amiri" w:ascii="Amiri" w:hAnsi="Amiri"/>
          <w:color w:val="111111"/>
          <w:sz w:val="28"/>
          <w:szCs w:val="28"/>
          <w:rtl w:val="true"/>
          <w:lang w:bidi="ar-SA"/>
        </w:rPr>
        <w:t xml:space="preserve">. </w:t>
      </w:r>
      <w:bookmarkStart w:id="993" w:name="pg18988_203539"/>
    </w:p>
    <w:p>
      <w:pPr>
        <w:pStyle w:val="Heading3"/>
        <w:numPr>
          <w:ilvl w:val="2"/>
          <w:numId w:val="1"/>
        </w:numPr>
        <w:rPr/>
      </w:pPr>
      <w:bookmarkStart w:id="994" w:name="__RefHeading___Toc13198115_1280447820"/>
      <w:bookmarkStart w:id="995" w:name="_Toc384"/>
      <w:bookmarkEnd w:id="993"/>
      <w:bookmarkEnd w:id="994"/>
      <w:r>
        <w:rPr>
          <w:rtl w:val="true"/>
        </w:rPr>
        <w:t>القول في النفاس</w:t>
      </w:r>
      <w:bookmarkEnd w:id="995"/>
    </w:p>
    <w:p>
      <w:pPr>
        <w:pStyle w:val="Heading4"/>
        <w:numPr>
          <w:ilvl w:val="3"/>
          <w:numId w:val="1"/>
        </w:numPr>
        <w:rPr/>
      </w:pPr>
      <w:bookmarkStart w:id="996" w:name="__RefHeading___Toc13198117_1280447820"/>
      <w:bookmarkStart w:id="997" w:name="_Toc385"/>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وهو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المتعقّب للولادة،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ترَ دماً أصلاً فلا نفاس لها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رأته مع الولادة ولم تره بَعْدُ، بُني على أنّ المصاحب للولادة نفاس أم لا؟ وعليه تترتّب ثمرات الأحكام المتعلّقة بالنفاس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أنّه نفاس لفتوى المشهور نقلاً على ما استظهره بعضهم</w:t>
      </w:r>
      <w:r>
        <w:rPr>
          <w:rStyle w:val="FootnoteAnchor"/>
          <w:rtl w:val="true"/>
        </w:rPr>
        <w:footnoteReference w:id="2006"/>
      </w:r>
      <w:r>
        <w:rPr>
          <w:rFonts w:ascii="IRNazanin" w:hAnsi="IRNazanin" w:eastAsia="IRNazanin"/>
          <w:color w:val="111111"/>
          <w:sz w:val="28"/>
          <w:sz w:val="28"/>
          <w:szCs w:val="28"/>
          <w:rtl w:val="true"/>
          <w:lang w:bidi="fa-IR"/>
        </w:rPr>
        <w:t>، وللإجماع المنقول</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زريق عمّن رأت الدم وقد أصابها الطلق؟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الصبيّ، فإذا خرج رأسه لم تجب عليها شيء</w:t>
      </w:r>
      <w:r>
        <w:rPr>
          <w:rFonts w:eastAsia="Amiri" w:cs="Amiri" w:ascii="Amiri" w:hAnsi="Amiri"/>
          <w:color w:val="111111"/>
          <w:sz w:val="28"/>
          <w:szCs w:val="28"/>
          <w:rtl w:val="true"/>
          <w:lang w:bidi="ar-SA"/>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وهي حامل لا تدع الصلاة إلّا أن ترى على رأس الولد إذا ضربها الطلق ورأت الدم تركت الصلاة</w:t>
      </w:r>
      <w:r>
        <w:rPr>
          <w:rFonts w:eastAsia="Amiri" w:cs="Amiri" w:ascii="Amiri" w:hAnsi="Amiri"/>
          <w:color w:val="111111"/>
          <w:sz w:val="28"/>
          <w:szCs w:val="28"/>
          <w:rtl w:val="true"/>
          <w:lang w:bidi="ar-SA"/>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مع خروج بعض الولد ورجوعه إلى الباطن يحكم على الدم الخارج بالنفاس، سواء خرج مصاحباً لبعض الولد فاستمرّ، أو خرج بعد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يخلو من إشكالٍ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الخارج مع الولد أو مع بعضه، و أمّا الخارج مع المضغة، فالظاهر أنّه كالخارج مع السقط، أو مع غير التامّ من الوضع؛ لصدق الولادة عرفاً، والشهرة المنقولة</w:t>
      </w:r>
      <w:r>
        <w:rPr>
          <w:rStyle w:val="FootnoteAnchor"/>
          <w:rtl w:val="true"/>
        </w:rPr>
        <w:footnoteReference w:id="2010"/>
      </w:r>
      <w:r>
        <w:rPr>
          <w:rFonts w:ascii="Amiri" w:hAnsi="Amiri" w:eastAsia="Amiri" w:cs="Amiri"/>
          <w:color w:val="111111"/>
          <w:sz w:val="28"/>
          <w:sz w:val="28"/>
          <w:szCs w:val="28"/>
          <w:rtl w:val="true"/>
          <w:lang w:bidi="ar-SA"/>
        </w:rPr>
        <w:t xml:space="preserve">، ولظهور كون </w:t>
      </w:r>
      <w:bookmarkStart w:id="998" w:name="pg18988_203540"/>
    </w:p>
    <w:p>
      <w:pPr>
        <w:pStyle w:val="BookText"/>
        <w:rPr/>
      </w:pPr>
      <w:bookmarkEnd w:id="998"/>
      <w:r>
        <w:rPr>
          <w:rFonts w:ascii="Amiri" w:hAnsi="Amiri" w:eastAsia="Amiri" w:cs="Amiri"/>
          <w:color w:val="111111"/>
          <w:sz w:val="28"/>
          <w:sz w:val="28"/>
          <w:szCs w:val="28"/>
          <w:rtl w:val="true"/>
          <w:lang w:bidi="ar-SA"/>
        </w:rPr>
        <w:t>المضغة مبدأ نشوء إنسان فيلحقه حكمه، مع احتمال العدم؛ لعدم انصراف إطلاق الولادة إليه، والأصل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ما عُلم أنّه مبدأ نشوء إنسان ولو بشهادة القوابل فيجري عليه حكم النفاس، ونُقل عليه الإجماع</w:t>
      </w:r>
      <w:r>
        <w:rPr>
          <w:rStyle w:val="FootnoteAnchor"/>
          <w:rtl w:val="true"/>
        </w:rPr>
        <w:footnoteReference w:id="2011"/>
      </w:r>
      <w:r>
        <w:rPr>
          <w:rFonts w:ascii="Amiri" w:hAnsi="Amiri" w:eastAsia="Amiri" w:cs="Amiri"/>
          <w:color w:val="111111"/>
          <w:sz w:val="28"/>
          <w:sz w:val="28"/>
          <w:szCs w:val="28"/>
          <w:rtl w:val="true"/>
          <w:lang w:bidi="ar-SA"/>
        </w:rPr>
        <w:t>، وبين ما لم يُعلم فلا يحكم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المضغة من العلقة والنطفة، فإن لم يُعلما أنّهما مبدأ نشوء إنسان فلا إشكال بعدم النفاس، و إن عُلم ذلك ،فوجهان أقواهما العدم، سيّما في الثانية؛ لبُعْد صدق اسم الولادة</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3198119_1280447820"/>
      <w:bookmarkStart w:id="1000" w:name="_Toc386"/>
      <w:bookmarkEnd w:id="999"/>
      <w:r>
        <w:rPr>
          <w:rtl w:val="true"/>
        </w:rPr>
        <w:t>وهنا فوائد</w:t>
      </w:r>
      <w:r>
        <w:rPr>
          <w:rtl w:val="true"/>
        </w:rPr>
        <w:t>:</w:t>
      </w:r>
      <w:bookmarkEnd w:id="1000"/>
    </w:p>
    <w:p>
      <w:pPr>
        <w:pStyle w:val="Heading4"/>
        <w:numPr>
          <w:ilvl w:val="3"/>
          <w:numId w:val="1"/>
        </w:numPr>
        <w:rPr/>
      </w:pPr>
      <w:bookmarkStart w:id="1001" w:name="__RefHeading___Toc13198121_1280447820"/>
      <w:bookmarkStart w:id="1002" w:name="_Toc387"/>
      <w:bookmarkEnd w:id="1001"/>
      <w:r>
        <w:rPr>
          <w:rtl w:val="true"/>
        </w:rPr>
        <w:t>إحداها</w:t>
      </w:r>
      <w:r>
        <w:rPr>
          <w:rtl w:val="true"/>
        </w:rPr>
        <w:t xml:space="preserve">: </w:t>
      </w:r>
      <w:r>
        <w:rPr>
          <w:rtl w:val="true"/>
        </w:rPr>
        <w:t>عدم يشترط تخلّل أقلّ الطهر بين النفاسين وهل یشترط تخلّل أقلّ الطهر بين النفاس والحیض؟</w:t>
      </w:r>
      <w:bookmarkEnd w:id="1002"/>
    </w:p>
    <w:p>
      <w:pPr>
        <w:pStyle w:val="BookText"/>
        <w:rPr/>
      </w:pPr>
      <w:r>
        <w:rPr>
          <w:rFonts w:ascii="Amiri" w:hAnsi="Amiri" w:eastAsia="Amiri" w:cs="Amiri"/>
          <w:color w:val="111111"/>
          <w:sz w:val="28"/>
          <w:sz w:val="28"/>
          <w:szCs w:val="28"/>
          <w:rtl w:val="true"/>
          <w:lang w:bidi="ar-SA"/>
        </w:rPr>
        <w:t>لا يشترط تخلّل أقلّ الطهر بين النفاسين، بل يجوز تعدّد النفاس في التوأمين من غير تخلّل أقلّ الطهر، فيجوز أن يتخلّل بينهما خمسة أيّام طهراً أو أقلّ أو أكثر، ويجوز أن لا يتخلّل طهر أصلاً ورأساً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تخلّل أقلّ الطهر بين النفاس والحيض سواء تأخّر الحيض أم تقدّم، أم لا؟ و جهان، أقواهما الاشتراط؛ لظاهر الأخبار عموماً، كقوله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 أيّام</w:t>
      </w:r>
      <w:r>
        <w:rPr>
          <w:rFonts w:eastAsia="Amiri" w:cs="Amiri" w:ascii="Amiri" w:hAnsi="Amiri"/>
          <w:color w:val="111111"/>
          <w:sz w:val="28"/>
          <w:szCs w:val="28"/>
          <w:rtl w:val="true"/>
          <w:lang w:bidi="ar-SA"/>
        </w:rPr>
        <w:t>»</w:t>
      </w:r>
      <w:r>
        <w:rPr>
          <w:rStyle w:val="FootnoteAnchor"/>
          <w:rtl w:val="true"/>
        </w:rPr>
        <w:footnoteReference w:id="2013"/>
      </w:r>
      <w:r>
        <w:rPr>
          <w:rFonts w:ascii="Amiri" w:hAnsi="Amiri" w:eastAsia="Amiri" w:cs="Amiri"/>
          <w:color w:val="111111"/>
          <w:sz w:val="28"/>
          <w:sz w:val="28"/>
          <w:szCs w:val="28"/>
          <w:rtl w:val="true"/>
          <w:lang w:bidi="ar-SA"/>
        </w:rPr>
        <w:t>وخصوصاً، كخبر زريق الآمر بالصلاة لمن أصابها الطلق حتّى يخرج رأس الصبيّ</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وللإجماع المنقول</w:t>
      </w:r>
      <w:r>
        <w:rPr>
          <w:rStyle w:val="FootnoteAnchor"/>
          <w:rtl w:val="true"/>
        </w:rPr>
        <w:footnoteReference w:id="2015"/>
      </w:r>
      <w:r>
        <w:rPr>
          <w:rFonts w:ascii="Amiri" w:hAnsi="Amiri" w:eastAsia="Amiri" w:cs="Amiri"/>
          <w:color w:val="111111"/>
          <w:sz w:val="28"/>
          <w:sz w:val="28"/>
          <w:szCs w:val="28"/>
          <w:rtl w:val="true"/>
          <w:lang w:bidi="ar-SA"/>
        </w:rPr>
        <w:t>على اشتراط تخلّل أقلّ الطهر بين النفاس والحيض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وللموثّق فيمن يصيبها الطلق أيّاماً فترى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تخلّل أقلّ الطهر بين الحيض المتقدّم والنفاس المتأخّر وجوّز تقدّم الحيض على النفاس مع الاتّصال ومع تخلّل الأقلّ من أقلّ الطهر</w:t>
      </w:r>
      <w:r>
        <w:rPr>
          <w:rStyle w:val="FootnoteAnchor"/>
          <w:rtl w:val="true"/>
        </w:rPr>
        <w:footnoteReference w:id="2017"/>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bookmarkStart w:id="1003" w:name="pg18988_203541"/>
    </w:p>
    <w:p>
      <w:pPr>
        <w:pStyle w:val="BookText"/>
        <w:rPr/>
      </w:pPr>
      <w:bookmarkEnd w:id="1003"/>
      <w:r>
        <w:rPr>
          <w:rFonts w:ascii="Amiri" w:hAnsi="Amiri" w:eastAsia="Amiri" w:cs="Amiri"/>
          <w:color w:val="111111"/>
          <w:sz w:val="28"/>
          <w:sz w:val="28"/>
          <w:szCs w:val="28"/>
          <w:rtl w:val="true"/>
          <w:lang w:bidi="ar-SA"/>
        </w:rPr>
        <w:t>ضعف الروايات الخاصّة أو اختصاصها بدم المخاض المتصّل بالولادة دون كلّ دم متقدّم، وانصراف الأدلّة العامّة إلى الطهر الواقع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مخالفة المشهور والأخبار المنجبرة بفتواهم والإجماع المنقول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يفصّل بين ما كان النفاس واقعاً من نفسه فيكشف عن استحاضة المتقدّم، وبين ما يكون واقعاً بفعل فاعلٍ فلا يكشف؛ لعدم كونه من الأُمور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نرَ مَن احتمل حيضيّة الدم المتأخّر عن النفاس قبل تخلّل أقلّ الطهر،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رأت دماً سابقاً على النفاس متّصلاً به أو لاحقاً له متّصلاً به، يمكن أخذ قدر دم النفاس وقدر الطهر وقدر أقلّ الحيض منه فلا يبعد البناء على حيضيّة الدم السابق واللاحق، سيّما لو وافق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المتأخّر في الشهر الواحد ليس بحيضٍ؛ معاملةً للنفاس معاملة الحيض في وقوع دمه في الشهر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المنافاة بين دم النفاس ودم الحيض لا بين الولادة والحيض، فلو رأت دماً سابقاً ثمّ ولدت ولم ترَ دماً و لم يتخلّل أقلّ الطهر بين الدم والولادة حُكم بحيضيّة الدم السابق</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3198123_1280447820"/>
      <w:bookmarkStart w:id="1005" w:name="_Toc388"/>
      <w:bookmarkEnd w:id="1004"/>
      <w:r>
        <w:rPr>
          <w:rtl w:val="true"/>
        </w:rPr>
        <w:t>ثانيتها</w:t>
      </w:r>
      <w:r>
        <w:rPr>
          <w:rtl w:val="true"/>
        </w:rPr>
        <w:t>:</w:t>
      </w:r>
      <w:r>
        <w:rPr>
          <w:rtl w:val="true"/>
        </w:rPr>
        <w:t>فی أنّ دم النفاس ما حصل بين تمام الولادة وتمام العشرة</w:t>
      </w:r>
      <w:bookmarkEnd w:id="1005"/>
    </w:p>
    <w:p>
      <w:pPr>
        <w:pStyle w:val="BookText"/>
        <w:rPr/>
      </w:pPr>
      <w:r>
        <w:rPr>
          <w:rFonts w:ascii="Amiri" w:hAnsi="Amiri" w:eastAsia="Amiri" w:cs="Amiri"/>
          <w:color w:val="111111"/>
          <w:sz w:val="28"/>
          <w:sz w:val="28"/>
          <w:szCs w:val="28"/>
          <w:rtl w:val="true"/>
          <w:lang w:bidi="ar-SA"/>
        </w:rPr>
        <w:t>دم النفاس ما حصل بين تمام الولادة وتمام العشرة، فلو مضت من حين الولادة عشرة كاملة لم يُر فيها دم لم يكن للمرأة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دم جاء بعد العشرة من الولادة ليس بنفاس أيضاً، سواء ملأ العشرة أو جاء في بعضها ولو اليوم العاشر فاستمرّ، فإنّه يُحكم بنفاسيّة اليوم العاشر فقط، والزائد يكون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اقتصاراً على مورد اليقين من الحدث، ولظاهر فتوى الأصحاب، وربما يظهر ذلك من بعض الروايات</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العشرة من آخر الولادة، فلو طال زمن الولادة خروجاً، أو طال لوقوع الولد قِطَعاً، أو طال لكونه توأماً، لم يحتسب ذلك الزمن، فربما يكون مقدار زمن الولادة عشرة أيّام فتعتبر حينئذٍ عشرة أُخرى بعدها، وربما يستمرّ النفاس عشرين يوماً، كأن تلد ولداً فترى الدم إلى عشرة ثمّ تلد آخَر فى آخر العشرة، وقد يكون أقلّ من ذلك؛ لأنّا لا نشترط تخلّل أقلّ الطهر بین النفاسين</w:t>
      </w:r>
      <w:r>
        <w:rPr>
          <w:rFonts w:eastAsia="IRNazanin" w:cs="IRNazanin"/>
          <w:color w:val="111111"/>
          <w:sz w:val="28"/>
          <w:szCs w:val="28"/>
          <w:rtl w:val="true"/>
          <w:lang w:bidi="fa-IR"/>
        </w:rPr>
        <w:t xml:space="preserve">. </w:t>
      </w:r>
      <w:bookmarkStart w:id="1006" w:name="pg18988_203542"/>
    </w:p>
    <w:p>
      <w:pPr>
        <w:pStyle w:val="Heading4"/>
        <w:numPr>
          <w:ilvl w:val="3"/>
          <w:numId w:val="1"/>
        </w:numPr>
        <w:rPr/>
      </w:pPr>
      <w:bookmarkStart w:id="1007" w:name="__RefHeading___Toc13198125_1280447820"/>
      <w:bookmarkStart w:id="1008" w:name="_Toc389"/>
      <w:bookmarkEnd w:id="1006"/>
      <w:bookmarkEnd w:id="1007"/>
      <w:r>
        <w:rPr>
          <w:rtl w:val="true"/>
        </w:rPr>
        <w:t xml:space="preserve">ثالثها </w:t>
      </w:r>
      <w:r>
        <w:rPr>
          <w:rtl w:val="true"/>
        </w:rPr>
        <w:t xml:space="preserve">: </w:t>
      </w:r>
      <w:r>
        <w:rPr>
          <w:rtl w:val="true"/>
        </w:rPr>
        <w:t>فی أنّه لا حدّ لقليل النفاس وبیان حدّ أکثره</w:t>
      </w:r>
      <w:bookmarkEnd w:id="1008"/>
    </w:p>
    <w:p>
      <w:pPr>
        <w:pStyle w:val="BookText"/>
        <w:rPr/>
      </w:pPr>
      <w:r>
        <w:rPr>
          <w:rFonts w:ascii="Amiri" w:hAnsi="Amiri" w:eastAsia="Amiri" w:cs="Amiri"/>
          <w:color w:val="111111"/>
          <w:sz w:val="28"/>
          <w:sz w:val="28"/>
          <w:szCs w:val="28"/>
          <w:rtl w:val="true"/>
          <w:lang w:bidi="ar-SA"/>
        </w:rPr>
        <w:t>لا حدّ لقليل النفاس، فقد ينتهى إلى لحظة، سواء اتّصل بالولادة أو انفصل عنها ولو في اليوم العاشر، ولكنّه إن رئي متّصلاً بها وانقطع أو منفصلاً عنها وانقطع أو استمرّ إلى ما فوق العشرة كان الدم الحاصل في العشرة نفاساً كلّاً أو بعضاً، والبياض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دم سابق ودم لاحق وبين الدمين بياض و حُكم بنفاسيّة الدمين، كان البياض بحكم النفاس؛ إذ لا ينقص الطهر عن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 حدّه عشرة إن اتّصل بالولادة، و إلّا فحدّه ما يكمل العشرة من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كثر البياض بين الولادة وبينه فالنفاس هو الدم الكائن في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والتنفّس بالعشرة خاصّ بغير ذات العادة من مبتدأة أو مضطربة أو ناسية، أو بذات العادة إذا انقطع الدم على العشرة سواء انقطع قبل ذلك على العادة فعاد أو لم ينقطع، وسواء عاد بعد العشرة قبل أقلّ الطهر أو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اقتصاراً على الحدث مهما أمكن؛ لأصالة الطهارة، و للأخبار الدالّة على أنّ النفاس حيض</w:t>
      </w:r>
      <w:r>
        <w:rPr>
          <w:rStyle w:val="FootnoteAnchor"/>
          <w:rtl w:val="true"/>
        </w:rPr>
        <w:footnoteReference w:id="2019"/>
      </w:r>
      <w:r>
        <w:rPr>
          <w:rFonts w:ascii="Amiri" w:hAnsi="Amiri" w:eastAsia="Amiri" w:cs="Amiri"/>
          <w:color w:val="111111"/>
          <w:sz w:val="28"/>
          <w:sz w:val="28"/>
          <w:szCs w:val="28"/>
          <w:rtl w:val="true"/>
          <w:lang w:bidi="ar-SA"/>
        </w:rPr>
        <w:t>، ولما يظهر من فتوى المشهور أنّ أكثر النفاس عشرة، ولما روي مرسلاً من ورود الأخبار في أنّ أكثر النفاس عشرة</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الرجوع إلى التمييز أو الأقران أو الروايات،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ذات العادة فتنفّسها بالعادة خاصّة إذا انقطع الدم عليها أو تجاوز معها العشرة مستمرّاً؛ للأخبار المتكثّرة الآمرة برجوع النفساء إلى أيّامها و عادتها </w:t>
      </w:r>
      <w:r>
        <w:rPr>
          <w:rStyle w:val="FootnoteAnchor"/>
          <w:rtl w:val="true"/>
        </w:rPr>
        <w:footnoteReference w:id="2021"/>
      </w:r>
      <w:r>
        <w:rPr>
          <w:rFonts w:ascii="Amiri" w:hAnsi="Amiri" w:eastAsia="Amiri" w:cs="Amiri"/>
          <w:color w:val="111111"/>
          <w:sz w:val="28"/>
          <w:sz w:val="28"/>
          <w:szCs w:val="28"/>
          <w:rtl w:val="true"/>
          <w:lang w:bidi="ar-SA"/>
        </w:rPr>
        <w:t>، ولولا ما جاء من أنّ النفاس حيض، ومن الأمر بالاستظهار للنفساء في بعض الأخبار</w:t>
      </w:r>
      <w:r>
        <w:rPr>
          <w:rStyle w:val="FootnoteAnchor"/>
          <w:rtl w:val="true"/>
        </w:rPr>
        <w:footnoteReference w:id="2022"/>
      </w:r>
      <w:r>
        <w:rPr>
          <w:rFonts w:ascii="Amiri" w:hAnsi="Amiri" w:eastAsia="Amiri" w:cs="Amiri"/>
          <w:color w:val="111111"/>
          <w:sz w:val="28"/>
          <w:sz w:val="28"/>
          <w:szCs w:val="28"/>
          <w:rtl w:val="true"/>
          <w:lang w:bidi="ar-SA"/>
        </w:rPr>
        <w:t>، لكان الأخذ بتلك الأخبار الآمرة بالرجوع إلى العادة متّجهاً مطلقاً حتّى لو انقطع الدم على العاشر، ولكنّ الجمع بينهما بما ذكرناه أولى وأقوى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القول في ذلك أنّ من الأخبار الصحاح ما دلّت على الرجوع إلى العادة، كقوله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تكفّ عن الصلاة أيّامها التي كانت تمكث فيها، ثمّ تغتسل وتعمل عمل المستحاضة</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بقدر حيضها وتستظهر بيومين، فإن انقطع الدم و إلّا اغتسلت </w:t>
      </w:r>
      <w:r>
        <w:rPr>
          <w:rFonts w:eastAsia="Amiri" w:cs="Amiri" w:ascii="Amiri" w:hAnsi="Amiri"/>
          <w:color w:val="111111"/>
          <w:sz w:val="28"/>
          <w:szCs w:val="28"/>
          <w:rtl w:val="true"/>
          <w:lang w:bidi="ar-SA"/>
        </w:rPr>
        <w:t>»</w:t>
      </w:r>
      <w:r>
        <w:rPr>
          <w:rStyle w:val="FootnoteAnchor"/>
          <w:rtl w:val="true"/>
        </w:rPr>
        <w:footnoteReference w:id="2024"/>
      </w:r>
      <w:r>
        <w:rPr>
          <w:rFonts w:ascii="IRNazanin" w:hAnsi="IRNazanin" w:eastAsia="IRNazanin"/>
          <w:color w:val="111111"/>
          <w:sz w:val="28"/>
          <w:sz w:val="28"/>
          <w:szCs w:val="28"/>
          <w:rtl w:val="true"/>
          <w:lang w:bidi="fa-IR"/>
        </w:rPr>
        <w:t>ونحوه الموثق</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النفساء أيّامها التي كانت تقعد في الحيض، وتستظهر بيومين</w:t>
      </w:r>
      <w:r>
        <w:rPr>
          <w:rFonts w:eastAsia="Amiri" w:cs="Amiri" w:ascii="Amiri" w:hAnsi="Amiri"/>
          <w:color w:val="111111"/>
          <w:sz w:val="28"/>
          <w:szCs w:val="28"/>
          <w:rtl w:val="true"/>
          <w:lang w:bidi="ar-SA"/>
        </w:rPr>
        <w:t>»</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الأخبار ما دلّت على العشرة، كالفقه الرضوي</w:t>
      </w:r>
      <w:r>
        <w:rPr>
          <w:rStyle w:val="FootnoteAnchor"/>
          <w:rtl w:val="true"/>
        </w:rPr>
        <w:footnoteReference w:id="2027"/>
      </w:r>
      <w:r>
        <w:rPr>
          <w:rFonts w:ascii="Amiri" w:hAnsi="Amiri" w:eastAsia="Amiri" w:cs="Amiri"/>
          <w:color w:val="111111"/>
          <w:sz w:val="28"/>
          <w:sz w:val="28"/>
          <w:szCs w:val="28"/>
          <w:rtl w:val="true"/>
          <w:lang w:bidi="ar-SA"/>
        </w:rPr>
        <w:t>، وما أرسله الشيخ من الأخبار</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ما دلّت على الثمانية عشر كالصحاح الدالّة على تنفّس أسماء بثمانية عشر</w:t>
      </w:r>
      <w:r>
        <w:rPr>
          <w:rStyle w:val="FootnoteAnchor"/>
          <w:rtl w:val="true"/>
        </w:rPr>
        <w:footnoteReference w:id="2029"/>
      </w:r>
      <w:r>
        <w:rPr>
          <w:rFonts w:ascii="Amiri" w:hAnsi="Amiri" w:eastAsia="Amiri" w:cs="Amiri"/>
          <w:color w:val="111111"/>
          <w:sz w:val="28"/>
          <w:sz w:val="28"/>
          <w:szCs w:val="28"/>
          <w:rtl w:val="true"/>
          <w:lang w:bidi="ar-SA"/>
        </w:rPr>
        <w:t>، وغيرها من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الصحاح ما دلّ على التخيير بين الثمانية عشر والسبعة عشر</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الصحاح ما دلّت على الثلاثين، وما بينها وبين الأربعين والخمسين</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اللازم هنا تقديم أخبار العادة على غيرها؛ لأنّ الجمع فرع المقاومة، ورواية الفقه الرضوي لضعفها سنداً ودلالةً لا تقاوم تلك الأخبار، وما نُسب للمشهور من الإفتاء بمضمونها</w:t>
      </w:r>
      <w:r>
        <w:rPr>
          <w:rStyle w:val="FootnoteAnchor"/>
          <w:rtl w:val="true"/>
        </w:rPr>
        <w:footnoteReference w:id="2032"/>
      </w:r>
      <w:r>
        <w:rPr>
          <w:rFonts w:ascii="Amiri" w:hAnsi="Amiri" w:eastAsia="Amiri" w:cs="Amiri"/>
          <w:color w:val="111111"/>
          <w:sz w:val="28"/>
          <w:sz w:val="28"/>
          <w:szCs w:val="28"/>
          <w:rtl w:val="true"/>
          <w:lang w:bidi="ar-SA"/>
        </w:rPr>
        <w:t>لم يثبت، بل الثابت عنهم أنّ أكثر النفاس عشرة كأكثر الحيض، ونحن نقول به ، لا أنّ المرأة تتنفّس بالعشرة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التخيير بين الثمانية عشر والسبعة عشر، وروايات الثلاثين والأربعين والخمسين كلّها شاذّة مطّرحة لا عامل بها، ولا يبعد أنّ جملة منها واردة مورد التقيّة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روايات الثمانية عشر فهي وإن كثرت إلّا أنّ جملةً منها ضعيفة سنداً ودلالةً، و الصحيح منها دالّ على تنفّس أسماء بثمانية عشر ، ولا يكون فعلها حجّةً إلّا بعد ثبوت تقرير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ولم يثبت ذلك، بل في بعض الأخبار أنّها جلست لجهلها، ولو سألت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ذلك لأمرها بالغسل</w:t>
      </w:r>
      <w:r>
        <w:rPr>
          <w:rStyle w:val="FootnoteAnchor"/>
          <w:rtl w:val="true"/>
        </w:rPr>
        <w:footnoteReference w:id="2033"/>
      </w:r>
      <w:r>
        <w:rPr>
          <w:rFonts w:ascii="Amiri" w:hAnsi="Amiri" w:eastAsia="Amiri" w:cs="Amiri"/>
          <w:color w:val="111111"/>
          <w:sz w:val="28"/>
          <w:sz w:val="28"/>
          <w:szCs w:val="28"/>
          <w:rtl w:val="true"/>
          <w:lang w:bidi="ar-SA"/>
        </w:rPr>
        <w:t>، على أنّ الأخبار موافقة للعامّة بذلك والرشد بخلافهم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ضعف الجمع بين هذه الأخبار بحملها على غير المعتادة وبين أخبار العادة بحملها على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 ضعفاً أنّ من البعيد أنّ أسماء بعد تزويجها من أبي بكر وبلوغها ذلك السنّ لم تثبت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العادة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ملأ الدم العادة وانقطع عليها كانت هي النفاس، وإن تجاوزها إلى العشرة من يوم الولادة وانقطع على العشرة كانت العشرة نفاساً، وإن تجاوز العشرة رجعت إلى العادة وجعلتها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يملأ الدم العادة فإن كانت كلّها بياضاً وكانت دون العشرة وجاء بعدها دم وانقطع على العشرة كان ذلك الدم نفاساً، وإن لم ينقطع بل استمر احتُمل التنفّس به وجَعْل ما فوق العشرة استحاضة، واحتُمل أن لا نفاس لها حينئذٍ ؛ لإشعار أخبار الرجوع للعادة بذلك، واحتمال التنفّس بقدر العادة من حين رؤية الدم لا نقول به؛ لزيادة العدد على العشرة من حين الولادة، وما زاد فليس بنفاس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الدم في أوّل العادة فقط كان هو النفاس، وكذا إن كان في آخرها فقط، وإن كان في أوّلها وآخرها كان المجموع منهما ومن البياض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في أوّلها وبعد مضيّها ولكن قبل العشرة وانقطع فإنّه يُحكم على الدمين وما بينهما بالنفاس، وإن لم ينقطع فالأقوى الحكم بنفاسيّة الدم الذي في أوّل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وجد في آخرها فاستمرّ إلى أن تجاوز العشرة فإنّه يُحكم بنفاسيّة آخرها ولو يوماً دون الباقي، والبياض الذي بين الولادة والدم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هذه الأحكام إشكال؛ لخلوّها عن النصوص، فينبغي أن لا يترك الاحتياط في هذه المقامات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والنفساء كالحائض فيما يحرم ويجب ويكره ويستحبّ؛ للأخبار</w:t>
      </w:r>
      <w:r>
        <w:rPr>
          <w:rStyle w:val="FootnoteAnchor"/>
          <w:rtl w:val="true"/>
        </w:rPr>
        <w:footnoteReference w:id="2034"/>
      </w:r>
      <w:r>
        <w:rPr>
          <w:rFonts w:ascii="Amiri" w:hAnsi="Amiri" w:eastAsia="Amiri" w:cs="Amiri"/>
          <w:color w:val="111111"/>
          <w:sz w:val="28"/>
          <w:sz w:val="28"/>
          <w:szCs w:val="28"/>
          <w:rtl w:val="true"/>
          <w:lang w:bidi="ar-SA"/>
        </w:rPr>
        <w:t>وفتوى الأخيار، والإجماع المنقول</w:t>
      </w:r>
      <w:r>
        <w:rPr>
          <w:rStyle w:val="FootnoteAnchor"/>
          <w:rtl w:val="true"/>
        </w:rPr>
        <w:footnoteReference w:id="2035"/>
      </w:r>
      <w:r>
        <w:rPr>
          <w:rFonts w:ascii="Amiri" w:hAnsi="Amiri" w:eastAsia="Amiri" w:cs="Amiri"/>
          <w:color w:val="111111"/>
          <w:sz w:val="28"/>
          <w:sz w:val="28"/>
          <w:szCs w:val="28"/>
          <w:rtl w:val="true"/>
          <w:lang w:bidi="ar-SA"/>
        </w:rPr>
        <w:t>، والاستقراء القطعي، وكون دم النفاس دم حيض حُبس لتغذية الولد من الأُمور المعلومة</w:t>
      </w:r>
      <w:r>
        <w:rPr>
          <w:rFonts w:eastAsia="Amiri" w:cs="Amiri" w:ascii="Amiri" w:hAnsi="Amiri"/>
          <w:color w:val="111111"/>
          <w:sz w:val="28"/>
          <w:szCs w:val="28"/>
          <w:rtl w:val="true"/>
          <w:lang w:bidi="ar-SA"/>
        </w:rPr>
        <w:t xml:space="preserve">. </w:t>
      </w:r>
      <w:bookmarkStart w:id="1009" w:name="pg18988_203545"/>
    </w:p>
    <w:p>
      <w:pPr>
        <w:pStyle w:val="Heading3"/>
        <w:numPr>
          <w:ilvl w:val="2"/>
          <w:numId w:val="1"/>
        </w:numPr>
        <w:rPr/>
      </w:pPr>
      <w:bookmarkStart w:id="1010" w:name="__RefHeading___Toc13198127_1280447820"/>
      <w:bookmarkStart w:id="1011" w:name="_Toc390"/>
      <w:bookmarkEnd w:id="1009"/>
      <w:bookmarkEnd w:id="1010"/>
      <w:r>
        <w:rPr>
          <w:rtl w:val="true"/>
        </w:rPr>
        <w:t>القول في غسل الأموات</w:t>
      </w:r>
      <w:bookmarkEnd w:id="1011"/>
    </w:p>
    <w:p>
      <w:pPr>
        <w:pStyle w:val="Heading4"/>
        <w:numPr>
          <w:ilvl w:val="3"/>
          <w:numId w:val="1"/>
        </w:numPr>
        <w:rPr/>
      </w:pPr>
      <w:bookmarkStart w:id="1012" w:name="__RefHeading___Toc13198129_1280447820"/>
      <w:bookmarkStart w:id="1013" w:name="_Toc391"/>
      <w:bookmarkEnd w:id="1012"/>
      <w:r>
        <w:rPr>
          <w:rtl w:val="true"/>
        </w:rPr>
        <w:t>وفيه أُمور</w:t>
      </w:r>
      <w:r>
        <w:rPr>
          <w:rtl w:val="true"/>
        </w:rPr>
        <w:t>:</w:t>
      </w:r>
      <w:bookmarkEnd w:id="1013"/>
    </w:p>
    <w:p>
      <w:pPr>
        <w:pStyle w:val="Heading4"/>
        <w:numPr>
          <w:ilvl w:val="3"/>
          <w:numId w:val="1"/>
        </w:numPr>
        <w:rPr/>
      </w:pPr>
      <w:bookmarkStart w:id="1014" w:name="__RefHeading___Toc13198131_1280447820"/>
      <w:bookmarkStart w:id="1015" w:name="_Toc392"/>
      <w:bookmarkEnd w:id="1014"/>
      <w:r>
        <w:rPr>
          <w:rtl w:val="true"/>
        </w:rPr>
        <w:t>أحدها</w:t>
      </w:r>
      <w:r>
        <w:rPr>
          <w:rtl w:val="true"/>
        </w:rPr>
        <w:t xml:space="preserve">: </w:t>
      </w:r>
      <w:r>
        <w:rPr>
          <w:rtl w:val="true"/>
        </w:rPr>
        <w:t>وجوب استقبال الميّت عند الاحتضار</w:t>
      </w:r>
      <w:bookmarkEnd w:id="1015"/>
    </w:p>
    <w:p>
      <w:pPr>
        <w:pStyle w:val="BookText"/>
        <w:rPr/>
      </w:pP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الميّت عند الاحتضار وظهور أمارات الموت إلى القبلة المعلومة أو المظنونة عند عدم العلم بها؛ وفاقاً للمشهور ، وعمل المسلمين، والحسن أو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إلى القبلة، وكذلك إذا غسّل يحفر له موضع المغتسل تجاه القبلة، فيكون مستقبل القبلة بباطن قدميه ووجهه إلى القبلة</w:t>
      </w:r>
      <w:r>
        <w:rPr>
          <w:rFonts w:eastAsia="Amiri" w:cs="Amiri" w:ascii="Amiri" w:hAnsi="Amiri"/>
          <w:color w:val="111111"/>
          <w:sz w:val="28"/>
          <w:szCs w:val="28"/>
          <w:rtl w:val="true"/>
          <w:lang w:bidi="ar-SA"/>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بالميّت المشرف على الموت؛ لعدم القائل بإيجاب الاستقبال به بعد الموت مطلقاً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الاستقبال أن يستقبل بوجهه وباطن قدميه القبلة بحيث لو جلس لجلس إليها، كما دلّت على ذلك الأخبار</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الاستقبال به بعد الموت مطلقاً؛ لظاهر الأمر بالاستقبال للميّت، وصدقه على المتّصف أولى من صدقه على مَنْ سيتّصف لعلاقة المشارفة، وللأمر به في حال الغسل والصلاة والدفن وإن اختلفت كيفيّاتها؟ أم لا يجب؛ لظاهر فتوى الأصحاب، وللأصل، ولبُعْد الحمل على المعنى الحقيقي في أخبار الاستقبال بعد القطع بإرادة المعنى المجازي؛ لعدم جواز استعمال اللفظ في معنييه الحقيقي والمجازي، و بُعْد تأويله بالمسمّى و شبهه فيكون من عموم المجاز؟</w:t>
      </w:r>
    </w:p>
    <w:p>
      <w:pPr>
        <w:pStyle w:val="BookText"/>
        <w:rPr/>
      </w:pPr>
      <w:r>
        <w:rPr>
          <w:rFonts w:ascii="Amiri" w:hAnsi="Amiri" w:eastAsia="Amiri" w:cs="Amiri"/>
          <w:color w:val="111111"/>
          <w:sz w:val="28"/>
          <w:sz w:val="28"/>
          <w:szCs w:val="28"/>
          <w:rtl w:val="true"/>
          <w:lang w:bidi="ar-SA"/>
        </w:rPr>
        <w:t>ولو اشتبهت القبلة، سقط فرض الاستقبال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رجحان الاستقبال بالميّت في جميع أحواله إلى أن يهال عليه التراب</w:t>
      </w:r>
      <w:r>
        <w:rPr>
          <w:rFonts w:eastAsia="Amiri" w:cs="Amiri" w:ascii="Amiri" w:hAnsi="Amiri"/>
          <w:color w:val="111111"/>
          <w:sz w:val="28"/>
          <w:szCs w:val="28"/>
          <w:rtl w:val="true"/>
          <w:lang w:bidi="ar-SA"/>
        </w:rPr>
        <w:t xml:space="preserve">. </w:t>
      </w:r>
      <w:bookmarkStart w:id="1016" w:name="pg18988_203546"/>
    </w:p>
    <w:p>
      <w:pPr>
        <w:pStyle w:val="Heading4"/>
        <w:numPr>
          <w:ilvl w:val="3"/>
          <w:numId w:val="1"/>
        </w:numPr>
        <w:rPr/>
      </w:pPr>
      <w:bookmarkStart w:id="1017" w:name="__RefHeading___Toc13198133_1280447820"/>
      <w:bookmarkStart w:id="1018" w:name="_Toc393"/>
      <w:bookmarkEnd w:id="1016"/>
      <w:bookmarkEnd w:id="1017"/>
      <w:r>
        <w:rPr>
          <w:rtl w:val="true"/>
        </w:rPr>
        <w:t xml:space="preserve">ثانيها </w:t>
      </w:r>
      <w:r>
        <w:rPr>
          <w:rtl w:val="true"/>
        </w:rPr>
        <w:t xml:space="preserve">: </w:t>
      </w:r>
      <w:r>
        <w:rPr>
          <w:rtl w:val="true"/>
        </w:rPr>
        <w:t>استحباب تلقين الميّت وغیره ممّا ورد من المستحبّات</w:t>
      </w:r>
      <w:bookmarkEnd w:id="1018"/>
    </w:p>
    <w:p>
      <w:pPr>
        <w:pStyle w:val="BookText"/>
        <w:rPr/>
      </w:pPr>
      <w:r>
        <w:rPr>
          <w:rFonts w:ascii="Amiri" w:hAnsi="Amiri" w:eastAsia="Amiri" w:cs="Amiri"/>
          <w:color w:val="111111"/>
          <w:sz w:val="28"/>
          <w:sz w:val="28"/>
          <w:szCs w:val="28"/>
          <w:rtl w:val="true"/>
          <w:lang w:bidi="ar-SA"/>
        </w:rPr>
        <w:t>يستحبّ تلقين الميّت الشهادتين والإقرار بالنبيّ والأئمّة صلوات الله عليهم ؛ للأخبار</w:t>
      </w:r>
      <w:r>
        <w:rPr>
          <w:rStyle w:val="FootnoteAnchor"/>
          <w:rtl w:val="true"/>
        </w:rPr>
        <w:footnoteReference w:id="2038"/>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كلمات الفرج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الحلبي</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يكون آخر كلامه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نقله لمصلّاه الذي يصلّي عليه غالباً أو يصلّي فيه؛ للأخبار</w:t>
      </w:r>
      <w:r>
        <w:rPr>
          <w:rStyle w:val="FootnoteAnchor"/>
          <w:rtl w:val="true"/>
        </w:rPr>
        <w:footnoteReference w:id="2041"/>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الإسراج عنده إن مات ليلاً أو بقي إلى الليل؛ لإشعار بعض الأخبار</w:t>
      </w:r>
      <w:r>
        <w:rPr>
          <w:rStyle w:val="FootnoteAnchor"/>
          <w:rtl w:val="true"/>
        </w:rPr>
        <w:footnoteReference w:id="2042"/>
      </w:r>
      <w:r>
        <w:rPr>
          <w:rFonts w:ascii="Amiri" w:hAnsi="Amiri" w:eastAsia="Amiri" w:cs="Amiri"/>
          <w:color w:val="111111"/>
          <w:sz w:val="28"/>
          <w:sz w:val="28"/>
          <w:szCs w:val="28"/>
          <w:rtl w:val="true"/>
          <w:lang w:bidi="ar-SA"/>
        </w:rPr>
        <w:t>وكلام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يُعلم المؤمنون بموته؛ للأخبار</w:t>
      </w:r>
      <w:r>
        <w:rPr>
          <w:rStyle w:val="FootnoteAnchor"/>
          <w:rtl w:val="true"/>
        </w:rPr>
        <w:footnoteReference w:id="2043"/>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شدّ لحييه وتغميض عينيه وتطبيق فيه وتغطيته بثوب؛ للأخبار</w:t>
      </w:r>
      <w:r>
        <w:rPr>
          <w:rStyle w:val="FootnoteAnchor"/>
          <w:rtl w:val="true"/>
        </w:rPr>
        <w:footnoteReference w:id="2044"/>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مدّ يديه إلى جنبه وساقيه؛ لفتوى الأصحاب، ولتسهيل غسله وتكفينه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قراءة القرآن عنده قبل الموت وبعده،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w:t>
      </w:r>
      <w:r>
        <w:rPr>
          <w:rStyle w:val="FootnoteAnchor"/>
          <w:rtl w:val="true"/>
        </w:rPr>
        <w:footnoteReference w:id="2045"/>
      </w:r>
      <w:r>
        <w:rPr>
          <w:rFonts w:ascii="Amiri" w:hAnsi="Amiri" w:eastAsia="Amiri" w:cs="Amiri"/>
          <w:color w:val="111111"/>
          <w:sz w:val="28"/>
          <w:sz w:val="28"/>
          <w:szCs w:val="28"/>
          <w:rtl w:val="true"/>
          <w:lang w:bidi="ar-SA"/>
        </w:rPr>
        <w:t>الناصّة عليها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وآية السخرة، وثلاث آيات من آخر البقرة، وسورة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وضع حديد على بطنه؛ لنصّ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حضور جنب أو حائض عنده؛ للأخبار المعلّلة بتأذّي الملائكة</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تعجيل تجهيزه؛ للأخبار</w:t>
      </w:r>
      <w:r>
        <w:rPr>
          <w:rStyle w:val="FootnoteAnchor"/>
          <w:rtl w:val="true"/>
        </w:rPr>
        <w:footnoteReference w:id="2047"/>
      </w:r>
      <w:r>
        <w:rPr>
          <w:rFonts w:ascii="Amiri" w:hAnsi="Amiri" w:eastAsia="Amiri" w:cs="Amiri"/>
          <w:color w:val="111111"/>
          <w:sz w:val="28"/>
          <w:sz w:val="28"/>
          <w:szCs w:val="28"/>
          <w:rtl w:val="true"/>
          <w:lang w:bidi="ar-SA"/>
        </w:rPr>
        <w:t>وفتوى الأصحاب، إلّا مع الاشتباه فيجب التأخير إلى أن يقطع بموته ولو بالأمارات العاديّة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تأخير تجهيزه إلى أن يتغيّر ويصل إلى حدّ التماهن عرفاً، إلّا مع الاشتباه فيؤخّر </w:t>
      </w:r>
      <w:bookmarkStart w:id="1019" w:name="pg18988_203547"/>
    </w:p>
    <w:p>
      <w:pPr>
        <w:pStyle w:val="BookText"/>
        <w:rPr/>
      </w:pPr>
      <w:bookmarkEnd w:id="1019"/>
      <w:r>
        <w:rPr>
          <w:rFonts w:ascii="Amiri" w:hAnsi="Amiri" w:eastAsia="Amiri" w:cs="Amiri"/>
          <w:color w:val="111111"/>
          <w:sz w:val="28"/>
          <w:sz w:val="28"/>
          <w:szCs w:val="28"/>
          <w:rtl w:val="true"/>
          <w:lang w:bidi="ar-SA"/>
        </w:rPr>
        <w:t>إلى القطع بموته، ولا عبرة بالثلاثة أيّام كما جاء في الأخبار</w:t>
      </w:r>
      <w:r>
        <w:rPr>
          <w:rStyle w:val="FootnoteAnchor"/>
          <w:rtl w:val="true"/>
        </w:rPr>
        <w:footnoteReference w:id="2048"/>
      </w:r>
      <w:r>
        <w:rPr>
          <w:rFonts w:ascii="Amiri" w:hAnsi="Amiri" w:eastAsia="Amiri" w:cs="Amiri"/>
          <w:color w:val="111111"/>
          <w:sz w:val="28"/>
          <w:sz w:val="28"/>
          <w:szCs w:val="28"/>
          <w:rtl w:val="true"/>
          <w:lang w:bidi="ar-SA"/>
        </w:rPr>
        <w:t>، ولا بالتغيّر في المصعوق و المهدوم و الغريق و المبطون و المطعون، بل الأمر دائر مدار القطع</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3198135_1280447820"/>
      <w:bookmarkStart w:id="1021" w:name="_Toc394"/>
      <w:bookmarkEnd w:id="1020"/>
      <w:r>
        <w:rPr>
          <w:rtl w:val="true"/>
        </w:rPr>
        <w:t>ثالثها</w:t>
      </w:r>
      <w:r>
        <w:rPr>
          <w:rtl w:val="true"/>
        </w:rPr>
        <w:t xml:space="preserve">: </w:t>
      </w:r>
      <w:r>
        <w:rPr>
          <w:rtl w:val="true"/>
        </w:rPr>
        <w:t>وجوب تغسیل المیّت إذا استکمل أُموراً</w:t>
      </w:r>
      <w:bookmarkEnd w:id="1021"/>
    </w:p>
    <w:p>
      <w:pPr>
        <w:pStyle w:val="BookText"/>
        <w:rPr/>
      </w:pPr>
      <w:r>
        <w:rPr>
          <w:rFonts w:ascii="Amiri" w:hAnsi="Amiri" w:eastAsia="Amiri" w:cs="Amiri"/>
          <w:color w:val="111111"/>
          <w:sz w:val="28"/>
          <w:sz w:val="28"/>
          <w:szCs w:val="28"/>
          <w:rtl w:val="true"/>
          <w:lang w:bidi="ar-SA"/>
        </w:rPr>
        <w:t xml:space="preserve">يجب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الميّت إذا استكمل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تكمل له أربعة أشهر هلاليّة إن لم يحصل الانكسار فيها، وعدديّة أو واحد عدديّ والباقي هلاليّة إن حصل الانكسار فيها، فلا يجب فيما دون الأربع إجماعاً، والأصل يقضي به، وعمومات الأدلّة الدالّة على وجوب الغسل لا تشمله؛ لعدم صدق الميّت عليه؛ لأنّ الظاهر أنّ الميّت هو ما كان فيه روح ففارقته، أو ما كان من شأنه ذلك، والتجربة شاهدة على أنّ بلوغ أربعة أشهر موجب لولوج الروح، وما كان دون الأربعة ليس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السقط إذا استوت إذا استوت خلقته يجب عليه الغسل واللحد والكفن؟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ذلك يجب إذا استوى</w:t>
      </w:r>
      <w:r>
        <w:rPr>
          <w:rFonts w:eastAsia="Amiri" w:cs="Amiri" w:ascii="Amiri" w:hAnsi="Amiri"/>
          <w:color w:val="111111"/>
          <w:sz w:val="28"/>
          <w:szCs w:val="28"/>
          <w:rtl w:val="true"/>
          <w:lang w:bidi="ar-SA"/>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ويستوي في الأربعة أشهر؛ لما دلّ من الأخبار المعتبرة على أنّ النطفة تستقرّ في الرحم أربعين يوماً، وتكون علقةً أربعين يوماً، وتكون مضغةً أربعين يوماً، ثمّ يبعث الله تعالى ملكين خلّاقين فيقال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اخلقا ما أراد الله ذكراً أو أُنثى</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الأخبار وفتوى الأخيار يلزم القول بوجوب تغسيل مَنْ بلغ أربعة أشهر ولو لم تلجه الروح، بل ويلزم تكفينه وتحنيطه؛ حملاً للأخبار الدالّة على الكفن الشرعي، وأخذاً بعموم ما دلّ على تحنيط الأموات وتكفينهم ودفنهم، والرضوي</w:t>
      </w:r>
      <w:r>
        <w:rPr>
          <w:rStyle w:val="FootnoteAnchor"/>
          <w:rtl w:val="true"/>
        </w:rPr>
        <w:footnoteReference w:id="2051"/>
      </w:r>
      <w:r>
        <w:rPr>
          <w:rFonts w:ascii="Amiri" w:hAnsi="Amiri" w:eastAsia="Amiri" w:cs="Amiri"/>
          <w:color w:val="111111"/>
          <w:sz w:val="28"/>
          <w:sz w:val="28"/>
          <w:szCs w:val="28"/>
          <w:rtl w:val="true"/>
          <w:lang w:bidi="ar-SA"/>
        </w:rPr>
        <w:t xml:space="preserve">، المؤيَّد بالعموم والاحتياط وفتوى جملة من الفحول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الشهيد من استشكاله في وجوب تغسيله و تحنيطه وتكفينه ودفنه</w:t>
      </w:r>
      <w:r>
        <w:rPr>
          <w:rStyle w:val="FootnoteAnchor"/>
          <w:rtl w:val="true"/>
        </w:rPr>
        <w:footnoteReference w:id="2052"/>
      </w:r>
      <w:r>
        <w:rPr>
          <w:rFonts w:ascii="Amiri" w:hAnsi="Amiri" w:eastAsia="Amiri" w:cs="Amiri"/>
          <w:color w:val="111111"/>
          <w:sz w:val="28"/>
          <w:sz w:val="28"/>
          <w:szCs w:val="28"/>
          <w:rtl w:val="true"/>
          <w:lang w:bidi="ar-SA"/>
        </w:rPr>
        <w:t>للأخبار الدالّة على أنّ الروح لا تلج الطفل إلّا بعد خمسة أشهر</w:t>
      </w:r>
      <w:r>
        <w:rPr>
          <w:rStyle w:val="FootnoteAnchor"/>
          <w:rtl w:val="true"/>
        </w:rPr>
        <w:footnoteReference w:id="2053"/>
      </w:r>
      <w:r>
        <w:rPr>
          <w:rFonts w:ascii="Amiri" w:hAnsi="Amiri" w:eastAsia="Amiri" w:cs="Amiri"/>
          <w:color w:val="111111"/>
          <w:sz w:val="28"/>
          <w:sz w:val="28"/>
          <w:szCs w:val="28"/>
          <w:rtl w:val="true"/>
          <w:lang w:bidi="ar-SA"/>
        </w:rPr>
        <w:t>، وما عن التحرير من عدم وجوب تكفينه والاكتفاء بلفّه بخرقةٍ</w:t>
      </w:r>
      <w:r>
        <w:rPr>
          <w:rStyle w:val="FootnoteAnchor"/>
          <w:rtl w:val="true"/>
        </w:rPr>
        <w:footnoteReference w:id="2054"/>
      </w:r>
      <w:r>
        <w:rPr>
          <w:rFonts w:ascii="Amiri" w:hAnsi="Amiri" w:eastAsia="Amiri" w:cs="Amiri"/>
          <w:color w:val="111111"/>
          <w:sz w:val="28"/>
          <w:sz w:val="28"/>
          <w:szCs w:val="28"/>
          <w:rtl w:val="true"/>
          <w:lang w:bidi="ar-SA"/>
        </w:rPr>
        <w:t>، بعيد بعد ما قدّمناه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وظاهر جمع من أصحابنا</w:t>
      </w:r>
      <w:r>
        <w:rPr>
          <w:rStyle w:val="FootnoteAnchor"/>
          <w:rtl w:val="true"/>
        </w:rPr>
        <w:footnoteReference w:id="2055"/>
      </w:r>
    </w:p>
    <w:p>
      <w:pPr>
        <w:pStyle w:val="BookText"/>
        <w:rPr/>
      </w:pPr>
      <w:r>
        <w:rPr>
          <w:rFonts w:eastAsia="Times New Roman" w:cs="Times New Roman" w:ascii="Times New Roman" w:hAnsi="Times New Roman"/>
          <w:color w:val="111111"/>
          <w:sz w:val="28"/>
          <w:szCs w:val="28"/>
          <w:lang w:val="en-US" w:bidi="en-US"/>
        </w:rPr>
        <w:t>222:1</w:t>
      </w:r>
    </w:p>
    <w:p>
      <w:pPr>
        <w:pStyle w:val="BookText"/>
        <w:rPr/>
      </w:pPr>
      <w:r>
        <w:rPr>
          <w:rFonts w:ascii="Amiri" w:hAnsi="Amiri" w:eastAsia="Amiri" w:cs="Amiri"/>
          <w:color w:val="111111"/>
          <w:sz w:val="28"/>
          <w:sz w:val="28"/>
          <w:szCs w:val="28"/>
          <w:rtl w:val="true"/>
          <w:lang w:bidi="ar-SA"/>
        </w:rPr>
        <w:t>لزوم لفّ ما دون الأربعة بخرقة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في النطفة والعلقة، ولا بأس به في المضغة؛ لاحترام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الرضوي دفنه فقط</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 فلا يجوز تغسيل الكافر ؛ للإجماع بقسميه</w:t>
      </w:r>
      <w:r>
        <w:rPr>
          <w:rStyle w:val="FootnoteAnchor"/>
          <w:rtl w:val="true"/>
        </w:rPr>
        <w:footnoteReference w:id="2057"/>
      </w:r>
      <w:r>
        <w:rPr>
          <w:rFonts w:ascii="IRNazanin" w:hAnsi="IRNazanin" w:eastAsia="IRNazanin"/>
          <w:color w:val="111111"/>
          <w:sz w:val="28"/>
          <w:sz w:val="28"/>
          <w:szCs w:val="28"/>
          <w:rtl w:val="true"/>
          <w:lang w:bidi="fa-IR"/>
        </w:rPr>
        <w:t>، ولقوله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يَتَوَلَّهُمْ مِنْكُمْ فَإِنَّهُ مِنْهُمْ</w:t>
      </w:r>
      <w:r>
        <w:rPr>
          <w:rStyle w:val="FootnoteAnchor"/>
          <w:rtl w:val="true"/>
        </w:rPr>
        <w:footnoteReference w:id="205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 وَلَا تَقُمْ عَلَى قَبْرِهِ</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كرامة، ولا يدفنه، ولا يقوم على قبره، وإن كان أباه</w:t>
      </w:r>
      <w:r>
        <w:rPr>
          <w:rFonts w:eastAsia="Amiri" w:cs="Amiri" w:ascii="Amiri" w:hAnsi="Amiri"/>
          <w:color w:val="111111"/>
          <w:sz w:val="28"/>
          <w:szCs w:val="28"/>
          <w:rtl w:val="true"/>
          <w:lang w:bidi="ar-SA"/>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والغلاة والنواصب والمشبّهة والمجبّرة والمجسّمة وكلّ مَنْ أنكر ضروريّاً من الدين مع علمه أنّه منه، ومع عدم علمه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المستخفّ بالبيت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القرآن فالظاهر إجراء حكم الكفر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والكافر الأصلي والمرتدّ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أولاد الكفّار بهم ولو كانوا عن زنى، وأولاد المسلمين بهم ولو كانوا كذلك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والمسبيّ يلحق بالسابي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ولقيط دار الإسلام أو دار الكفر وفيها مسلم يحتمل أنّه هو مسلم أيضاً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فلا يجب تغسيل المخالفين، وكذا جميع الفرق غير الاثني عشرية، اقتصاراً في مشروعية التغسيل على المورد اليقين وأوامر التغسيل كلّها منصرفة للموافق في الدين دون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 إلّا ما قُتل بين الصفّين</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 xml:space="preserve">مخصوص بما دلّ على أنّ الغسل كرامة للميّت واحترام له </w:t>
      </w:r>
      <w:r>
        <w:rPr>
          <w:rStyle w:val="FootnoteAnchor"/>
          <w:rtl w:val="true"/>
        </w:rPr>
        <w:footnoteReference w:id="2063"/>
      </w:r>
      <w:r>
        <w:rPr>
          <w:rFonts w:ascii="Amiri" w:hAnsi="Amiri" w:eastAsia="Amiri" w:cs="Amiri"/>
          <w:color w:val="111111"/>
          <w:sz w:val="28"/>
          <w:sz w:val="28"/>
          <w:szCs w:val="28"/>
          <w:rtl w:val="true"/>
          <w:lang w:bidi="ar-SA"/>
        </w:rPr>
        <w:t>، ولا حرمة لغير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فالمخالفون وإن كانوا مسلمين في دار الدنيا وتجري عليهم أحكام الإسلام من طهارة وتحليل ذبائح ومناكحة وموارثة؛ للسيرة القطعيّة، وللأخبار الدالّة على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أحكام أهل الإسلام</w:t>
      </w:r>
      <w:r>
        <w:rPr>
          <w:rStyle w:val="FootnoteAnchor"/>
          <w:rtl w:val="true"/>
        </w:rPr>
        <w:footnoteReference w:id="2064"/>
      </w:r>
      <w:r>
        <w:rPr>
          <w:rFonts w:ascii="Amiri" w:hAnsi="Amiri" w:eastAsia="Amiri" w:cs="Amiri"/>
          <w:color w:val="111111"/>
          <w:sz w:val="28"/>
          <w:sz w:val="28"/>
          <w:szCs w:val="28"/>
          <w:rtl w:val="true"/>
          <w:lang w:bidi="ar-SA"/>
        </w:rPr>
        <w:t>، ولكنّهم إذا ماتوا عادوا لحكم الكفر، فلا تجري عليهم أحكام الإسلام بعد الموت إلى أن يصيروا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تغسيلهم صورةً للتقيّة، ويجوز تغسيلهم صورةً من دون نيّةٍ لغير تقيّة ولكن على كراهةٍ، ولو غسّلوا لتقيّةٍ غسّلوا على وفق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تنزيل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تغسيلهم على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الجواز من دون نيّةٍ، أو الجواز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والكراهية محمولة على وجود المندوحة عنها بتغسيل بعضهم بعضاً، أو على نفس مباشرة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أصحابنا مَنْ حكم بوجوب تغسيلهم وكراهته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مشكل، إلّا أن تُحمل الكراهة على نفس تغسيله مباشرةً مع إمكان قيام أهل نحلته بغسله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ادّعى التلازم بين الحكم بإسلامهم ووجوب تغسيلهم</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عدم الملازمة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شهيداً، فإنّ الشهيد لا يجب غسله ولا تكفينه، بل يصلّى عليه ويدفن بثيابه؛ للنصّ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يقتل في سبيل الله يدفن بثيابه ولا يغسّل، إلّا أن يدركه المسلمون وبه رمق ثمّ يموت بعد، فإنّه يغسّل ويكفّن ويحنّط،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حمزة في ثيابه ولم يغسّله، ولكن صلّى عليه</w:t>
      </w:r>
      <w:r>
        <w:rPr>
          <w:rFonts w:eastAsia="IRNazanin" w:cs="IRNazanin"/>
          <w:color w:val="111111"/>
          <w:sz w:val="28"/>
          <w:szCs w:val="28"/>
          <w:rtl w:val="true"/>
          <w:lang w:bidi="fa-IR"/>
        </w:rPr>
        <w:t>»</w:t>
      </w:r>
      <w:r>
        <w:rPr>
          <w:rStyle w:val="FootnoteAnchor"/>
          <w:rtl w:val="true"/>
        </w:rPr>
        <w:footnoteReference w:id="2067"/>
      </w:r>
      <w:r>
        <w:rPr>
          <w:rFonts w:ascii="Amiri" w:hAnsi="Amiri" w:eastAsia="Amiri" w:cs="Amiri"/>
          <w:color w:val="111111"/>
          <w:sz w:val="28"/>
          <w:sz w:val="28"/>
          <w:szCs w:val="28"/>
          <w:rtl w:val="true"/>
          <w:lang w:bidi="ar-SA"/>
        </w:rPr>
        <w:t>ولغيره من النصوص المتكثّرة</w:t>
      </w:r>
      <w:r>
        <w:rPr>
          <w:rStyle w:val="FootnoteAnchor"/>
          <w:rtl w:val="true"/>
        </w:rPr>
        <w:footnoteReference w:id="2068"/>
      </w:r>
      <w:r>
        <w:rPr>
          <w:rFonts w:ascii="IRNazanin" w:hAnsi="IRNazanin" w:eastAsia="IRNazanin"/>
          <w:color w:val="111111"/>
          <w:sz w:val="28"/>
          <w:sz w:val="28"/>
          <w:szCs w:val="28"/>
          <w:rtl w:val="true"/>
          <w:lang w:bidi="fa-IR"/>
        </w:rPr>
        <w:t>، مضافاً إلى الإجماع وفتوى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ويجب الاقتصار على مورد اليقين في الخروج عن عمومات التغسيل من موته في المعركة، فلو مات بعد نقله منها أو بعد انقضائها وجب تغسيله، كما دلّت على ذلك الروايات</w:t>
      </w:r>
      <w:r>
        <w:rPr>
          <w:rStyle w:val="FootnoteAnchor"/>
          <w:rtl w:val="true"/>
        </w:rPr>
        <w:footnoteReference w:id="2069"/>
      </w:r>
      <w:r>
        <w:rPr>
          <w:rFonts w:ascii="Amiri" w:hAnsi="Amiri" w:eastAsia="Amiri" w:cs="Amiri"/>
          <w:color w:val="111111"/>
          <w:sz w:val="28"/>
          <w:sz w:val="28"/>
          <w:szCs w:val="28"/>
          <w:rtl w:val="true"/>
          <w:lang w:bidi="ar-SA"/>
        </w:rPr>
        <w:t>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حيّاً في المعركة فمات فيها سقط عنه التغسيل، أمكن غسله</w:t>
      </w:r>
      <w:r>
        <w:rPr>
          <w:rStyle w:val="FootnoteAnchor"/>
          <w:rtl w:val="true"/>
        </w:rPr>
        <w:footnoteReference w:id="2070"/>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بين موته بنفس مكان القتال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التقييد بموته بين الصفّين</w:t>
      </w:r>
      <w:r>
        <w:rPr>
          <w:rStyle w:val="FootnoteAnchor"/>
          <w:rtl w:val="true"/>
        </w:rPr>
        <w:footnoteReference w:id="2071"/>
      </w:r>
      <w:r>
        <w:rPr>
          <w:rFonts w:ascii="IRNazanin" w:hAnsi="IRNazanin" w:eastAsia="IRNazanin"/>
          <w:color w:val="111111"/>
          <w:sz w:val="28"/>
          <w:sz w:val="28"/>
          <w:szCs w:val="28"/>
          <w:rtl w:val="true"/>
          <w:lang w:bidi="fa-IR"/>
        </w:rPr>
        <w:t>محمول على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الأصحاب مَنْ أوجب تغسيله بمجرّد إدراكه حيّاً و لو في المعركة حال القتال</w:t>
      </w:r>
      <w:r>
        <w:rPr>
          <w:rStyle w:val="FootnoteAnchor"/>
          <w:rtl w:val="true"/>
        </w:rPr>
        <w:footnoteReference w:id="2072"/>
      </w:r>
      <w:r>
        <w:rPr>
          <w:rFonts w:ascii="Amiri" w:hAnsi="Amiri" w:eastAsia="Amiri" w:cs="Amiri"/>
          <w:color w:val="111111"/>
          <w:sz w:val="28"/>
          <w:sz w:val="28"/>
          <w:szCs w:val="28"/>
          <w:rtl w:val="true"/>
          <w:lang w:bidi="ar-SA"/>
        </w:rPr>
        <w:t>، ويؤيّده ظاهر الأخبار، ولكنّها محمولة على إدراكه بعد أن تضع الحرب أوزارها؛ جمعاً بينها وبين فتوى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جُرِّد الشهيد من ثيابه وجب تكفينه؛ للعمومات، خرج مورد اليقين وبقي الباقي، ولما ورد من تكفين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لحمزة حين جُرّد </w:t>
      </w:r>
      <w:r>
        <w:rPr>
          <w:rStyle w:val="FootnoteAnchor"/>
          <w:rtl w:val="true"/>
        </w:rPr>
        <w:footnoteReference w:id="2073"/>
      </w:r>
      <w:r>
        <w:rPr>
          <w:rFonts w:ascii="Amiri" w:hAnsi="Amiri" w:eastAsia="Amiri" w:cs="Amiri"/>
          <w:color w:val="111111"/>
          <w:sz w:val="28"/>
          <w:sz w:val="28"/>
          <w:szCs w:val="28"/>
          <w:rtl w:val="true"/>
          <w:lang w:bidi="ar-SA"/>
        </w:rPr>
        <w:t>، ولا ينافي الاستدلال بها ورود دفنه بثيابه في أخبار</w:t>
      </w:r>
      <w:r>
        <w:rPr>
          <w:rStyle w:val="FootnoteAnchor"/>
          <w:rtl w:val="true"/>
        </w:rPr>
        <w:footnoteReference w:id="2074"/>
      </w:r>
      <w:r>
        <w:rPr>
          <w:rFonts w:ascii="Amiri" w:hAnsi="Amiri" w:eastAsia="Amiri" w:cs="Amiri"/>
          <w:color w:val="111111"/>
          <w:sz w:val="28"/>
          <w:sz w:val="28"/>
          <w:szCs w:val="28"/>
          <w:rtl w:val="true"/>
          <w:lang w:bidi="ar-SA"/>
        </w:rPr>
        <w:t>أُخَر؛ لجواز اتّباع الحكم في الرواية دون الموضوع، أو أنّه جُرِّد من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ثيابه التي تُدفن معه هي الثياب عرفاً، فلا يدخل معها الخُفّ ولا السلاح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القلنسوة والعمامة والمنطقة والفرو إشكال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الفرق بين ما أصابها الدم من هذه فتُدفن معه وبين ما لم يصبها فلا تُدفن معه قوّة؛ لظاهر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من الشهيد الفرو والخُفّ والقلنسوة والعمامة والسراويل، إلّا أن يكون أصابها دم، فإن أصابه دم تُرك</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ولفتوى جملة من الأصحاب</w:t>
      </w:r>
      <w:r>
        <w:rPr>
          <w:rStyle w:val="FootnoteAnchor"/>
          <w:rtl w:val="true"/>
        </w:rPr>
        <w:footnoteReference w:id="2076"/>
      </w:r>
      <w:r>
        <w:rPr>
          <w:rFonts w:ascii="IRNazanin" w:hAnsi="IRNazanin" w:eastAsia="IRNazanin"/>
          <w:color w:val="111111"/>
          <w:sz w:val="28"/>
          <w:sz w:val="28"/>
          <w:szCs w:val="28"/>
          <w:rtl w:val="true"/>
          <w:lang w:bidi="fa-IR"/>
        </w:rPr>
        <w:t>بمضمونه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والمراد بالشهيد روايةً </w:t>
      </w:r>
      <w:r>
        <w:rPr>
          <w:rStyle w:val="FootnoteAnchor"/>
          <w:rtl w:val="true"/>
        </w:rPr>
        <w:footnoteReference w:id="2077"/>
      </w:r>
      <w:r>
        <w:rPr>
          <w:rFonts w:ascii="Amiri" w:hAnsi="Amiri" w:eastAsia="Amiri" w:cs="Amiri"/>
          <w:color w:val="111111"/>
          <w:sz w:val="28"/>
          <w:sz w:val="28"/>
          <w:szCs w:val="28"/>
          <w:rtl w:val="true"/>
          <w:lang w:bidi="ar-SA"/>
        </w:rPr>
        <w:t>وفتوىً هو مَنْ قُتل بين أيادي الإمام أو منصوبه الخاصّ في زمن الحضور، وهو المتبادر من لفظه سيّما زمن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الشهيد على المقتول دون عياله وماله، أو الغريق أو المبطون مجاز؛ لعلاقة المشابهة في الأجر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الأخبار من التعبير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في سبيل الله</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ظاهر في ذلك أو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القتيل في طاعة الله لا يُغسَّل ويُدفن بثيابه</w:t>
      </w:r>
      <w:r>
        <w:rPr>
          <w:rFonts w:eastAsia="Amiri" w:cs="Amiri" w:ascii="Amiri" w:hAnsi="Amiri"/>
          <w:color w:val="111111"/>
          <w:sz w:val="28"/>
          <w:szCs w:val="28"/>
          <w:rtl w:val="true"/>
          <w:lang w:bidi="ar-SA"/>
        </w:rPr>
        <w:t>»</w:t>
      </w:r>
      <w:r>
        <w:rPr>
          <w:rStyle w:val="FootnoteAnchor"/>
          <w:rtl w:val="true"/>
        </w:rPr>
        <w:footnoteReference w:id="2079"/>
      </w:r>
      <w:r>
        <w:rPr>
          <w:rFonts w:ascii="Amiri" w:hAnsi="Amiri" w:eastAsia="Amiri" w:cs="Amiri"/>
          <w:color w:val="111111"/>
          <w:sz w:val="28"/>
          <w:sz w:val="28"/>
          <w:szCs w:val="28"/>
          <w:rtl w:val="true"/>
          <w:lang w:bidi="ar-SA"/>
        </w:rPr>
        <w:t>يراد به الطاعة المخصوصة، حملاً للمطلق على المقيد، أو يُطرح؛ لضعفه عن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إلحاق المقتول بين أيادي نائب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 إذا أدّى نظره للجهاد، أو المقتول بين أيادي المسلمين إذا دهم المسلمين عدوٌّ يُخاف منه على بيضة الإسلام، تسويةً بينهما وبين الشهيد في الحكم؛ لتقارب موضوعهما، أو لصدق اسم الشهيد عليهما؛ لتقارب أحكامهما، ولإطلاق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سبيلهما إطلاقاً شائعاً من غير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بعض أصحابنا تغسيلَ الشهيد المجنب عن الجنابة</w:t>
      </w:r>
      <w:r>
        <w:rPr>
          <w:rStyle w:val="FootnoteAnchor"/>
          <w:rtl w:val="true"/>
        </w:rPr>
        <w:footnoteReference w:id="2080"/>
      </w:r>
      <w:r>
        <w:rPr>
          <w:rFonts w:ascii="Amiri" w:hAnsi="Amiri" w:eastAsia="Amiri" w:cs="Amiri"/>
          <w:color w:val="111111"/>
          <w:sz w:val="28"/>
          <w:sz w:val="28"/>
          <w:szCs w:val="28"/>
          <w:rtl w:val="true"/>
          <w:lang w:bidi="ar-SA"/>
        </w:rPr>
        <w:t>لما ورد من تغسيل الملائكة لحنظلة لخروجه جنباً</w:t>
      </w:r>
      <w:r>
        <w:rPr>
          <w:rStyle w:val="FootnoteAnchor"/>
          <w:rtl w:val="true"/>
        </w:rPr>
        <w:footnoteReference w:id="2081"/>
      </w:r>
      <w:r>
        <w:rPr>
          <w:rFonts w:ascii="Amiri" w:hAnsi="Amiri" w:eastAsia="Amiri" w:cs="Amiri"/>
          <w:color w:val="111111"/>
          <w:sz w:val="28"/>
          <w:sz w:val="28"/>
          <w:szCs w:val="28"/>
          <w:rtl w:val="true"/>
          <w:lang w:bidi="ar-SA"/>
        </w:rPr>
        <w:t>، وما ورد أنّ الميّت إذا كان جنباً غُسّل غسلاً آخَر</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دلالة تغسيل الملائكة على وجوبه علينا ولعدم مقاومة الخبر للأخبار الأُخَر، عموماً وخصوصاً، الدالّة على الاجتزاء بغسل واحد لمن مات جنباً</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فرق بين الموجود في المعركة وعليه أثر القتل وبين مَنْ لم يكن عليه؛ عملاً بالظاهر، وإن كان الأصل عدم قتله؛ لافتقاره إلى أسباب متكثّرة، و الأصل عدمها، بخلاف الموت حتف الأنف، فالظاهر هنا العمل بالظاهر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بين مَنْ قتل نفسه أو قتله غيره إنسان أو حيوان، أو مات للخوف والدهش؛ لما ورد أنّ رسول الله لم يغسّل رجلاً قتل نفسه</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 xml:space="preserve">. </w:t>
      </w:r>
      <w:bookmarkStart w:id="1022" w:name="pg18988_203552"/>
    </w:p>
    <w:p>
      <w:pPr>
        <w:pStyle w:val="BookText"/>
        <w:rPr/>
      </w:pPr>
      <w:bookmarkEnd w:id="1022"/>
      <w:r>
        <w:rPr>
          <w:rFonts w:ascii="Amiri" w:hAnsi="Amiri" w:eastAsia="Amiri" w:cs="Amiri"/>
          <w:color w:val="111111"/>
          <w:sz w:val="28"/>
          <w:sz w:val="28"/>
          <w:szCs w:val="28"/>
          <w:rtl w:val="true"/>
          <w:lang w:bidi="ar-SA"/>
        </w:rPr>
        <w:t>ولا يبعد إلحاق الصغير والمرأة وإن لم يكونوا من المجاهدين إذا كانوا من أهلهم وأتباعهم بهم؛ لما ورد من دفن طفل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Style w:val="FootnoteAnchor"/>
          <w:rtl w:val="true"/>
        </w:rPr>
        <w:footnoteReference w:id="2085"/>
      </w:r>
      <w:r>
        <w:rPr>
          <w:rFonts w:ascii="Amiri" w:hAnsi="Amiri" w:eastAsia="Amiri" w:cs="Amiri"/>
          <w:color w:val="111111"/>
          <w:sz w:val="28"/>
          <w:sz w:val="28"/>
          <w:szCs w:val="28"/>
          <w:rtl w:val="true"/>
          <w:lang w:bidi="ar-SA"/>
        </w:rPr>
        <w:t>، وكذا بعض أطفال بدر</w:t>
      </w:r>
      <w:r>
        <w:rPr>
          <w:rStyle w:val="FootnoteAnchor"/>
          <w:rtl w:val="true"/>
        </w:rPr>
        <w:footnoteReference w:id="2086"/>
      </w:r>
      <w:r>
        <w:rPr>
          <w:rFonts w:ascii="IRNazanin" w:hAnsi="IRNazanin" w:eastAsia="IRNazanin"/>
          <w:color w:val="111111"/>
          <w:sz w:val="28"/>
          <w:sz w:val="28"/>
          <w:szCs w:val="28"/>
          <w:rtl w:val="true"/>
          <w:lang w:bidi="fa-IR"/>
        </w:rPr>
        <w:t>، ولفتوى المشهور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غير الأتباع من المارّين والناظرين فيجب تغسيلهم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يوجد فيه أثر القتل من الأطفال والنساء فلا يبعد عدم وجوب تغسيله، إلّا أنّ الأحوط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 مانع من تغسيله، إمّا لتناثر جسمه، أو لتفاصل أعضائه، أو لتشقّق جلده عند تغسيله بالماء، فإنّه متى كان كذلك وجب التيمّم كتيمّم الحيّ العاجز؛ لعموم البدليّة وإن كان في شمول أدلّة التيمّم لمثل هذا نوع خفاء، ولفتوى الأصحاب، وللاحتياط، وللخبر الأمر بالتيمّم في مجدور خيف عليه إذا غُسّل من الانسلاخ</w:t>
      </w:r>
      <w:r>
        <w:rPr>
          <w:rStyle w:val="FootnoteAnchor"/>
          <w:rtl w:val="true"/>
        </w:rPr>
        <w:footnoteReference w:id="2087"/>
      </w:r>
      <w:r>
        <w:rPr>
          <w:rFonts w:ascii="IRNazanin" w:hAnsi="IRNazanin" w:eastAsia="IRNazanin"/>
          <w:color w:val="111111"/>
          <w:sz w:val="28"/>
          <w:sz w:val="28"/>
          <w:szCs w:val="28"/>
          <w:rtl w:val="true"/>
          <w:lang w:bidi="fa-IR"/>
        </w:rPr>
        <w:t>، المنجبر بالعمل 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يجب تيمّم واحد أو ثلاث؟ قولان أقواهما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الواحد،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عن كلّ غسل تيمّم؛ بناءً على أنّها أغسال ثلاثة، لا أنّ المجموع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بما ذكرنا ما إذا لم يمكن تغسيله لبرد أو لفقد الماء أو لخوف من حيوان أو تقيّة من إنسان، أو لعدم معرفة بالغسل، أو لفقد الغاسل السائع التغسيل منه، فإنّه في ذلك كلّه يُتيمَّم؛ للاحتياط والعموم وفتوى الأصحاب</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3198137_1280447820"/>
      <w:bookmarkStart w:id="1024" w:name="_Toc395"/>
      <w:bookmarkEnd w:id="1023"/>
      <w:r>
        <w:rPr>
          <w:rtl w:val="true"/>
        </w:rPr>
        <w:t>رابعها</w:t>
      </w:r>
      <w:r>
        <w:rPr>
          <w:rtl w:val="true"/>
        </w:rPr>
        <w:t>:</w:t>
      </w:r>
      <w:r>
        <w:rPr>
          <w:rtl w:val="true"/>
        </w:rPr>
        <w:t>فی أنّ بعض الميّت ممّا فيه الصدر أو الصدر نفسه يُغسَّل ويُكفّن ويُصلّى عليه</w:t>
      </w:r>
      <w:bookmarkEnd w:id="102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الميّت ممّا فيه الصدر أو الصدر نفسه يُغسَّل ويُكفّن ويُصلّى عليه؛ للإجماع المنقول</w:t>
      </w:r>
      <w:r>
        <w:rPr>
          <w:rStyle w:val="FootnoteAnchor"/>
          <w:rtl w:val="true"/>
        </w:rPr>
        <w:footnoteReference w:id="2088"/>
      </w:r>
      <w:r>
        <w:rPr>
          <w:rFonts w:ascii="Amiri" w:hAnsi="Amiri" w:eastAsia="Amiri" w:cs="Amiri"/>
          <w:color w:val="111111"/>
          <w:sz w:val="28"/>
          <w:sz w:val="28"/>
          <w:szCs w:val="28"/>
          <w:rtl w:val="true"/>
          <w:lang w:bidi="ar-SA"/>
        </w:rPr>
        <w:t>، وللمعتبرة الناصّة على وجوب الصلاة على النصف الذي فيه القلب، كما في الصحيح</w:t>
      </w:r>
      <w:r>
        <w:rPr>
          <w:rStyle w:val="FootnoteAnchor"/>
          <w:rtl w:val="true"/>
        </w:rPr>
        <w:footnoteReference w:id="2089"/>
      </w:r>
      <w:r>
        <w:rPr>
          <w:rFonts w:ascii="Amiri" w:hAnsi="Amiri" w:eastAsia="Amiri" w:cs="Amiri"/>
          <w:color w:val="111111"/>
          <w:sz w:val="28"/>
          <w:sz w:val="28"/>
          <w:szCs w:val="28"/>
          <w:rtl w:val="true"/>
          <w:lang w:bidi="ar-SA"/>
        </w:rPr>
        <w:t>، أو مطلق العضو الذي فيه القلب، كما في الخبر الآخَر</w:t>
      </w:r>
      <w:r>
        <w:rPr>
          <w:rStyle w:val="FootnoteAnchor"/>
          <w:rtl w:val="true"/>
        </w:rPr>
        <w:footnoteReference w:id="2090"/>
      </w:r>
      <w:r>
        <w:rPr>
          <w:rFonts w:ascii="Amiri" w:hAnsi="Amiri" w:eastAsia="Amiri" w:cs="Amiri"/>
          <w:color w:val="111111"/>
          <w:sz w:val="28"/>
          <w:sz w:val="28"/>
          <w:szCs w:val="28"/>
          <w:rtl w:val="true"/>
          <w:lang w:bidi="ar-SA"/>
        </w:rPr>
        <w:t xml:space="preserve">، أو على الصدر واليدين، كما في الخبر الثالث </w:t>
      </w:r>
      <w:r>
        <w:rPr>
          <w:rStyle w:val="FootnoteAnchor"/>
          <w:rtl w:val="true"/>
        </w:rPr>
        <w:footnoteReference w:id="2091"/>
      </w:r>
      <w:r>
        <w:rPr>
          <w:rFonts w:ascii="Amiri" w:hAnsi="Amiri" w:eastAsia="Amiri" w:cs="Amiri"/>
          <w:color w:val="111111"/>
          <w:sz w:val="28"/>
          <w:sz w:val="28"/>
          <w:szCs w:val="28"/>
          <w:rtl w:val="true"/>
          <w:lang w:bidi="ar-SA"/>
        </w:rPr>
        <w:t>، أو على العظم من دون اللحم، كما في الحسن</w:t>
      </w:r>
      <w:r>
        <w:rPr>
          <w:rStyle w:val="FootnoteAnchor"/>
          <w:rtl w:val="true"/>
        </w:rPr>
        <w:footnoteReference w:id="2092"/>
      </w:r>
      <w:r>
        <w:rPr>
          <w:rFonts w:ascii="Amiri" w:hAnsi="Amiri" w:eastAsia="Amiri" w:cs="Amiri"/>
          <w:color w:val="111111"/>
          <w:sz w:val="28"/>
          <w:sz w:val="28"/>
          <w:szCs w:val="28"/>
          <w:rtl w:val="true"/>
          <w:lang w:bidi="ar-SA"/>
        </w:rPr>
        <w:t>، أو على العضو التامّ، كما في الخبر</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وإيجاب الصلاة لازم لوجوب التغسيل والتكفين بالأولويّة، أو بالإجماع المركّب على ما يظهر، وإيجابها على العضو المشتمل على العظم أو على مجرّد العظم يفيد بالأولويّة شموله للصدر؛ لأنّه محلّ العلم والاعتقاد، أو يشمله بنفسه، وإن خرج غيره بالدليل والتخصيص حتّى ينتهي إلى الواحد لا بأس به عند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 أيضاً فتوى الأصحاب، وعموم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20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ولايتفاوت بين الصدر المجرّد عن اللحم أو المكسيّ، لإطلاق النصّ والفتوى، ولا بين حلول القلب فيه بالفعل وبين عدمه؛ لظهور الأخبار وكلام الأصحاب في المنشئيّة دون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الصدر مجموع عظام الميّت لو وُجدت، فإنّه يجري عليها الحكم كما يجري على الصدر الذي من جملتها هو؛ لصحيح عليّ بن جعفر، الآمر بالتغسيل والتكفين والصلاة والدفن للعظام المجرّدة من أكيل السبع والطير الباقية عظامه</w:t>
      </w:r>
      <w:r>
        <w:rPr>
          <w:rStyle w:val="FootnoteAnchor"/>
          <w:rtl w:val="true"/>
        </w:rPr>
        <w:footnoteReference w:id="2096"/>
      </w:r>
      <w:r>
        <w:rPr>
          <w:rFonts w:ascii="Amiri" w:hAnsi="Amiri" w:eastAsia="Amiri" w:cs="Amiri"/>
          <w:color w:val="111111"/>
          <w:sz w:val="28"/>
          <w:sz w:val="28"/>
          <w:szCs w:val="28"/>
          <w:rtl w:val="true"/>
          <w:lang w:bidi="ar-SA"/>
        </w:rPr>
        <w:t>، ولكثير من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إلحاق القلب المجرّد عن الصدر به فى وجوب التغسيل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إلحاق بعض الصدر بالصدر وإن قلّ إذا كان فيه عظم، وكذا إلحاق ما اشتمل على القلب من غير الصدر من الجانبين أو القفا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بعض الميّت غير الصدر فإن كان لحماً مجرّداً عن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جميع الأحكام، ما عدا اللفّ بخرقةٍ والدفن فقد أوجبهما بعضٌ</w:t>
      </w:r>
      <w:r>
        <w:rPr>
          <w:rStyle w:val="FootnoteAnchor"/>
          <w:rtl w:val="true"/>
        </w:rPr>
        <w:footnoteReference w:id="2097"/>
      </w:r>
      <w:r>
        <w:rPr>
          <w:rFonts w:ascii="Amiri" w:hAnsi="Amiri" w:eastAsia="Amiri" w:cs="Amiri"/>
          <w:color w:val="111111"/>
          <w:sz w:val="28"/>
          <w:sz w:val="28"/>
          <w:szCs w:val="28"/>
          <w:rtl w:val="true"/>
          <w:lang w:bidi="ar-SA"/>
        </w:rPr>
        <w:t>، ولا بأس به، احتراماً للمؤمن، سواء أُخذ من حيّ أو من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بالقِطَع الصغار المبانة من حيٍّ أو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عظماً مكسيّاً لحماً من ميّت وكان عضواً تامّ، أو بعض عضو ممّا يُعتدّ به، وجب غسله وتحنيطه إن كان فيه من مواضع الحنوط ، وتكفينه بالثلاث إن كان من المواضع التي تصل إليها الثلاث، و إلّا فباثنتين، و إلّا فبواحدة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للاحتياط والاحترام؛ ولأنّه بعض من جملتها يجب تغسيلها، فيجري حكم الجملة للأبعاض ، ولفحوى ما جاء من الصلاة على العضو التامّ </w:t>
      </w:r>
      <w:r>
        <w:rPr>
          <w:rStyle w:val="FootnoteAnchor"/>
          <w:rtl w:val="true"/>
        </w:rPr>
        <w:footnoteReference w:id="2098"/>
      </w:r>
      <w:r>
        <w:rPr>
          <w:rFonts w:ascii="IRNazanin" w:hAnsi="IRNazanin" w:eastAsia="IRNazanin"/>
          <w:color w:val="111111"/>
          <w:sz w:val="28"/>
          <w:sz w:val="28"/>
          <w:szCs w:val="28"/>
          <w:rtl w:val="true"/>
          <w:lang w:bidi="fa-IR"/>
        </w:rPr>
        <w:t xml:space="preserve">، وإن لم نقل بوجوبه ؛ لمعارضته </w:t>
      </w:r>
      <w:bookmarkStart w:id="1025" w:name="pg18988_203554"/>
    </w:p>
    <w:p>
      <w:pPr>
        <w:pStyle w:val="BookText"/>
        <w:rPr/>
      </w:pPr>
      <w:bookmarkEnd w:id="1025"/>
      <w:r>
        <w:rPr>
          <w:rFonts w:ascii="IRNazanin" w:hAnsi="IRNazanin" w:eastAsia="IRNazanin"/>
          <w:color w:val="111111"/>
          <w:sz w:val="28"/>
          <w:sz w:val="28"/>
          <w:szCs w:val="28"/>
          <w:rtl w:val="true"/>
          <w:lang w:bidi="fa-IR"/>
        </w:rPr>
        <w:t>بالأخبار</w:t>
      </w:r>
      <w:r>
        <w:rPr>
          <w:rStyle w:val="FootnoteAnchor"/>
          <w:rtl w:val="true"/>
        </w:rPr>
        <w:footnoteReference w:id="2099"/>
      </w:r>
      <w:r>
        <w:rPr>
          <w:rFonts w:ascii="Amiri" w:hAnsi="Amiri" w:eastAsia="Amiri" w:cs="Amiri"/>
          <w:color w:val="111111"/>
          <w:sz w:val="28"/>
          <w:sz w:val="28"/>
          <w:szCs w:val="28"/>
          <w:rtl w:val="true"/>
          <w:lang w:bidi="ar-SA"/>
        </w:rPr>
        <w:t>النافية لذلك، المؤيّدة بفتوى المشهور والأصل، والأخبار</w:t>
      </w:r>
      <w:r>
        <w:rPr>
          <w:rStyle w:val="FootnoteAnchor"/>
          <w:rtl w:val="true"/>
        </w:rPr>
        <w:footnoteReference w:id="2100"/>
      </w:r>
      <w:r>
        <w:rPr>
          <w:rFonts w:ascii="Amiri" w:hAnsi="Amiri" w:eastAsia="Amiri" w:cs="Amiri"/>
          <w:color w:val="111111"/>
          <w:sz w:val="28"/>
          <w:sz w:val="28"/>
          <w:szCs w:val="28"/>
          <w:rtl w:val="true"/>
          <w:lang w:bidi="ar-SA"/>
        </w:rPr>
        <w:t>الدالّة على تخصيص الصلاة على الصدر أو ما فيه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يكفي في الإشعار به ثبوت استحبابه وللإجماع المنقول</w:t>
      </w:r>
      <w:r>
        <w:rPr>
          <w:rStyle w:val="FootnoteAnchor"/>
          <w:rtl w:val="true"/>
        </w:rPr>
        <w:footnoteReference w:id="2101"/>
      </w:r>
      <w:r>
        <w:rPr>
          <w:rFonts w:ascii="Amiri" w:hAnsi="Amiri" w:eastAsia="Amiri" w:cs="Amiri"/>
          <w:color w:val="111111"/>
          <w:sz w:val="28"/>
          <w:sz w:val="28"/>
          <w:szCs w:val="28"/>
          <w:rtl w:val="true"/>
          <w:lang w:bidi="ar-SA"/>
        </w:rPr>
        <w:t>على إجراء أحكام الميّت ما عدا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العظم مجرّداً وكان جزءاً يسيراً من عظم مكسيّ، أو مجرّد غير مكسيّ، أو كان العظم المكسيّ مباناً من حيّ لا من ميت، أو كان المجرّد كذلك، فلا يخلو من إشكالٍ، والأحوط فيما عدا السنّ وبعض العظام الصغار الواقعة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واللفّ بخرقةٍ والدفن، بل الأحوط التكفين والتحنيط إذا كان في محالّ الكفن والحنوط</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3198139_1280447820"/>
      <w:bookmarkStart w:id="1027" w:name="_Toc396"/>
      <w:bookmarkEnd w:id="1026"/>
      <w:r>
        <w:rPr>
          <w:rtl w:val="true"/>
        </w:rPr>
        <w:t>خامسها</w:t>
      </w:r>
      <w:r>
        <w:rPr>
          <w:rtl w:val="true"/>
        </w:rPr>
        <w:t xml:space="preserve">: </w:t>
      </w:r>
      <w:r>
        <w:rPr>
          <w:rtl w:val="true"/>
        </w:rPr>
        <w:t>في كيفيّة الغسل المیّت</w:t>
      </w:r>
      <w:bookmarkEnd w:id="1027"/>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توضئة الميّت قبل غسله على نحو وضوء الصلاة؛ للخبر</w:t>
      </w:r>
      <w:r>
        <w:rPr>
          <w:rStyle w:val="FootnoteAnchor"/>
          <w:rtl w:val="true"/>
        </w:rPr>
        <w:footnoteReference w:id="2102"/>
      </w:r>
      <w:r>
        <w:rPr>
          <w:rFonts w:ascii="Amiri" w:hAnsi="Amiri" w:eastAsia="Amiri" w:cs="Amiri"/>
          <w:color w:val="111111"/>
          <w:sz w:val="28"/>
          <w:sz w:val="28"/>
          <w:szCs w:val="28"/>
          <w:rtl w:val="true"/>
          <w:lang w:bidi="ar-SA"/>
        </w:rPr>
        <w:t>، وفتوى المشهور، وللاحتياط عن القول بوجوبه،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معه وضوء</w:t>
      </w:r>
      <w:r>
        <w:rPr>
          <w:rFonts w:eastAsia="Amiri" w:cs="Amiri" w:ascii="Amiri" w:hAnsi="Amiri"/>
          <w:color w:val="111111"/>
          <w:sz w:val="28"/>
          <w:szCs w:val="28"/>
          <w:rtl w:val="true"/>
          <w:lang w:bidi="ar-SA"/>
        </w:rPr>
        <w:t>»</w:t>
      </w:r>
      <w:r>
        <w:rPr>
          <w:rStyle w:val="FootnoteAnchor"/>
          <w:rtl w:val="true"/>
        </w:rPr>
        <w:footnoteReference w:id="2103"/>
      </w:r>
      <w:r>
        <w:rPr>
          <w:rFonts w:ascii="Amiri" w:hAnsi="Amiri" w:eastAsia="Amiri" w:cs="Amiri"/>
          <w:color w:val="111111"/>
          <w:sz w:val="28"/>
          <w:sz w:val="28"/>
          <w:szCs w:val="28"/>
          <w:rtl w:val="true"/>
          <w:lang w:bidi="ar-SA"/>
        </w:rPr>
        <w:t xml:space="preserve">وإن كان القول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خلوّ الأخبار البيانيّة عنه، ومع عدم اشتهاره وبيانه مع توفّر الدواعي لبيان حكمه، ومع ترك ذكره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سؤاله عنه في الصحيح أو كالصحيح، حيث قال بعد السؤال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بمرافقه</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ومع ما عن المبسوط من نقل الإجماع على ترك العمل بما دلّ على الوضوء</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ولكنّه لا ينافي الاحتياط</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المشروعيّة والتحريم</w:t>
      </w:r>
      <w:r>
        <w:rPr>
          <w:rStyle w:val="FootnoteAnchor"/>
          <w:rtl w:val="true"/>
        </w:rPr>
        <w:footnoteReference w:id="2106"/>
      </w:r>
      <w:r>
        <w:rPr>
          <w:rFonts w:ascii="Amiri" w:hAnsi="Amiri" w:eastAsia="Amiri" w:cs="Amiri"/>
          <w:color w:val="111111"/>
          <w:sz w:val="28"/>
          <w:sz w:val="28"/>
          <w:szCs w:val="28"/>
          <w:rtl w:val="true"/>
          <w:lang w:bidi="ar-SA"/>
        </w:rPr>
        <w:t>لعدم دليلٍ قويٍّ عليه، ولأصالة العدم، ولتشبيهه بالجنابة، ولا وضوء مع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 لوجود دليل الندب وإن فُقد دليل الوجوب وتشبيهه بغسل الجنابة منصرف للأُمور الداخلة فيه لا الخارجة عنه، ولو سلّمنا العموم لحكمنا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في كلّ غسلة من الأغسال؛ لأنّها عبادة والأصل في كلّ مأمور به أن يكون عبادة مفتقراً للنيّة؛ لأنّ الشكّ فيها شكّ في الجزئيّة، وهو يعود للشكّ في الماهيّة، وأسماء العبادة موضوعة للصحيح على الصحيح ولعمومات النيّة الظاهرة في إرادة القربة والقصد، خرج ما خرج وبقي الباقي ، ولتشبيهه بغسل الجنابة، وللإجماع المنقول</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الاحتياط وشغل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بالنيّة عند الابتداء بالأغسال، ومع كلّ غسل؛ للشبهة الحاصلة من التعدد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ويتولّاها الغاسل بنفسه اتّحد أو تعدّد، فإن اشتركوا اشتركوا، وإن اختص كلّ واحد بعضو أو كلّ واحد بغسل اختصّ بالنيّة، والصابّ والمقلّب يتولّى الصابّ منهما النيّة؛ لأنّه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 ومتولّي الإجراء يتولّى المتولّي منهما النيّة، والأحوط تولّي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نيّة الوجه من الوجوب أو الندب، أو نيّة رفع حدث الموت أو رفع خبث البدن، أو غير ذلك من الوجوه أم لا يشترط؟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طهارة ماء الغسل من الخبث إلى حين اتّصاله بالبدن وإن تنجّس بعد ذلك كماء الغسالة؛ للاحتياط، بل والإجماع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طهارة بدن الميّت من نجاسةٍ خارجيّة قبل غسل المحلّ المتنجّس، فلا يجدي غسله في تطهيره عن الموت مع بقاء النجاسة على بدنه، ولا يجدي غسله عن خبث الموت وعن النجاسة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يلزم إجراء الماء على محلٍّ خالٍ عن النجاسة الخارجيّة وإن كان بدن الميّت لا ينفكّ عن النجاسة قبل الغسل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في وجوب الإزالة بين القول بجواز ارتفاع نجاسة دون أُخرى، وبين القول بعدمه؛ لظاهر الإجماعات المنقولة</w:t>
      </w:r>
      <w:r>
        <w:rPr>
          <w:rStyle w:val="FootnoteAnchor"/>
          <w:rtl w:val="true"/>
        </w:rPr>
        <w:footnoteReference w:id="2108"/>
      </w:r>
      <w:r>
        <w:rPr>
          <w:rFonts w:ascii="Amiri" w:hAnsi="Amiri" w:eastAsia="Amiri" w:cs="Amiri"/>
          <w:color w:val="111111"/>
          <w:sz w:val="28"/>
          <w:sz w:val="28"/>
          <w:szCs w:val="28"/>
          <w:rtl w:val="true"/>
          <w:lang w:bidi="ar-SA"/>
        </w:rPr>
        <w:t>، ولظاهر الأخبار الآمرة بالتنقية للفرج، وبغسل النجاسة الخارجة عنه</w:t>
      </w:r>
      <w:r>
        <w:rPr>
          <w:rStyle w:val="FootnoteAnchor"/>
          <w:rtl w:val="true"/>
        </w:rPr>
        <w:footnoteReference w:id="2109"/>
      </w:r>
      <w:r>
        <w:rPr>
          <w:rFonts w:ascii="Amiri" w:hAnsi="Amiri" w:eastAsia="Amiri" w:cs="Amiri"/>
          <w:color w:val="111111"/>
          <w:sz w:val="28"/>
          <w:sz w:val="28"/>
          <w:szCs w:val="28"/>
          <w:rtl w:val="true"/>
          <w:lang w:bidi="ar-SA"/>
        </w:rPr>
        <w:t>، وللاحتياط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يجب غَسْل النجاسة قبل الابتداء بالغُسل، أم لا يجب ؟ والقول بالوجوب هو الموافق لفتوى المشهور وظاهر الإجماع المنقول</w:t>
      </w:r>
      <w:r>
        <w:rPr>
          <w:rStyle w:val="FootnoteAnchor"/>
          <w:rtl w:val="true"/>
        </w:rPr>
        <w:footnoteReference w:id="2110"/>
      </w:r>
      <w:r>
        <w:rPr>
          <w:rFonts w:ascii="Amiri" w:hAnsi="Amiri" w:eastAsia="Amiri" w:cs="Amiri"/>
          <w:color w:val="111111"/>
          <w:sz w:val="28"/>
          <w:sz w:val="28"/>
          <w:szCs w:val="28"/>
          <w:rtl w:val="true"/>
          <w:lang w:bidi="ar-SA"/>
        </w:rPr>
        <w:t>، وللاحتياط، ولبعض الأخبار الآمرة بالغسل والتنقية للفرج قبل الغسل</w:t>
      </w:r>
      <w:r>
        <w:rPr>
          <w:rStyle w:val="FootnoteAnchor"/>
          <w:rtl w:val="true"/>
        </w:rPr>
        <w:footnoteReference w:id="2111"/>
      </w:r>
      <w:r>
        <w:rPr>
          <w:rFonts w:ascii="Amiri" w:hAnsi="Amiri" w:eastAsia="Amiri" w:cs="Amiri"/>
          <w:color w:val="111111"/>
          <w:sz w:val="28"/>
          <w:sz w:val="28"/>
          <w:szCs w:val="28"/>
          <w:rtl w:val="true"/>
          <w:lang w:bidi="ar-SA"/>
        </w:rPr>
        <w:t>، ولا فارق بين بعض النجاسات دون بعض، ولتشبيه غسل الميّت بغسل الجنابة المأمور فيه بغسل الفرج قبل الغسل الظاهر في الوجوب، كما أفتى به بعض الأصحاب</w:t>
      </w:r>
      <w:r>
        <w:rPr>
          <w:rStyle w:val="FootnoteAnchor"/>
          <w:rtl w:val="true"/>
        </w:rPr>
        <w:footnoteReference w:id="2112"/>
      </w:r>
      <w:r>
        <w:rPr>
          <w:rFonts w:ascii="Amiri" w:hAnsi="Amiri" w:eastAsia="Amiri" w:cs="Amiri"/>
          <w:color w:val="111111"/>
          <w:sz w:val="28"/>
          <w:sz w:val="28"/>
          <w:szCs w:val="28"/>
          <w:rtl w:val="true"/>
          <w:lang w:bidi="ar-SA"/>
        </w:rPr>
        <w:t>، و ربما كان القول به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عورة الميّت عند غسله وفي جميع حالاته إجماعاً، وربما تشملها نواهي النظر إلى العورة، ويلحق بالنظر اللمس</w:t>
      </w:r>
    </w:p>
    <w:p>
      <w:pPr>
        <w:pStyle w:val="BookText"/>
        <w:rPr/>
      </w:pPr>
      <w:r>
        <w:rPr>
          <w:rFonts w:ascii="Amiri" w:hAnsi="Amiri" w:eastAsia="Amiri" w:cs="Amiri"/>
          <w:color w:val="111111"/>
          <w:sz w:val="28"/>
          <w:sz w:val="28"/>
          <w:szCs w:val="28"/>
          <w:rtl w:val="true"/>
          <w:lang w:bidi="ar-SA"/>
        </w:rPr>
        <w:t>والأحوط استقبال القبلة به عند تغسيله كهيئة استقبال المحتضر؛ للأمر به في الأخبار</w:t>
      </w:r>
      <w:r>
        <w:rPr>
          <w:rStyle w:val="FootnoteAnchor"/>
          <w:rtl w:val="true"/>
        </w:rPr>
        <w:footnoteReference w:id="2113"/>
      </w:r>
      <w:r>
        <w:rPr>
          <w:rFonts w:ascii="Amiri" w:hAnsi="Amiri" w:eastAsia="Amiri" w:cs="Amiri"/>
          <w:color w:val="111111"/>
          <w:sz w:val="28"/>
          <w:sz w:val="28"/>
          <w:szCs w:val="28"/>
          <w:rtl w:val="true"/>
          <w:lang w:bidi="ar-SA"/>
        </w:rPr>
        <w:t>وجملة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درجه في المندوبات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كيف تيسّر</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وفتوى المشهور بالاستحباب ،لكان القول بالوجوب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في غسل الميّت بتقديم الرأس ثمّ الجانب الأيمن ثمّ الأيسر ؛ للإجماع المنقول</w:t>
      </w:r>
      <w:r>
        <w:rPr>
          <w:rStyle w:val="FootnoteAnchor"/>
          <w:rtl w:val="true"/>
        </w:rPr>
        <w:footnoteReference w:id="2115"/>
      </w:r>
      <w:r>
        <w:rPr>
          <w:rFonts w:ascii="Amiri" w:hAnsi="Amiri" w:eastAsia="Amiri" w:cs="Amiri"/>
          <w:color w:val="111111"/>
          <w:sz w:val="28"/>
          <w:sz w:val="28"/>
          <w:szCs w:val="28"/>
          <w:rtl w:val="true"/>
          <w:lang w:bidi="ar-SA"/>
        </w:rPr>
        <w:t xml:space="preserve">، وفتوى الفحول، والأخبار الآمرة بالترتيب بين الأعضاء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يجزئ الارتماس في الكثير الذي لا ينفعل بالملاقاة، أم لا يجزئ؟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لمشروعيّة الترتيب في غسل الجنابة، وتشبيهه به في النصّ</w:t>
      </w:r>
      <w:r>
        <w:rPr>
          <w:rStyle w:val="FootnoteAnchor"/>
          <w:rtl w:val="true"/>
        </w:rPr>
        <w:footnoteReference w:id="2117"/>
      </w:r>
      <w:r>
        <w:rPr>
          <w:rFonts w:ascii="Amiri" w:hAnsi="Amiri" w:eastAsia="Amiri" w:cs="Amiri"/>
          <w:color w:val="111111"/>
          <w:sz w:val="28"/>
          <w:sz w:val="28"/>
          <w:szCs w:val="28"/>
          <w:rtl w:val="true"/>
          <w:lang w:bidi="ar-SA"/>
        </w:rPr>
        <w:t>والفتوى،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لعدم المعهوديّة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إشكال في جواز رمس الأعضاء مرتّباً لها؛ لإطلاق النصّ والفتوى بالأمر بالغسل، وما جاء من الصبّ والإفاضة وشبهها وارد مورد الغالب</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ترتيب في أجزاء العضو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أغسال ثلاثة؛ لفتوى الأصحاب، وظواهر الإجماعات المنقولة</w:t>
      </w:r>
      <w:r>
        <w:rPr>
          <w:rStyle w:val="FootnoteAnchor"/>
          <w:rtl w:val="true"/>
        </w:rPr>
        <w:footnoteReference w:id="2118"/>
      </w:r>
      <w:r>
        <w:rPr>
          <w:rFonts w:ascii="Amiri" w:hAnsi="Amiri" w:eastAsia="Amiri" w:cs="Amiri"/>
          <w:color w:val="111111"/>
          <w:sz w:val="28"/>
          <w:sz w:val="28"/>
          <w:szCs w:val="28"/>
          <w:rtl w:val="true"/>
          <w:lang w:bidi="ar-SA"/>
        </w:rPr>
        <w:t>في الباب، و ظواهر الأوامر في الأخبار</w:t>
      </w:r>
      <w:r>
        <w:rPr>
          <w:rStyle w:val="FootnoteAnchor"/>
          <w:rtl w:val="true"/>
        </w:rPr>
        <w:footnoteReference w:id="2119"/>
      </w:r>
      <w:r>
        <w:rPr>
          <w:rFonts w:ascii="Amiri" w:hAnsi="Amiri" w:eastAsia="Amiri" w:cs="Amiri"/>
          <w:color w:val="111111"/>
          <w:sz w:val="28"/>
          <w:sz w:val="28"/>
          <w:szCs w:val="28"/>
          <w:rtl w:val="true"/>
          <w:lang w:bidi="ar-SA"/>
        </w:rPr>
        <w:t>، والتأسيّ بفعل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لسلّار فلم يوجب إلّا غسلاً واحداً بماء القراح</w:t>
      </w:r>
      <w:r>
        <w:rPr>
          <w:rStyle w:val="FootnoteAnchor"/>
          <w:rtl w:val="true"/>
        </w:rPr>
        <w:footnoteReference w:id="2120"/>
      </w:r>
      <w:r>
        <w:rPr>
          <w:rFonts w:ascii="Amiri" w:hAnsi="Amiri" w:eastAsia="Amiri" w:cs="Amiri"/>
          <w:color w:val="111111"/>
          <w:sz w:val="28"/>
          <w:sz w:val="28"/>
          <w:szCs w:val="28"/>
          <w:rtl w:val="true"/>
          <w:lang w:bidi="ar-SA"/>
        </w:rPr>
        <w:t>للأصل، لتشبيهه بغسل الجنابة</w:t>
      </w:r>
      <w:r>
        <w:rPr>
          <w:rStyle w:val="FootnoteAnchor"/>
          <w:rtl w:val="true"/>
        </w:rPr>
        <w:footnoteReference w:id="2121"/>
      </w:r>
      <w:r>
        <w:rPr>
          <w:rFonts w:ascii="Amiri" w:hAnsi="Amiri" w:eastAsia="Amiri" w:cs="Amiri"/>
          <w:color w:val="111111"/>
          <w:sz w:val="28"/>
          <w:sz w:val="28"/>
          <w:szCs w:val="28"/>
          <w:rtl w:val="true"/>
          <w:lang w:bidi="ar-SA"/>
        </w:rPr>
        <w:t>، والتعليل بخروج النطفة منه</w:t>
      </w:r>
      <w:r>
        <w:rPr>
          <w:rStyle w:val="FootnoteAnchor"/>
          <w:rtl w:val="true"/>
        </w:rPr>
        <w:footnoteReference w:id="212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الجنب إن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إلا غسلة واحدة</w:t>
      </w:r>
      <w:r>
        <w:rPr>
          <w:rFonts w:eastAsia="Amiri" w:cs="Amiri" w:ascii="Amiri" w:hAnsi="Amiri"/>
          <w:color w:val="111111"/>
          <w:sz w:val="28"/>
          <w:szCs w:val="28"/>
          <w:rtl w:val="true"/>
          <w:lang w:bidi="ar-SA"/>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لانقطاع الأصل، وتخصيص التشبيه بما مرّ، و إرادة التشبيه في الكيفيّة، والتعليل تعليل لأصل مشروعيّة الغسل من غير تعرّضٍ للوحدة والتعدّد، و المراد بالغسلة الواحدة في الخبر المقابلة للاثنتين، واحدة للجنابة والأُخرى للموت، أو لصدق الغسلة على الثلاث لكونها بمنزلة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الأُولى أن تكون بالسدر، والأُخرى بالكافور، والأُخرى بالقراح؛ لفتوى المشهور، وللاحتياط، وللأخبار الآمرة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بماء وسدر، ثمّ اغسله على أثر ذلك غسلة أُخرى بماء كافور وذريرة</w:t>
      </w:r>
      <w:r>
        <w:rPr>
          <w:rStyle w:val="FootnoteAnchor"/>
          <w:rtl w:val="true"/>
        </w:rPr>
        <w:footnoteReference w:id="2124"/>
      </w:r>
      <w:r>
        <w:rPr>
          <w:rFonts w:ascii="Amiri" w:hAnsi="Amiri" w:eastAsia="Amiri" w:cs="Amiri"/>
          <w:color w:val="111111"/>
          <w:sz w:val="28"/>
          <w:sz w:val="28"/>
          <w:szCs w:val="28"/>
          <w:rtl w:val="true"/>
          <w:lang w:bidi="ar-SA"/>
        </w:rPr>
        <w:t>إن كانت، واغسله ثالثة بماء قراح</w:t>
      </w:r>
      <w:r>
        <w:rPr>
          <w:rFonts w:eastAsia="Amiri" w:cs="Amiri" w:ascii="Amiri" w:hAnsi="Amiri"/>
          <w:color w:val="111111"/>
          <w:sz w:val="28"/>
          <w:szCs w:val="28"/>
          <w:rtl w:val="true"/>
          <w:lang w:bidi="ar-SA"/>
        </w:rPr>
        <w:t>»</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ثلاث غسلات مرّة بالسدر، ومرّة بالماء يطرح فيه الكافور، ومرّة أُخرى بماء القراح</w:t>
      </w:r>
      <w:r>
        <w:rPr>
          <w:rFonts w:eastAsia="Amiri" w:cs="Amiri" w:ascii="Amiri" w:hAnsi="Amiri"/>
          <w:color w:val="111111"/>
          <w:sz w:val="28"/>
          <w:szCs w:val="28"/>
          <w:rtl w:val="true"/>
          <w:lang w:bidi="ar-SA"/>
        </w:rPr>
        <w:t>»</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واستحبّ الخليطَ جماعةٌ</w:t>
      </w:r>
      <w:r>
        <w:rPr>
          <w:rStyle w:val="FootnoteAnchor"/>
          <w:rtl w:val="true"/>
        </w:rPr>
        <w:footnoteReference w:id="2127"/>
      </w:r>
      <w:r>
        <w:rPr>
          <w:rFonts w:ascii="Amiri" w:hAnsi="Amiri" w:eastAsia="Amiri" w:cs="Amiri"/>
          <w:color w:val="111111"/>
          <w:sz w:val="28"/>
          <w:sz w:val="28"/>
          <w:szCs w:val="28"/>
          <w:rtl w:val="true"/>
          <w:lang w:bidi="ar-SA"/>
        </w:rPr>
        <w:t>للأصل، والتشبيه بغسل الجنابة، وخلوّ بعض الأخبار عن ذكر السدر كخبر الكاهلي</w:t>
      </w:r>
      <w:r>
        <w:rPr>
          <w:rStyle w:val="FootnoteAnchor"/>
          <w:rtl w:val="true"/>
        </w:rPr>
        <w:footnoteReference w:id="2128"/>
      </w:r>
      <w:r>
        <w:rPr>
          <w:rFonts w:ascii="Amiri" w:hAnsi="Amiri" w:eastAsia="Amiri" w:cs="Amiri"/>
          <w:color w:val="111111"/>
          <w:sz w:val="28"/>
          <w:sz w:val="28"/>
          <w:szCs w:val="28"/>
          <w:rtl w:val="true"/>
          <w:lang w:bidi="ar-SA"/>
        </w:rPr>
        <w:t>، وتبديله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العبّاس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 ضعيف؛ لانقطاع الأصل، والتخصيص لتشبيهه بغسل الجنابة بما مرّ، وعدم الذكر للسدر ليس ذكراً لعدمه، فلا يعارض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في الأغسال؛ للفتوى والرواية</w:t>
      </w:r>
      <w:r>
        <w:rPr>
          <w:rStyle w:val="FootnoteAnchor"/>
          <w:rtl w:val="true"/>
        </w:rPr>
        <w:footnoteReference w:id="2130"/>
      </w:r>
      <w:r>
        <w:rPr>
          <w:rFonts w:ascii="Amiri" w:hAnsi="Amiri" w:eastAsia="Amiri" w:cs="Amiri"/>
          <w:color w:val="111111"/>
          <w:sz w:val="28"/>
          <w:sz w:val="28"/>
          <w:szCs w:val="28"/>
          <w:rtl w:val="true"/>
          <w:lang w:bidi="ar-SA"/>
        </w:rPr>
        <w:t>، والاحتياط، وللتأسيّ بأصحاب الشريعة، فلو أخلّ عامداً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الاجتزاء لحصول التنظيف لا يوافق الفتوى والرواية والاحتياط، ومع السهو وجه، ولكنّه غير منافٍ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الخليط أن يكون معتدّاً به في ممازجة الماء، بحيث يصدق عليه الغسل بالسدر، والغسل بماء السدر والغسل بماء وسدر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ممروساً أو مطحوناً بحيث يؤثّر في البدن من ممازجته تنظيفاً، كغسل الثياب بالأُشنان والصابون ونحوهما، فلا يكفي مسمّى الخليط مع عدم التأثير، خلافاً لمن اجتزأ بالمسمّى؛ لأنّ الظاهر من الأخبار خلاف ذلك، والظاهر منها إرادة التأثير، والشكّ في مثل هذا المقام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بقاء الإطلاق في الماء، أم لا؟ وجهان، أقواهما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للشكّ في حصول الامتثال مع سلب الإطلاق عنه، ولتشبيهه بغسل الجنابة في الأخبار</w:t>
      </w:r>
      <w:r>
        <w:rPr>
          <w:rStyle w:val="FootnoteAnchor"/>
          <w:rtl w:val="true"/>
        </w:rPr>
        <w:footnoteReference w:id="2131"/>
      </w:r>
      <w:r>
        <w:rPr>
          <w:rFonts w:ascii="Amiri" w:hAnsi="Amiri" w:eastAsia="Amiri" w:cs="Amiri"/>
          <w:color w:val="111111"/>
          <w:sz w:val="28"/>
          <w:sz w:val="28"/>
          <w:szCs w:val="28"/>
          <w:rtl w:val="true"/>
          <w:lang w:bidi="ar-SA"/>
        </w:rPr>
        <w:t>، ولظاهر الصحيح الآمر بغسله بماء وسدر وبماء وكافور</w:t>
      </w:r>
      <w:r>
        <w:rPr>
          <w:rStyle w:val="FootnoteAnchor"/>
          <w:rtl w:val="true"/>
        </w:rPr>
        <w:footnoteReference w:id="2132"/>
      </w:r>
      <w:r>
        <w:rPr>
          <w:rFonts w:ascii="Amiri" w:hAnsi="Amiri" w:eastAsia="Amiri" w:cs="Amiri"/>
          <w:color w:val="111111"/>
          <w:sz w:val="28"/>
          <w:sz w:val="28"/>
          <w:szCs w:val="28"/>
          <w:rtl w:val="true"/>
          <w:lang w:bidi="ar-SA"/>
        </w:rPr>
        <w:t>، وليس في الإطلاق دلالة على جواز سلب الإطلاق عن الماء؛ لانصرافه إلى المعهود الغير المسلوب غالباً، كما أنّه ليس في التعبير بماء السدر والكافور دلالة على الاجتزاء بالمضاف أو قصره عليه، وذلك لأنّ الإضافة هاهنا لتمييز فردٍ من المطلق عن غيره، لا لبيان النوع الخاصّ، كإضافة المياه المضافة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w:t>
      </w:r>
      <w:r>
        <w:rPr>
          <w:rStyle w:val="FootnoteAnchor"/>
          <w:rtl w:val="true"/>
        </w:rPr>
        <w:footnoteReference w:id="2133"/>
      </w:r>
      <w:r>
        <w:rPr>
          <w:rFonts w:ascii="Amiri" w:hAnsi="Amiri" w:eastAsia="Amiri" w:cs="Amiri"/>
          <w:color w:val="111111"/>
          <w:sz w:val="28"/>
          <w:sz w:val="28"/>
          <w:szCs w:val="28"/>
          <w:rtl w:val="true"/>
          <w:lang w:bidi="ar-SA"/>
        </w:rPr>
        <w:t>إلى الاجتزاء بمسلوب الإطلاق للإطلاق، ولظاهر بعض الروايات الآمرة بغسل رأسه بالرغوة</w:t>
      </w:r>
      <w:r>
        <w:rPr>
          <w:rStyle w:val="FootnoteAnchor"/>
          <w:rtl w:val="true"/>
        </w:rPr>
        <w:footnoteReference w:id="2134"/>
      </w:r>
      <w:r>
        <w:rPr>
          <w:rFonts w:ascii="Amiri" w:hAnsi="Amiri" w:eastAsia="Amiri" w:cs="Amiri"/>
          <w:color w:val="111111"/>
          <w:sz w:val="28"/>
          <w:sz w:val="28"/>
          <w:szCs w:val="28"/>
          <w:rtl w:val="true"/>
          <w:lang w:bidi="ar-SA"/>
        </w:rPr>
        <w:t>، وهي من المياه المضافة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الغسل ليس من الغسل، بل الغسل بما تحت الرغوة، ولا نسلّم إضافته سيّما مع خلطه بماءٍ آخَر كما يظهر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ضعف القول باشتراط سبع ورقات من السدر</w:t>
      </w:r>
      <w:r>
        <w:rPr>
          <w:rStyle w:val="FootnoteAnchor"/>
          <w:rtl w:val="true"/>
        </w:rPr>
        <w:footnoteReference w:id="2135"/>
      </w:r>
      <w:r>
        <w:rPr>
          <w:rFonts w:ascii="IRNazanin" w:hAnsi="IRNazanin" w:eastAsia="IRNazanin"/>
          <w:color w:val="111111"/>
          <w:sz w:val="28"/>
          <w:sz w:val="28"/>
          <w:szCs w:val="28"/>
          <w:rtl w:val="true"/>
          <w:lang w:bidi="fa-IR"/>
        </w:rPr>
        <w:t>، أو اشتراط رطل منه</w:t>
      </w:r>
      <w:r>
        <w:rPr>
          <w:rStyle w:val="FootnoteAnchor"/>
          <w:rtl w:val="true"/>
        </w:rPr>
        <w:footnoteReference w:id="2136"/>
      </w:r>
      <w:r>
        <w:rPr>
          <w:rFonts w:ascii="IRNazanin" w:hAnsi="IRNazanin" w:eastAsia="IRNazanin"/>
          <w:color w:val="111111"/>
          <w:sz w:val="28"/>
          <w:sz w:val="28"/>
          <w:szCs w:val="28"/>
          <w:rtl w:val="true"/>
          <w:lang w:bidi="fa-IR"/>
        </w:rPr>
        <w:t>، أو رطل ونصف</w:t>
      </w:r>
      <w:r>
        <w:rPr>
          <w:rStyle w:val="FootnoteAnchor"/>
          <w:rtl w:val="true"/>
        </w:rPr>
        <w:footnoteReference w:id="2137"/>
      </w:r>
      <w:r>
        <w:rPr>
          <w:rFonts w:ascii="Amiri" w:hAnsi="Amiri" w:eastAsia="Amiri" w:cs="Amiri"/>
          <w:color w:val="111111"/>
          <w:sz w:val="28"/>
          <w:sz w:val="28"/>
          <w:szCs w:val="28"/>
          <w:rtl w:val="true"/>
          <w:lang w:bidi="ar-SA"/>
        </w:rPr>
        <w:t>، أو نصف مثقال من الكافور</w:t>
      </w:r>
      <w:r>
        <w:rPr>
          <w:rStyle w:val="FootnoteAnchor"/>
          <w:rtl w:val="true"/>
        </w:rPr>
        <w:footnoteReference w:id="2138"/>
      </w:r>
      <w:r>
        <w:rPr>
          <w:rFonts w:ascii="Amiri" w:hAnsi="Amiri" w:eastAsia="Amiri" w:cs="Amiri"/>
          <w:color w:val="111111"/>
          <w:sz w:val="28"/>
          <w:sz w:val="28"/>
          <w:szCs w:val="28"/>
          <w:rtl w:val="true"/>
          <w:lang w:bidi="ar-SA"/>
        </w:rPr>
        <w:t>، أو غير ذلك؛ لضعف دليلهم عن مقاومة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الخليطان أو أحدهما، قوي القول بوجوب ماء القراح بدله؛ للاحتياط،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Style w:val="FootnoteAnchor"/>
          <w:rtl w:val="true"/>
        </w:rPr>
        <w:footnoteReference w:id="2139"/>
      </w:r>
      <w:r>
        <w:rPr>
          <w:rFonts w:ascii="Amiri" w:hAnsi="Amiri" w:eastAsia="Amiri" w:cs="Amiri"/>
          <w:color w:val="111111"/>
          <w:sz w:val="28"/>
          <w:sz w:val="28"/>
          <w:szCs w:val="28"/>
          <w:rtl w:val="true"/>
          <w:lang w:bidi="ar-SA"/>
        </w:rPr>
        <w:t>ولظهور إرادة التنظيف مهما أمكن، وظهور الأمر بتعدّد المأمور به في بعض الأخبار،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بماء وسدر </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فلا يسقط المقدور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w:t>
      </w:r>
      <w:r>
        <w:rPr>
          <w:rStyle w:val="FootnoteAnchor"/>
          <w:rtl w:val="true"/>
        </w:rPr>
        <w:footnoteReference w:id="2141"/>
      </w:r>
      <w:r>
        <w:rPr>
          <w:rFonts w:ascii="Amiri" w:hAnsi="Amiri" w:eastAsia="Amiri" w:cs="Amiri"/>
          <w:color w:val="111111"/>
          <w:sz w:val="28"/>
          <w:sz w:val="28"/>
          <w:szCs w:val="28"/>
          <w:rtl w:val="true"/>
          <w:lang w:bidi="ar-SA"/>
        </w:rPr>
        <w:t>إلى سقوط الغسلة بتعذّر الخليط؛ لاستلزام فوات الجزء فوات الكلّ، وفوات القيد فوات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 بماء القراح لتعذّر الخليط، فإن وجده بعد الدفن فلا إعادة، وإن وجده قبل الدفن و الإنزال للقبر أعاد على الثلاث؛ للاحتياط، والشكّ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مضيّه مطلقاً؛ لظهور الأمر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الإعادة على الغسلة بالخليط دون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التفصيل بين تكفينه فلا إعادة، وعدمه فالإعادة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بوضع ما شابه السدر أو الكافور مكانهما عند تعذّرهما لا بأس به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بالقراح الخالص عن الخليطين قطعاً، وهل يشترط خلوصه عن كلّ خليط من أُشنان أو طين ونحوهما،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لانصراف القراح للخالص منهما، أي الخليطين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تخليصه عن كلّ ما يشوبه</w:t>
      </w:r>
      <w:r>
        <w:rPr>
          <w:rFonts w:eastAsia="Amiri" w:cs="Amiri" w:ascii="Amiri" w:hAnsi="Amiri"/>
          <w:color w:val="111111"/>
          <w:sz w:val="28"/>
          <w:szCs w:val="28"/>
          <w:rtl w:val="true"/>
          <w:lang w:bidi="ar-SA"/>
        </w:rPr>
        <w:t xml:space="preserve">. </w:t>
      </w:r>
      <w:bookmarkStart w:id="1028" w:name="pg18988_203560"/>
    </w:p>
    <w:p>
      <w:pPr>
        <w:pStyle w:val="BookText"/>
        <w:rPr/>
      </w:pPr>
      <w:bookmarkEnd w:id="1028"/>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تغسيل الميّت على ساجة؛ لفتوى الأصحاب، وللقرب لتنظيفه مهما أمكن، وفي حكم الساجة ما ماثلها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ويندب تغسيله تحت الظلال؛ للخبر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نزع قميصه من تحته؛ للخبر</w:t>
      </w:r>
      <w:r>
        <w:rPr>
          <w:rStyle w:val="FootnoteAnchor"/>
          <w:rtl w:val="true"/>
        </w:rPr>
        <w:footnoteReference w:id="2143"/>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غسل رأسه برغوة السدر أوّلاً، وغسل فرجه بماء السدر والأُشنان؛ للخبر</w:t>
      </w:r>
      <w:r>
        <w:rPr>
          <w:rStyle w:val="FootnoteAnchor"/>
          <w:rtl w:val="true"/>
        </w:rPr>
        <w:footnoteReference w:id="2144"/>
      </w:r>
      <w:r>
        <w:rPr>
          <w:rFonts w:ascii="Amiri" w:hAnsi="Amiri" w:eastAsia="Amiri" w:cs="Amiri"/>
          <w:color w:val="111111"/>
          <w:sz w:val="28"/>
          <w:sz w:val="28"/>
          <w:szCs w:val="28"/>
          <w:rtl w:val="true"/>
          <w:lang w:bidi="ar-SA"/>
        </w:rPr>
        <w:t>،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يديه ثلاثاً من رؤوس الأصابع إلى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الابتداء بشقّ رأسه الأيمن ثمّ الأيسر؛ للخبر</w:t>
      </w:r>
      <w:r>
        <w:rPr>
          <w:rStyle w:val="FootnoteAnchor"/>
          <w:rtl w:val="true"/>
        </w:rPr>
        <w:footnoteReference w:id="2145"/>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تثليث كلّ غسلة في كلّ عضو؛ للخبر</w:t>
      </w:r>
      <w:r>
        <w:rPr>
          <w:rStyle w:val="FootnoteAnchor"/>
          <w:rtl w:val="true"/>
        </w:rPr>
        <w:footnoteReference w:id="2146"/>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مسح بطنه في الغسلتين الأوّلتين برفق، إلّا الحامل فيكره؛ للخبر</w:t>
      </w:r>
      <w:r>
        <w:rPr>
          <w:rStyle w:val="FootnoteAnchor"/>
          <w:rtl w:val="true"/>
        </w:rPr>
        <w:footnoteReference w:id="2147"/>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Heading3"/>
        <w:numPr>
          <w:ilvl w:val="2"/>
          <w:numId w:val="1"/>
        </w:numPr>
        <w:rPr/>
      </w:pPr>
      <w:bookmarkStart w:id="1029" w:name="__RefHeading___Toc13198141_1280447820"/>
      <w:bookmarkStart w:id="1030" w:name="_Toc397"/>
      <w:bookmarkEnd w:id="1029"/>
      <w:r>
        <w:rPr>
          <w:rtl w:val="true"/>
        </w:rPr>
        <w:t>القول في الغاسل</w:t>
      </w:r>
      <w:bookmarkEnd w:id="1030"/>
    </w:p>
    <w:p>
      <w:pPr>
        <w:pStyle w:val="Heading4"/>
        <w:numPr>
          <w:ilvl w:val="3"/>
          <w:numId w:val="1"/>
        </w:numPr>
        <w:rPr/>
      </w:pPr>
      <w:bookmarkStart w:id="1031" w:name="__RefHeading___Toc13198143_1280447820"/>
      <w:bookmarkStart w:id="1032" w:name="_Toc398"/>
      <w:bookmarkEnd w:id="1031"/>
      <w:r>
        <w:rPr>
          <w:rtl w:val="true"/>
        </w:rPr>
        <w:t>وفيه أمور</w:t>
      </w:r>
      <w:r>
        <w:rPr>
          <w:rtl w:val="true"/>
        </w:rPr>
        <w:t>:</w:t>
      </w:r>
      <w:bookmarkEnd w:id="1032"/>
    </w:p>
    <w:p>
      <w:pPr>
        <w:pStyle w:val="Heading4"/>
        <w:numPr>
          <w:ilvl w:val="3"/>
          <w:numId w:val="1"/>
        </w:numPr>
        <w:rPr/>
      </w:pPr>
      <w:bookmarkStart w:id="1033" w:name="__RefHeading___Toc13198145_1280447820"/>
      <w:bookmarkStart w:id="1034" w:name="_Toc399"/>
      <w:bookmarkEnd w:id="1033"/>
      <w:r>
        <w:rPr>
          <w:rtl w:val="true"/>
        </w:rPr>
        <w:t>أحدها</w:t>
      </w:r>
      <w:r>
        <w:rPr>
          <w:rtl w:val="true"/>
        </w:rPr>
        <w:t xml:space="preserve">: </w:t>
      </w:r>
      <w:r>
        <w:rPr>
          <w:rtl w:val="true"/>
        </w:rPr>
        <w:t>فی أنّ أولى الناس بتغسيل الميت هو الوليّ العرفي</w:t>
      </w:r>
      <w:bookmarkEnd w:id="1034"/>
    </w:p>
    <w:p>
      <w:pPr>
        <w:pStyle w:val="BookText"/>
        <w:rPr/>
      </w:pPr>
      <w:r>
        <w:rPr>
          <w:rFonts w:ascii="Amiri" w:hAnsi="Amiri" w:eastAsia="Amiri" w:cs="Amiri"/>
          <w:color w:val="111111"/>
          <w:sz w:val="28"/>
          <w:sz w:val="28"/>
          <w:szCs w:val="28"/>
          <w:rtl w:val="true"/>
          <w:lang w:bidi="ar-SA"/>
        </w:rPr>
        <w:t>أولى الناس بتغسيل الميت هو الوليّ العرفي؛ للأخبار الدالّة على أنّه يصلّي على الجنازة أولى الناس بها</w:t>
      </w:r>
      <w:r>
        <w:rPr>
          <w:rStyle w:val="FootnoteAnchor"/>
          <w:rtl w:val="true"/>
        </w:rPr>
        <w:footnoteReference w:id="2148"/>
      </w:r>
      <w:r>
        <w:rPr>
          <w:rFonts w:ascii="Amiri" w:hAnsi="Amiri" w:eastAsia="Amiri" w:cs="Amiri"/>
          <w:color w:val="111111"/>
          <w:sz w:val="28"/>
          <w:sz w:val="28"/>
          <w:szCs w:val="28"/>
          <w:rtl w:val="true"/>
          <w:lang w:bidi="ar-SA"/>
        </w:rPr>
        <w:t>، المعتضدة بسيرة المسلمين وعمل الأصحاب وفتواهم، ولا فارق بين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الدالّة على أنّ الميّت يغسّله أولى الناس به</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والوليّ عرفاً مع تعدّد الطبقات هو أولى الناس بالميراث، كما نطق به الأصحاب، و دلّت عليه بعض أخبار الباب</w:t>
      </w:r>
      <w:r>
        <w:rPr>
          <w:rStyle w:val="FootnoteAnchor"/>
          <w:rtl w:val="true"/>
        </w:rPr>
        <w:footnoteReference w:id="2151"/>
      </w:r>
      <w:r>
        <w:rPr>
          <w:rFonts w:ascii="Amiri" w:hAnsi="Amiri" w:eastAsia="Amiri" w:cs="Amiri"/>
          <w:color w:val="111111"/>
          <w:sz w:val="28"/>
          <w:sz w:val="28"/>
          <w:szCs w:val="28"/>
          <w:rtl w:val="true"/>
          <w:lang w:bidi="ar-SA"/>
        </w:rPr>
        <w:t>، فالمقدّم في الميراث هو المقدّم في الولاية، ومع التساوي في الطبقة يقدّم الوليّ عرفاً أيضاً إما لزيادة نصيبٍ أو زيادة علقةٍ ونحوها من عيلولة ووجوب نفقة وشفقة، فالأب أولى من الابن، والولد أولى من الجدّ، و الجدّ أولى من الأخ والأخ من الأبوين أولى من الأخ لأحدهما، والأخ من الأب أولى من الأخ للأُمّ، والعمّ أولى من الخال، والعمّ للأبوين أولى من العمّ لأحدهما، والعمّ للأب أولى من العمّ للأُمّ، وكذا الكلام في الخال، والقرابة أولى من المعتق، والمعتق أولى من ضامن الجريرة، وضامن الجريرة أولى من الإمام، والإمام أولى من عدول المسلمين، والذكر في كلّ طبقة أولى من الأُنثى، والزوج أولى بزوجته إذا كان حُرّاً وكانت زوجة دائمة، وفي إلحاق المتمتّع بها وجه قويّ، والمالك أولى بمملوكته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الأمة تحت زوج، فهل الزوج أولى أو المالك أو متساويان ؟ وجوه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إذ لا ولاية للعبد وإن قرب والولاية للحُرّ وإن بَعُدَ على الأقوى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تساوى الأولياء في كلّ شيء كالولدين أو الأخوين، فلا يبعد تقديم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الوجوب الكفائي عدم جواز التقدّم على الولي و أحقّيّة الوليّ من غيره؛ إذ لا مانع من تعلّق الخطاب بسائر المكلّفين كما هو معقد الإجماع بين المسلمين، ومع ذلك لا يصحّ منهم إلّا مع إذن الولي، فلو لم يأذن وأراد المباشرة أو أذن لواحدٍ معيّن لم يصحّ من الفاعل، ومع امتناعه عن الإذن والمباشرة يسقط حقّه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فإذن الولي من شرائط الصحّة لا من شرائط الوجوب، فالغسل واجب على كافّة الناس وليّاً أو غيره، إلّا أنّ غيره مشروط صحّة فعله بإذن الولي وبعدم التقدّم عليه إذا أراد المباشرة بنفسه أو بمن يحبّه، فلا حاجة إلى تكلّف أنّ الخطاب مرتّب فيجب أوّلاً على الوليّ عيناً ثمّ على سائر المكلّفين كفايةً لدفع شبهة أنّ الواجب الكفائي ما تساوى به المخاطبون به من دون أولويّةٍ و تقديمٍ، ولما ورد في الأخبار من خطاب الوليّ بأكثر أحكام الميّت</w:t>
      </w:r>
      <w:r>
        <w:rPr>
          <w:rStyle w:val="FootnoteAnchor"/>
          <w:rtl w:val="true"/>
        </w:rPr>
        <w:footnoteReference w:id="2152"/>
      </w:r>
      <w:r>
        <w:rPr>
          <w:rFonts w:ascii="Amiri" w:hAnsi="Amiri" w:eastAsia="Amiri" w:cs="Amiri"/>
          <w:color w:val="111111"/>
          <w:sz w:val="28"/>
          <w:sz w:val="28"/>
          <w:szCs w:val="28"/>
          <w:rtl w:val="true"/>
          <w:lang w:bidi="ar-SA"/>
        </w:rPr>
        <w:t xml:space="preserve">وذلك </w:t>
      </w:r>
      <w:bookmarkStart w:id="1035" w:name="pg18988_203562"/>
    </w:p>
    <w:p>
      <w:pPr>
        <w:pStyle w:val="BookText"/>
        <w:rPr/>
      </w:pPr>
      <w:bookmarkEnd w:id="1035"/>
      <w:r>
        <w:rPr>
          <w:rFonts w:ascii="Amiri" w:hAnsi="Amiri" w:eastAsia="Amiri" w:cs="Amiri"/>
          <w:color w:val="111111"/>
          <w:sz w:val="28"/>
          <w:sz w:val="28"/>
          <w:szCs w:val="28"/>
          <w:rtl w:val="true"/>
          <w:lang w:bidi="ar-SA"/>
        </w:rPr>
        <w:t>لاندفاع الشبهة بما ذكرنا، ولإرادة بيان الأولويّة من خطاب الأولياء، جمعاً بين الخطابات العامّة والخطابات الخاصّة والإجماعات المنقولة</w:t>
      </w:r>
      <w:r>
        <w:rPr>
          <w:rStyle w:val="FootnoteAnchor"/>
          <w:rtl w:val="true"/>
        </w:rPr>
        <w:footnoteReference w:id="2153"/>
      </w:r>
      <w:r>
        <w:rPr>
          <w:rFonts w:ascii="Amiri" w:hAnsi="Amiri" w:eastAsia="Amiri" w:cs="Amiri"/>
          <w:color w:val="111111"/>
          <w:sz w:val="28"/>
          <w:sz w:val="28"/>
          <w:szCs w:val="28"/>
          <w:rtl w:val="true"/>
          <w:lang w:bidi="ar-SA"/>
        </w:rPr>
        <w:t>بل والمحصلة على الوجوب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امتنع الولي عن الإذن والعمل لا يتعلّق به إجبار من الحاكم بخصوصه؛ لأنّ حقّ التقدّم له وقد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القريب كافراً حجب عن الولاية؛ إذ لا ولاية 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قاتلاً، فالظاهر بقاء ولايته وإن لم يرث</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3198147_1280447820"/>
      <w:bookmarkStart w:id="1037" w:name="_Toc400"/>
      <w:bookmarkEnd w:id="1036"/>
      <w:r>
        <w:rPr>
          <w:rtl w:val="true"/>
        </w:rPr>
        <w:t>ثانيها</w:t>
      </w:r>
      <w:r>
        <w:rPr>
          <w:rtl w:val="true"/>
        </w:rPr>
        <w:t xml:space="preserve">: </w:t>
      </w:r>
      <w:r>
        <w:rPr>
          <w:rtl w:val="true"/>
        </w:rPr>
        <w:t>اشتراط المماثلۀ أو المحرمیّۀ فی تغسیل المیّت</w:t>
      </w:r>
      <w:bookmarkEnd w:id="1037"/>
    </w:p>
    <w:p>
      <w:pPr>
        <w:pStyle w:val="BookText"/>
        <w:rPr/>
      </w:pPr>
      <w:r>
        <w:rPr>
          <w:rFonts w:ascii="Amiri" w:hAnsi="Amiri" w:eastAsia="Amiri" w:cs="Amiri"/>
          <w:color w:val="111111"/>
          <w:sz w:val="28"/>
          <w:sz w:val="28"/>
          <w:szCs w:val="28"/>
          <w:rtl w:val="true"/>
          <w:lang w:bidi="ar-SA"/>
        </w:rPr>
        <w:t>يشترط في المباشر للتغسيل المماثلة أو المحرميّة، فلا يغسل الرجل إلّا رجل أو أحد محارمه من النساء، وكذا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يجد ذلك سقط التغسيل لفتوى المشهور والإجماع المنقول</w:t>
      </w:r>
      <w:r>
        <w:rPr>
          <w:rStyle w:val="FootnoteAnchor"/>
          <w:rtl w:val="true"/>
        </w:rPr>
        <w:footnoteReference w:id="2154"/>
      </w:r>
      <w:r>
        <w:rPr>
          <w:rFonts w:ascii="Amiri" w:hAnsi="Amiri" w:eastAsia="Amiri" w:cs="Amiri"/>
          <w:color w:val="111111"/>
          <w:sz w:val="28"/>
          <w:sz w:val="28"/>
          <w:szCs w:val="28"/>
          <w:rtl w:val="true"/>
          <w:lang w:bidi="ar-SA"/>
        </w:rPr>
        <w:t>، والأخبار، 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 السفر في أرض ليس معه إلّا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ولا يغسّل، والمرأة تكون مع الرجال بتلك المنزلة تدفن ولا تغسّل</w:t>
      </w:r>
      <w:r>
        <w:rPr>
          <w:rFonts w:eastAsia="Amiri" w:cs="Amiri" w:ascii="Amiri" w:hAnsi="Amiri"/>
          <w:color w:val="111111"/>
          <w:sz w:val="28"/>
          <w:szCs w:val="28"/>
          <w:rtl w:val="true"/>
          <w:lang w:bidi="ar-SA"/>
        </w:rPr>
        <w:t>»</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للمفيد فأوجب الغسل من وراء الثياب مع تغميض العينين</w:t>
      </w:r>
      <w:r>
        <w:rPr>
          <w:rStyle w:val="FootnoteAnchor"/>
          <w:rtl w:val="true"/>
        </w:rPr>
        <w:footnoteReference w:id="2156"/>
      </w:r>
      <w:r>
        <w:rPr>
          <w:rFonts w:ascii="Amiri" w:hAnsi="Amiri" w:eastAsia="Amiri" w:cs="Amiri"/>
          <w:color w:val="111111"/>
          <w:sz w:val="28"/>
          <w:sz w:val="28"/>
          <w:szCs w:val="28"/>
          <w:rtl w:val="true"/>
          <w:lang w:bidi="ar-SA"/>
        </w:rPr>
        <w:t>لأخبار شاذّة</w:t>
      </w:r>
      <w:r>
        <w:rPr>
          <w:rStyle w:val="FootnoteAnchor"/>
          <w:rtl w:val="true"/>
        </w:rPr>
        <w:footnoteReference w:id="2157"/>
      </w:r>
      <w:r>
        <w:rPr>
          <w:rFonts w:ascii="IRNazanin" w:hAnsi="IRNazanin" w:eastAsia="IRNazanin"/>
          <w:color w:val="111111"/>
          <w:sz w:val="28"/>
          <w:sz w:val="28"/>
          <w:szCs w:val="28"/>
          <w:rtl w:val="true"/>
          <w:lang w:bidi="fa-IR"/>
        </w:rPr>
        <w:t>لا تعارض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على الندب وجه جمع</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سقوط التيمّم أيضاً؛ لعدم الأمر به في الأخبار المعتبرة في مقام البيان، ولاتّحاد المانع، وفي بعض الأخبار ما دلّ على الأمر به</w:t>
      </w:r>
      <w:r>
        <w:rPr>
          <w:rStyle w:val="FootnoteAnchor"/>
          <w:rtl w:val="true"/>
        </w:rPr>
        <w:footnoteReference w:id="2158"/>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من وراء الثياب مطلقاً</w:t>
      </w:r>
      <w:r>
        <w:rPr>
          <w:rStyle w:val="FootnoteAnchor"/>
          <w:rtl w:val="true"/>
        </w:rPr>
        <w:footnoteReference w:id="2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تغسيلهنّ من مواضع التيمّم</w:t>
      </w:r>
      <w:r>
        <w:rPr>
          <w:rStyle w:val="FootnoteAnchor"/>
          <w:rtl w:val="true"/>
        </w:rPr>
        <w:footnoteReference w:id="2160"/>
      </w:r>
      <w:r>
        <w:rPr>
          <w:rFonts w:ascii="Amiri" w:hAnsi="Amiri" w:eastAsia="Amiri" w:cs="Amiri"/>
          <w:color w:val="111111"/>
          <w:sz w:val="28"/>
          <w:sz w:val="28"/>
          <w:szCs w:val="28"/>
          <w:rtl w:val="true"/>
          <w:lang w:bidi="ar-SA"/>
        </w:rPr>
        <w:t>، 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تغسيلهنّ من مواضع الوضوء</w:t>
      </w:r>
      <w:r>
        <w:rPr>
          <w:rStyle w:val="FootnoteAnchor"/>
          <w:rtl w:val="true"/>
        </w:rPr>
        <w:footnoteReference w:id="2161"/>
      </w:r>
      <w:r>
        <w:rPr>
          <w:rFonts w:ascii="Amiri" w:hAnsi="Amiri" w:eastAsia="Amiri" w:cs="Amiri"/>
          <w:color w:val="111111"/>
          <w:sz w:val="28"/>
          <w:sz w:val="28"/>
          <w:szCs w:val="28"/>
          <w:rtl w:val="true"/>
          <w:lang w:bidi="ar-SA"/>
        </w:rPr>
        <w:t>، 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كفّيها </w:t>
      </w:r>
      <w:r>
        <w:rPr>
          <w:rStyle w:val="FootnoteAnchor"/>
          <w:rtl w:val="true"/>
        </w:rPr>
        <w:footnoteReference w:id="2162"/>
      </w:r>
      <w:r>
        <w:rPr>
          <w:rFonts w:ascii="Amiri" w:hAnsi="Amiri" w:eastAsia="Amiri" w:cs="Amiri"/>
          <w:color w:val="111111"/>
          <w:sz w:val="28"/>
          <w:sz w:val="28"/>
          <w:szCs w:val="28"/>
          <w:rtl w:val="true"/>
          <w:lang w:bidi="ar-SA"/>
        </w:rPr>
        <w:t>، وفي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توزيره للركبتين ويصببن عليه الماء صبّاً إذا كان الميّت رجلاً</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 xml:space="preserve">. </w:t>
      </w:r>
      <w:bookmarkStart w:id="1038" w:name="pg18988_203563"/>
    </w:p>
    <w:p>
      <w:pPr>
        <w:pStyle w:val="BookText"/>
        <w:rPr/>
      </w:pPr>
      <w:bookmarkEnd w:id="1038"/>
      <w:r>
        <w:rPr>
          <w:rFonts w:ascii="Amiri" w:hAnsi="Amiri" w:eastAsia="Amiri" w:cs="Amiri"/>
          <w:color w:val="111111"/>
          <w:sz w:val="28"/>
          <w:sz w:val="28"/>
          <w:szCs w:val="28"/>
          <w:rtl w:val="true"/>
          <w:lang w:bidi="ar-SA"/>
        </w:rPr>
        <w:t>والكلّ شاذّ ضعيف، طرحه أولى من حمله على الندب</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3198149_1280447820"/>
      <w:bookmarkStart w:id="1040" w:name="_Toc401"/>
      <w:bookmarkEnd w:id="1039"/>
      <w:r>
        <w:rPr>
          <w:rtl w:val="true"/>
        </w:rPr>
        <w:t>ثالثها</w:t>
      </w:r>
      <w:r>
        <w:rPr>
          <w:rtl w:val="true"/>
        </w:rPr>
        <w:t xml:space="preserve">: </w:t>
      </w:r>
      <w:r>
        <w:rPr>
          <w:rtl w:val="true"/>
        </w:rPr>
        <w:t>جواز تغسیل الرجل أو المراۀ للصلبی أو الصبیّۀ إذا کانا ابنی ثلاث سنین فنازلاً</w:t>
      </w:r>
      <w:bookmarkEnd w:id="1040"/>
    </w:p>
    <w:p>
      <w:pPr>
        <w:pStyle w:val="BookText"/>
        <w:rPr/>
      </w:pPr>
      <w:r>
        <w:rPr>
          <w:rFonts w:ascii="Amiri" w:hAnsi="Amiri" w:eastAsia="Amiri" w:cs="Amiri"/>
          <w:color w:val="111111"/>
          <w:sz w:val="28"/>
          <w:sz w:val="28"/>
          <w:szCs w:val="28"/>
          <w:rtl w:val="true"/>
          <w:lang w:bidi="ar-SA"/>
        </w:rPr>
        <w:t>يستثنى من الحكم المتقدّم الصبيّ والصبيّة إذا كانا ابني ثلاث سنين فنازلاً، فإنّه يصحّ غسلهما من المماثل وغيره مجرّداً ومن وراء الثياب؛ لفتوى الأصحاب، وللأخبار</w:t>
      </w:r>
      <w:r>
        <w:rPr>
          <w:rStyle w:val="FootnoteAnchor"/>
          <w:rtl w:val="true"/>
        </w:rPr>
        <w:footnoteReference w:id="2164"/>
      </w:r>
      <w:r>
        <w:rPr>
          <w:rFonts w:ascii="Amiri" w:hAnsi="Amiri" w:eastAsia="Amiri" w:cs="Amiri"/>
          <w:color w:val="111111"/>
          <w:sz w:val="28"/>
          <w:sz w:val="28"/>
          <w:szCs w:val="28"/>
          <w:rtl w:val="true"/>
          <w:lang w:bidi="ar-SA"/>
        </w:rPr>
        <w:t>الدالّة على الجواز في الصبيّ و الصبيّة مطلقاً، والأخبار</w:t>
      </w:r>
      <w:r>
        <w:rPr>
          <w:rStyle w:val="FootnoteAnchor"/>
          <w:rtl w:val="true"/>
        </w:rPr>
        <w:footnoteReference w:id="2165"/>
      </w:r>
      <w:r>
        <w:rPr>
          <w:rFonts w:ascii="Amiri" w:hAnsi="Amiri" w:eastAsia="Amiri" w:cs="Amiri"/>
          <w:color w:val="111111"/>
          <w:sz w:val="28"/>
          <w:sz w:val="28"/>
          <w:szCs w:val="28"/>
          <w:rtl w:val="true"/>
          <w:lang w:bidi="ar-SA"/>
        </w:rPr>
        <w:t>المحدّدة للصبيّ إلى ثلاث سنين، وظاهرها أنّ الغاية هي الثلاث، وضعفها مجبور بفتوى الأصحاب، وبالاستصحاب لجواز النظر إليهما مطلقاً حتّى إلى العورة في حال الحياة بالنسبة إلى الصبيّ، فكذا بعد الوفاة، ويزيده في الصبيّ أنّ تربيته للنساء وهو ملازم للنظر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القول بجواز التغسيل للصبيّ من النساء وللصبيّة من الرجال إلى بلوغ الخمس سنين قوّة، سيّما مع عدم وجود المماثل، و سيّما مع إمكان عدم النظر إليه كأن تغسّله من وراء الثياب وإمكان عدم لمسه؛ ولعموم أدلّة وجوب الغسل، خرج منه الرجال للنساء والعكس،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إليهما في حال الحياة فليستصحب ذلك إلى ما بعد الوفاة، لنقل الإجماع على جواز النظر إلى الصبيّة</w:t>
      </w:r>
      <w:r>
        <w:rPr>
          <w:rStyle w:val="FootnoteAnchor"/>
          <w:rtl w:val="true"/>
        </w:rPr>
        <w:footnoteReference w:id="2166"/>
      </w:r>
      <w:r>
        <w:rPr>
          <w:rFonts w:ascii="Amiri" w:hAnsi="Amiri" w:eastAsia="Amiri" w:cs="Amiri"/>
          <w:color w:val="111111"/>
          <w:sz w:val="28"/>
          <w:sz w:val="28"/>
          <w:szCs w:val="28"/>
          <w:rtl w:val="true"/>
          <w:lang w:bidi="ar-SA"/>
        </w:rPr>
        <w:t>، فالصبيّ بالطريق الأولى، بل ربما يدّعى السيرة القطعيّة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النظر إلى عورتيهما؛ لعموم تحريم النظر إلى العورة،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المرويّ في الفقيه والذكرى من أنّ الصبيّة إذا كانت أقلّ من خمس يغسّلها الرجل</w:t>
      </w:r>
      <w:r>
        <w:rPr>
          <w:rStyle w:val="FootnoteAnchor"/>
          <w:rtl w:val="true"/>
        </w:rPr>
        <w:footnoteReference w:id="2167"/>
      </w:r>
      <w:r>
        <w:rPr>
          <w:rFonts w:ascii="Amiri" w:hAnsi="Amiri" w:eastAsia="Amiri" w:cs="Amiri"/>
          <w:color w:val="111111"/>
          <w:sz w:val="28"/>
          <w:sz w:val="28"/>
          <w:szCs w:val="28"/>
          <w:rtl w:val="true"/>
          <w:lang w:bidi="ar-SA"/>
        </w:rPr>
        <w:t>،وكذا المرويّ في غيرهما</w:t>
      </w:r>
      <w:r>
        <w:rPr>
          <w:rStyle w:val="FootnoteAnchor"/>
          <w:rtl w:val="true"/>
        </w:rPr>
        <w:footnoteReference w:id="2168"/>
      </w:r>
      <w:r>
        <w:rPr>
          <w:rFonts w:ascii="Amiri" w:hAnsi="Amiri" w:eastAsia="Amiri" w:cs="Amiri"/>
          <w:color w:val="111111"/>
          <w:sz w:val="28"/>
          <w:sz w:val="28"/>
          <w:szCs w:val="28"/>
          <w:rtl w:val="true"/>
          <w:lang w:bidi="ar-SA"/>
        </w:rPr>
        <w:t>ما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تجنّب ذلك إلّا مع فقد المماثل، ومع فقده فالأحوط كون التغسيل من وراء الثياب وعدم اللمس من غير حاجب بين يدي الغاسل والجلد</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3198151_1280447820"/>
      <w:bookmarkStart w:id="1042" w:name="_Toc402"/>
      <w:bookmarkEnd w:id="1041"/>
      <w:r>
        <w:rPr>
          <w:rtl w:val="true"/>
        </w:rPr>
        <w:t>رابعها</w:t>
      </w:r>
      <w:r>
        <w:rPr>
          <w:rtl w:val="true"/>
        </w:rPr>
        <w:t xml:space="preserve">: </w:t>
      </w:r>
      <w:r>
        <w:rPr>
          <w:rtl w:val="true"/>
        </w:rPr>
        <w:t>جواز تغسيل الرجل للمرأة إذا كان محرّماً عليها وكذا العكس</w:t>
      </w:r>
      <w:bookmarkEnd w:id="104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تغسيل الرجل للمرأة إذا كان محرّماً عليها مؤبّداً بنسب أو رضاع أو مصاهرة، وكذا العكس إجماعيّ لا إشكال فيه في الجملة، إنّما الإشكال في جواز ذلك مطلقاً أو مع فقد المماثل، وجوازه مجرّداً فيما عدا العورة أو من وراء الثياب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وظاهر فتوى المشهور نقلاً</w:t>
      </w:r>
      <w:r>
        <w:rPr>
          <w:rStyle w:val="FootnoteAnchor"/>
          <w:rtl w:val="true"/>
        </w:rPr>
        <w:footnoteReference w:id="2169"/>
      </w:r>
      <w:r>
        <w:rPr>
          <w:rFonts w:ascii="Amiri" w:hAnsi="Amiri" w:eastAsia="Amiri" w:cs="Amiri"/>
          <w:color w:val="111111"/>
          <w:sz w:val="28"/>
          <w:sz w:val="28"/>
          <w:szCs w:val="28"/>
          <w:rtl w:val="true"/>
          <w:lang w:bidi="ar-SA"/>
        </w:rPr>
        <w:t xml:space="preserve">بل تحصيلاً اختصاص ذلك بحال الضرورة، سيّما في تغسيل الرجال للنساء، وكذا ظاهر الأخبار؛ لأنّها بين ما هو صريح في منع تغسيل الرجال للنساء،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وبين ما هو مرخص لذلك على طبق السؤال</w:t>
      </w:r>
      <w:r>
        <w:rPr>
          <w:rStyle w:val="FootnoteAnchor"/>
          <w:rtl w:val="true"/>
        </w:rPr>
        <w:footnoteReference w:id="2171"/>
      </w:r>
      <w:r>
        <w:rPr>
          <w:rFonts w:ascii="Amiri" w:hAnsi="Amiri" w:eastAsia="Amiri" w:cs="Amiri"/>
          <w:color w:val="111111"/>
          <w:sz w:val="28"/>
          <w:sz w:val="28"/>
          <w:szCs w:val="28"/>
          <w:rtl w:val="true"/>
          <w:lang w:bidi="ar-SA"/>
        </w:rPr>
        <w:t>، والسؤال مورده حال الضرورة، وكذا في تغسيل النساء للرجال، فإنّ الرخصة في الأخبار وردت على طبق السؤال، وهو وارد مورد الضرورة وعدم المماثل، فيُفهم من الأسئلة حينئذ أن التغسيل في حال الاختيار ممنوع عنه ذلك اليوم، ولو كان جوازه معروفاً لما قيد السؤال في الأخبار في حال الاضطرار المشعر بمعرفة عدم جوازه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ظاهر فتوى المشهور والأخبار</w:t>
      </w:r>
      <w:r>
        <w:rPr>
          <w:rStyle w:val="FootnoteAnchor"/>
          <w:rtl w:val="true"/>
        </w:rPr>
        <w:footnoteReference w:id="2172"/>
      </w:r>
      <w:r>
        <w:rPr>
          <w:rFonts w:ascii="Amiri" w:hAnsi="Amiri" w:eastAsia="Amiri" w:cs="Amiri"/>
          <w:color w:val="111111"/>
          <w:sz w:val="28"/>
          <w:sz w:val="28"/>
          <w:szCs w:val="28"/>
          <w:rtl w:val="true"/>
          <w:lang w:bidi="ar-SA"/>
        </w:rPr>
        <w:t xml:space="preserve">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التغسيل من وراء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الاحتياط، وأنّ التغسيل بهذا النحو من كيفيات الغسل وشرائطه، وما شكّ في شرطيته شرط في مقام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تلك الأخبار والفتوى يُحمل ما جاء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 النساء لمن لم يكن عنده مَنْ يغسّله إلّا النساء</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2174"/>
      </w:r>
      <w:r>
        <w:rPr>
          <w:rFonts w:ascii="Amiri" w:hAnsi="Amiri" w:eastAsia="Amiri" w:cs="Amiri"/>
          <w:color w:val="111111"/>
          <w:sz w:val="28"/>
          <w:sz w:val="28"/>
          <w:szCs w:val="28"/>
          <w:rtl w:val="true"/>
          <w:lang w:bidi="ar-SA"/>
        </w:rPr>
        <w:t>إلى عدم التقييد بفقد المماثل، وعدم اشتراط كونه من وراء الثياب؛ استناداً لإطلاق الصحيح المتقدّم</w:t>
      </w:r>
      <w:r>
        <w:rPr>
          <w:rStyle w:val="FootnoteAnchor"/>
          <w:rtl w:val="true"/>
        </w:rPr>
        <w:footnoteReference w:id="2175"/>
      </w:r>
      <w:r>
        <w:rPr>
          <w:rFonts w:ascii="Amiri" w:hAnsi="Amiri" w:eastAsia="Amiri" w:cs="Amiri"/>
          <w:color w:val="111111"/>
          <w:sz w:val="28"/>
          <w:sz w:val="28"/>
          <w:szCs w:val="28"/>
          <w:rtl w:val="true"/>
          <w:lang w:bidi="ar-SA"/>
        </w:rPr>
        <w:t>بالنسبة إليهما،والصحيح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في السفر ومعه امرأته يغسّلها؟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وأُمّه و أُخته ونحو هذا، يلقى على عورتها خرقة</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معه ذوات محرم يؤزرنه ويصببن عليه الماء جميعاً ويمس ويمسسن جسده ولا يمسسن فرجه </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بالنسبة إلى اشتراط كونه من وراء الثياب</w:t>
      </w:r>
      <w:r>
        <w:rPr>
          <w:rFonts w:eastAsia="Amiri" w:cs="Amiri" w:ascii="Amiri" w:hAnsi="Amiri"/>
          <w:color w:val="111111"/>
          <w:sz w:val="28"/>
          <w:szCs w:val="28"/>
          <w:rtl w:val="true"/>
          <w:lang w:bidi="ar-SA"/>
        </w:rPr>
        <w:t xml:space="preserve">. </w:t>
      </w:r>
      <w:bookmarkStart w:id="1043" w:name="pg18988_203565"/>
    </w:p>
    <w:p>
      <w:pPr>
        <w:pStyle w:val="BookText"/>
        <w:rPr/>
      </w:pPr>
      <w:bookmarkEnd w:id="1043"/>
      <w:r>
        <w:rPr>
          <w:rFonts w:ascii="Amiri" w:hAnsi="Amiri" w:eastAsia="Amiri" w:cs="Amiri"/>
          <w:color w:val="111111"/>
          <w:sz w:val="28"/>
          <w:sz w:val="28"/>
          <w:szCs w:val="28"/>
          <w:rtl w:val="true"/>
          <w:lang w:bidi="ar-SA"/>
        </w:rPr>
        <w:t>ويؤيّد هذه الأخبار استصحاب حلّيّة النظر، وإطلاقات الأخبار العامّة، وتُنزَّل الأخبار الدالّة على الاشتراط على الندب، أو على وجود الأجانب، أو الخوف من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هذا المذهب من قوّة لولا معارضته بفتوى المشهور وكثرة الأخبار سيّما أخبار اشتراط كونه من وراء الثياب</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الأخبار الدالّة على حال الاضطرار جُلّها أو كلّها في السؤال، فلربما يقلّ فيها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بالثوب هو ما كان ساتراً للبدن تعدّد أو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دخول المقنعة فيها؛ لأنّ ستر الرأس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ويغتفر بروز الوجه والكفّين و القدمين؛ لأغلبيّة ظهورهنّ من الثياب، وعدم التعرّض في الأخبار لوجوب سترهنّ، ولذكر القميص في بعض الأخبار</w:t>
      </w:r>
      <w:r>
        <w:rPr>
          <w:rStyle w:val="FootnoteAnchor"/>
          <w:rtl w:val="true"/>
        </w:rPr>
        <w:footnoteReference w:id="21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إدخال القلنسوة للرجل في الثياب في هذا المقام وإن لم تدخل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طريق الغسل من وراء الثياب أن يبقى الثوب على جسده ملاصقاً له ويضع الماء عليه فيجري من تحته، ولا يضرّ كونه ساتراً؛ لأنّ المطلوب منه الستر في تحقّق الغسل، لجواز جريان الماء من تحت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هنا كفاية الإصابة دون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الثوب الغليظ وجوب إدخال الماء فيه من الجيب لتحقّق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المراد بالغسل فوق الثياب نشر الثوب عليه بحيث لا يماسّ جلده، ووضع الماء على الثوب بحيث يقع على الميّت، أو وضعه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بأس بجميع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المماسّة فهل يطهر الثوب بالتبعيّة بعد الغسل، أو يحتاج إلى عصرٍ فقط، أو يحتاج إلى ماء وعصر جديدين؟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لترك بيان الغسل والعصر للثوب في الأخبار في مقام الحاجة إلى بيانه، ولأنّه لو بقي نجساً لنجس الميّت بعد طهره، ولا يقوله أحد</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3198153_1280447820"/>
      <w:bookmarkStart w:id="1045" w:name="_Toc403"/>
      <w:bookmarkEnd w:id="1044"/>
      <w:r>
        <w:rPr>
          <w:rtl w:val="true"/>
        </w:rPr>
        <w:t>خامسها</w:t>
      </w:r>
      <w:r>
        <w:rPr>
          <w:rtl w:val="true"/>
        </w:rPr>
        <w:t xml:space="preserve">: </w:t>
      </w:r>
      <w:r>
        <w:rPr>
          <w:rtl w:val="true"/>
        </w:rPr>
        <w:t>يجوز للمالك تغسيل مملوكته الغير مزوّجة و المعتدّة</w:t>
      </w:r>
      <w:bookmarkEnd w:id="104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للمالك تغسيل مملوكته الغير مزوّجة و المعتدّة؛ للأصل والعمومات وفتوى الأصحاب</w:t>
      </w:r>
      <w:r>
        <w:rPr>
          <w:rFonts w:eastAsia="Amiri" w:cs="Amiri" w:ascii="Amiri" w:hAnsi="Amiri"/>
          <w:color w:val="111111"/>
          <w:sz w:val="28"/>
          <w:szCs w:val="28"/>
          <w:rtl w:val="true"/>
          <w:lang w:bidi="ar-SA"/>
        </w:rPr>
        <w:t xml:space="preserve">. </w:t>
      </w:r>
      <w:bookmarkStart w:id="1046" w:name="pg18988_203566"/>
    </w:p>
    <w:p>
      <w:pPr>
        <w:pStyle w:val="BookText"/>
        <w:rPr/>
      </w:pPr>
      <w:bookmarkEnd w:id="1046"/>
      <w:r>
        <w:rPr>
          <w:rFonts w:ascii="Amiri" w:hAnsi="Amiri" w:eastAsia="Amiri" w:cs="Amiri"/>
          <w:color w:val="111111"/>
          <w:sz w:val="28"/>
          <w:sz w:val="28"/>
          <w:szCs w:val="28"/>
          <w:rtl w:val="true"/>
          <w:lang w:bidi="ar-SA"/>
        </w:rPr>
        <w:t>وهل يجوز تغسيلها له؛ لأنّها في معنى الزوجة في إباحة اللمس والنظر، ولاستصحاب أحكام الملك، أو لايجوز؛ لانتقالها إلى غيره وانقطاع الاستصحاب، أو الفرق بين أُمّ الولد فيجوز؛ لعدم انتقالها إلى ملك آخَر، وانعتاقها لا يمنع استصحاب الحلّ حال الحياة وإن انقطعت العصمة كالزوجة بالنسبة إلى الزوج، ولما ورد من أنّ عليّ بن الحسين عليهما الصلاة والسلام أوصى بتغسيل أُمّ ولده له ؟</w:t>
      </w:r>
      <w:r>
        <w:rPr>
          <w:rStyle w:val="FootnoteAnchor"/>
          <w:rtl w:val="true"/>
        </w:rPr>
        <w:footnoteReference w:id="2180"/>
      </w:r>
      <w:r>
        <w:rPr>
          <w:rFonts w:ascii="Amiri" w:hAnsi="Amiri" w:eastAsia="Amiri" w:cs="Amiri"/>
          <w:color w:val="111111"/>
          <w:sz w:val="28"/>
          <w:sz w:val="28"/>
          <w:szCs w:val="28"/>
          <w:rtl w:val="true"/>
          <w:lang w:bidi="ar-SA"/>
        </w:rPr>
        <w:t>وجوه،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وفي الأخير قوّة في مقام تنعتق أُمّ الولد على ولدها، و أمّا في مقام لا تنعتق فضعفه غير خفيّ</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3198155_1280447820"/>
      <w:bookmarkStart w:id="1048" w:name="_Toc404"/>
      <w:bookmarkEnd w:id="1047"/>
      <w:r>
        <w:rPr>
          <w:rtl w:val="true"/>
        </w:rPr>
        <w:t>سادسها</w:t>
      </w:r>
      <w:r>
        <w:rPr>
          <w:rtl w:val="true"/>
        </w:rPr>
        <w:t xml:space="preserve">: </w:t>
      </w:r>
      <w:r>
        <w:rPr>
          <w:rtl w:val="true"/>
        </w:rPr>
        <w:t>جواز تغسیل دحد الزوجین للآخَر</w:t>
      </w:r>
      <w:bookmarkEnd w:id="1048"/>
    </w:p>
    <w:p>
      <w:pPr>
        <w:pStyle w:val="BookText"/>
        <w:rPr/>
      </w:pPr>
      <w:r>
        <w:rPr>
          <w:rFonts w:ascii="Amiri" w:hAnsi="Amiri" w:eastAsia="Amiri" w:cs="Amiri"/>
          <w:color w:val="111111"/>
          <w:sz w:val="28"/>
          <w:sz w:val="28"/>
          <w:szCs w:val="28"/>
          <w:rtl w:val="true"/>
          <w:lang w:bidi="ar-SA"/>
        </w:rPr>
        <w:t>يجوز لأحد الزوجين دواماً أو متعةً ما دامت الزوجيّة، أو في العدّة الرجعيّة تغسيل الآخَر في الجملة، بالإجماع والأخبار</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أنّه هل يجوز اختياراً أو في حال الاضطرار، وهل يجوز مع التجريد حتّى للعورة، أو من فوق الثياب عورةً أو غيرها؟ 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شموله لحال الاختيار والاضطرار ، فيدلّ عليه الأخبار</w:t>
      </w:r>
      <w:r>
        <w:rPr>
          <w:rStyle w:val="FootnoteAnchor"/>
          <w:rtl w:val="true"/>
        </w:rPr>
        <w:footnoteReference w:id="2182"/>
      </w:r>
      <w:r>
        <w:rPr>
          <w:rFonts w:ascii="Amiri" w:hAnsi="Amiri" w:eastAsia="Amiri" w:cs="Amiri"/>
          <w:color w:val="111111"/>
          <w:sz w:val="28"/>
          <w:sz w:val="28"/>
          <w:szCs w:val="28"/>
          <w:rtl w:val="true"/>
          <w:lang w:bidi="ar-SA"/>
        </w:rPr>
        <w:t>، وفتوى مشهور الأخيار، وعمومات الأدلّة الشاملة لجميع المكلّفين، فإن وقع تقييد في بعض الأخبار</w:t>
      </w:r>
      <w:r>
        <w:rPr>
          <w:rStyle w:val="FootnoteAnchor"/>
          <w:rtl w:val="true"/>
        </w:rPr>
        <w:footnoteReference w:id="2183"/>
      </w:r>
      <w:r>
        <w:rPr>
          <w:rFonts w:ascii="Amiri" w:hAnsi="Amiri" w:eastAsia="Amiri" w:cs="Amiri"/>
          <w:color w:val="111111"/>
          <w:sz w:val="28"/>
          <w:sz w:val="28"/>
          <w:szCs w:val="28"/>
          <w:rtl w:val="true"/>
          <w:lang w:bidi="ar-SA"/>
        </w:rPr>
        <w:t>فهو في كلام السائل ولا يجدي نفعاً لمن خصّه بحالة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شموله لحالتي التجريد ومن فوق الثياب فهو الموافق للاستصحاب وفتوى مشهور الأصحاب وجملة من إطلاقات أخبار الباب، بل التصريح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معه امرأته يغسّلها؟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84"/>
      </w:r>
      <w:r>
        <w:rPr>
          <w:rFonts w:ascii="Amiri" w:hAnsi="Amiri" w:eastAsia="Amiri" w:cs="Amiri"/>
          <w:color w:val="111111"/>
          <w:sz w:val="28"/>
          <w:sz w:val="28"/>
          <w:szCs w:val="28"/>
          <w:rtl w:val="true"/>
          <w:lang w:bidi="ar-SA"/>
        </w:rPr>
        <w:t>وفيه تصريح بجواز التجريد للمرأة؛ لقوله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على عورتها خرقة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يصلح له أن ينظر إلى امرأته حين تموت أو يغسّلها، وعن المرأة هل تنظر إلى مثل ذلك من زوجها حين 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185"/>
      </w:r>
      <w:r>
        <w:rPr>
          <w:rFonts w:ascii="Amiri" w:hAnsi="Amiri" w:eastAsia="Amiri" w:cs="Amiri"/>
          <w:color w:val="111111"/>
          <w:sz w:val="28"/>
          <w:sz w:val="28"/>
          <w:szCs w:val="28"/>
          <w:rtl w:val="true"/>
          <w:lang w:bidi="ar-SA"/>
        </w:rPr>
        <w:t>وهو كالصريح في جواز التجريد لهما معاً؛ لإشعار سياق السؤال عن النظر في مثل هذا المقام من المرأة وسياق الجواب باتّحاد حكم التغسيل والنظر بالنسبة إليهما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2186"/>
      </w:r>
      <w:r>
        <w:rPr>
          <w:rFonts w:ascii="Amiri" w:hAnsi="Amiri" w:eastAsia="Amiri" w:cs="Amiri"/>
          <w:color w:val="111111"/>
          <w:sz w:val="28"/>
          <w:sz w:val="28"/>
          <w:szCs w:val="28"/>
          <w:rtl w:val="true"/>
          <w:lang w:bidi="ar-SA"/>
        </w:rPr>
        <w:t>إلى اشتراط كون تغسيل كلٍّ منهما للآخَر من وراء الثياب؛ للأخبار الآمرة بتغسيل الرجل زوجته من وراء القميص</w:t>
      </w:r>
      <w:r>
        <w:rPr>
          <w:rStyle w:val="FootnoteAnchor"/>
          <w:rtl w:val="true"/>
        </w:rPr>
        <w:footnoteReference w:id="218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 الدرع</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زوجها يده تحت قميصها</w:t>
      </w:r>
      <w:r>
        <w:rPr>
          <w:rFonts w:eastAsia="Amiri" w:cs="Amiri" w:ascii="Amiri" w:hAnsi="Amiri"/>
          <w:color w:val="111111"/>
          <w:sz w:val="28"/>
          <w:szCs w:val="28"/>
          <w:rtl w:val="true"/>
          <w:lang w:bidi="ar-SA"/>
        </w:rPr>
        <w:t>»</w:t>
      </w:r>
      <w:r>
        <w:rPr>
          <w:rStyle w:val="FootnoteAnchor"/>
          <w:rtl w:val="true"/>
        </w:rPr>
        <w:footnoteReference w:id="2190"/>
      </w:r>
      <w:r>
        <w:rPr>
          <w:rFonts w:ascii="Amiri" w:hAnsi="Amiri" w:eastAsia="Amiri" w:cs="Amiri"/>
          <w:color w:val="111111"/>
          <w:sz w:val="28"/>
          <w:sz w:val="28"/>
          <w:szCs w:val="28"/>
          <w:rtl w:val="true"/>
          <w:lang w:bidi="ar-SA"/>
        </w:rPr>
        <w:t>والآمرة بعدم النظر إلى شعرها وشيء منها</w:t>
      </w:r>
      <w:r>
        <w:rPr>
          <w:rStyle w:val="FootnoteAnchor"/>
          <w:rtl w:val="true"/>
        </w:rPr>
        <w:footnoteReference w:id="2191"/>
      </w:r>
      <w:r>
        <w:rPr>
          <w:rFonts w:ascii="IRNazanin" w:hAnsi="IRNazanin" w:eastAsia="IRNazanin"/>
          <w:color w:val="111111"/>
          <w:sz w:val="28"/>
          <w:sz w:val="28"/>
          <w:szCs w:val="28"/>
          <w:rtl w:val="true"/>
          <w:lang w:bidi="fa-IR"/>
        </w:rPr>
        <w:t>، والأخبار</w:t>
      </w:r>
      <w:r>
        <w:rPr>
          <w:rStyle w:val="FootnoteAnchor"/>
          <w:rtl w:val="true"/>
        </w:rPr>
        <w:footnoteReference w:id="2192"/>
      </w:r>
      <w:r>
        <w:rPr>
          <w:rFonts w:ascii="Amiri" w:hAnsi="Amiri" w:eastAsia="Amiri" w:cs="Amiri"/>
          <w:color w:val="111111"/>
          <w:sz w:val="28"/>
          <w:sz w:val="28"/>
          <w:szCs w:val="28"/>
          <w:rtl w:val="true"/>
          <w:lang w:bidi="ar-SA"/>
        </w:rPr>
        <w:t>الآمرة بتغسيل الزوجة لزوجها من فوق الثياب أيضاً،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الأخبار كما فيها المطلق فيها ما هو ظاهر في جواز التجريد، فيكون بين الأدلّة تعارض المتباينين، ومقتضى القواعد الترجيح للموافق للعمومات وفتوى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للمخالف للعامّة ، وهو الجواز مطلقاً ، أو حمل ما دلّ على التغسيل من وراء الثياب على الاستحباب جمعاً بين الأدلّة، وربما يستشعر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الصحيحين</w:t>
      </w:r>
      <w:r>
        <w:rPr>
          <w:rStyle w:val="FootnoteAnchor"/>
          <w:rtl w:val="true"/>
        </w:rPr>
        <w:footnoteReference w:id="2193"/>
      </w:r>
      <w:r>
        <w:rPr>
          <w:rFonts w:ascii="Amiri" w:hAnsi="Amiri" w:eastAsia="Amiri" w:cs="Amiri"/>
          <w:color w:val="111111"/>
          <w:sz w:val="28"/>
          <w:sz w:val="28"/>
          <w:szCs w:val="28"/>
          <w:rtl w:val="true"/>
          <w:lang w:bidi="ar-SA"/>
        </w:rPr>
        <w:t>من جواز تغسيل الزوجة للزوج لأنّها منه في عدّة دون العكس لأنّها ليست منه في عدّة، فمطّرح، أو محمول على التقيّة أو الكراهة؛ لمعارضته لفتوى المشهور وإطلاق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من تغسيل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على الاضطرار لأنّ الصدّيقة لا يغسّلها إلّا صدّيق</w:t>
      </w:r>
      <w:r>
        <w:rPr>
          <w:rStyle w:val="FootnoteAnchor"/>
          <w:rtl w:val="true"/>
        </w:rPr>
        <w:footnoteReference w:id="2194"/>
      </w:r>
      <w:r>
        <w:rPr>
          <w:rFonts w:ascii="Amiri" w:hAnsi="Amiri" w:eastAsia="Amiri" w:cs="Amiri"/>
          <w:color w:val="111111"/>
          <w:sz w:val="28"/>
          <w:sz w:val="28"/>
          <w:szCs w:val="28"/>
          <w:rtl w:val="true"/>
          <w:lang w:bidi="ar-SA"/>
        </w:rPr>
        <w:t>، بعيد، كما أنّ حمل المنع في الصحيحين على التغسيل مجرّدةً عن الثياب، بعيد أيضاً بعد ما ذكرناه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فرق في الزوجة بين خروجها من العدّة وبين عدمه</w:t>
      </w:r>
      <w:r>
        <w:rPr>
          <w:rFonts w:eastAsia="Amiri" w:cs="Amiri" w:ascii="Amiri" w:hAnsi="Amiri"/>
          <w:color w:val="111111"/>
          <w:sz w:val="28"/>
          <w:szCs w:val="28"/>
          <w:rtl w:val="true"/>
          <w:lang w:bidi="ar-SA"/>
        </w:rPr>
        <w:t xml:space="preserve">. </w:t>
      </w:r>
      <w:bookmarkStart w:id="1049" w:name="pg18988_203568"/>
    </w:p>
    <w:p>
      <w:pPr>
        <w:pStyle w:val="BookText"/>
        <w:rPr/>
      </w:pPr>
      <w:bookmarkEnd w:id="1049"/>
      <w:r>
        <w:rPr>
          <w:rFonts w:ascii="Amiri" w:hAnsi="Amiri" w:eastAsia="Amiri" w:cs="Amiri"/>
          <w:color w:val="111111"/>
          <w:sz w:val="28"/>
          <w:sz w:val="28"/>
          <w:szCs w:val="28"/>
          <w:rtl w:val="true"/>
          <w:lang w:bidi="ar-SA"/>
        </w:rPr>
        <w:t>وفي بعض الأخبار ما يشعر بتخصيص الجواز في زمن العدّة؛ لتعليل الجواز بكونها في عدّةٍ منه</w:t>
      </w:r>
      <w:r>
        <w:rPr>
          <w:rStyle w:val="FootnoteAnchor"/>
          <w:rtl w:val="true"/>
        </w:rPr>
        <w:footnoteReference w:id="2195"/>
      </w:r>
      <w:r>
        <w:rPr>
          <w:rFonts w:ascii="IRNazanin" w:hAnsi="IRNazanin" w:eastAsia="IRNazanin"/>
          <w:color w:val="111111"/>
          <w:sz w:val="28"/>
          <w:sz w:val="28"/>
          <w:szCs w:val="28"/>
          <w:rtl w:val="true"/>
          <w:lang w:bidi="fa-IR"/>
        </w:rPr>
        <w:t>،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بين تزويجها بآخَر بعد خروجها من العدّة وبين عدمه، ولكن على إشكالٍ؛ لشبهة انقطاع الزوجيّة عنها بعد التزويج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الزوج بين تزويجه بعد موتها بأُختها أو رابعة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المطلّقة الباينة لا علقة بينها وبين الزوج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بالثياب ما يشمل المقنعة على الظاهر ، كما يشعر به النهى عن النظر إلى شعرها</w:t>
      </w:r>
      <w:r>
        <w:rPr>
          <w:rStyle w:val="FootnoteAnchor"/>
          <w:rtl w:val="true"/>
        </w:rPr>
        <w:footnoteReference w:id="2196"/>
      </w:r>
      <w:r>
        <w:rPr>
          <w:rFonts w:ascii="Amiri" w:hAnsi="Amiri" w:eastAsia="Amiri" w:cs="Amiri"/>
          <w:color w:val="111111"/>
          <w:sz w:val="28"/>
          <w:sz w:val="28"/>
          <w:szCs w:val="28"/>
          <w:rtl w:val="true"/>
          <w:lang w:bidi="ar-SA"/>
        </w:rPr>
        <w:t>،و ذكر القميص في بعض الأخبار</w:t>
      </w:r>
      <w:r>
        <w:rPr>
          <w:rStyle w:val="FootnoteAnchor"/>
          <w:rtl w:val="true"/>
        </w:rPr>
        <w:footnoteReference w:id="2197"/>
      </w:r>
      <w:r>
        <w:rPr>
          <w:rFonts w:ascii="Amiri" w:hAnsi="Amiri" w:eastAsia="Amiri" w:cs="Amiri"/>
          <w:color w:val="111111"/>
          <w:sz w:val="28"/>
          <w:sz w:val="28"/>
          <w:szCs w:val="28"/>
          <w:rtl w:val="true"/>
          <w:lang w:bidi="ar-SA"/>
        </w:rPr>
        <w:t>بخصوصه من قبيل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ستر الوجه والكفّين وظاهر القدمين كلامٌ 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إجزاء تغميض العينين ووضع خرقة على اليد عن سترها وستره بالثياب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طهارة الثوب بالتبعيّة عند الفراغ من الغسل لنفسه أو بالعصر أو بماءٍ آخَر والعصر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المشكل في حكم الرجال إذا غسّلته النساء، وفي حكم النساء إذا غسّلته الرجال، يُعمل فيه بالاحتياط، وكذا لو كان غاسلاً أيضاً يلزم عليه العمل بالاحتياط</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3198157_1280447820"/>
      <w:bookmarkStart w:id="1051" w:name="_Toc405"/>
      <w:bookmarkEnd w:id="1050"/>
      <w:r>
        <w:rPr>
          <w:rtl w:val="true"/>
        </w:rPr>
        <w:t>سابعها</w:t>
      </w:r>
      <w:r>
        <w:rPr>
          <w:rtl w:val="true"/>
        </w:rPr>
        <w:t xml:space="preserve">: </w:t>
      </w:r>
      <w:r>
        <w:rPr>
          <w:rtl w:val="true"/>
        </w:rPr>
        <w:t>اشتراط البلوغ والعقل والإسلام فی الغاسل</w:t>
      </w:r>
      <w:bookmarkEnd w:id="1051"/>
    </w:p>
    <w:p>
      <w:pPr>
        <w:pStyle w:val="BookText"/>
        <w:rPr/>
      </w:pPr>
      <w:r>
        <w:rPr>
          <w:rFonts w:ascii="Amiri" w:hAnsi="Amiri" w:eastAsia="Amiri" w:cs="Amiri"/>
          <w:color w:val="111111"/>
          <w:sz w:val="28"/>
          <w:sz w:val="28"/>
          <w:szCs w:val="28"/>
          <w:rtl w:val="true"/>
          <w:lang w:bidi="ar-SA"/>
        </w:rPr>
        <w:t>يشترط في الغاسل البلوغ، فلا عبرة بغسل الصبيّ، وغسل المميّز وإن كان صحيحاً لكنّه لا يسقط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العقل، ويشترط الإسلام، بل والإيمان بالمعنى الأخصّ، فلا عبرة بغسل مَنْ خرج عنهما؛ لعدم صحّة عمله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القواعد سقوط الغسل عند فقد المسلم، إلّا أنّه ورد في بعض الأخبار جوازه من المماثل عند الاضطرار بعد اغتساله</w:t>
      </w:r>
      <w:r>
        <w:rPr>
          <w:rStyle w:val="FootnoteAnchor"/>
          <w:rtl w:val="true"/>
        </w:rPr>
        <w:footnoteReference w:id="2198"/>
      </w:r>
      <w:r>
        <w:rPr>
          <w:rFonts w:ascii="Amiri" w:hAnsi="Amiri" w:eastAsia="Amiri" w:cs="Amiri"/>
          <w:color w:val="111111"/>
          <w:sz w:val="28"/>
          <w:sz w:val="28"/>
          <w:szCs w:val="28"/>
          <w:rtl w:val="true"/>
          <w:lang w:bidi="ar-SA"/>
        </w:rPr>
        <w:t>، ونُسب الحكم به إلى علمائنا</w:t>
      </w:r>
      <w:r>
        <w:rPr>
          <w:rStyle w:val="FootnoteAnchor"/>
          <w:rtl w:val="true"/>
        </w:rPr>
        <w:footnoteReference w:id="2199"/>
      </w:r>
      <w:r>
        <w:rPr>
          <w:rFonts w:ascii="Amiri" w:hAnsi="Amiri" w:eastAsia="Amiri" w:cs="Amiri"/>
          <w:color w:val="111111"/>
          <w:sz w:val="28"/>
          <w:sz w:val="28"/>
          <w:szCs w:val="28"/>
          <w:rtl w:val="true"/>
          <w:lang w:bidi="ar-SA"/>
        </w:rPr>
        <w:t>، وهو فتوى الأساطين</w:t>
      </w:r>
      <w:r>
        <w:rPr>
          <w:rFonts w:eastAsia="Amiri" w:cs="Amiri" w:ascii="Amiri" w:hAnsi="Amiri"/>
          <w:color w:val="111111"/>
          <w:sz w:val="28"/>
          <w:szCs w:val="28"/>
          <w:rtl w:val="true"/>
          <w:lang w:bidi="ar-SA"/>
        </w:rPr>
        <w:t xml:space="preserve">. </w:t>
      </w:r>
      <w:bookmarkStart w:id="1052" w:name="pg18988_203569"/>
    </w:p>
    <w:p>
      <w:pPr>
        <w:pStyle w:val="BookText"/>
        <w:rPr/>
      </w:pPr>
      <w:bookmarkEnd w:id="1052"/>
      <w:r>
        <w:rPr>
          <w:rFonts w:ascii="Amiri" w:hAnsi="Amiri" w:eastAsia="Amiri" w:cs="Amiri"/>
          <w:color w:val="111111"/>
          <w:sz w:val="28"/>
          <w:sz w:val="28"/>
          <w:szCs w:val="28"/>
          <w:rtl w:val="true"/>
          <w:lang w:bidi="ar-SA"/>
        </w:rPr>
        <w:t xml:space="preserve">والحكم إن بقي على مخالفته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العبادة من الكافر ومن لزوم طهارة ماء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اقتصرنا على مورد النصّ من كون الكافر نصرانيّاً، وغاية ما يلحق به اليهود في وجه، ومن كونه ذمّيّاً لكونه هو المتعارف زمن الصدور، ومن كونه مماثلاً، فلا يجزئ غير المماثل ولو كانت زوجة أو ذات رحم ولا غير المماثلة ولو كان رحماً أو زوجاً؛ لعدم شمول النصّ لهما، ومن لزوم اغتساله قبل ذلك، وكأنّه لتنظيف بدنه عن النجاسة الخارجة، ومن وقوع الغسل بعد أمر المسلم أو المسلمة له؛ لأنّه المتيقّن من الفتوى بل المصرّح به فيها، والمتيقّن من النصّ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نزّلنا الرواية على وفق القاعدة من تولّي الكافر التقليب والنظر فقط و تولّي المسلم النية والصبّ عليه، كان لا فرق بين ما في الرواية وبين غيره، سيّما إذا أمكن مع عدم مباشرة الماء من الكافر في جميع هذه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فلا إعادة بعد تمام الغسل؛ لاقتضاء فعل المأمور به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عند وجود المسلم قبل التكفين بل قبل الدفن</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3198159_1280447820"/>
      <w:bookmarkStart w:id="1054" w:name="_Toc406"/>
      <w:bookmarkEnd w:id="1053"/>
      <w:r>
        <w:rPr>
          <w:rtl w:val="true"/>
        </w:rPr>
        <w:t>ثامنها</w:t>
      </w:r>
      <w:r>
        <w:rPr>
          <w:rtl w:val="true"/>
        </w:rPr>
        <w:t xml:space="preserve">: </w:t>
      </w:r>
      <w:r>
        <w:rPr>
          <w:rtl w:val="true"/>
        </w:rPr>
        <w:t>حکم مَنْ وجب عليه القتل</w:t>
      </w:r>
      <w:bookmarkEnd w:id="1054"/>
    </w:p>
    <w:p>
      <w:pPr>
        <w:pStyle w:val="BookText"/>
        <w:rPr/>
      </w:pPr>
      <w:r>
        <w:rPr>
          <w:rFonts w:ascii="Amiri" w:hAnsi="Amiri" w:eastAsia="Amiri" w:cs="Amiri"/>
          <w:color w:val="111111"/>
          <w:sz w:val="28"/>
          <w:sz w:val="28"/>
          <w:szCs w:val="28"/>
          <w:rtl w:val="true"/>
          <w:lang w:bidi="ar-SA"/>
        </w:rPr>
        <w:t>مَنْ وجب عليه القتل غسّل نفسه وحنّطها وكفّنها، ثمّ أُقيم عليه الحدّ، فإذا مات صلّى عليه و دُفن من غير إعادة غسل؛ لفتوى الأصحاب والإجماعات المنقولة</w:t>
      </w:r>
      <w:r>
        <w:rPr>
          <w:rStyle w:val="FootnoteAnchor"/>
          <w:rtl w:val="true"/>
        </w:rPr>
        <w:footnoteReference w:id="2201"/>
      </w:r>
      <w:r>
        <w:rPr>
          <w:rFonts w:ascii="Amiri" w:hAnsi="Amiri" w:eastAsia="Amiri" w:cs="Amiri"/>
          <w:color w:val="111111"/>
          <w:sz w:val="28"/>
          <w:sz w:val="28"/>
          <w:szCs w:val="28"/>
          <w:rtl w:val="true"/>
          <w:lang w:bidi="ar-SA"/>
        </w:rPr>
        <w:t>في الباب، ولرواية مسمع في المرجوم والمرجومة والمقتصّ منه بأنّهما يفعلان ذلك</w:t>
      </w:r>
      <w:r>
        <w:rPr>
          <w:rStyle w:val="FootnoteAnchor"/>
          <w:rtl w:val="true"/>
        </w:rPr>
        <w:footnoteReference w:id="2202"/>
      </w:r>
      <w:r>
        <w:rPr>
          <w:rFonts w:ascii="Amiri" w:hAnsi="Amiri" w:eastAsia="Amiri" w:cs="Amiri"/>
          <w:color w:val="111111"/>
          <w:sz w:val="28"/>
          <w:sz w:val="28"/>
          <w:szCs w:val="28"/>
          <w:rtl w:val="true"/>
          <w:lang w:bidi="ar-SA"/>
        </w:rPr>
        <w:t>، ولا فرق بينهما وبين غيرهما بتنقيح المناط و اتّحاد السبب وفتوى المشهور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الغسل كغسل الميّت عدداً وكيفيّةً؛ لظاهر الرواية من أنّه غسل الأموات مقدّم عليه، ولوصفه مع الحنوط والكافور، ولأنّه المتيقّن في إسقاط الغسل بعد الموت، فظهور الوحدة في غسل الأحياء وأصالة البراءة وإطلاق النصّ يحكّم عليها ما ذكرناه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من الأخبار سقوط غسله بعد الموت؛ لتعقيب الصلاة عليه بعد رجمه في روايةٍ</w:t>
      </w:r>
      <w:r>
        <w:rPr>
          <w:rStyle w:val="FootnoteAnchor"/>
          <w:rtl w:val="true"/>
        </w:rPr>
        <w:footnoteReference w:id="2203"/>
      </w:r>
      <w:r>
        <w:rPr>
          <w:rFonts w:ascii="Amiri" w:hAnsi="Amiri" w:eastAsia="Amiri" w:cs="Amiri"/>
          <w:color w:val="111111"/>
          <w:sz w:val="28"/>
          <w:sz w:val="28"/>
          <w:szCs w:val="28"/>
          <w:rtl w:val="true"/>
          <w:lang w:bidi="ar-SA"/>
        </w:rPr>
        <w:t>، وللتصريح بعدم احتياجه إلى غسل بعد موته؛ لأنّه قد غسل بماء طاهر إلى يوم القيامة في أُخرى</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 xml:space="preserve">. </w:t>
      </w:r>
      <w:bookmarkStart w:id="1055" w:name="pg18988_203570"/>
    </w:p>
    <w:p>
      <w:pPr>
        <w:pStyle w:val="BookText"/>
        <w:rPr/>
      </w:pPr>
      <w:bookmarkEnd w:id="1055"/>
      <w:r>
        <w:rPr>
          <w:rFonts w:ascii="Amiri" w:hAnsi="Amiri" w:eastAsia="Amiri" w:cs="Amiri"/>
          <w:color w:val="111111"/>
          <w:sz w:val="28"/>
          <w:sz w:val="28"/>
          <w:szCs w:val="28"/>
          <w:rtl w:val="true"/>
          <w:lang w:bidi="ar-SA"/>
        </w:rPr>
        <w:t>ولو مات بعد غسله بسبب غير الحدّ، وجب عليه غسل الأموات الحقيقي على وفق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رخصة أو عزيمة؟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تفتقر صحّته إلى أمر الحاكم أو نائبه ، أم لا تفتقر ؟ ظاهر الخبر والأصل يقضيان بعدم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الحاكم أمره بذلك، أم لا؟ يبنى على العزيمة والرخصة على الأظهر، فالأوّل على الأوّل والثاني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أن ينوي فيه البدليّة عن غسل الميّت أو رفع الحدث المستقبل، أو لا يجب؟ والظاهر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به الأغسال الباقية عن الميّت لو كانت كجنابة أو حيض أو مسّ، أو لا يسقط؟ و الظاهر عدم السقوط؛ للاستصحاب، والأمر به في الرواية </w:t>
      </w:r>
      <w:r>
        <w:rPr>
          <w:rStyle w:val="FootnoteAnchor"/>
          <w:rtl w:val="true"/>
        </w:rPr>
        <w:footnoteReference w:id="2205"/>
      </w:r>
      <w:r>
        <w:rPr>
          <w:rFonts w:ascii="Amiri" w:hAnsi="Amiri" w:eastAsia="Amiri" w:cs="Amiri"/>
          <w:color w:val="111111"/>
          <w:sz w:val="28"/>
          <w:sz w:val="28"/>
          <w:szCs w:val="28"/>
          <w:rtl w:val="true"/>
          <w:lang w:bidi="ar-SA"/>
        </w:rPr>
        <w:t>لا يقضي بإسقاط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أن يداخل معه أغسال أُخَر في نيّته لو كانت عليه؟ الظاهر ذلك؛ لروايات تداخل الأغسال</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يحكم بطهارة بدنه بعد موته وعدم وجوب الغسل على مَنْ مسّه؟ ظاهر الخبر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اغتسل لرجمٍ فقُتل قصاصاً ، أو العكس، ففي الإجزاء نظر، ولا يبعد الإجزاء، والاحتياط مطلوب</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13198161_1280447820"/>
      <w:bookmarkStart w:id="1057" w:name="_Toc407"/>
      <w:bookmarkEnd w:id="1056"/>
      <w:r>
        <w:rPr>
          <w:rtl w:val="true"/>
        </w:rPr>
        <w:t>تاسعها</w:t>
      </w:r>
      <w:r>
        <w:rPr>
          <w:rtl w:val="true"/>
        </w:rPr>
        <w:t xml:space="preserve">: </w:t>
      </w:r>
      <w:r>
        <w:rPr>
          <w:rtl w:val="true"/>
        </w:rPr>
        <w:t>في وجوب غسل مسّ الميّت</w:t>
      </w:r>
      <w:bookmarkEnd w:id="1057"/>
    </w:p>
    <w:p>
      <w:pPr>
        <w:pStyle w:val="BookText"/>
        <w:rPr/>
      </w:pPr>
      <w:r>
        <w:rPr>
          <w:rFonts w:ascii="Amiri" w:hAnsi="Amiri" w:eastAsia="Amiri" w:cs="Amiri"/>
          <w:color w:val="111111"/>
          <w:sz w:val="28"/>
          <w:sz w:val="28"/>
          <w:szCs w:val="28"/>
          <w:rtl w:val="true"/>
          <w:lang w:bidi="ar-SA"/>
        </w:rPr>
        <w:t>يجب على الغاسل إذا مسّ الميّت قبل تمام تغسيله وبعد برده الغسلُ للمسّ، وكذا كلّ ماسٍّ للميّت كذلك ؛ لفتوى المشهور والأخبار المتكثّرة الآمرة بالغسل للماسّ بعد البرد، والنافية له ما دامت الحرارة</w:t>
      </w:r>
      <w:r>
        <w:rPr>
          <w:rStyle w:val="FootnoteAnchor"/>
          <w:rtl w:val="true"/>
        </w:rPr>
        <w:footnoteReference w:id="2207"/>
      </w:r>
      <w:r>
        <w:rPr>
          <w:rFonts w:ascii="Amiri" w:hAnsi="Amiri" w:eastAsia="Amiri" w:cs="Amiri"/>
          <w:color w:val="111111"/>
          <w:sz w:val="28"/>
          <w:sz w:val="28"/>
          <w:szCs w:val="28"/>
          <w:rtl w:val="true"/>
          <w:lang w:bidi="ar-SA"/>
        </w:rPr>
        <w:t>، من غير معارضٍ لها يُعتدّ به، فالقول بالاستحباب</w:t>
      </w:r>
      <w:r>
        <w:rPr>
          <w:rStyle w:val="FootnoteAnchor"/>
          <w:rtl w:val="true"/>
        </w:rPr>
        <w:footnoteReference w:id="2208"/>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المسلم والكافر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من حيث إنّ الكافر لا يطهر فهو كالبهيمة لا يوجب مسّه غسلاً،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أيضاً بمسّ المتيمّم ؛ لعدم انصراف أدلّة قيام التيمّم مقام الماء لمثل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القول بعدم وجوب الغسل على مَنْ مسّه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 الجزء المغسول قبل تمام الغسل كمسّه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مَنْ مسّ المغتسل في حياته كالمرجوم،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الشهيد والمعصوم؛ لأنّهما طاهران ،مطهّران، إلّا أنّه قد ورد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اغتسل بعدما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الغسل على مَنْ مسّ قطعة فيها عظم تامّ أو بعض عظم من حيّ أو ميّت؛ لفتوى الأصحاب، والإجماع المنقول</w:t>
      </w:r>
      <w:r>
        <w:rPr>
          <w:rStyle w:val="FootnoteAnchor"/>
          <w:rtl w:val="true"/>
        </w:rPr>
        <w:footnoteReference w:id="2210"/>
      </w:r>
      <w:r>
        <w:rPr>
          <w:rFonts w:ascii="Amiri" w:hAnsi="Amiri" w:eastAsia="Amiri" w:cs="Amiri"/>
          <w:color w:val="111111"/>
          <w:sz w:val="28"/>
          <w:sz w:val="28"/>
          <w:szCs w:val="28"/>
          <w:rtl w:val="true"/>
          <w:lang w:bidi="ar-SA"/>
        </w:rPr>
        <w:t>في الباب، والرواية</w:t>
      </w:r>
      <w:r>
        <w:rPr>
          <w:rStyle w:val="FootnoteAnchor"/>
          <w:rtl w:val="true"/>
        </w:rPr>
        <w:footnoteReference w:id="2211"/>
      </w:r>
      <w:r>
        <w:rPr>
          <w:rFonts w:ascii="Amiri" w:hAnsi="Amiri" w:eastAsia="Amiri" w:cs="Amiri"/>
          <w:color w:val="111111"/>
          <w:sz w:val="28"/>
          <w:sz w:val="28"/>
          <w:szCs w:val="28"/>
          <w:rtl w:val="true"/>
          <w:lang w:bidi="ar-SA"/>
        </w:rPr>
        <w:t>المعتبرة بالفتوى الدالّة على أنّ مسّ القطعة التي فيها عظم موجب للغسل، والخالية عنه غير موجبة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العظم المجرّد غير السنّ ففي الغسل منه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 الغسل معه وجوداً وعدماً، فهو الأقوى في التأثير، ومن أصالة البراءة وطهارة ما لا تحلّه الحياة، ولو تنجّس فإنّما يتنجّس بنجاسة عرضيّة تقضي بالغَسْل لا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والدوران ممنوع؛ لاحتمال كون العلّة هي المجموع المركّب، فالثاني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فلو وُجد عظم في مقابر المسلمين احتُمل وجوب الغسل بمسّه؛ لأصالة عدم غسله، واحتُمل العدم؛ ترجيحاً للظاهر، وأصالة صحّة فعل المسلمين،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في مقبرة كفّار أو مقبرة مشتركة، وجب الغسل بمسّه؛ للأصل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العظم المنفصل، و أمّا المتّصل فلا يبعد وجوب الغسل بمسّه؛ لصدق مسّ الميّت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الظفر إذا كان متّصلاً، وكذا الشعر على الأحوط</w:t>
      </w:r>
      <w:r>
        <w:rPr>
          <w:rFonts w:eastAsia="Amiri" w:cs="Amiri" w:ascii="Amiri" w:hAnsi="Amiri"/>
          <w:color w:val="111111"/>
          <w:sz w:val="28"/>
          <w:szCs w:val="28"/>
          <w:rtl w:val="true"/>
          <w:lang w:bidi="ar-SA"/>
        </w:rPr>
        <w:t xml:space="preserve">. </w:t>
      </w:r>
      <w:bookmarkStart w:id="1058" w:name="pg18988_203572"/>
    </w:p>
    <w:p>
      <w:pPr>
        <w:pStyle w:val="BookText"/>
        <w:rPr/>
      </w:pPr>
      <w:bookmarkEnd w:id="1058"/>
      <w:r>
        <w:rPr>
          <w:rFonts w:ascii="Amiri" w:hAnsi="Amiri" w:eastAsia="Amiri" w:cs="Amiri"/>
          <w:color w:val="111111"/>
          <w:sz w:val="28"/>
          <w:sz w:val="28"/>
          <w:szCs w:val="28"/>
          <w:rtl w:val="true"/>
          <w:lang w:bidi="ar-SA"/>
        </w:rPr>
        <w:t>ولو كان الظفر والشعر منفصلين، فلا إشكال في عدم لزوم الغسل بمسّهما، والسيرة والأصل دالّان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السنّ من المنفصل من الحيّ؛ لقيام السيرة على عدم الغسل منه مع شدّة الحاجة إلى بیان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والمسيس بما لا تحلّه الحياة لا بأس به من عظم أو ظفر أو شعر؛ لانصراف الأدلّة إلى المسّ بما من شأنه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غير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تفصّياً عن شبهة الإطلاق</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3198163_1280447820"/>
      <w:bookmarkStart w:id="1060" w:name="_Toc408"/>
      <w:bookmarkEnd w:id="1059"/>
      <w:r>
        <w:rPr>
          <w:rtl w:val="true"/>
        </w:rPr>
        <w:t>القول في التحنيط</w:t>
      </w:r>
      <w:bookmarkEnd w:id="1060"/>
    </w:p>
    <w:p>
      <w:pPr>
        <w:pStyle w:val="BookText"/>
        <w:rPr/>
      </w:pPr>
      <w:r>
        <w:rPr>
          <w:rFonts w:ascii="Amiri" w:hAnsi="Amiri" w:eastAsia="Amiri" w:cs="Amiri"/>
          <w:color w:val="111111"/>
          <w:sz w:val="28"/>
          <w:sz w:val="28"/>
          <w:szCs w:val="28"/>
          <w:rtl w:val="true"/>
          <w:lang w:bidi="ar-SA"/>
        </w:rPr>
        <w:t>وهو واجب على حدّ واجبات تجهيز الميّت؛ لظاهر الأخبار الآمرة</w:t>
      </w:r>
      <w:r>
        <w:rPr>
          <w:rStyle w:val="FootnoteAnchor"/>
          <w:rtl w:val="true"/>
        </w:rPr>
        <w:footnoteReference w:id="2212"/>
      </w:r>
      <w:r>
        <w:rPr>
          <w:rFonts w:ascii="IRNazanin" w:hAnsi="IRNazanin" w:eastAsia="IRNazanin"/>
          <w:color w:val="111111"/>
          <w:sz w:val="28"/>
          <w:sz w:val="28"/>
          <w:szCs w:val="28"/>
          <w:rtl w:val="true"/>
          <w:lang w:bidi="fa-IR"/>
        </w:rPr>
        <w:t>، والإجماع المنقول</w:t>
      </w:r>
      <w:r>
        <w:rPr>
          <w:rStyle w:val="FootnoteAnchor"/>
          <w:rtl w:val="true"/>
        </w:rPr>
        <w:footnoteReference w:id="2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الفحول، والواجب منه المسمّى المعتدّ به في التأثير، لا مجرّد المماسّة بجزء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فيه قدر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وجوبه كالواجبات الكفائيّة التي لا يشترط فيها النيّة، فيكفي مجرّد إيقاعها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تقديمه على جميع أجزاء الكفن؛ لتقديمه في الرواية</w:t>
      </w:r>
      <w:r>
        <w:rPr>
          <w:rStyle w:val="FootnoteAnchor"/>
          <w:rtl w:val="true"/>
        </w:rPr>
        <w:footnoteReference w:id="2214"/>
      </w:r>
      <w:r>
        <w:rPr>
          <w:rFonts w:ascii="Amiri" w:hAnsi="Amiri" w:eastAsia="Amiri" w:cs="Amiri"/>
          <w:color w:val="111111"/>
          <w:sz w:val="28"/>
          <w:sz w:val="28"/>
          <w:szCs w:val="28"/>
          <w:rtl w:val="true"/>
          <w:lang w:bidi="ar-SA"/>
        </w:rPr>
        <w:t>وأكثر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جواز تأخيره عن الاتّزار، بل عن القميص وفي بعضٍ </w:t>
      </w:r>
      <w:r>
        <w:rPr>
          <w:rStyle w:val="FootnoteAnchor"/>
          <w:rtl w:val="true"/>
        </w:rPr>
        <w:footnoteReference w:id="2215"/>
      </w:r>
      <w:r>
        <w:rPr>
          <w:rFonts w:ascii="Amiri" w:hAnsi="Amiri" w:eastAsia="Amiri" w:cs="Amiri"/>
          <w:color w:val="111111"/>
          <w:sz w:val="28"/>
          <w:sz w:val="28"/>
          <w:szCs w:val="28"/>
          <w:rtl w:val="true"/>
          <w:lang w:bidi="ar-SA"/>
        </w:rPr>
        <w:t>إشعار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الاحتياط في تقديمه؛ لرفع شبهة الوجوب الشرعي دون الشرطي؛ إذ من البعيد عدم الاجتزاء به لو وقع بعد التكفين بحيث تجب إعادته وإعادة التكفين أو التكفين وحده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فيه الكافور لا غير؛ للأخبار</w:t>
      </w:r>
      <w:r>
        <w:rPr>
          <w:rStyle w:val="FootnoteAnchor"/>
          <w:rtl w:val="true"/>
        </w:rPr>
        <w:footnoteReference w:id="2216"/>
      </w:r>
      <w:r>
        <w:rPr>
          <w:rFonts w:ascii="Amiri" w:hAnsi="Amiri" w:eastAsia="Amiri" w:cs="Amiri"/>
          <w:color w:val="111111"/>
          <w:sz w:val="28"/>
          <w:sz w:val="28"/>
          <w:szCs w:val="28"/>
          <w:rtl w:val="true"/>
          <w:lang w:bidi="ar-SA"/>
        </w:rPr>
        <w:t>، وفتوى الأخيار، ووضعه في المساجد السبعة؛ للأخبار</w:t>
      </w:r>
      <w:r>
        <w:rPr>
          <w:rStyle w:val="FootnoteAnchor"/>
          <w:rtl w:val="true"/>
        </w:rPr>
        <w:footnoteReference w:id="2217"/>
      </w:r>
      <w:r>
        <w:rPr>
          <w:rFonts w:ascii="IRNazanin" w:hAnsi="IRNazanin" w:eastAsia="IRNazanin"/>
          <w:color w:val="111111"/>
          <w:sz w:val="28"/>
          <w:sz w:val="28"/>
          <w:szCs w:val="28"/>
          <w:rtl w:val="true"/>
          <w:lang w:bidi="fa-IR"/>
        </w:rPr>
        <w:t>، وفتوى الأصحاب، والإجماع المنقول</w:t>
      </w:r>
      <w:r>
        <w:rPr>
          <w:rStyle w:val="FootnoteAnchor"/>
          <w:rtl w:val="true"/>
        </w:rPr>
        <w:footnoteReference w:id="2218"/>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استيعابها؛ للأصل وظاهر فتوى الكثير منهم</w:t>
      </w:r>
      <w:r>
        <w:rPr>
          <w:rFonts w:eastAsia="Amiri" w:cs="Amiri" w:ascii="Amiri" w:hAnsi="Amiri"/>
          <w:color w:val="111111"/>
          <w:sz w:val="28"/>
          <w:szCs w:val="28"/>
          <w:rtl w:val="true"/>
          <w:lang w:bidi="ar-SA"/>
        </w:rPr>
        <w:t xml:space="preserve">. </w:t>
      </w:r>
      <w:bookmarkStart w:id="1061" w:name="pg18988_203573"/>
    </w:p>
    <w:p>
      <w:pPr>
        <w:pStyle w:val="BookText"/>
        <w:rPr/>
      </w:pPr>
      <w:bookmarkEnd w:id="1061"/>
      <w:r>
        <w:rPr>
          <w:rFonts w:ascii="Amiri" w:hAnsi="Amiri" w:eastAsia="Amiri" w:cs="Amiri"/>
          <w:color w:val="111111"/>
          <w:sz w:val="28"/>
          <w:sz w:val="28"/>
          <w:szCs w:val="28"/>
          <w:rtl w:val="true"/>
          <w:lang w:bidi="ar-SA"/>
        </w:rPr>
        <w:t>ويستحبّ في غيره ممّا جاء الأمر به</w:t>
      </w:r>
      <w:r>
        <w:rPr>
          <w:rStyle w:val="FootnoteAnchor"/>
          <w:rtl w:val="true"/>
        </w:rPr>
        <w:footnoteReference w:id="2219"/>
      </w:r>
      <w:r>
        <w:rPr>
          <w:rFonts w:ascii="Amiri" w:hAnsi="Amiri" w:eastAsia="Amiri" w:cs="Amiri"/>
          <w:color w:val="111111"/>
          <w:sz w:val="28"/>
          <w:sz w:val="28"/>
          <w:szCs w:val="28"/>
          <w:rtl w:val="true"/>
          <w:lang w:bidi="ar-SA"/>
        </w:rPr>
        <w:t>ولم يجئ نهي عنه، مثل المفاصل ووسط الراحة والصدر والرأس واللحية والعنق واللّبّة وباطن القدمين والأحوط إضافة طرف الأنف إلى المساجد، ولولا فتوى الأصحاب باستحباب تحنيط ما زاد عن المساجد، لوجب الأخذ بظاهر الأمر، ولكن لم أرَ عاملاً بظاهره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نهي عنه فيُحمل ما جاء الأمر به</w:t>
      </w:r>
      <w:r>
        <w:rPr>
          <w:rStyle w:val="FootnoteAnchor"/>
          <w:rtl w:val="true"/>
        </w:rPr>
        <w:footnoteReference w:id="2220"/>
      </w:r>
      <w:r>
        <w:rPr>
          <w:rFonts w:ascii="Amiri" w:hAnsi="Amiri" w:eastAsia="Amiri" w:cs="Amiri"/>
          <w:color w:val="111111"/>
          <w:sz w:val="28"/>
          <w:sz w:val="28"/>
          <w:szCs w:val="28"/>
          <w:rtl w:val="true"/>
          <w:lang w:bidi="ar-SA"/>
        </w:rPr>
        <w:t>على التقيّة؛ لفتوى العامّة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أخبار النهي</w:t>
      </w:r>
      <w:r>
        <w:rPr>
          <w:rStyle w:val="FootnoteAnchor"/>
          <w:rtl w:val="true"/>
        </w:rPr>
        <w:footnoteReference w:id="2221"/>
      </w:r>
      <w:r>
        <w:rPr>
          <w:rFonts w:ascii="Amiri" w:hAnsi="Amiri" w:eastAsia="Amiri" w:cs="Amiri"/>
          <w:color w:val="111111"/>
          <w:sz w:val="28"/>
          <w:sz w:val="28"/>
          <w:szCs w:val="28"/>
          <w:rtl w:val="true"/>
          <w:lang w:bidi="ar-SA"/>
        </w:rPr>
        <w:t>على الكراهة والأمر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أخبار النهي على وضعه فيها كفمه ومنخره وعينه ومسامعه، وأخبار الأمر على وضعه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يكون قدر الحنوط درهماً، وأفضل منه أربعة، وأكمل منه ثلاثة عشر درهماً وثلث؛ 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بدل الدرهم والأربعة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مثاقيل</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 وظاهرها المثقال الشرعي وهو الذهب الصنمي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يجزئ مثقال ونصف</w:t>
      </w:r>
      <w:r>
        <w:rPr>
          <w:rFonts w:eastAsia="Amiri" w:cs="Amiri" w:ascii="Amiri" w:hAnsi="Amiri"/>
          <w:color w:val="111111"/>
          <w:sz w:val="28"/>
          <w:szCs w:val="28"/>
          <w:rtl w:val="true"/>
          <w:lang w:bidi="ar-SA"/>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والأخذ بالكلّ ، وحمل الاختلاف على مراتب الفضل هو الأولى</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13198165_1280447820"/>
      <w:bookmarkStart w:id="1063" w:name="_Toc409"/>
      <w:bookmarkEnd w:id="1062"/>
      <w:r>
        <w:rPr>
          <w:rtl w:val="true"/>
        </w:rPr>
        <w:t>القول في التكفين</w:t>
      </w:r>
      <w:bookmarkEnd w:id="1063"/>
    </w:p>
    <w:p>
      <w:pPr>
        <w:pStyle w:val="Heading4"/>
        <w:numPr>
          <w:ilvl w:val="3"/>
          <w:numId w:val="1"/>
        </w:numPr>
        <w:rPr/>
      </w:pPr>
      <w:bookmarkStart w:id="1064" w:name="__RefHeading___Toc13198167_1280447820"/>
      <w:bookmarkStart w:id="1065" w:name="_Toc410"/>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وهو واجب إجماعاً من المسلمين على نحو ما قدّمناه في الحنوط</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من الحقائق الشرعيّة المجملة المفتقرة إلى بيان الشارع، فما بيّن منه بعموم أو إطلاق غير موهنين بشهرة أو إجماعات منقولة على خلافهما أخذنا به، وما وهن الظنّ به من إعراض الأصحاب عنه أو الإفتاء من المشهور بخلافه أو جريان السيرة على عكسه طرحناه، ورجعنا فيه إلى قواعد المجمل اللازم الاحتياط فيه من الأخذ بمورد اليقين، فالمشكوك بجزئيّته جزء وشرطيّته شرط</w:t>
      </w:r>
      <w:r>
        <w:rPr>
          <w:rFonts w:eastAsia="Amiri" w:cs="Amiri" w:ascii="Amiri" w:hAnsi="Amiri"/>
          <w:color w:val="111111"/>
          <w:sz w:val="28"/>
          <w:szCs w:val="28"/>
          <w:rtl w:val="true"/>
          <w:lang w:bidi="ar-SA"/>
        </w:rPr>
        <w:t xml:space="preserve">. </w:t>
      </w:r>
      <w:bookmarkStart w:id="1066" w:name="pg18988_203574"/>
    </w:p>
    <w:p>
      <w:pPr>
        <w:pStyle w:val="BookText"/>
        <w:rPr/>
      </w:pPr>
      <w:bookmarkEnd w:id="1066"/>
      <w:r>
        <w:rPr>
          <w:rFonts w:ascii="Amiri" w:hAnsi="Amiri" w:eastAsia="Amiri" w:cs="Amiri"/>
          <w:color w:val="111111"/>
          <w:sz w:val="28"/>
          <w:sz w:val="28"/>
          <w:szCs w:val="28"/>
          <w:rtl w:val="true"/>
          <w:lang w:bidi="ar-SA"/>
        </w:rPr>
        <w:t>والأخبار وفتوى الأصحاب دالّة على أنّه يجب في التكفين عدد مخصوص، و جنس مخصوص، و وصف مخصوص، و وضع مخصوص</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3198169_1280447820"/>
      <w:bookmarkStart w:id="1068" w:name="_Toc411"/>
      <w:bookmarkEnd w:id="1067"/>
      <w:r>
        <w:rPr>
          <w:rtl w:val="true"/>
        </w:rPr>
        <w:t>فهنا أُمور</w:t>
      </w:r>
      <w:r>
        <w:rPr>
          <w:rtl w:val="true"/>
        </w:rPr>
        <w:t>:</w:t>
      </w:r>
      <w:bookmarkEnd w:id="1068"/>
    </w:p>
    <w:p>
      <w:pPr>
        <w:pStyle w:val="Heading4"/>
        <w:numPr>
          <w:ilvl w:val="3"/>
          <w:numId w:val="1"/>
        </w:numPr>
        <w:rPr/>
      </w:pPr>
      <w:bookmarkStart w:id="1069" w:name="__RefHeading___Toc13198171_1280447820"/>
      <w:bookmarkStart w:id="1070" w:name="_Toc412"/>
      <w:bookmarkEnd w:id="1069"/>
      <w:r>
        <w:rPr>
          <w:rtl w:val="true"/>
        </w:rPr>
        <w:t>أحدها في جنسه</w:t>
      </w:r>
      <w:bookmarkEnd w:id="1070"/>
    </w:p>
    <w:p>
      <w:pPr>
        <w:pStyle w:val="BookText"/>
        <w:rPr/>
      </w:pPr>
      <w:r>
        <w:rPr>
          <w:rFonts w:ascii="Amiri" w:hAnsi="Amiri" w:eastAsia="Amiri" w:cs="Amiri"/>
          <w:color w:val="111111"/>
          <w:sz w:val="28"/>
          <w:sz w:val="28"/>
          <w:szCs w:val="28"/>
          <w:rtl w:val="true"/>
          <w:lang w:bidi="ar-SA"/>
        </w:rPr>
        <w:t>والظاهر وجوب كونه ممّا يصلّى فيه اختياراً للرجال، سواء في ذلك المرأة والرجل، فلا يجوز في غيره؛ لعدم انصراف إطلاق الأخبار إليه، وإعراض الأصحاب عن فهمه من أخبار التكفين، واستمرار السيرة على خلافه، وللنهي</w:t>
      </w:r>
      <w:r>
        <w:rPr>
          <w:rStyle w:val="FootnoteAnchor"/>
          <w:rtl w:val="true"/>
        </w:rPr>
        <w:footnoteReference w:id="2224"/>
      </w:r>
      <w:r>
        <w:rPr>
          <w:rFonts w:ascii="Amiri" w:hAnsi="Amiri" w:eastAsia="Amiri" w:cs="Amiri"/>
          <w:color w:val="111111"/>
          <w:sz w:val="28"/>
          <w:sz w:val="28"/>
          <w:szCs w:val="28"/>
          <w:rtl w:val="true"/>
          <w:lang w:bidi="ar-SA"/>
        </w:rPr>
        <w:t>عن السرف وتبذير المال وإتلافه، فلا يجوز العدول عن ذلك إلّا بدليلٍ يفيد الظنّ بجوازه، وليس في إطلاقات التكفين ما يقضي بشمولها لغير ما تصح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التكفين بالحرير المحض، ولا بالذهب، ولا بالجلود التي لا يؤكل لحمها، ولا بشعرها ولا بصوفها ولا بالنجس، مضافاً إلى وجوب إزالة النجاسة عن الكفن، مضافاً إلى ورود النهي عن خصوص الحرير</w:t>
      </w:r>
      <w:r>
        <w:rPr>
          <w:rStyle w:val="FootnoteAnchor"/>
          <w:rtl w:val="true"/>
        </w:rPr>
        <w:footnoteReference w:id="2225"/>
      </w:r>
      <w:r>
        <w:rPr>
          <w:rFonts w:ascii="Amiri" w:hAnsi="Amiri" w:eastAsia="Amiri" w:cs="Amiri"/>
          <w:color w:val="111111"/>
          <w:sz w:val="28"/>
          <w:sz w:val="28"/>
          <w:szCs w:val="28"/>
          <w:rtl w:val="true"/>
          <w:lang w:bidi="ar-SA"/>
        </w:rPr>
        <w:t>على وجه الإطلاق من دون تفصيل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جواز تكفين الأُنثى به لاستصحاب جواز لُبْسها له حال الحياة، تردّه الأخبار المطلقة، والإجماع المنقول</w:t>
      </w:r>
      <w:r>
        <w:rPr>
          <w:rStyle w:val="FootnoteAnchor"/>
          <w:rtl w:val="true"/>
        </w:rPr>
        <w:footnoteReference w:id="2226"/>
      </w:r>
      <w:r>
        <w:rPr>
          <w:rFonts w:ascii="Amiri" w:hAnsi="Amiri" w:eastAsia="Amiri" w:cs="Amiri"/>
          <w:color w:val="111111"/>
          <w:sz w:val="28"/>
          <w:sz w:val="28"/>
          <w:szCs w:val="28"/>
          <w:rtl w:val="true"/>
          <w:lang w:bidi="ar-SA"/>
        </w:rPr>
        <w:t>، وفتوى الفحول ، وما ورد من أنّ المرأة تُكفّن كما يُكفّن الرجل</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أيضاً التكفين بالجلود المأكول لحمها، بل بشعرها ما عدا الصوف والوبر ، ولا بالخوص</w:t>
      </w:r>
      <w:r>
        <w:rPr>
          <w:rStyle w:val="FootnoteAnchor"/>
          <w:rtl w:val="true"/>
        </w:rPr>
        <w:footnoteReference w:id="2228"/>
      </w:r>
      <w:r>
        <w:rPr>
          <w:rFonts w:ascii="Amiri" w:hAnsi="Amiri" w:eastAsia="Amiri" w:cs="Amiri"/>
          <w:color w:val="111111"/>
          <w:sz w:val="28"/>
          <w:sz w:val="28"/>
          <w:szCs w:val="28"/>
          <w:rtl w:val="true"/>
          <w:lang w:bidi="ar-SA"/>
        </w:rPr>
        <w:t>، ولا بالقطن الغير منسوج ولا بالليف ولا بالصوف قبل نسجه؛ كلّ ذلك للشكّ في شمول الأدلّة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بالصوف المنسوج والوبر على الأظهر، والكتّان، وإن كان الأفضل القطن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كونه محلَّلاً عيناً و منفعةً، وكونه خالياً عن تحجير رهانةٍ أو دَيْنٍ أو شبههما، </w:t>
      </w:r>
      <w:bookmarkStart w:id="1071" w:name="pg18988_203575"/>
    </w:p>
    <w:p>
      <w:pPr>
        <w:pStyle w:val="BookText"/>
        <w:rPr/>
      </w:pPr>
      <w:bookmarkEnd w:id="1071"/>
      <w:r>
        <w:rPr>
          <w:rFonts w:ascii="Amiri" w:hAnsi="Amiri" w:eastAsia="Amiri" w:cs="Amiri"/>
          <w:color w:val="111111"/>
          <w:sz w:val="28"/>
          <w:sz w:val="28"/>
          <w:szCs w:val="28"/>
          <w:rtl w:val="true"/>
          <w:lang w:bidi="ar-SA"/>
        </w:rPr>
        <w:t>وكونه ساتراً؛ لانصراف الإطلاق إليه، ولأنّ المقصود منه الستر للميّت، ولما يظهر من الأخبار أيضاً، ولما تشعر به جملة من كلمات الأصحاب حيث اشترطوا جواز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اشتراط الستر في كلّ ثوب منه، وغاية الأمر اشتراط الستر بالمجموع؛ للأخبار</w:t>
      </w:r>
      <w:r>
        <w:rPr>
          <w:rStyle w:val="FootnoteAnchor"/>
          <w:rtl w:val="true"/>
        </w:rPr>
        <w:footnoteReference w:id="2229"/>
      </w:r>
      <w:r>
        <w:rPr>
          <w:rFonts w:ascii="Amiri" w:hAnsi="Amiri" w:eastAsia="Amiri" w:cs="Amiri"/>
          <w:color w:val="111111"/>
          <w:sz w:val="28"/>
          <w:sz w:val="28"/>
          <w:szCs w:val="28"/>
          <w:rtl w:val="true"/>
          <w:lang w:bidi="ar-SA"/>
        </w:rPr>
        <w:t>الآمرة بالتكفين في ثلاث أثواب يوارى بها بدنه، أو اشتراط ستر المئزر الساتر للعورة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والأحوط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ما تجوز به الصلاة انتقل إلى ما لا تجوز به، ما عدا الحرير؛ لتعلّق النهي الأصلّي به، وكذا المغصوب عيناً أو منفعةً، ويلحق بهما الذهب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يلاحظ الأقرب لما تجوز فيه الصلاة فالأقرب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w:t>
      </w:r>
      <w:r>
        <w:rPr>
          <w:rStyle w:val="FootnoteAnchor"/>
          <w:rtl w:val="true"/>
        </w:rPr>
        <w:footnoteReference w:id="2230"/>
      </w:r>
      <w:r>
        <w:rPr>
          <w:rFonts w:ascii="Amiri" w:hAnsi="Amiri" w:eastAsia="Amiri" w:cs="Amiri"/>
          <w:color w:val="111111"/>
          <w:sz w:val="28"/>
          <w:sz w:val="28"/>
          <w:szCs w:val="28"/>
          <w:rtl w:val="true"/>
          <w:lang w:bidi="ar-SA"/>
        </w:rPr>
        <w:t>ولأنّ المستفاد من الأخبار تحصيل الستر مهما أمكن</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3198173_1280447820"/>
      <w:bookmarkStart w:id="1073" w:name="_Toc413"/>
      <w:bookmarkEnd w:id="1072"/>
      <w:r>
        <w:rPr>
          <w:rtl w:val="true"/>
        </w:rPr>
        <w:t>ثانيها في كميته</w:t>
      </w:r>
      <w:bookmarkEnd w:id="1073"/>
    </w:p>
    <w:p>
      <w:pPr>
        <w:pStyle w:val="BookText"/>
        <w:rPr/>
      </w:pPr>
      <w:r>
        <w:rPr>
          <w:rFonts w:ascii="IRNazanin" w:hAnsi="IRNazanin" w:eastAsia="IRNazanin"/>
          <w:color w:val="111111"/>
          <w:sz w:val="28"/>
          <w:sz w:val="28"/>
          <w:szCs w:val="28"/>
          <w:rtl w:val="true"/>
          <w:lang w:bidi="fa-IR"/>
        </w:rPr>
        <w:t>والأقوى والأظهر من الأخبار وفتاوى الأصحاب والإجماع المنقول</w:t>
      </w:r>
      <w:r>
        <w:rPr>
          <w:rStyle w:val="FootnoteAnchor"/>
          <w:rtl w:val="true"/>
        </w:rPr>
        <w:footnoteReference w:id="2231"/>
      </w:r>
      <w:r>
        <w:rPr>
          <w:rFonts w:ascii="Amiri" w:hAnsi="Amiri" w:eastAsia="Amiri" w:cs="Amiri"/>
          <w:color w:val="111111"/>
          <w:sz w:val="28"/>
          <w:sz w:val="28"/>
          <w:szCs w:val="28"/>
          <w:rtl w:val="true"/>
          <w:lang w:bidi="ar-SA"/>
        </w:rPr>
        <w:t>والسيرة المتلقّاة من آل الرسول وعمل الإمامية وطريقة الاثني عشريّة أنّها 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ويُطلق عليه لفظ الإزار في كلام اللغويّين والفقهاء والأخبار إطلاقاً شائعاً ذائعاً، بحيث يحصل الظنّ بكونه حقيقةً فيه على وجه الاختصاص، أو الاشتراك بينه وبين الشامل للبدن، ولكنّه فيه أظهر وأشهر، فما ورد هنا فيه بلفظ الإزار</w:t>
      </w:r>
      <w:r>
        <w:rPr>
          <w:rStyle w:val="FootnoteAnchor"/>
          <w:rtl w:val="true"/>
        </w:rPr>
        <w:footnoteReference w:id="2232"/>
      </w:r>
      <w:r>
        <w:rPr>
          <w:rFonts w:ascii="Amiri" w:hAnsi="Amiri" w:eastAsia="Amiri" w:cs="Amiri"/>
          <w:color w:val="111111"/>
          <w:sz w:val="28"/>
          <w:sz w:val="28"/>
          <w:szCs w:val="28"/>
          <w:rtl w:val="true"/>
          <w:lang w:bidi="ar-SA"/>
        </w:rPr>
        <w:t>، يراد المئزر، ولو لم يكن إلّا فهم الأصحاب ذلك منه والنصوص الواردة في باب ستر العورة في الحمّام</w:t>
      </w:r>
      <w:r>
        <w:rPr>
          <w:rStyle w:val="FootnoteAnchor"/>
          <w:rtl w:val="true"/>
        </w:rPr>
        <w:footnoteReference w:id="2233"/>
      </w:r>
      <w:r>
        <w:rPr>
          <w:rFonts w:ascii="Amiri" w:hAnsi="Amiri" w:eastAsia="Amiri" w:cs="Amiri"/>
          <w:color w:val="111111"/>
          <w:sz w:val="28"/>
          <w:sz w:val="28"/>
          <w:szCs w:val="28"/>
          <w:rtl w:val="true"/>
          <w:lang w:bidi="ar-SA"/>
        </w:rPr>
        <w:t>، والواردة في كراهة الاتّزار فوق القميص</w:t>
      </w:r>
      <w:r>
        <w:rPr>
          <w:rStyle w:val="FootnoteAnchor"/>
          <w:rtl w:val="true"/>
        </w:rPr>
        <w:footnoteReference w:id="2234"/>
      </w:r>
      <w:r>
        <w:rPr>
          <w:rFonts w:ascii="Amiri" w:hAnsi="Amiri" w:eastAsia="Amiri" w:cs="Amiri"/>
          <w:color w:val="111111"/>
          <w:sz w:val="28"/>
          <w:sz w:val="28"/>
          <w:szCs w:val="28"/>
          <w:rtl w:val="true"/>
          <w:lang w:bidi="ar-SA"/>
        </w:rPr>
        <w:t>، والواردة في ثوبَي الإحرام</w:t>
      </w:r>
      <w:r>
        <w:rPr>
          <w:rStyle w:val="FootnoteAnchor"/>
          <w:rtl w:val="true"/>
        </w:rPr>
        <w:footnoteReference w:id="2235"/>
      </w:r>
      <w:r>
        <w:rPr>
          <w:rFonts w:ascii="Amiri" w:hAnsi="Amiri" w:eastAsia="Amiri" w:cs="Amiri"/>
          <w:color w:val="111111"/>
          <w:sz w:val="28"/>
          <w:sz w:val="28"/>
          <w:szCs w:val="28"/>
          <w:rtl w:val="true"/>
          <w:lang w:bidi="ar-SA"/>
        </w:rPr>
        <w:t>، لكفى في تعيين إرادة ذلك منه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ففي الأخبار هاهنا ما يدلّ على ذلك،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تكفين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ومِنْطَق وخمار ولفّافتين</w:t>
      </w:r>
      <w:r>
        <w:rPr>
          <w:rFonts w:eastAsia="Amiri" w:cs="Amiri" w:ascii="Amiri" w:hAnsi="Amiri"/>
          <w:color w:val="111111"/>
          <w:sz w:val="28"/>
          <w:szCs w:val="28"/>
          <w:rtl w:val="true"/>
          <w:lang w:bidi="ar-SA"/>
        </w:rPr>
        <w:t>»</w:t>
      </w:r>
      <w:r>
        <w:rPr>
          <w:rStyle w:val="FootnoteAnchor"/>
          <w:rtl w:val="true"/>
        </w:rPr>
        <w:footnoteReference w:id="2236"/>
      </w:r>
      <w:r>
        <w:rPr>
          <w:rFonts w:ascii="Amiri" w:hAnsi="Amiri" w:eastAsia="Amiri" w:cs="Amiri"/>
          <w:color w:val="111111"/>
          <w:sz w:val="28"/>
          <w:sz w:val="28"/>
          <w:szCs w:val="28"/>
          <w:rtl w:val="true"/>
          <w:lang w:bidi="ar-SA"/>
        </w:rPr>
        <w:t>والمِنْطَق هو المئزر، ولا فارق بين الرجل والمرأة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خرقةٌ فشدّ على مقعدته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فالإزار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تُعدّ شيئاً، إنّما تصنع لتضمّ ما هناك لئلّا يخرج منه شيء</w:t>
      </w:r>
      <w:r>
        <w:rPr>
          <w:rFonts w:eastAsia="Amiri" w:cs="Amiri" w:ascii="Amiri" w:hAnsi="Amiri"/>
          <w:color w:val="111111"/>
          <w:sz w:val="28"/>
          <w:szCs w:val="28"/>
          <w:rtl w:val="true"/>
          <w:lang w:bidi="ar-SA"/>
        </w:rPr>
        <w:t>»</w:t>
      </w:r>
      <w:r>
        <w:rPr>
          <w:rStyle w:val="FootnoteAnchor"/>
          <w:rtl w:val="true"/>
        </w:rPr>
        <w:footnoteReference w:id="2237"/>
      </w:r>
      <w:r>
        <w:rPr>
          <w:rFonts w:ascii="Amiri" w:hAnsi="Amiri" w:eastAsia="Amiri" w:cs="Amiri"/>
          <w:color w:val="111111"/>
          <w:sz w:val="28"/>
          <w:sz w:val="28"/>
          <w:szCs w:val="28"/>
          <w:rtl w:val="true"/>
          <w:lang w:bidi="ar-SA"/>
        </w:rPr>
        <w:t>فتوهّم الراوي في كفاية الخرقة عنه دليل على إرادة المئزر منه، وإرادة اللفّافة من لفظ الإزار بعيدة عن محلّ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تبسط اللفّافة طولاً ، ثمّ تذرّ عليها من الذريرة، ثمّ الإزار طولاً حتّى يغطّي الصدر والرِّجْلين، ثمّ الخرقة عرضها قدر شبر ونصف، ثمّ القميص</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فإنّ في عدوله عن لفظ اللفّافة و تنصيصه على تغطية الصدر والرِّجْلين خاصّةً ظهوراً في إرادة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 قميص لا يزرّ عليه، وإزار، وخرقة يعصّب بها وسطه، وبرد يلفّ فيه</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 فإنّ في تخصيص اللفّ بالبرد إشعاراً بعدمه في المئزر كالقميص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في ثوبَي الإحرام</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الآخر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كفّنت أبي في ثوبين شطويّين كان يحرم فيهما</w:t>
      </w:r>
      <w:r>
        <w:rPr>
          <w:rFonts w:eastAsia="Amiri" w:cs="Amiri" w:ascii="Amiri" w:hAnsi="Amiri"/>
          <w:color w:val="111111"/>
          <w:sz w:val="28"/>
          <w:szCs w:val="28"/>
          <w:rtl w:val="true"/>
          <w:lang w:bidi="ar-SA"/>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وثوبا الإحرام إزار يتّزر به ورداء، وعمامة لمن لا رداء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أنّه يجب في هذا الثوب أن يكون على هيئة المئزر المتعارف بأن يغطّي ما بين السرّة والركبة، فلا يكفي الأقلّ؛ لظهور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الأكثر، وإن استحبّ كونه من الصدر إلى نصف الساق، بل إلى القدم مع الوصيّة أو إذن الورثة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ذهب إليه بعض الأصحاب</w:t>
      </w:r>
      <w:r>
        <w:rPr>
          <w:rStyle w:val="FootnoteAnchor"/>
          <w:rtl w:val="true"/>
        </w:rPr>
        <w:footnoteReference w:id="2242"/>
      </w:r>
      <w:r>
        <w:rPr>
          <w:rFonts w:ascii="Amiri" w:hAnsi="Amiri" w:eastAsia="Amiri" w:cs="Amiri"/>
          <w:color w:val="111111"/>
          <w:sz w:val="28"/>
          <w:sz w:val="28"/>
          <w:szCs w:val="28"/>
          <w:rtl w:val="true"/>
          <w:lang w:bidi="ar-SA"/>
        </w:rPr>
        <w:t xml:space="preserve">من التخيير بين الثوبين والقميص، أو الثلاثة أثواب الشاملة؛ </w:t>
      </w:r>
    </w:p>
    <w:p>
      <w:pPr>
        <w:pStyle w:val="BookText"/>
        <w:rPr/>
      </w:pPr>
      <w:r>
        <w:rPr>
          <w:rFonts w:ascii="Amiri" w:hAnsi="Amiri" w:eastAsia="Amiri" w:cs="Amiri"/>
          <w:color w:val="111111"/>
          <w:sz w:val="28"/>
          <w:sz w:val="28"/>
          <w:szCs w:val="28"/>
          <w:rtl w:val="true"/>
          <w:lang w:bidi="ar-SA"/>
        </w:rPr>
        <w:t>أخذاً بإطلاق الأخبار الآمرة بالأثواب الثلاثة</w:t>
      </w:r>
      <w:r>
        <w:rPr>
          <w:rStyle w:val="FootnoteAnchor"/>
          <w:rtl w:val="true"/>
        </w:rPr>
        <w:footnoteReference w:id="2243"/>
      </w:r>
      <w:r>
        <w:rPr>
          <w:rFonts w:ascii="Amiri" w:hAnsi="Amiri" w:eastAsia="Amiri" w:cs="Amiri"/>
          <w:color w:val="111111"/>
          <w:sz w:val="28"/>
          <w:sz w:val="28"/>
          <w:szCs w:val="28"/>
          <w:rtl w:val="true"/>
          <w:lang w:bidi="ar-SA"/>
        </w:rPr>
        <w:t>والأخبار الآمرة بالثوبين والقميص</w:t>
      </w:r>
      <w:r>
        <w:rPr>
          <w:rStyle w:val="FootnoteAnchor"/>
          <w:rtl w:val="true"/>
        </w:rPr>
        <w:footnoteReference w:id="2244"/>
      </w:r>
      <w:r>
        <w:rPr>
          <w:rFonts w:ascii="IRNazanin" w:hAnsi="IRNazanin" w:eastAsia="IRNazanin"/>
          <w:color w:val="111111"/>
          <w:sz w:val="28"/>
          <w:sz w:val="28"/>
          <w:szCs w:val="28"/>
          <w:rtl w:val="true"/>
          <w:lang w:bidi="fa-IR"/>
        </w:rPr>
        <w:t>، وحمل ما جاء بلفظ الإزار</w:t>
      </w:r>
      <w:r>
        <w:rPr>
          <w:rStyle w:val="FootnoteAnchor"/>
          <w:rtl w:val="true"/>
        </w:rPr>
        <w:footnoteReference w:id="2245"/>
      </w:r>
      <w:r>
        <w:rPr>
          <w:rFonts w:ascii="Amiri" w:hAnsi="Amiri" w:eastAsia="Amiri" w:cs="Amiri"/>
          <w:color w:val="111111"/>
          <w:sz w:val="28"/>
          <w:sz w:val="28"/>
          <w:szCs w:val="28"/>
          <w:rtl w:val="true"/>
          <w:lang w:bidi="ar-SA"/>
        </w:rPr>
        <w:t xml:space="preserve">على الثوب الشامل للبدن، كما يستعمل كثيراً سيّما في مثل هذا اليوم، ضعيف؛ لأنّ إطلاق الثوب محمول على مقيّده، ولا أقلّ من ضعف الظنّ بإرادة المطلق ممّا ذكرناه سابقاً، فيعود كالمجمل، فيجب الأخذ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بالمتيقّن فتوىً وروايةً، وهو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الشامل فهو مسلَّم إلّا أنّه لا يعادل ما ذكرناه كثرةً وقرينةً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يكفّن بقميص ولفّافة وبرد يجمع به الكفن</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ربما دلّ على عدم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إرادة ما يلفّ بها الحقوان، وهو المئزر؛ لعدم تعبيره باللفّافتين مع أنّه أنسب،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يجمع به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غيره جامعاً لما خصّصه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 وهو ثوب يصل إلى نصف الساق؛ لانصراف الإطلاق إلى مثله، ويستحبّ وصوله إلى القدم مع الوصيّة أو إذن الوارث، ودلّت عليه الأخبار</w:t>
      </w:r>
      <w:r>
        <w:rPr>
          <w:rStyle w:val="FootnoteAnchor"/>
          <w:rtl w:val="true"/>
        </w:rPr>
        <w:footnoteReference w:id="2247"/>
      </w:r>
      <w:r>
        <w:rPr>
          <w:rFonts w:ascii="Amiri" w:hAnsi="Amiri" w:eastAsia="Amiri" w:cs="Amiri"/>
          <w:color w:val="111111"/>
          <w:sz w:val="28"/>
          <w:sz w:val="28"/>
          <w:szCs w:val="28"/>
          <w:rtl w:val="true"/>
          <w:lang w:bidi="ar-SA"/>
        </w:rPr>
        <w:t>وكلام الأصحاب والاحتياط، فالقول بإجزاء ثوبٍ شاملٍ عنه؛ لإطلاق أخبار الثياب،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والقميص أحبّ إلَيَّ</w:t>
      </w:r>
      <w:r>
        <w:rPr>
          <w:rFonts w:eastAsia="Amiri" w:cs="Amiri" w:ascii="Amiri" w:hAnsi="Amiri"/>
          <w:color w:val="111111"/>
          <w:sz w:val="28"/>
          <w:szCs w:val="28"/>
          <w:rtl w:val="true"/>
          <w:lang w:bidi="ar-SA"/>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مع ضعفه عن المقاومة لما ذكرنا، محتمل لحمل القميص على الذي يصلّي فيه؛ لتقدّم السؤال أوّلاً عن الثياب التي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أيكفّن في ثلاثة أثواب بغير قميص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والقميص أحبّ إلَيَّ</w:t>
      </w:r>
      <w:r>
        <w:rPr>
          <w:rFonts w:eastAsia="Amiri" w:cs="Amiri" w:ascii="Amiri" w:hAnsi="Amiri"/>
          <w:color w:val="111111"/>
          <w:sz w:val="28"/>
          <w:szCs w:val="28"/>
          <w:rtl w:val="true"/>
          <w:lang w:bidi="ar-SA"/>
        </w:rPr>
        <w:t>»</w:t>
      </w:r>
      <w:r>
        <w:rPr>
          <w:rStyle w:val="FootnoteAnchor"/>
          <w:rtl w:val="true"/>
        </w:rPr>
        <w:footnoteReference w:id="2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أضعف من سابقه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اللفّافة، وتُسمّى الإزار ويدلّ على وجوبها النصّ</w:t>
      </w:r>
      <w:r>
        <w:rPr>
          <w:rStyle w:val="FootnoteAnchor"/>
          <w:rtl w:val="true"/>
        </w:rPr>
        <w:footnoteReference w:id="2250"/>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bookmarkStart w:id="1074" w:name="pg18988_203578"/>
    </w:p>
    <w:p>
      <w:pPr>
        <w:pStyle w:val="BookText"/>
        <w:rPr/>
      </w:pPr>
      <w:bookmarkEnd w:id="1074"/>
      <w:r>
        <w:rPr>
          <w:rFonts w:ascii="Amiri" w:hAnsi="Amiri" w:eastAsia="Amiri" w:cs="Amiri"/>
          <w:color w:val="111111"/>
          <w:sz w:val="28"/>
          <w:sz w:val="28"/>
          <w:szCs w:val="28"/>
          <w:rtl w:val="true"/>
          <w:lang w:bidi="ar-SA"/>
        </w:rPr>
        <w:t>ويشترط فيها شمولها لجميع البدن عرضاً وطولاً ولو بالخياطة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وجوب الزيادة بحيث يمكن عقدها من الرأس والرِّجْلين، ويمكن وضع أحد جانبيها على الآخَر عرضاً لتعارف ذلك منها شرعاً وعادةً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غير ما ذكرناه من الثياب؛ للأخبار الحاصرة في الثلاثة</w:t>
      </w:r>
      <w:r>
        <w:rPr>
          <w:rStyle w:val="FootnoteAnchor"/>
          <w:rtl w:val="true"/>
        </w:rPr>
        <w:footnoteReference w:id="2251"/>
      </w:r>
      <w:r>
        <w:rPr>
          <w:rFonts w:ascii="Amiri" w:hAnsi="Amiri" w:eastAsia="Amiri" w:cs="Amiri"/>
          <w:color w:val="111111"/>
          <w:sz w:val="28"/>
          <w:sz w:val="28"/>
          <w:szCs w:val="28"/>
          <w:rtl w:val="true"/>
          <w:lang w:bidi="ar-SA"/>
        </w:rPr>
        <w:t>، وفتوى الأصحاب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ورد من الزائد بلفظ الأمر</w:t>
      </w:r>
      <w:r>
        <w:rPr>
          <w:rStyle w:val="FootnoteAnchor"/>
          <w:rtl w:val="true"/>
        </w:rPr>
        <w:footnoteReference w:id="2252"/>
      </w:r>
      <w:r>
        <w:rPr>
          <w:rFonts w:ascii="Amiri" w:hAnsi="Amiri" w:eastAsia="Amiri" w:cs="Amiri"/>
          <w:color w:val="111111"/>
          <w:sz w:val="28"/>
          <w:sz w:val="28"/>
          <w:szCs w:val="28"/>
          <w:rtl w:val="true"/>
          <w:lang w:bidi="ar-SA"/>
        </w:rPr>
        <w:t>يراد منه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يجزئ الثوب الواحد إلّا مع الاضطرار؛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2253"/>
      </w:r>
      <w:r>
        <w:rPr>
          <w:rFonts w:ascii="Amiri" w:hAnsi="Amiri" w:eastAsia="Amiri" w:cs="Amiri"/>
          <w:color w:val="111111"/>
          <w:sz w:val="28"/>
          <w:sz w:val="28"/>
          <w:szCs w:val="28"/>
          <w:rtl w:val="true"/>
          <w:lang w:bidi="ar-SA"/>
        </w:rPr>
        <w:t>ولوجوب ستره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إلّا قطعة وجب تخصيصها بالعورة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اكتفى بالثوب الواحد</w:t>
      </w:r>
      <w:r>
        <w:rPr>
          <w:rStyle w:val="FootnoteAnchor"/>
          <w:rtl w:val="true"/>
        </w:rPr>
        <w:footnoteReference w:id="2254"/>
      </w:r>
      <w:r>
        <w:rPr>
          <w:rFonts w:ascii="Amiri" w:hAnsi="Amiri" w:eastAsia="Amiri" w:cs="Amiri"/>
          <w:color w:val="111111"/>
          <w:sz w:val="28"/>
          <w:sz w:val="28"/>
          <w:szCs w:val="28"/>
          <w:rtl w:val="true"/>
          <w:lang w:bidi="ar-SA"/>
        </w:rPr>
        <w:t xml:space="preserve">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 المفروض ثلاثة أثواب أو ثوب تامّ لا أقلّ منه</w:t>
      </w:r>
      <w:r>
        <w:rPr>
          <w:rFonts w:eastAsia="Amiri" w:cs="Amiri" w:ascii="Amiri" w:hAnsi="Amiri"/>
          <w:color w:val="111111"/>
          <w:sz w:val="28"/>
          <w:szCs w:val="28"/>
          <w:rtl w:val="true"/>
          <w:lang w:bidi="ar-SA"/>
        </w:rPr>
        <w:t>»</w:t>
      </w:r>
      <w:r>
        <w:rPr>
          <w:rStyle w:val="FootnoteAnchor"/>
          <w:rtl w:val="true"/>
        </w:rPr>
        <w:footnoteReference w:id="2255"/>
      </w:r>
      <w:r>
        <w:rPr>
          <w:rFonts w:ascii="Amiri" w:hAnsi="Amiri" w:eastAsia="Amiri" w:cs="Amiri"/>
          <w:color w:val="111111"/>
          <w:sz w:val="28"/>
          <w:sz w:val="28"/>
          <w:szCs w:val="28"/>
          <w:rtl w:val="true"/>
          <w:lang w:bidi="ar-SA"/>
        </w:rPr>
        <w:t>ضعيف عن مقاومة ما قدّمناه مع احتمال حمله على التقيّة، أو على معنى الواو من عطف الخاصّ على العامّ فيكون مؤكّداً للثلاثة، ويدلّ عليه وروده بلفظ الواو في كثير من النسخ</w:t>
      </w:r>
      <w:r>
        <w:rPr>
          <w:rStyle w:val="FootnoteAnchor"/>
          <w:rtl w:val="true"/>
        </w:rPr>
        <w:footnoteReference w:id="2256"/>
      </w:r>
      <w:r>
        <w:rPr>
          <w:rFonts w:ascii="Amiri" w:hAnsi="Amiri" w:eastAsia="Amiri" w:cs="Amiri"/>
          <w:color w:val="111111"/>
          <w:sz w:val="28"/>
          <w:sz w:val="28"/>
          <w:szCs w:val="28"/>
          <w:rtl w:val="true"/>
          <w:lang w:bidi="ar-SA"/>
        </w:rPr>
        <w:t>، أو على الضرورة</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3198175_1280447820"/>
      <w:bookmarkStart w:id="1076" w:name="_Toc414"/>
      <w:bookmarkEnd w:id="1075"/>
      <w:r>
        <w:rPr>
          <w:rtl w:val="true"/>
        </w:rPr>
        <w:t>ثالثها في وصفه</w:t>
      </w:r>
      <w:bookmarkEnd w:id="1076"/>
    </w:p>
    <w:p>
      <w:pPr>
        <w:pStyle w:val="BookText"/>
        <w:rPr/>
      </w:pPr>
      <w:r>
        <w:rPr>
          <w:rFonts w:ascii="Amiri" w:hAnsi="Amiri" w:eastAsia="Amiri" w:cs="Amiri"/>
          <w:color w:val="111111"/>
          <w:sz w:val="28"/>
          <w:sz w:val="28"/>
          <w:szCs w:val="28"/>
          <w:rtl w:val="true"/>
          <w:lang w:bidi="ar-SA"/>
        </w:rPr>
        <w:t>ويجب كونه من الأوسط قيمةً، فلا يجوز أخذ الأعلى إلّا من الوصيّة أو رضا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لا يختار الأدنى للميّت؛ لانصراف اللفظ إلى المتوسّط، ونعني بالمتوسّط هو اللائق بحال الميّت عرفاً شرفاً وضعةً، فلا يجوز أخذ الأعلى للأدنين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أخذ الأدنى للأعلين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وضعه على ما يُفهم من كلام الأصحاب ومن سيرة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المئزر تحت، وفوقه القميص، وفوقه اللفّافة، وتحت المئزر خرقة الفخذين المستحبّة، وفوق اللقافة لفّافة أُخرى مندوبة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الأخبار ما يدلّ على وضع القميص تحت المئزر والخرقة فوقه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بالتخيير ضعيف، فالعمل بما عليه الأصحاب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خرقة لربط فخذيه، وحبرة عبريّة، و عمامة، ويخرج طرفاها من الحنك ويلقيان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2258"/>
      </w:r>
      <w:r>
        <w:rPr>
          <w:rFonts w:ascii="Amiri" w:hAnsi="Amiri" w:eastAsia="Amiri" w:cs="Amiri"/>
          <w:color w:val="111111"/>
          <w:sz w:val="28"/>
          <w:sz w:val="28"/>
          <w:szCs w:val="28"/>
          <w:rtl w:val="true"/>
          <w:lang w:bidi="ar-SA"/>
        </w:rPr>
        <w:t>جعل الحبرة أحد الثلاثة؛ للأخبار</w:t>
      </w:r>
      <w:r>
        <w:rPr>
          <w:rStyle w:val="FootnoteAnchor"/>
          <w:rtl w:val="true"/>
        </w:rPr>
        <w:footnoteReference w:id="2259"/>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فتوى الأصحاب والإجماع المنقول</w:t>
      </w:r>
      <w:r>
        <w:rPr>
          <w:rStyle w:val="FootnoteAnchor"/>
          <w:rtl w:val="true"/>
        </w:rPr>
        <w:footnoteReference w:id="2260"/>
      </w:r>
      <w:r>
        <w:rPr>
          <w:rFonts w:ascii="Amiri" w:hAnsi="Amiri" w:eastAsia="Amiri" w:cs="Amiri"/>
          <w:color w:val="111111"/>
          <w:sz w:val="28"/>
          <w:sz w:val="28"/>
          <w:szCs w:val="28"/>
          <w:rtl w:val="true"/>
          <w:lang w:bidi="ar-SA"/>
        </w:rPr>
        <w:t>، وخبر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61"/>
      </w:r>
      <w:r>
        <w:rPr>
          <w:rFonts w:ascii="Amiri" w:hAnsi="Amiri" w:eastAsia="Amiri" w:cs="Amiri"/>
          <w:color w:val="111111"/>
          <w:sz w:val="28"/>
          <w:sz w:val="28"/>
          <w:szCs w:val="28"/>
          <w:rtl w:val="true"/>
          <w:lang w:bidi="ar-SA"/>
        </w:rPr>
        <w:t>تدلّ على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العمامة الإجماع والأخبار</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وتزاد للمرأة لفّافة لثدييها تشدّ من خلفها لئلّا تبدو ثدياها، وتزاد أيضاً نمطاً أو لفّافة أُخرى مخيّراً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العمامة بالقناع، كلّ ذلك للأخبار</w:t>
      </w:r>
      <w:r>
        <w:rPr>
          <w:rStyle w:val="FootnoteAnchor"/>
          <w:rtl w:val="true"/>
        </w:rPr>
        <w:footnoteReference w:id="2263"/>
      </w:r>
      <w:r>
        <w:rPr>
          <w:rFonts w:ascii="Amiri" w:hAnsi="Amiri" w:eastAsia="Amiri" w:cs="Amiri"/>
          <w:color w:val="111111"/>
          <w:sz w:val="28"/>
          <w:sz w:val="28"/>
          <w:szCs w:val="28"/>
          <w:rtl w:val="true"/>
          <w:lang w:bidi="ar-SA"/>
        </w:rPr>
        <w:t>وفتوى جملة من الأصحاب</w:t>
      </w: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والمنع من المشكوك به لاستلزامه تضييع المال المحترم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لجلب النفع الأُخروي، فلا تضييع ولا سرف</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أن يكون الكفن قطناً أبيضاً؛ للإجماع وفتوى الأصحاب، وأن يطيّب بالذريرة؛ للإجماع وفتوى الأصحاب، وهو طيب معروف، ومع عدمه فلا يبعد قيام غيره ممّا شاكله مقامه، وأن يكتب بالتربة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يشهد أن لا إله إلّا الله، ويشهد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يكون ذلك على المئزر ، و إلّا فعلى غيره ويكتب أيضاً دعاء الجوشن والقرآن كلّه وأسماء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ذلك لإشعار بعض الأخبار</w:t>
      </w:r>
      <w:r>
        <w:rPr>
          <w:rStyle w:val="FootnoteAnchor"/>
          <w:rtl w:val="true"/>
        </w:rPr>
        <w:footnoteReference w:id="2265"/>
      </w:r>
      <w:r>
        <w:rPr>
          <w:rFonts w:ascii="Amiri" w:hAnsi="Amiri" w:eastAsia="Amiri" w:cs="Amiri"/>
          <w:color w:val="111111"/>
          <w:sz w:val="28"/>
          <w:sz w:val="28"/>
          <w:szCs w:val="28"/>
          <w:rtl w:val="true"/>
          <w:lang w:bidi="ar-SA"/>
        </w:rPr>
        <w:t>به، ولفتوى الأصحاب، وللتيمّن والتبرّك، ودفع الضرر ببركات المكتوب، فهو جلب نفع أُخرويّ من دون احتمال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يقال من أنّ الأسماء الشريفة لو وُضعت في الكفن ولاقاها صديد ابن آدم وقذاراته كان ممّا ينافي احترامها، مردود بأنّ الاستعمال للتوقّي عن الضرر يرفع قبح الإهانة ويصيّرها في جانب التعظيم لا الإهانة، على أنّه بعد ورود جواز كتابة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الأخبار</w:t>
      </w:r>
      <w:r>
        <w:rPr>
          <w:rStyle w:val="FootnoteAnchor"/>
          <w:rtl w:val="true"/>
        </w:rPr>
        <w:footnoteReference w:id="2266"/>
      </w:r>
      <w:r>
        <w:rPr>
          <w:rFonts w:ascii="Amiri" w:hAnsi="Amiri" w:eastAsia="Amiri" w:cs="Amiri"/>
          <w:color w:val="111111"/>
          <w:sz w:val="28"/>
          <w:sz w:val="28"/>
          <w:szCs w:val="28"/>
          <w:rtl w:val="true"/>
          <w:lang w:bidi="ar-SA"/>
        </w:rPr>
        <w:t xml:space="preserve">وفتوى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للتوقّف فيما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يوضع على فرجه قُبُلاً و دُبُراً بين أليتيه قطن؛ للأخبار</w:t>
      </w:r>
      <w:r>
        <w:rPr>
          <w:rStyle w:val="FootnoteAnchor"/>
          <w:rtl w:val="true"/>
        </w:rPr>
        <w:footnoteReference w:id="2267"/>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أن توضع معه جريدتان ؛ للإجماع والأخبار</w:t>
      </w:r>
      <w:r>
        <w:rPr>
          <w:rStyle w:val="FootnoteAnchor"/>
          <w:rtl w:val="true"/>
        </w:rPr>
        <w:footnoteReference w:id="2268"/>
      </w:r>
      <w:r>
        <w:rPr>
          <w:rFonts w:ascii="Amiri" w:hAnsi="Amiri" w:eastAsia="Amiri" w:cs="Amiri"/>
          <w:color w:val="111111"/>
          <w:sz w:val="28"/>
          <w:sz w:val="28"/>
          <w:szCs w:val="28"/>
          <w:rtl w:val="true"/>
          <w:lang w:bidi="ar-SA"/>
        </w:rPr>
        <w:t xml:space="preserve">، خضراوتان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الخبر</w:t>
      </w:r>
      <w:r>
        <w:rPr>
          <w:rStyle w:val="FootnoteAnchor"/>
          <w:rtl w:val="true"/>
        </w:rPr>
        <w:footnoteReference w:id="2269"/>
      </w:r>
      <w:r>
        <w:rPr>
          <w:rFonts w:ascii="Amiri" w:hAnsi="Amiri" w:eastAsia="Amiri" w:cs="Amiri"/>
          <w:color w:val="111111"/>
          <w:sz w:val="28"/>
          <w:sz w:val="28"/>
          <w:szCs w:val="28"/>
          <w:rtl w:val="true"/>
          <w:lang w:bidi="ar-SA"/>
        </w:rPr>
        <w:t xml:space="preserve">، وفتوى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كلّ واحدٍ منهما قدر عظم ذراع؛ للخبر</w:t>
      </w:r>
      <w:r>
        <w:rPr>
          <w:rStyle w:val="FootnoteAnchor"/>
          <w:rtl w:val="true"/>
        </w:rPr>
        <w:footnoteReference w:id="2270"/>
      </w:r>
      <w:r>
        <w:rPr>
          <w:rFonts w:ascii="Amiri" w:hAnsi="Amiri" w:eastAsia="Amiri" w:cs="Amiri"/>
          <w:color w:val="111111"/>
          <w:sz w:val="28"/>
          <w:sz w:val="28"/>
          <w:szCs w:val="28"/>
          <w:rtl w:val="true"/>
          <w:lang w:bidi="ar-SA"/>
        </w:rPr>
        <w:t>، والفتوى، و إلّا فقدر شبر؛ للصحيح</w:t>
      </w:r>
      <w:r>
        <w:rPr>
          <w:rStyle w:val="FootnoteAnchor"/>
          <w:rtl w:val="true"/>
        </w:rPr>
        <w:footnoteReference w:id="2271"/>
      </w:r>
      <w:r>
        <w:rPr>
          <w:rFonts w:ascii="Amiri" w:hAnsi="Amiri" w:eastAsia="Amiri" w:cs="Amiri"/>
          <w:color w:val="111111"/>
          <w:sz w:val="28"/>
          <w:sz w:val="28"/>
          <w:szCs w:val="28"/>
          <w:rtl w:val="true"/>
          <w:lang w:bidi="ar-SA"/>
        </w:rPr>
        <w:t>، توضع إحداهما من ترقوة جانبه الأيسر بين قميصه وإزاره، والأُخرى مع ترقوة جانبه الأيمن يلصقها بجلده؛ للرواية</w:t>
      </w:r>
      <w:r>
        <w:rPr>
          <w:rStyle w:val="FootnoteAnchor"/>
          <w:rtl w:val="true"/>
        </w:rPr>
        <w:footnoteReference w:id="2272"/>
      </w:r>
      <w:r>
        <w:rPr>
          <w:rFonts w:ascii="Amiri" w:hAnsi="Amiri" w:eastAsia="Amiri" w:cs="Amiri"/>
          <w:color w:val="111111"/>
          <w:sz w:val="28"/>
          <w:sz w:val="28"/>
          <w:szCs w:val="28"/>
          <w:rtl w:val="true"/>
          <w:lang w:bidi="ar-SA"/>
        </w:rPr>
        <w:t xml:space="preserve">، وفتوى جملة من الأصحاب </w:t>
      </w:r>
      <w:r>
        <w:rPr>
          <w:rStyle w:val="FootnoteAnchor"/>
          <w:rtl w:val="true"/>
        </w:rPr>
        <w:footnoteReference w:id="2273"/>
      </w:r>
      <w:r>
        <w:rPr>
          <w:rFonts w:ascii="IRNazanin" w:hAnsi="IRNazanin" w:eastAsia="IRNazanin"/>
          <w:color w:val="111111"/>
          <w:sz w:val="28"/>
          <w:sz w:val="28"/>
          <w:szCs w:val="28"/>
          <w:rtl w:val="true"/>
          <w:lang w:bidi="fa-IR"/>
        </w:rPr>
        <w:t>، بل نُسب للمشهور</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لها في الأخبار</w:t>
      </w:r>
      <w:r>
        <w:rPr>
          <w:rStyle w:val="FootnoteAnchor"/>
          <w:rtl w:val="true"/>
        </w:rPr>
        <w:footnoteReference w:id="2275"/>
      </w:r>
      <w:r>
        <w:rPr>
          <w:rFonts w:ascii="Amiri" w:hAnsi="Amiri" w:eastAsia="Amiri" w:cs="Amiri"/>
          <w:color w:val="111111"/>
          <w:sz w:val="28"/>
          <w:sz w:val="28"/>
          <w:szCs w:val="28"/>
          <w:rtl w:val="true"/>
          <w:lang w:bidi="ar-SA"/>
        </w:rPr>
        <w:t>، وفتاوى الأصحاب هيئات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جوازها، إلّا أنّ ما ذكرناه أولى لفتوى المشهور وعملهم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تكونا من جريد النخل، فإن فقد فمن السدر، فإن فقد فمن الخلاف، فإن فقد فمن غيره من الشجر الرطب؛ كلّ ذلك للأخبار</w:t>
      </w:r>
      <w:r>
        <w:rPr>
          <w:rStyle w:val="FootnoteAnchor"/>
          <w:rtl w:val="true"/>
        </w:rPr>
        <w:footnoteReference w:id="2276"/>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بلّ خيوط الكفن ووضع أكمامٍ للقميص المستجدّ، وأن يُكفّن بالكتّان، وأن يُكفّن بالسواد ؛ كلّ ذلك للأخبار</w:t>
      </w:r>
      <w:r>
        <w:rPr>
          <w:rStyle w:val="FootnoteAnchor"/>
          <w:rtl w:val="true"/>
        </w:rPr>
        <w:footnoteReference w:id="2277"/>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 xml:space="preserve">. </w:t>
      </w:r>
      <w:bookmarkStart w:id="1077" w:name="pg18988_203581"/>
    </w:p>
    <w:p>
      <w:pPr>
        <w:pStyle w:val="Heading3"/>
        <w:numPr>
          <w:ilvl w:val="2"/>
          <w:numId w:val="1"/>
        </w:numPr>
        <w:rPr/>
      </w:pPr>
      <w:bookmarkStart w:id="1078" w:name="__RefHeading___Toc13198177_1280447820"/>
      <w:bookmarkStart w:id="1079" w:name="_Toc415"/>
      <w:bookmarkEnd w:id="1077"/>
      <w:bookmarkEnd w:id="1078"/>
      <w:r>
        <w:rPr>
          <w:rtl w:val="true"/>
        </w:rPr>
        <w:t>القول في الدفن</w:t>
      </w:r>
      <w:bookmarkEnd w:id="1079"/>
    </w:p>
    <w:p>
      <w:pPr>
        <w:pStyle w:val="Heading4"/>
        <w:numPr>
          <w:ilvl w:val="3"/>
          <w:numId w:val="1"/>
        </w:numPr>
        <w:rPr/>
      </w:pPr>
      <w:bookmarkStart w:id="1080" w:name="__RefHeading___Toc13198179_1280447820"/>
      <w:bookmarkStart w:id="1081" w:name="_Toc416"/>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وهو واجب إجماعاً من المسلمين والمراد به مجرّد وقوعه في الخارج كيف اتّفق، وحقيقته الشرعيّة أو العرفيّة المشروطة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المواراة في الأرض بحيث تحرس جثّته من السباع ورائحته عن الانتشار</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3198181_1280447820"/>
      <w:bookmarkStart w:id="1083" w:name="_Toc417"/>
      <w:bookmarkEnd w:id="1082"/>
      <w:r>
        <w:rPr>
          <w:rtl w:val="true"/>
        </w:rPr>
        <w:t>وفيه أُمور</w:t>
      </w:r>
      <w:r>
        <w:rPr>
          <w:rtl w:val="true"/>
        </w:rPr>
        <w:t>:</w:t>
      </w:r>
      <w:bookmarkEnd w:id="1083"/>
    </w:p>
    <w:p>
      <w:pPr>
        <w:pStyle w:val="Heading4"/>
        <w:numPr>
          <w:ilvl w:val="3"/>
          <w:numId w:val="1"/>
        </w:numPr>
        <w:rPr/>
      </w:pPr>
      <w:bookmarkStart w:id="1084" w:name="__RefHeading___Toc13198183_1280447820"/>
      <w:bookmarkStart w:id="1085" w:name="_Toc418"/>
      <w:bookmarkEnd w:id="1084"/>
      <w:r>
        <w:rPr>
          <w:rtl w:val="true"/>
        </w:rPr>
        <w:t>أحدها</w:t>
      </w:r>
      <w:r>
        <w:rPr>
          <w:rtl w:val="true"/>
        </w:rPr>
        <w:t xml:space="preserve">: </w:t>
      </w:r>
      <w:r>
        <w:rPr>
          <w:rtl w:val="true"/>
        </w:rPr>
        <w:t>وجوب مواراة الميّت المسلم ومَنْ بحكمه في الأرض</w:t>
      </w:r>
      <w:bookmarkEnd w:id="1085"/>
    </w:p>
    <w:p>
      <w:pPr>
        <w:pStyle w:val="BookText"/>
        <w:rPr/>
      </w:pPr>
      <w:r>
        <w:rPr>
          <w:rFonts w:ascii="IRNazanin" w:hAnsi="IRNazanin" w:eastAsia="IRNazanin"/>
          <w:color w:val="111111"/>
          <w:sz w:val="28"/>
          <w:sz w:val="28"/>
          <w:szCs w:val="28"/>
          <w:rtl w:val="true"/>
          <w:lang w:bidi="fa-IR"/>
        </w:rPr>
        <w:t>یجب مواراة الميّت المسلم ومَنْ بحكمه في الأرض على الكيفيّة المعهودة بحيث يحفظ جسمه من السباع المعتادة، ورائحته من الانتشار على النحو المعهود، ولا عبرة ببعض السباع التي لا يحفظ منها إلّا القدر العميق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علم ذلك من حيوان خاصّ، فلا يبعد وجوب حفظه، كما لا عبرة بظهور بعض الرائحة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الوصفين متلازمان غالباً، ولا يكفي أحدهما عن الآخَر، ويدلّ على اشتراطهما الإجماع، وبعض الأخبار</w:t>
      </w:r>
      <w:r>
        <w:rPr>
          <w:rStyle w:val="FootnoteAnchor"/>
          <w:rtl w:val="true"/>
        </w:rPr>
        <w:footnoteReference w:id="2278"/>
      </w:r>
      <w:r>
        <w:rPr>
          <w:rFonts w:ascii="Amiri" w:hAnsi="Amiri" w:eastAsia="Amiri" w:cs="Amiri"/>
          <w:color w:val="111111"/>
          <w:sz w:val="28"/>
          <w:sz w:val="28"/>
          <w:szCs w:val="28"/>
          <w:rtl w:val="true"/>
          <w:lang w:bidi="ar-SA"/>
        </w:rPr>
        <w:t xml:space="preserve">، وكونه المعهود من فعل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حصول الوصفين من دون صدق الدفن عرفاً، كوضعه في بناء أو تابوت أو بيت وحجرة ضيّقة، أو غير ذلك؛ للإجماع والتأسّي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يجزئ وضعه في سرداب مبنيّ بابه أو شبه ذلك؛ لعدم صدق الدفن والإقبار، بل الظاهر وجوب صدق الدفن في القبر عرفاً، فلا يجزئ ما لم يسم بذلك، كالموضوع عليه تراب كثيراً أو حائط ينهدم عليه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3198185_1280447820"/>
      <w:bookmarkStart w:id="1087" w:name="_Toc419"/>
      <w:bookmarkEnd w:id="1086"/>
      <w:r>
        <w:rPr>
          <w:rtl w:val="true"/>
        </w:rPr>
        <w:t>ثانيها</w:t>
      </w:r>
      <w:r>
        <w:rPr>
          <w:rtl w:val="true"/>
        </w:rPr>
        <w:t xml:space="preserve">: </w:t>
      </w:r>
      <w:r>
        <w:rPr>
          <w:rtl w:val="true"/>
        </w:rPr>
        <w:t>وجوب الاستقبال به إلى القبلة</w:t>
      </w:r>
      <w:bookmarkEnd w:id="1087"/>
    </w:p>
    <w:p>
      <w:pPr>
        <w:pStyle w:val="BookText"/>
        <w:rPr/>
      </w:pPr>
      <w:r>
        <w:rPr>
          <w:rFonts w:ascii="IRNazanin" w:hAnsi="IRNazanin" w:eastAsia="IRNazanin"/>
          <w:color w:val="111111"/>
          <w:sz w:val="28"/>
          <w:sz w:val="28"/>
          <w:szCs w:val="28"/>
          <w:rtl w:val="true"/>
          <w:lang w:bidi="fa-IR"/>
        </w:rPr>
        <w:t>یجب الاستقبال به إلى القبلة بأن يضجع على الجانب الأيمن ويستقبل بمقاديمه القبلة؛ للتأسّي، والأخبار</w:t>
      </w:r>
      <w:r>
        <w:rPr>
          <w:rStyle w:val="FootnoteAnchor"/>
          <w:rtl w:val="true"/>
        </w:rPr>
        <w:footnoteReference w:id="2279"/>
      </w:r>
      <w:r>
        <w:rPr>
          <w:rFonts w:ascii="IRNazanin" w:hAnsi="IRNazanin" w:eastAsia="IRNazanin"/>
          <w:color w:val="111111"/>
          <w:sz w:val="28"/>
          <w:sz w:val="28"/>
          <w:szCs w:val="28"/>
          <w:rtl w:val="true"/>
          <w:lang w:bidi="fa-IR"/>
        </w:rPr>
        <w:t>، والإجماع المنقول</w:t>
      </w:r>
      <w:r>
        <w:rPr>
          <w:rStyle w:val="FootnoteAnchor"/>
          <w:rtl w:val="true"/>
        </w:rPr>
        <w:footnoteReference w:id="2280"/>
      </w:r>
      <w:r>
        <w:rPr>
          <w:rFonts w:ascii="Amiri" w:hAnsi="Amiri" w:eastAsia="Amiri" w:cs="Amiri"/>
          <w:color w:val="111111"/>
          <w:sz w:val="28"/>
          <w:sz w:val="28"/>
          <w:szCs w:val="28"/>
          <w:rtl w:val="true"/>
          <w:lang w:bidi="ar-SA"/>
        </w:rPr>
        <w:t>، وفتوى الفحول، وما دلّ على الاستقبال بالميّت مطلقاً</w:t>
      </w:r>
      <w:r>
        <w:rPr>
          <w:rStyle w:val="FootnoteAnchor"/>
          <w:rtl w:val="true"/>
        </w:rPr>
        <w:footnoteReference w:id="2281"/>
      </w:r>
      <w:r>
        <w:rPr>
          <w:rFonts w:ascii="Amiri" w:hAnsi="Amiri" w:eastAsia="Amiri" w:cs="Amiri"/>
          <w:color w:val="111111"/>
          <w:sz w:val="28"/>
          <w:sz w:val="28"/>
          <w:szCs w:val="28"/>
          <w:rtl w:val="true"/>
          <w:lang w:bidi="ar-SA"/>
        </w:rPr>
        <w:t>يدلّ على ذلك أيضاً</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3198187_1280447820"/>
      <w:bookmarkStart w:id="1089" w:name="_Toc420"/>
      <w:bookmarkEnd w:id="1088"/>
      <w:r>
        <w:rPr>
          <w:rtl w:val="true"/>
        </w:rPr>
        <w:t>ثالثها</w:t>
      </w:r>
      <w:r>
        <w:rPr>
          <w:rtl w:val="true"/>
        </w:rPr>
        <w:t xml:space="preserve">: </w:t>
      </w:r>
      <w:r>
        <w:rPr>
          <w:rtl w:val="true"/>
        </w:rPr>
        <w:t>سقوط وجوب الإقبار عند التعذّر</w:t>
      </w:r>
      <w:bookmarkEnd w:id="108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يسقط وجوب الإقبار عند التعذّر، فيؤخذ بما هو الأقرب فالأقرب إلى الهيئة المعهودة؛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2282"/>
      </w:r>
      <w:r>
        <w:rPr>
          <w:rFonts w:ascii="Amiri" w:hAnsi="Amiri" w:eastAsia="Amiri" w:cs="Amiri"/>
          <w:color w:val="111111"/>
          <w:sz w:val="28"/>
          <w:sz w:val="28"/>
          <w:szCs w:val="28"/>
          <w:rtl w:val="true"/>
          <w:lang w:bidi="ar-SA"/>
        </w:rPr>
        <w:t>، ولأنّ المقصود مواراته مهما أمكن</w:t>
      </w:r>
      <w:r>
        <w:rPr>
          <w:rFonts w:eastAsia="Amiri" w:cs="Amiri" w:ascii="Amiri" w:hAnsi="Amiri"/>
          <w:color w:val="111111"/>
          <w:sz w:val="28"/>
          <w:szCs w:val="28"/>
          <w:rtl w:val="true"/>
          <w:lang w:bidi="ar-SA"/>
        </w:rPr>
        <w:t xml:space="preserve">. </w:t>
      </w:r>
      <w:bookmarkStart w:id="1090" w:name="pg18988_203582"/>
    </w:p>
    <w:p>
      <w:pPr>
        <w:pStyle w:val="Heading4"/>
        <w:numPr>
          <w:ilvl w:val="3"/>
          <w:numId w:val="1"/>
        </w:numPr>
        <w:rPr/>
      </w:pPr>
      <w:bookmarkStart w:id="1091" w:name="__RefHeading___Toc13198189_1280447820"/>
      <w:bookmarkStart w:id="1092" w:name="_Toc421"/>
      <w:bookmarkEnd w:id="1090"/>
      <w:bookmarkEnd w:id="1091"/>
      <w:r>
        <w:rPr>
          <w:rtl w:val="true"/>
        </w:rPr>
        <w:t>رابعها</w:t>
      </w:r>
      <w:r>
        <w:rPr>
          <w:rtl w:val="true"/>
        </w:rPr>
        <w:t xml:space="preserve">: </w:t>
      </w:r>
      <w:r>
        <w:rPr>
          <w:rtl w:val="true"/>
        </w:rPr>
        <w:t>حکم مَنْ مات في البحر</w:t>
      </w:r>
      <w:bookmarkEnd w:id="1092"/>
    </w:p>
    <w:p>
      <w:pPr>
        <w:pStyle w:val="BookText"/>
        <w:rPr/>
      </w:pPr>
      <w:r>
        <w:rPr>
          <w:rFonts w:ascii="Amiri" w:hAnsi="Amiri" w:eastAsia="Amiri" w:cs="Amiri"/>
          <w:color w:val="111111"/>
          <w:sz w:val="28"/>
          <w:sz w:val="28"/>
          <w:szCs w:val="28"/>
          <w:rtl w:val="true"/>
          <w:lang w:bidi="ar-SA"/>
        </w:rPr>
        <w:t>مَنْ مات في البحر وأمكن دفنه خارجه، وجب؛ للقواعد المقرّرة، و إلّا ثُقِّل و طُرح في الماء، كما دلّت عليه الأخبار</w:t>
      </w:r>
      <w:r>
        <w:rPr>
          <w:rStyle w:val="FootnoteAnchor"/>
          <w:rtl w:val="true"/>
        </w:rPr>
        <w:footnoteReference w:id="2283"/>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البحر وغيره من المياه؛ للمساواة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الاستقبال به عند طرحه ؟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والأحوط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وضعه في وعاء أو خابية ويرمى مستقبل القبلة، جاز قطعاً؛ للصحيح</w:t>
      </w:r>
      <w:r>
        <w:rPr>
          <w:rStyle w:val="FootnoteAnchor"/>
          <w:rtl w:val="true"/>
        </w:rPr>
        <w:footnoteReference w:id="2284"/>
      </w:r>
      <w:r>
        <w:rPr>
          <w:rFonts w:ascii="Amiri" w:hAnsi="Amiri" w:eastAsia="Amiri" w:cs="Amiri"/>
          <w:color w:val="111111"/>
          <w:sz w:val="28"/>
          <w:sz w:val="28"/>
          <w:szCs w:val="28"/>
          <w:rtl w:val="true"/>
          <w:lang w:bidi="ar-SA"/>
        </w:rPr>
        <w:t>الدالّ على ذلك، وفتوى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أو لا؛ لأقربيّته لهيئة الدفن وهيئة المستقبل، ولزيادة صيانته عن الحيوانات وعن هتك حرمته؟ مقتضى القواعد وجوبه تعيّناً، فيُقدّم على وضعه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وُضع كما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مشهور الأصحاب على التخيير جمعاً بين الروايات، فاتّباعهم أقوى، والترتيب أحوط</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3198191_1280447820"/>
      <w:bookmarkStart w:id="1094" w:name="_Toc422"/>
      <w:bookmarkEnd w:id="1093"/>
      <w:r>
        <w:rPr>
          <w:rtl w:val="true"/>
        </w:rPr>
        <w:t>خامسها</w:t>
      </w:r>
      <w:r>
        <w:rPr>
          <w:rtl w:val="true"/>
        </w:rPr>
        <w:t xml:space="preserve">: </w:t>
      </w:r>
      <w:r>
        <w:rPr>
          <w:rtl w:val="true"/>
        </w:rPr>
        <w:t>دفن الذمّيّة الحاملة من مسلمٍ بنكاحٍ صحيح إذا ماتت ومات الذي في بطنها في مقابر المسلمين</w:t>
      </w:r>
      <w:bookmarkEnd w:id="1094"/>
    </w:p>
    <w:p>
      <w:pPr>
        <w:pStyle w:val="BookText"/>
        <w:rPr/>
      </w:pPr>
      <w:r>
        <w:rPr>
          <w:rFonts w:ascii="Amiri" w:hAnsi="Amiri" w:eastAsia="Amiri" w:cs="Amiri"/>
          <w:color w:val="111111"/>
          <w:sz w:val="28"/>
          <w:sz w:val="28"/>
          <w:szCs w:val="28"/>
          <w:rtl w:val="true"/>
          <w:lang w:bidi="ar-SA"/>
        </w:rPr>
        <w:t>الذمّيّة الحاملة من مسلمٍ بنكاحٍ صحيح إذا ماتت ومات الذي في بطنها، دُفنت في مقابر المسلمين؛ احتراماً للمسلم، وللإجماع المنقول</w:t>
      </w:r>
      <w:r>
        <w:rPr>
          <w:rStyle w:val="FootnoteAnchor"/>
          <w:rtl w:val="true"/>
        </w:rPr>
        <w:footnoteReference w:id="2285"/>
      </w:r>
      <w:r>
        <w:rPr>
          <w:rFonts w:ascii="Amiri" w:hAnsi="Amiri" w:eastAsia="Amiri" w:cs="Amiri"/>
          <w:color w:val="111111"/>
          <w:sz w:val="28"/>
          <w:sz w:val="28"/>
          <w:szCs w:val="28"/>
          <w:rtl w:val="true"/>
          <w:lang w:bidi="ar-SA"/>
        </w:rPr>
        <w:t>، وفتوى الفحول، ولخبر أحمد بن أشيم، الأمر بدفنه معها</w:t>
      </w:r>
      <w:r>
        <w:rPr>
          <w:rStyle w:val="FootnoteAnchor"/>
          <w:rtl w:val="true"/>
        </w:rPr>
        <w:footnoteReference w:id="2286"/>
      </w:r>
      <w:r>
        <w:rPr>
          <w:rFonts w:ascii="Amiri" w:hAnsi="Amiri" w:eastAsia="Amiri" w:cs="Amiri"/>
          <w:color w:val="111111"/>
          <w:sz w:val="28"/>
          <w:sz w:val="28"/>
          <w:szCs w:val="28"/>
          <w:rtl w:val="true"/>
          <w:lang w:bidi="ar-SA"/>
        </w:rPr>
        <w:t>، والظاهر أنّ الدفن بمقابر المسلمين وإن لم يصرّح فيه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بشقّ بطنها وإخراجه ودفنه في مقابر المسلمين دونها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 الخبر</w:t>
      </w:r>
      <w:r>
        <w:rPr>
          <w:rStyle w:val="FootnoteAnchor"/>
          <w:rtl w:val="true"/>
        </w:rPr>
        <w:footnoteReference w:id="2288"/>
      </w:r>
      <w:r>
        <w:rPr>
          <w:rFonts w:ascii="Amiri" w:hAnsi="Amiri" w:eastAsia="Amiri" w:cs="Amiri"/>
          <w:color w:val="111111"/>
          <w:sz w:val="28"/>
          <w:sz w:val="28"/>
          <w:szCs w:val="28"/>
          <w:rtl w:val="true"/>
          <w:lang w:bidi="ar-SA"/>
        </w:rPr>
        <w:t>المعتبر بفتوى الأصحاب، وأنّه قد يكون هتكاً لحرمة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موتها قبل ولوج الروح في الولد وبعده؛ عملاً بإطلاق النصّ والفتوى</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إلحاق المتولّد من زنى بمن تولّد بنكاحٍ صحيح؛ عملاً بإطلاق الإجماع، وكثير من الفتوى، وبقاء احترامه للإسلام، لا للتبعيّة؛ لأنّ ولد الزنى لا يتبع أبويه، بل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bookmarkStart w:id="1095" w:name="pg18988_203583"/>
    </w:p>
    <w:p>
      <w:pPr>
        <w:pStyle w:val="BookText"/>
        <w:rPr/>
      </w:pPr>
      <w:bookmarkEnd w:id="1095"/>
      <w:r>
        <w:rPr>
          <w:rFonts w:ascii="Amiri" w:hAnsi="Amiri" w:eastAsia="Amiri" w:cs="Amiri"/>
          <w:color w:val="111111"/>
          <w:sz w:val="28"/>
          <w:sz w:val="28"/>
          <w:szCs w:val="28"/>
          <w:rtl w:val="true"/>
          <w:lang w:bidi="ar-SA"/>
        </w:rPr>
        <w:t>وهل يلحق غير الذمّيّة بها؛ لاحترام الولد والتساوي في الكفر بعد الموت، أو لا يلحق؛ للأصل واختصاص الخبر</w:t>
      </w:r>
      <w:r>
        <w:rPr>
          <w:rStyle w:val="FootnoteAnchor"/>
          <w:rtl w:val="true"/>
        </w:rPr>
        <w:footnoteReference w:id="2290"/>
      </w:r>
      <w:r>
        <w:rPr>
          <w:rFonts w:ascii="Amiri" w:hAnsi="Amiri" w:eastAsia="Amiri" w:cs="Amiri"/>
          <w:color w:val="111111"/>
          <w:sz w:val="28"/>
          <w:sz w:val="28"/>
          <w:szCs w:val="28"/>
          <w:rtl w:val="true"/>
          <w:lang w:bidi="ar-SA"/>
        </w:rPr>
        <w:t>والكثير من الفتوى بها ، فيشقّ بطن غير الذمّيّة و يخرج الولد؟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دُفنت الذمّيّة يجب الاستدبار بها للقبلة على جانبها الأيسر يستقبل بالولد على جانبه الأيمن؛ لأنّ وجهه لظهرها، والظاهر اتّفاق الأصحاب عليه، والاحتياط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دفن غير ما ذكرناه من الكفّار في مقابر المسلمين؛ لتأذّيهم منه، ولفتوى الأصحاب و الإجماع المنقول</w:t>
      </w:r>
      <w:r>
        <w:rPr>
          <w:rStyle w:val="FootnoteAnchor"/>
          <w:rtl w:val="true"/>
        </w:rPr>
        <w:footnoteReference w:id="2291"/>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دُفن جاز نبشه، بل ربّما يجب على الدافن، والأحوط وجوبه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إجراء الحكم لغير الإمامية مع الإماميّة؛ للمشاركة في الحكم مع عدم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اختلط الكفّار في المسلمين وجب دفنهم في مقابر المسلمين؛ لأهميّة احترام المسلم من خشية ضرر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بوجوب دفنهم في مقبرة ثالثة لم تُنسب لأحدٍ منهم</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13198193_1280447820"/>
      <w:bookmarkStart w:id="1097" w:name="_Toc423"/>
      <w:bookmarkEnd w:id="1096"/>
      <w:r>
        <w:rPr>
          <w:rtl w:val="true"/>
        </w:rPr>
        <w:t>القول في مسائل متفرّقة</w:t>
      </w:r>
      <w:bookmarkEnd w:id="1097"/>
    </w:p>
    <w:p>
      <w:pPr>
        <w:pStyle w:val="Heading4"/>
        <w:numPr>
          <w:ilvl w:val="3"/>
          <w:numId w:val="1"/>
        </w:numPr>
        <w:rPr/>
      </w:pPr>
      <w:bookmarkStart w:id="1098" w:name="__RefHeading___Toc13198195_1280447820"/>
      <w:bookmarkStart w:id="1099" w:name="_Toc424"/>
      <w:bookmarkEnd w:id="1098"/>
      <w:r>
        <w:rPr>
          <w:rtl w:val="true"/>
        </w:rPr>
        <w:t>المسألة الأولى</w:t>
      </w:r>
      <w:r>
        <w:rPr>
          <w:rtl w:val="true"/>
        </w:rPr>
        <w:t xml:space="preserve">: </w:t>
      </w:r>
      <w:r>
        <w:rPr>
          <w:rtl w:val="true"/>
        </w:rPr>
        <w:t>فی أنّ الواجب على المسلمين وعلى الوليّ من الأمور المتعلقة بالميّت هو نفس الفعل لا بذل المال له</w:t>
      </w:r>
      <w:bookmarkEnd w:id="1099"/>
    </w:p>
    <w:p>
      <w:pPr>
        <w:pStyle w:val="BookText"/>
        <w:rPr/>
      </w:pPr>
      <w:r>
        <w:rPr>
          <w:rFonts w:ascii="Amiri" w:hAnsi="Amiri" w:eastAsia="Amiri" w:cs="Amiri"/>
          <w:color w:val="111111"/>
          <w:sz w:val="28"/>
          <w:sz w:val="28"/>
          <w:szCs w:val="28"/>
          <w:rtl w:val="true"/>
          <w:lang w:bidi="ar-SA"/>
        </w:rPr>
        <w:t>الواجب على المسلمين وعلى الوليّ من الأمور المتعلقة بالميّت هو نفس الفعل، لا بذل المال له من ماء غسل أو خليط أو حنوط أو كفن أو أرض دفن أو آلته من مندوب أو مفروض، أضرّ بالحال بذله أم لم يضرّ؛ للأصل، وفتوى الأصحاب، ومنقول الإجماع في الكفن</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فارق بين الكفن وغيره</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3198197_1280447820"/>
      <w:bookmarkStart w:id="1101" w:name="_Toc425"/>
      <w:bookmarkEnd w:id="1100"/>
      <w:r>
        <w:rPr>
          <w:rtl w:val="true"/>
        </w:rPr>
        <w:t>المسألة الثانية</w:t>
      </w:r>
      <w:r>
        <w:rPr>
          <w:rtl w:val="true"/>
        </w:rPr>
        <w:t xml:space="preserve">: </w:t>
      </w:r>
      <w:r>
        <w:rPr>
          <w:rtl w:val="true"/>
        </w:rPr>
        <w:t>خروج الكفن من صلب مال الميّت مقدّماً على الميراث والوصيّة والدَّيْن</w:t>
      </w:r>
      <w:bookmarkEnd w:id="1101"/>
    </w:p>
    <w:p>
      <w:pPr>
        <w:pStyle w:val="BookText"/>
        <w:rPr/>
      </w:pPr>
      <w:r>
        <w:rPr>
          <w:rFonts w:ascii="Amiri" w:hAnsi="Amiri" w:eastAsia="Amiri" w:cs="Amiri"/>
          <w:color w:val="111111"/>
          <w:sz w:val="28"/>
          <w:sz w:val="28"/>
          <w:szCs w:val="28"/>
          <w:rtl w:val="true"/>
          <w:lang w:bidi="ar-SA"/>
        </w:rPr>
        <w:t>يخرج الكفن من صلب مال الميّت مقدّماً على الميراث والوصيّة والدَّيْن؛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مات وعليه دَيْن بقدر ثمن كفنه؟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ما ترك في ثمن كفنه</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w:t>
      </w:r>
      <w:r>
        <w:rPr>
          <w:rFonts w:eastAsia="Amiri" w:cs="Amiri" w:ascii="Amiri" w:hAnsi="Amiri"/>
          <w:color w:val="111111"/>
          <w:sz w:val="28"/>
          <w:szCs w:val="28"/>
          <w:rtl w:val="true"/>
          <w:lang w:bidi="ar-SA"/>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bookmarkStart w:id="1102" w:name="pg18988_203584"/>
    </w:p>
    <w:p>
      <w:pPr>
        <w:pStyle w:val="BookText"/>
        <w:rPr/>
      </w:pPr>
      <w:bookmarkEnd w:id="1102"/>
      <w:r>
        <w:rPr>
          <w:rFonts w:ascii="Amiri" w:hAnsi="Amiri" w:eastAsia="Amiri" w:cs="Amiri"/>
          <w:color w:val="111111"/>
          <w:sz w:val="28"/>
          <w:sz w:val="28"/>
          <w:szCs w:val="28"/>
          <w:rtl w:val="true"/>
          <w:lang w:bidi="ar-SA"/>
        </w:rPr>
        <w:t>ولو لم يكن له مال يفي بالكلّ وجب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غير الكفن حكم الكفن في وجوب إخراجه من صلب المال مقدّماً على غيره حتّى أرض الدفن لو لم يتيسّر مكان مباح من مقبرة ونحوها؛ لتنقيح المناط بل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 مال دُفن عارياً، كما إذا لم يكن له ماء وحنوط وأرض للدفن، فإنّه لا يجب على الناس بذل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نقله إلى أرض يمكن دفنه فيها بثمن لا يضرّ بالحال إذا تعذّرت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تقديم الكفن على الدَّيْن بين كونه موجوداً فيكون كثوب المفلس، وبين ما لم يكن موجوداً فتؤخذ قيمته؛ لإطلاق النصّ والفتوى ولا بين كون الدَّيْن قرضاً أو غصباً أو ديةً أو جنايةً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كفنه مرهوناً في حياته، أو كان قيمة الكفن من ماله كذلك، أو كان ميراثه عبداً تعلّقت برقبته جناية قبل موته أو بعده، أو كان ماله محجّراً عليه في حياته لفلسه، ففي تقديم الكفن عليه إشكال؛ لعدم انصراف الأخبار لما ذكرنا، فيبقى عموم الأدلّة الدالّة على إثبات أحقّيّة تلك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تكفين مَنْ لم يكن له مال وسائر تجهيزه من الزكاة ولو بدون إذن الحاكم؛ للخبر الدالّ على ذلك المعلّل بأنّ حرمته ميّتاً كحرمته حيّاً</w:t>
      </w:r>
      <w:r>
        <w:rPr>
          <w:rStyle w:val="FootnoteAnchor"/>
          <w:rtl w:val="true"/>
        </w:rPr>
        <w:footnoteReference w:id="2295"/>
      </w:r>
      <w:r>
        <w:rPr>
          <w:rFonts w:ascii="Amiri" w:hAnsi="Amiri" w:eastAsia="Amiri" w:cs="Amiri"/>
          <w:color w:val="111111"/>
          <w:sz w:val="28"/>
          <w:sz w:val="28"/>
          <w:szCs w:val="28"/>
          <w:rtl w:val="true"/>
          <w:lang w:bidi="ar-SA"/>
        </w:rPr>
        <w:t>، والظاهر أنّ الخبر لبيان الحكم لا للرخصة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ينويه من سهم الفقراء أو من سهم في سبيل الله ؟ لا يبعد الأول، والأحوط الثاني</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3198199_1280447820"/>
      <w:bookmarkStart w:id="1104" w:name="_Toc426"/>
      <w:bookmarkEnd w:id="1103"/>
      <w:r>
        <w:rPr>
          <w:rtl w:val="true"/>
        </w:rPr>
        <w:t>المسألة الثالثة</w:t>
      </w:r>
      <w:r>
        <w:rPr>
          <w:rtl w:val="true"/>
        </w:rPr>
        <w:t>:</w:t>
      </w:r>
      <w:r>
        <w:rPr>
          <w:rtl w:val="true"/>
        </w:rPr>
        <w:t>كفن العبد على مولاه</w:t>
      </w:r>
      <w:bookmarkEnd w:id="1104"/>
    </w:p>
    <w:p>
      <w:pPr>
        <w:pStyle w:val="BookText"/>
        <w:rPr/>
      </w:pPr>
      <w:r>
        <w:rPr>
          <w:rFonts w:ascii="Amiri" w:hAnsi="Amiri" w:eastAsia="Amiri" w:cs="Amiri"/>
          <w:color w:val="111111"/>
          <w:sz w:val="28"/>
          <w:sz w:val="28"/>
          <w:szCs w:val="28"/>
          <w:rtl w:val="true"/>
          <w:lang w:bidi="ar-SA"/>
        </w:rPr>
        <w:t>كفن العبد بأقسامه على مولاه؛ لوجوب نفقته عليه، وللإجماع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مُؤن تجهيزه ولو كان مبعَّضاً وجب على مولاه بنسبة الرقّيّة، والباقي من ماله أو من متبرّعٍ أو من الزكاة، فإن لم يف نصيب الرقّيّة بما ينفقه من بعضٍ غسلٍ أو كفنٍ حيث لا يوجد له تتمّة ممّا ذكرنا، سقط عن المولى</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13198201_1280447820"/>
      <w:bookmarkStart w:id="1106" w:name="_Toc427"/>
      <w:bookmarkEnd w:id="1105"/>
      <w:r>
        <w:rPr>
          <w:rtl w:val="true"/>
        </w:rPr>
        <w:t>المسألة الرابعة</w:t>
      </w:r>
      <w:r>
        <w:rPr>
          <w:rtl w:val="true"/>
        </w:rPr>
        <w:t xml:space="preserve">: </w:t>
      </w:r>
      <w:r>
        <w:rPr>
          <w:rtl w:val="true"/>
        </w:rPr>
        <w:t>كفن الزوجة على زوجها</w:t>
      </w:r>
      <w:bookmarkEnd w:id="110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كفن الزوجة على زوجها ولو كان لها مال؛ للإجماع المنقول</w:t>
      </w:r>
      <w:r>
        <w:rPr>
          <w:rStyle w:val="FootnoteAnchor"/>
          <w:rtl w:val="true"/>
        </w:rPr>
        <w:footnoteReference w:id="2296"/>
      </w:r>
      <w:r>
        <w:rPr>
          <w:rFonts w:ascii="IRNazanin" w:hAnsi="IRNazanin" w:eastAsia="IRNazanin"/>
          <w:color w:val="111111"/>
          <w:sz w:val="28"/>
          <w:sz w:val="28"/>
          <w:szCs w:val="28"/>
          <w:rtl w:val="true"/>
          <w:lang w:bidi="fa-IR"/>
        </w:rPr>
        <w:t>، وفتوى الفحول، والخبر</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بالفتوى والعمل الدالّ على ذلك</w:t>
      </w:r>
      <w:r>
        <w:rPr>
          <w:rFonts w:eastAsia="Amiri" w:cs="Amiri" w:ascii="Amiri" w:hAnsi="Amiri"/>
          <w:color w:val="111111"/>
          <w:sz w:val="28"/>
          <w:szCs w:val="28"/>
          <w:rtl w:val="true"/>
          <w:lang w:bidi="ar-SA"/>
        </w:rPr>
        <w:t xml:space="preserve">. </w:t>
      </w:r>
      <w:bookmarkStart w:id="1107" w:name="pg18988_203585"/>
    </w:p>
    <w:p>
      <w:pPr>
        <w:pStyle w:val="BookText"/>
        <w:rPr/>
      </w:pPr>
      <w:bookmarkEnd w:id="1107"/>
      <w:r>
        <w:rPr>
          <w:rFonts w:ascii="Amiri" w:hAnsi="Amiri" w:eastAsia="Amiri" w:cs="Amiri"/>
          <w:color w:val="111111"/>
          <w:sz w:val="28"/>
          <w:sz w:val="28"/>
          <w:szCs w:val="28"/>
          <w:rtl w:val="true"/>
          <w:lang w:bidi="ar-SA"/>
        </w:rPr>
        <w:t>ويلحق به سائر مؤن التجهيز؛ لتنقيح المناط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الفتوى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للصغيرة والغير المدخول بها، والناشز، و المتمتّع بها، و المطلّقة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انصرافه إلى الناشز والمتمتّع بها مع عدم وجوب النفقة عليه لهما حال الحياة محلّ كلام، والأحوط تسرية الحكم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أعسر الزوج، وجب في مالها على 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مالها، وجب على الزوج ممّا يرثه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المزوّجة يقوى وجوب تكفينها على زوجها دون مالكها، ويحتمل تبعيّته للملك، و الاحتياط في تراضيهما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بذل مؤونة التجهيز لباقي الأقارب وجبت نفقتهم أم لا، دخلوا في العيال أم لا، ولكنّ السيرة قاضية بلزوم تكفين الأطفال الصغار على آبائهم، وهو أحوط مع الإمكان</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3198203_1280447820"/>
      <w:bookmarkStart w:id="1109" w:name="_Toc428"/>
      <w:bookmarkEnd w:id="1108"/>
      <w:r>
        <w:rPr>
          <w:rtl w:val="true"/>
        </w:rPr>
        <w:t>المسألة الخامسة</w:t>
      </w:r>
      <w:r>
        <w:rPr>
          <w:rtl w:val="true"/>
        </w:rPr>
        <w:t xml:space="preserve">: </w:t>
      </w:r>
      <w:r>
        <w:rPr>
          <w:rtl w:val="true"/>
        </w:rPr>
        <w:t>حکم ما إذا مات ولد الحامل في بطنها وخشي عليها من الضر أو ماتت هی دونه وعُلم ببقائه حیّاً</w:t>
      </w:r>
      <w:bookmarkEnd w:id="1109"/>
    </w:p>
    <w:p>
      <w:pPr>
        <w:pStyle w:val="BookText"/>
        <w:rPr/>
      </w:pPr>
      <w:r>
        <w:rPr>
          <w:rFonts w:ascii="Amiri" w:hAnsi="Amiri" w:eastAsia="Amiri" w:cs="Amiri"/>
          <w:color w:val="111111"/>
          <w:sz w:val="28"/>
          <w:sz w:val="28"/>
          <w:szCs w:val="28"/>
          <w:rtl w:val="true"/>
          <w:lang w:bidi="ar-SA"/>
        </w:rPr>
        <w:t>إذا مات ولد الحامل في بطنها وخشي عليها من الضر أُخرج صحيحاً إن أمكن، و إلّا قطّع وأُخرج بالرفق؛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حرمة النظر إلى العورة واللمس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تحرّي المحلّل أوّلاً ثمّ المماثل ثمّ المحارم ثمّ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المعتبر فتوىً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في بطنها الولد فيتخوّف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الرجل يده فيقطّعه ويخرجه إذا لم ترفق به النساء</w:t>
      </w:r>
      <w:r>
        <w:rPr>
          <w:rFonts w:eastAsia="Amiri" w:cs="Amiri" w:ascii="Amiri" w:hAnsi="Amiri"/>
          <w:color w:val="111111"/>
          <w:sz w:val="28"/>
          <w:szCs w:val="28"/>
          <w:rtl w:val="true"/>
          <w:lang w:bidi="ar-SA"/>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على المحلّل الإجابة إذا دعي وكان عارفاً؟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ومن الأمر بصيانة العرض والغيرة على الأهل، وهو الأحوط</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ماتت هي دونه و عُلم ببقائه حيّاً ، وجب شقّ بطنها من أحد الجانبين إن لم يمكن إخراجه من دون شقٍّ وإخراجه حيّاً وإن علم موته بعد ذلك بلحظة؛ توصّلاً إلى إحياء النفس المحترمة مهما أمكن وللإجماع المنقول</w:t>
      </w:r>
      <w:r>
        <w:rPr>
          <w:rStyle w:val="FootnoteAnchor"/>
          <w:rtl w:val="true"/>
        </w:rPr>
        <w:footnoteReference w:id="2299"/>
      </w:r>
      <w:r>
        <w:rPr>
          <w:rFonts w:ascii="Amiri" w:hAnsi="Amiri" w:eastAsia="Amiri" w:cs="Amiri"/>
          <w:color w:val="111111"/>
          <w:sz w:val="28"/>
          <w:sz w:val="28"/>
          <w:szCs w:val="28"/>
          <w:rtl w:val="true"/>
          <w:lang w:bidi="ar-SA"/>
        </w:rPr>
        <w:t>، والأخبار المستفيضة، 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تموت و ولدها يتحرّك؟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عن الولد</w:t>
      </w:r>
      <w:r>
        <w:rPr>
          <w:rFonts w:eastAsia="Amiri" w:cs="Amiri" w:ascii="Amiri" w:hAnsi="Amiri"/>
          <w:color w:val="111111"/>
          <w:sz w:val="28"/>
          <w:szCs w:val="28"/>
          <w:rtl w:val="true"/>
          <w:lang w:bidi="ar-SA"/>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bookmarkStart w:id="1110" w:name="pg18988_203586"/>
    </w:p>
    <w:p>
      <w:pPr>
        <w:pStyle w:val="BookText"/>
        <w:rPr/>
      </w:pPr>
      <w:bookmarkEnd w:id="1110"/>
      <w:r>
        <w:rPr>
          <w:rFonts w:ascii="Amiri" w:hAnsi="Amiri" w:eastAsia="Amiri" w:cs="Amiri"/>
          <w:color w:val="111111"/>
          <w:sz w:val="28"/>
          <w:sz w:val="28"/>
          <w:szCs w:val="28"/>
          <w:rtl w:val="true"/>
          <w:lang w:bidi="ar-SA"/>
        </w:rPr>
        <w:t>ولا يبعد وجوب الشقّ من الجانب الأيسر؛ للرضوي</w:t>
      </w:r>
      <w:r>
        <w:rPr>
          <w:rStyle w:val="FootnoteAnchor"/>
          <w:rtl w:val="true"/>
        </w:rPr>
        <w:footnoteReference w:id="2301"/>
      </w:r>
      <w:r>
        <w:rPr>
          <w:rFonts w:ascii="Amiri" w:hAnsi="Amiri" w:eastAsia="Amiri" w:cs="Amiri"/>
          <w:color w:val="111111"/>
          <w:sz w:val="28"/>
          <w:sz w:val="28"/>
          <w:szCs w:val="28"/>
          <w:rtl w:val="true"/>
          <w:lang w:bidi="ar-SA"/>
        </w:rPr>
        <w:t>، ولبُعْد المثلة عنها لقرب الولد من الجانب الأيسر على الأظهر وأفتى به جملة من الأصحاب</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وتجب خياطة المحلّ للبُعْد عن المثلة، وتسهيل الغسل، ومرسل ابن أبي عمير</w:t>
      </w:r>
      <w:r>
        <w:rPr>
          <w:rStyle w:val="FootnoteAnchor"/>
          <w:rtl w:val="true"/>
        </w:rPr>
        <w:footnoteReference w:id="2303"/>
      </w:r>
      <w:r>
        <w:rPr>
          <w:rFonts w:ascii="Amiri" w:hAnsi="Amiri" w:eastAsia="Amiri" w:cs="Amiri"/>
          <w:color w:val="111111"/>
          <w:sz w:val="28"/>
          <w:sz w:val="28"/>
          <w:szCs w:val="28"/>
          <w:rtl w:val="true"/>
          <w:lang w:bidi="ar-SA"/>
        </w:rPr>
        <w:t>الآمر به، وهو في قوّة الصحيح، فعدم بيانه في الأخبار الأُخَر لا يعارض ما ذكرنا من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ماتا معاً دُفنا معاً، وحرم الشقّ؛ للمثلة من غير داعٍ إليها؛ لأنّه كالجزء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سقط قبل دفنها جرى عليه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موته وحياته، أمكن وجوب الشقّ؛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العدم؛ ترجيحاً للظاهر من عدم بقائه حيّاً، ولظهور الأخبار في الولد الحيّ</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3198205_1280447820"/>
      <w:bookmarkStart w:id="1112" w:name="_Toc429"/>
      <w:bookmarkEnd w:id="1111"/>
      <w:r>
        <w:rPr>
          <w:rtl w:val="true"/>
        </w:rPr>
        <w:t>المسألة السادسة</w:t>
      </w:r>
      <w:r>
        <w:rPr>
          <w:rtl w:val="true"/>
        </w:rPr>
        <w:t xml:space="preserve">: </w:t>
      </w:r>
      <w:r>
        <w:rPr>
          <w:rtl w:val="true"/>
        </w:rPr>
        <w:t>حکم ما إذا ابتلع الميّت مالاً خطيراً من ماله أو مغضوباً</w:t>
      </w:r>
      <w:bookmarkEnd w:id="1112"/>
    </w:p>
    <w:p>
      <w:pPr>
        <w:pStyle w:val="BookText"/>
        <w:rPr/>
      </w:pPr>
      <w:r>
        <w:rPr>
          <w:rFonts w:ascii="Amiri" w:hAnsi="Amiri" w:eastAsia="Amiri" w:cs="Amiri"/>
          <w:color w:val="111111"/>
          <w:sz w:val="28"/>
          <w:sz w:val="28"/>
          <w:szCs w:val="28"/>
          <w:rtl w:val="true"/>
          <w:lang w:bidi="ar-SA"/>
        </w:rPr>
        <w:t>إذا ابتلع الميّت مالاً خطيراً من ماله، قوي القول بجواز شقّ بطنه صيانةً للمال المحترم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بإخراجه من الثلث إن أمكن إخراجه منه لو كان مريضاً، و إلّا شقّ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الشقّ؛ لأنّ المانع الشرعي كالمانع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ابتلع مغصوباً كان للمغصوب منه شقّ بطنه لإذهاب حرمته، ويحتمل إخراجه من أصل المال ومن الثلث لو كان مريضاً</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3198207_1280447820"/>
      <w:bookmarkStart w:id="1114" w:name="_Toc430"/>
      <w:bookmarkEnd w:id="1113"/>
      <w:r>
        <w:rPr>
          <w:rtl w:val="true"/>
        </w:rPr>
        <w:t>المسألة السابعة</w:t>
      </w:r>
      <w:r>
        <w:rPr>
          <w:rtl w:val="true"/>
        </w:rPr>
        <w:t xml:space="preserve">: </w:t>
      </w:r>
      <w:r>
        <w:rPr>
          <w:rtl w:val="true"/>
        </w:rPr>
        <w:t>حکم ما لو أحدث الميّت حدثاً بعد غسله أو فی أثنائه</w:t>
      </w:r>
      <w:bookmarkEnd w:id="1114"/>
    </w:p>
    <w:p>
      <w:pPr>
        <w:pStyle w:val="BookText"/>
        <w:rPr/>
      </w:pPr>
      <w:r>
        <w:rPr>
          <w:rFonts w:ascii="Amiri" w:hAnsi="Amiri" w:eastAsia="Amiri" w:cs="Amiri"/>
          <w:color w:val="111111"/>
          <w:sz w:val="28"/>
          <w:sz w:val="28"/>
          <w:szCs w:val="28"/>
          <w:rtl w:val="true"/>
          <w:lang w:bidi="ar-SA"/>
        </w:rPr>
        <w:t xml:space="preserve">لو أحدث الميّت بعد غسله حدثاً لم تجب إعادته، وكذا لو أحدث في أثنائه على الأقوى، كلّ ذلك للاستصحاب، وإطلاق الأخبار </w:t>
      </w:r>
      <w:r>
        <w:rPr>
          <w:rStyle w:val="FootnoteAnchor"/>
          <w:rtl w:val="true"/>
        </w:rPr>
        <w:footnoteReference w:id="2304"/>
      </w:r>
      <w:r>
        <w:rPr>
          <w:rFonts w:ascii="Amiri" w:hAnsi="Amiri" w:eastAsia="Amiri" w:cs="Amiri"/>
          <w:color w:val="111111"/>
          <w:sz w:val="28"/>
          <w:sz w:val="28"/>
          <w:szCs w:val="28"/>
          <w:rtl w:val="true"/>
          <w:lang w:bidi="ar-SA"/>
        </w:rPr>
        <w:t>وعدم البيان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وتشبيه غسل الميّت بغسل الجنابة</w:t>
      </w:r>
      <w:r>
        <w:rPr>
          <w:rStyle w:val="FootnoteAnchor"/>
          <w:rtl w:val="true"/>
        </w:rPr>
        <w:footnoteReference w:id="2305"/>
      </w:r>
      <w:r>
        <w:rPr>
          <w:rFonts w:ascii="Amiri" w:hAnsi="Amiri" w:eastAsia="Amiri" w:cs="Amiri"/>
          <w:color w:val="111111"/>
          <w:sz w:val="28"/>
          <w:sz w:val="28"/>
          <w:szCs w:val="28"/>
          <w:rtl w:val="true"/>
          <w:lang w:bidi="ar-SA"/>
        </w:rPr>
        <w:t>لا يقضي بإجراء قواطعه وموانعه عليه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تنجّس الكفن بالحدث وجب غَسْله، وكذا يجب غَسْل البدن؛ للخبر المعتبر بالفتوى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من الميّت شيء بعد غسله فاغسل الذي بدا منه</w:t>
      </w:r>
      <w:r>
        <w:rPr>
          <w:rFonts w:eastAsia="Amiri" w:cs="Amiri" w:ascii="Amiri" w:hAnsi="Amiri"/>
          <w:color w:val="111111"/>
          <w:sz w:val="28"/>
          <w:szCs w:val="28"/>
          <w:rtl w:val="true"/>
          <w:lang w:bidi="ar-SA"/>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 xml:space="preserve">. </w:t>
      </w:r>
      <w:bookmarkStart w:id="1115" w:name="pg18988_203587"/>
    </w:p>
    <w:p>
      <w:pPr>
        <w:pStyle w:val="BookText"/>
        <w:rPr/>
      </w:pPr>
      <w:bookmarkEnd w:id="1115"/>
      <w:r>
        <w:rPr>
          <w:rFonts w:ascii="Amiri" w:hAnsi="Amiri" w:eastAsia="Amiri" w:cs="Amiri"/>
          <w:color w:val="111111"/>
          <w:sz w:val="28"/>
          <w:sz w:val="28"/>
          <w:szCs w:val="28"/>
          <w:rtl w:val="true"/>
          <w:lang w:bidi="ar-SA"/>
        </w:rPr>
        <w:t>وإن طرح في القبر قُرض الكفن من مكان النجس، ولا يجب ترقيعه؛ للأخبار الدالّة على قرض الكفن</w:t>
      </w:r>
      <w:r>
        <w:rPr>
          <w:rStyle w:val="FootnoteAnchor"/>
          <w:rtl w:val="true"/>
        </w:rPr>
        <w:footnoteReference w:id="2307"/>
      </w:r>
      <w:r>
        <w:rPr>
          <w:rFonts w:ascii="Amiri" w:hAnsi="Amiri" w:eastAsia="Amiri" w:cs="Amiri"/>
          <w:color w:val="111111"/>
          <w:sz w:val="28"/>
          <w:sz w:val="28"/>
          <w:szCs w:val="28"/>
          <w:rtl w:val="true"/>
          <w:lang w:bidi="ar-SA"/>
        </w:rPr>
        <w:t>مطلقاً، المقيّدة بوضعه في القبر؛ للرضوي</w:t>
      </w:r>
      <w:r>
        <w:rPr>
          <w:rStyle w:val="FootnoteAnchor"/>
          <w:rtl w:val="true"/>
        </w:rPr>
        <w:footnoteReference w:id="2308"/>
      </w:r>
      <w:r>
        <w:rPr>
          <w:rFonts w:ascii="Amiri" w:hAnsi="Amiri" w:eastAsia="Amiri" w:cs="Amiri"/>
          <w:color w:val="111111"/>
          <w:sz w:val="28"/>
          <w:sz w:val="28"/>
          <w:szCs w:val="28"/>
          <w:rtl w:val="true"/>
          <w:lang w:bidi="ar-SA"/>
        </w:rPr>
        <w:t>المعمول به عند جملة من الأصحاب</w:t>
      </w:r>
      <w:r>
        <w:rPr>
          <w:rStyle w:val="FootnoteAnchor"/>
          <w:rtl w:val="true"/>
        </w:rPr>
        <w:footnoteReference w:id="2309"/>
      </w:r>
      <w:r>
        <w:rPr>
          <w:rFonts w:ascii="Amiri" w:hAnsi="Amiri" w:eastAsia="Amiri" w:cs="Amiri"/>
          <w:color w:val="111111"/>
          <w:sz w:val="28"/>
          <w:sz w:val="28"/>
          <w:szCs w:val="28"/>
          <w:rtl w:val="true"/>
          <w:lang w:bidi="ar-SA"/>
        </w:rPr>
        <w:t>، ولأنّه وجه جمعٍ بين الأخبار الآمرة بالغَسْل والأخبار الآمرة بالقرض، ويؤيّده الاعتبار، ومقتضى إطلاقها عدم الاحتياج إلى ترقيع مكان القرض، بل في جوازه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الأخبار بحمل ما دلّ على الغسل على الجسد، وما دلّ على القرض على الكفن، أو بحمل الأخبار على التخيير، ولكنّ الأوجَه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لاقى بدن الميّت نجاسة بعد الدفن فالظاهر سقوط حكمها؛ لعدم البيان في مقام البيان ولأنّه صار معرضاً لأمثالها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النجاسة الخارجة فيجب غسلها ، والداخلة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ما ذكرناه</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3198209_1280447820"/>
      <w:bookmarkStart w:id="1117" w:name="_Toc431"/>
      <w:bookmarkEnd w:id="1116"/>
      <w:r>
        <w:rPr>
          <w:rtl w:val="true"/>
        </w:rPr>
        <w:t>المسألة الثامنة</w:t>
      </w:r>
      <w:r>
        <w:rPr>
          <w:rtl w:val="true"/>
        </w:rPr>
        <w:t xml:space="preserve">: </w:t>
      </w:r>
      <w:r>
        <w:rPr>
          <w:rtl w:val="true"/>
        </w:rPr>
        <w:t>فی أنّ المُحْرِم كالمُحِلّ في الأحكام حتّى ستر الرأس</w:t>
      </w:r>
      <w:bookmarkEnd w:id="1117"/>
    </w:p>
    <w:p>
      <w:pPr>
        <w:pStyle w:val="BookText"/>
        <w:rPr/>
      </w:pPr>
      <w:r>
        <w:rPr>
          <w:rFonts w:ascii="Amiri" w:hAnsi="Amiri" w:eastAsia="Amiri" w:cs="Amiri"/>
          <w:color w:val="111111"/>
          <w:sz w:val="28"/>
          <w:sz w:val="28"/>
          <w:szCs w:val="28"/>
          <w:rtl w:val="true"/>
          <w:lang w:bidi="ar-SA"/>
        </w:rPr>
        <w:t>المُحْرِم كالمُحِلّ في الأحكام، حتّى ستر الرأس؛ للإجماع والأخبار</w:t>
      </w:r>
      <w:r>
        <w:rPr>
          <w:rStyle w:val="FootnoteAnchor"/>
          <w:rtl w:val="true"/>
        </w:rPr>
        <w:footnoteReference w:id="2310"/>
      </w:r>
      <w:r>
        <w:rPr>
          <w:rFonts w:ascii="Amiri" w:hAnsi="Amiri" w:eastAsia="Amiri" w:cs="Amiri"/>
          <w:color w:val="111111"/>
          <w:sz w:val="28"/>
          <w:sz w:val="28"/>
          <w:szCs w:val="28"/>
          <w:rtl w:val="true"/>
          <w:lang w:bidi="ar-SA"/>
        </w:rPr>
        <w:t>، غير أنّه لا يقرب طيباً، كما في الصحيح</w:t>
      </w:r>
      <w:r>
        <w:rPr>
          <w:rStyle w:val="FootnoteAnchor"/>
          <w:rtl w:val="true"/>
        </w:rPr>
        <w:footnoteReference w:id="2311"/>
      </w:r>
      <w:r>
        <w:rPr>
          <w:rFonts w:ascii="Amiri" w:hAnsi="Amiri" w:eastAsia="Amiri" w:cs="Amiri"/>
          <w:color w:val="111111"/>
          <w:sz w:val="28"/>
          <w:sz w:val="28"/>
          <w:szCs w:val="28"/>
          <w:rtl w:val="true"/>
          <w:lang w:bidi="ar-SA"/>
        </w:rPr>
        <w:t>وغيره</w:t>
      </w:r>
      <w:r>
        <w:rPr>
          <w:rStyle w:val="FootnoteAnchor"/>
          <w:rtl w:val="true"/>
        </w:rPr>
        <w:footnoteReference w:id="2312"/>
      </w:r>
      <w:r>
        <w:rPr>
          <w:rFonts w:ascii="Amiri" w:hAnsi="Amiri" w:eastAsia="Amiri" w:cs="Amiri"/>
          <w:color w:val="111111"/>
          <w:sz w:val="28"/>
          <w:sz w:val="28"/>
          <w:szCs w:val="28"/>
          <w:rtl w:val="true"/>
          <w:lang w:bidi="ar-SA"/>
        </w:rPr>
        <w:t>، وفتوى الأصحاب، وإطلاقهما يقضي بعدم الفرق بين الكافور وغيره في الغسل وغيره، وفي بعض</w:t>
      </w:r>
      <w:r>
        <w:rPr>
          <w:rStyle w:val="FootnoteAnchor"/>
          <w:rtl w:val="true"/>
        </w:rPr>
        <w:footnoteReference w:id="2313"/>
      </w:r>
      <w:r>
        <w:rPr>
          <w:rFonts w:ascii="Amiri" w:hAnsi="Amiri" w:eastAsia="Amiri" w:cs="Amiri"/>
          <w:color w:val="111111"/>
          <w:sz w:val="28"/>
          <w:sz w:val="28"/>
          <w:szCs w:val="28"/>
          <w:rtl w:val="true"/>
          <w:lang w:bidi="ar-SA"/>
        </w:rPr>
        <w:t>نفي خصوص الحنوط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أصحابنا مَنْ أوجب كشف رأسه</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زاد كشف الرِّجْلين</w:t>
      </w:r>
      <w:r>
        <w:rPr>
          <w:rStyle w:val="FootnoteAnchor"/>
          <w:rtl w:val="true"/>
        </w:rPr>
        <w:footnoteReference w:id="2315"/>
      </w:r>
      <w:r>
        <w:rPr>
          <w:rFonts w:ascii="Amiri" w:hAnsi="Amiri" w:eastAsia="Amiri" w:cs="Amiri"/>
          <w:color w:val="111111"/>
          <w:sz w:val="28"/>
          <w:sz w:val="28"/>
          <w:szCs w:val="28"/>
          <w:rtl w:val="true"/>
          <w:lang w:bidi="ar-SA"/>
        </w:rPr>
        <w:t>لإشعار النهي عن مسّه بطيبٍ على بقاء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بما ذكرناه</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3198211_1280447820"/>
      <w:bookmarkStart w:id="1119" w:name="_Toc432"/>
      <w:bookmarkEnd w:id="1118"/>
      <w:r>
        <w:rPr>
          <w:rtl w:val="true"/>
        </w:rPr>
        <w:t>المسألة التاسعة</w:t>
      </w:r>
      <w:r>
        <w:rPr>
          <w:rtl w:val="true"/>
        </w:rPr>
        <w:t xml:space="preserve">: </w:t>
      </w:r>
      <w:r>
        <w:rPr>
          <w:rtl w:val="true"/>
        </w:rPr>
        <w:t>عدم جواز نبش القبر عدا ما یستثنی من ذلک</w:t>
      </w:r>
      <w:bookmarkEnd w:id="1119"/>
    </w:p>
    <w:p>
      <w:pPr>
        <w:pStyle w:val="BookText"/>
        <w:rPr/>
      </w:pPr>
      <w:r>
        <w:rPr>
          <w:rFonts w:ascii="Amiri" w:hAnsi="Amiri" w:eastAsia="Amiri" w:cs="Amiri"/>
          <w:color w:val="111111"/>
          <w:sz w:val="28"/>
          <w:sz w:val="28"/>
          <w:szCs w:val="28"/>
          <w:rtl w:val="true"/>
          <w:lang w:bidi="ar-SA"/>
        </w:rPr>
        <w:t>لا يجوز نبش القبر ؛ إجماعاً من المسلمين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إطلاق الإجماع أنّ النبش محرَّم أُريد إخراج الميّت بذلك النبش أم لا، وصل النبش إلى نفس الميّت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يخلو تحريم الأخير من إشكال؛ للشكّ في شمول معقد الإجماع، وما دلّ على قطع يد النبّاش</w:t>
      </w:r>
      <w:r>
        <w:rPr>
          <w:rStyle w:val="FootnoteAnchor"/>
          <w:rtl w:val="true"/>
        </w:rPr>
        <w:footnoteReference w:id="2316"/>
      </w:r>
      <w:r>
        <w:rPr>
          <w:rFonts w:ascii="Amiri" w:hAnsi="Amiri" w:eastAsia="Amiri" w:cs="Amiri"/>
          <w:color w:val="111111"/>
          <w:sz w:val="28"/>
          <w:sz w:val="28"/>
          <w:szCs w:val="28"/>
          <w:rtl w:val="true"/>
          <w:lang w:bidi="ar-SA"/>
        </w:rPr>
        <w:t>لا يدلّ على تحريم النبش؛ لاحتمال كونه من جملة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في القبر ما له قيمة من وارث أو غيره، فإنّه يجوز النبش؛ تقديماً لدليل احترام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أوقع المالك المال باختياره لينبش القبر، ففي جوازه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بُذلت القيمة لصاحب المال لم يجب قبولها للواقع منه باضطرار، وفي الواقع منه باختيار لا يخلو وجوب القبول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بأرضٍ مغصوبة فإنّه يجوز للمالك إخراجه، ولا يجب عليه قبول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دُفن بإذنه أو أذن في الأثناء لم يجز له العدول بعد الطمّ، ومع الوضع قبل الطمّ، لا يخلو عدم جواز العدول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بأرضٍ معارة للدفن بأن يُدفن فيها ثمّ يُنقل لأحد المشاهد، فإنّه يجوز للمعير إخراجه عند حلول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بالعدم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كُفّن بمغصوبٍ أو ابتلع مغصوباً، كان للمالك نبش القبر وأخذ ماله، ولا يجب عليه قبول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كُفّن في مذهَّبٍ أو حرير فإنّه يقوى جواز نبشه وتكفينه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أُلحق به جميع ما لا يجوز التكفين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يفرَّق بين التكفين بغير الجائز اختياراً فيجوز النبش وبين التكفين اضطراراً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إلّا فيما كانت حرمته أصليّةً، كالحرير وشبهه، فإنّ في القول به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بلى الميّت عرفاً وصارت عظامه رميماً كالتراب أو استحالت تراباً، جاز نبش قبره؛ لخروجه عن اسم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بقيت عظامه عرفاً ولو صغاراً على الظاهر حرم نبشه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للشهادة على عينه لتحقيق ميراث أو مال أو اعتداد؛ تقديماً لحقّ الشهادة، وشكّاً في شمول الإجماع</w:t>
      </w:r>
      <w:r>
        <w:rPr>
          <w:rFonts w:eastAsia="Amiri" w:cs="Amiri" w:ascii="Amiri" w:hAnsi="Amiri"/>
          <w:color w:val="111111"/>
          <w:sz w:val="28"/>
          <w:szCs w:val="28"/>
          <w:rtl w:val="true"/>
          <w:lang w:bidi="ar-SA"/>
        </w:rPr>
        <w:t xml:space="preserve">. </w:t>
      </w:r>
      <w:bookmarkStart w:id="1120" w:name="pg18988_203589"/>
    </w:p>
    <w:p>
      <w:pPr>
        <w:pStyle w:val="BookText"/>
        <w:rPr/>
      </w:pPr>
      <w:bookmarkEnd w:id="1120"/>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عند نسيان تكفينه أو استقبال القبلة في وجهٍ قويّ، وإجراؤه للغسل و الصلاة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النبش لو كان في دارٍ ،فبِيعت فإنّ للمشتري ذلك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إلّا أنّه يثبت له خيار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خِيف عليه أو على كفنه من الهوامّ </w:t>
      </w:r>
      <w:r>
        <w:rPr>
          <w:rStyle w:val="FootnoteAnchor"/>
          <w:rtl w:val="true"/>
        </w:rPr>
        <w:footnoteReference w:id="2317"/>
      </w:r>
      <w:r>
        <w:rPr>
          <w:rFonts w:ascii="Amiri" w:hAnsi="Amiri" w:eastAsia="Amiri" w:cs="Amiri"/>
          <w:color w:val="111111"/>
          <w:sz w:val="28"/>
          <w:sz w:val="28"/>
          <w:szCs w:val="28"/>
          <w:rtl w:val="true"/>
          <w:lang w:bidi="ar-SA"/>
        </w:rPr>
        <w:t>أو السرقة أو الحرق أو الغرق أو من ظالم، فإنّه يجوز نبشه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نقله إلى مكان شريف كالمشاهد المشرّفة ونحوها، فإنّه يجوز نبشه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لو حصلت بعض القرائن المفيدة للظنّ بحياته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للشهادة على جرح أو قتل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لو وُضع في موضع مشكوك بقبريّته، كالموضوع في سرداب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لوضع بناءٍ على قبره لئلّا يندرس رسمه وينسى اسمه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نبشه لدفن ميّتٍ آخَر ليس له مدفن بالكلّيّة معه، على وجهٍ قويّ، إلى غير ذلك</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3198213_1280447820"/>
      <w:bookmarkStart w:id="1122" w:name="_Toc433"/>
      <w:bookmarkEnd w:id="1121"/>
      <w:r>
        <w:rPr>
          <w:rtl w:val="true"/>
        </w:rPr>
        <w:t>المسألة العاشرة</w:t>
      </w:r>
      <w:r>
        <w:rPr>
          <w:rtl w:val="true"/>
        </w:rPr>
        <w:t xml:space="preserve">: </w:t>
      </w:r>
      <w:r>
        <w:rPr>
          <w:rtl w:val="true"/>
        </w:rPr>
        <w:t>عدم جواز نقل الميّت بعد دفنه إلّا الی المشاهد المشرّفه</w:t>
      </w:r>
      <w:bookmarkEnd w:id="1122"/>
    </w:p>
    <w:p>
      <w:pPr>
        <w:pStyle w:val="BookText"/>
        <w:rPr/>
      </w:pPr>
      <w:r>
        <w:rPr>
          <w:rFonts w:ascii="Amiri" w:hAnsi="Amiri" w:eastAsia="Amiri" w:cs="Amiri"/>
          <w:color w:val="111111"/>
          <w:sz w:val="28"/>
          <w:sz w:val="28"/>
          <w:szCs w:val="28"/>
          <w:rtl w:val="true"/>
          <w:lang w:bidi="ar-SA"/>
        </w:rPr>
        <w:t>لا يجوز نقل الميّت بعد دفنه إجماعاً منقولاً</w:t>
      </w:r>
      <w:r>
        <w:rPr>
          <w:rStyle w:val="FootnoteAnchor"/>
          <w:rtl w:val="true"/>
        </w:rPr>
        <w:footnoteReference w:id="2318"/>
      </w:r>
      <w:r>
        <w:rPr>
          <w:rFonts w:ascii="Amiri" w:hAnsi="Amiri" w:eastAsia="Amiri" w:cs="Amiri"/>
          <w:color w:val="111111"/>
          <w:sz w:val="28"/>
          <w:sz w:val="28"/>
          <w:szCs w:val="28"/>
          <w:rtl w:val="true"/>
          <w:lang w:bidi="ar-SA"/>
        </w:rPr>
        <w:t>وشهرة 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تحريمه لنفسه بمقتضى إطلاق الفتوى لا للنبش، فلو كان منبوشاً بريح أو نبشه نابش حرم نقله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نقله وإن استلزم النبش إلى المشاهد المشرّفة على الأظهر؛ لذكرهم ورود الرخصة به مع عدم ردّهم له وللشكّ في شمول الإجماع لمثل ذلك، ولما ورد من نقل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ورد أنّه في تابوت</w:t>
      </w:r>
      <w:r>
        <w:rPr>
          <w:rStyle w:val="FootnoteAnchor"/>
          <w:rtl w:val="true"/>
        </w:rPr>
        <w:footnoteReference w:id="2319"/>
      </w:r>
      <w:r>
        <w:rPr>
          <w:rFonts w:ascii="Amiri" w:hAnsi="Amiri" w:eastAsia="Amiri" w:cs="Amiri"/>
          <w:color w:val="111111"/>
          <w:sz w:val="28"/>
          <w:sz w:val="28"/>
          <w:szCs w:val="28"/>
          <w:rtl w:val="true"/>
          <w:lang w:bidi="ar-SA"/>
        </w:rPr>
        <w:t>، ونقل موسى عظام يوسف، وإن ورد أنّه في صندوق مرمر</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الاختصاص في تلك الشريعة، مدفوع بأنّ الظاهر من نقله بقاء حكمه، ويؤيّده الاستصحاب</w:t>
      </w:r>
      <w:r>
        <w:rPr>
          <w:rFonts w:eastAsia="Amiri" w:cs="Amiri" w:ascii="Amiri" w:hAnsi="Amiri"/>
          <w:color w:val="111111"/>
          <w:sz w:val="28"/>
          <w:szCs w:val="28"/>
          <w:rtl w:val="true"/>
          <w:lang w:bidi="ar-SA"/>
        </w:rPr>
        <w:t xml:space="preserve">. </w:t>
      </w:r>
      <w:bookmarkStart w:id="1123" w:name="pg18988_203590"/>
    </w:p>
    <w:p>
      <w:pPr>
        <w:pStyle w:val="BookText"/>
        <w:rPr/>
      </w:pPr>
      <w:bookmarkEnd w:id="1123"/>
      <w:r>
        <w:rPr>
          <w:rFonts w:ascii="Amiri" w:hAnsi="Amiri" w:eastAsia="Amiri" w:cs="Amiri"/>
          <w:color w:val="111111"/>
          <w:sz w:val="28"/>
          <w:sz w:val="28"/>
          <w:szCs w:val="28"/>
          <w:rtl w:val="true"/>
          <w:lang w:bidi="ar-SA"/>
        </w:rPr>
        <w:t>و احتمال البلى يدفعه أنّها عظام الأنبياء، و أنّه موضوع في صندوقٍ</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3198215_1280447820"/>
      <w:bookmarkStart w:id="1125" w:name="_Toc434"/>
      <w:bookmarkEnd w:id="1124"/>
      <w:r>
        <w:rPr>
          <w:rtl w:val="true"/>
        </w:rPr>
        <w:t>المسألة الحادية عشر</w:t>
      </w:r>
      <w:r>
        <w:rPr>
          <w:rtl w:val="true"/>
        </w:rPr>
        <w:t xml:space="preserve">: </w:t>
      </w:r>
      <w:r>
        <w:rPr>
          <w:rtl w:val="true"/>
        </w:rPr>
        <w:t>حکم نقل الموتى قبل دفنهم</w:t>
      </w:r>
      <w:bookmarkEnd w:id="1125"/>
    </w:p>
    <w:p>
      <w:pPr>
        <w:pStyle w:val="BookText"/>
        <w:rPr/>
      </w:pPr>
      <w:r>
        <w:rPr>
          <w:rFonts w:ascii="Amiri" w:hAnsi="Amiri" w:eastAsia="Amiri" w:cs="Amiri"/>
          <w:color w:val="111111"/>
          <w:sz w:val="28"/>
          <w:sz w:val="28"/>
          <w:szCs w:val="28"/>
          <w:rtl w:val="true"/>
          <w:lang w:bidi="ar-SA"/>
        </w:rPr>
        <w:t>يقوى القول بحرمة نقل الموتى قبل دفنهم أيضاً؛ لمنافاته لوجوب التعجيل للميّت، وحرمة التأنّي به، وللأمر من النبيّ صلى الله عليه وسلم و عليّ بدفن الأجساد بمصارعها</w:t>
      </w:r>
      <w:r>
        <w:rPr>
          <w:rStyle w:val="FootnoteAnchor"/>
          <w:rtl w:val="true"/>
        </w:rPr>
        <w:footnoteReference w:id="2321"/>
      </w:r>
      <w:r>
        <w:rPr>
          <w:rFonts w:ascii="Amiri" w:hAnsi="Amiri" w:eastAsia="Amiri" w:cs="Amiri"/>
          <w:color w:val="111111"/>
          <w:sz w:val="28"/>
          <w:sz w:val="28"/>
          <w:szCs w:val="28"/>
          <w:rtl w:val="true"/>
          <w:lang w:bidi="ar-SA"/>
        </w:rPr>
        <w:t>، ولاستلزام النقل هتك حرمة المؤمن وإظهار رائحته والمثلة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الدفن على النقل لعدم وجود أرضٍ أو لقبحها، أو لتشويه الميّت بها، أو لعدم حفظها الميّت من سارق أو سبع أو سيل أو نحو ذلك، جاز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النقل للأماكن القريبة قطعاً لعدم انصراف أدلّة النهي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النقل للأماكن المشرّفة؛ لجريان سيرة الإماميّة به من غير إنكار من الأئمّة والعلماء، وللخبرين المتقدّمين</w:t>
      </w:r>
      <w:r>
        <w:rPr>
          <w:rStyle w:val="FootnoteAnchor"/>
          <w:rtl w:val="true"/>
        </w:rPr>
        <w:footnoteReference w:id="2322"/>
      </w:r>
      <w:r>
        <w:rPr>
          <w:rFonts w:ascii="Amiri" w:hAnsi="Amiri" w:eastAsia="Amiri" w:cs="Amiri"/>
          <w:color w:val="111111"/>
          <w:sz w:val="28"/>
          <w:sz w:val="28"/>
          <w:szCs w:val="28"/>
          <w:rtl w:val="true"/>
          <w:lang w:bidi="ar-SA"/>
        </w:rPr>
        <w:t>، ولما ورد من نقل يوسف يعقوب إلى بيت المقدس</w:t>
      </w:r>
      <w:r>
        <w:rPr>
          <w:rStyle w:val="FootnoteAnchor"/>
          <w:rtl w:val="true"/>
        </w:rPr>
        <w:footnoteReference w:id="2323"/>
      </w:r>
      <w:r>
        <w:rPr>
          <w:rFonts w:ascii="IRNazanin" w:hAnsi="IRNazanin" w:eastAsia="IRNazanin"/>
          <w:color w:val="111111"/>
          <w:sz w:val="28"/>
          <w:sz w:val="28"/>
          <w:szCs w:val="28"/>
          <w:rtl w:val="true"/>
          <w:lang w:bidi="fa-IR"/>
        </w:rPr>
        <w:t>، وللإجماع المنقول</w:t>
      </w:r>
      <w:r>
        <w:rPr>
          <w:rStyle w:val="FootnoteAnchor"/>
          <w:rtl w:val="true"/>
        </w:rPr>
        <w:footnoteReference w:id="2324"/>
      </w:r>
      <w:r>
        <w:rPr>
          <w:rFonts w:ascii="Amiri" w:hAnsi="Amiri" w:eastAsia="Amiri" w:cs="Amiri"/>
          <w:color w:val="111111"/>
          <w:sz w:val="28"/>
          <w:sz w:val="28"/>
          <w:szCs w:val="28"/>
          <w:rtl w:val="true"/>
          <w:lang w:bidi="ar-SA"/>
        </w:rPr>
        <w:t>، ولأنّه وسيلة إلى نفع ودفع ضرر أُخرويّين للتمسّك بأهل الشفاعة والقرب إليهم، ولحديث اليماني لمّا أقدم بجنازة أبيه إلى الغريّ حيث أوصاه بذلك، فأقرّه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معه</w:t>
      </w:r>
      <w:r>
        <w:rPr>
          <w:rStyle w:val="FootnoteAnchor"/>
          <w:rtl w:val="true"/>
        </w:rPr>
        <w:footnoteReference w:id="2325"/>
      </w:r>
      <w:r>
        <w:rPr>
          <w:rFonts w:ascii="Amiri" w:hAnsi="Amiri" w:eastAsia="Amiri" w:cs="Amiri"/>
          <w:color w:val="111111"/>
          <w:sz w:val="28"/>
          <w:sz w:val="28"/>
          <w:szCs w:val="28"/>
          <w:rtl w:val="true"/>
          <w:lang w:bidi="ar-SA"/>
        </w:rPr>
        <w:t>، ولما ذكر في العزّية أنّه قد وردت رخصة بذلك</w:t>
      </w:r>
      <w:r>
        <w:rPr>
          <w:rStyle w:val="FootnoteAnchor"/>
          <w:rtl w:val="true"/>
        </w:rPr>
        <w:footnoteReference w:id="2326"/>
      </w:r>
      <w:r>
        <w:rPr>
          <w:rFonts w:ascii="Amiri" w:hAnsi="Amiri" w:eastAsia="Amiri" w:cs="Amiri"/>
          <w:color w:val="111111"/>
          <w:sz w:val="28"/>
          <w:sz w:val="28"/>
          <w:szCs w:val="28"/>
          <w:rtl w:val="true"/>
          <w:lang w:bidi="ar-SA"/>
        </w:rPr>
        <w:t xml:space="preserve">، ولما ورد في بعض الأخبار مَنْ نقل من مات بعرفات إلى الحرم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فكأنّ الأمر بين الشيعة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بين قرب المكان وبين بُعْده، ولا بين تأديته للمثلة بالميّت وظهور رائحته وبين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 ذلك بمشاهد أهل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لو كانت الدار بعيدة</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3198217_1280447820"/>
      <w:bookmarkStart w:id="1127" w:name="_Toc435"/>
      <w:bookmarkEnd w:id="1126"/>
      <w:r>
        <w:rPr>
          <w:rtl w:val="true"/>
        </w:rPr>
        <w:t xml:space="preserve">المسألة الثانية عشر </w:t>
      </w:r>
      <w:r>
        <w:rPr>
          <w:rtl w:val="true"/>
        </w:rPr>
        <w:t xml:space="preserve">: </w:t>
      </w:r>
      <w:r>
        <w:rPr>
          <w:rtl w:val="true"/>
        </w:rPr>
        <w:t>عدم جواز دفن ميّتٍ في قبر آخَر</w:t>
      </w:r>
      <w:bookmarkEnd w:id="1127"/>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دفن ميّت في قبر آخَر وإن لم يستلزم النبش المحرَّم؛ لسبق حقّ الأوّل واختصاصه به، فلا تجوز مزاحمته، وللإجماع المنقول على لسان بعض الفحول</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 xml:space="preserve">. </w:t>
      </w:r>
      <w:bookmarkStart w:id="1128" w:name="pg18988_203591"/>
    </w:p>
    <w:p>
      <w:pPr>
        <w:pStyle w:val="BookText"/>
        <w:rPr/>
      </w:pPr>
      <w:bookmarkEnd w:id="1128"/>
      <w:r>
        <w:rPr>
          <w:rFonts w:ascii="Amiri" w:hAnsi="Amiri" w:eastAsia="Amiri" w:cs="Amiri"/>
          <w:color w:val="111111"/>
          <w:sz w:val="28"/>
          <w:sz w:val="28"/>
          <w:szCs w:val="28"/>
          <w:rtl w:val="true"/>
          <w:lang w:bidi="ar-SA"/>
        </w:rPr>
        <w:t>و أمّا دفن ميّتين في قبر واحد فمكروه؛ لمكان النهي عنه</w:t>
      </w:r>
      <w:r>
        <w:rPr>
          <w:rStyle w:val="FootnoteAnchor"/>
          <w:rtl w:val="true"/>
        </w:rPr>
        <w:footnoteReference w:id="2329"/>
      </w:r>
      <w:r>
        <w:rPr>
          <w:rFonts w:ascii="Amiri" w:hAnsi="Amiri" w:eastAsia="Amiri" w:cs="Amiri"/>
          <w:color w:val="111111"/>
          <w:sz w:val="28"/>
          <w:sz w:val="28"/>
          <w:szCs w:val="28"/>
          <w:rtl w:val="true"/>
          <w:lang w:bidi="ar-SA"/>
        </w:rPr>
        <w:t>، ولفحوى ما دلّ على كراهة حمل الميّتين على جنازةٍ واحدة</w:t>
      </w:r>
      <w:r>
        <w:rPr>
          <w:rStyle w:val="FootnoteAnchor"/>
          <w:rtl w:val="true"/>
        </w:rPr>
        <w:footnoteReference w:id="2330"/>
      </w:r>
      <w:r>
        <w:rPr>
          <w:rFonts w:ascii="Amiri" w:hAnsi="Amiri" w:eastAsia="Amiri" w:cs="Amiri"/>
          <w:color w:val="111111"/>
          <w:sz w:val="28"/>
          <w:sz w:val="28"/>
          <w:szCs w:val="28"/>
          <w:rtl w:val="true"/>
          <w:lang w:bidi="ar-SA"/>
        </w:rPr>
        <w:t>، ولاحتمال تأذّي أحدهما بالآخَر، وافتضاحه عنده، ولا يحرم؛ للأصل، وضعف نهوض الدليل بالتحريم</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3198219_1280447820"/>
      <w:bookmarkStart w:id="1130" w:name="_Toc436"/>
      <w:bookmarkEnd w:id="1129"/>
      <w:r>
        <w:rPr>
          <w:rtl w:val="true"/>
        </w:rPr>
        <w:t>خاتمة في بعض المندوبات</w:t>
      </w:r>
      <w:bookmarkEnd w:id="1130"/>
    </w:p>
    <w:p>
      <w:pPr>
        <w:pStyle w:val="BookText"/>
        <w:rPr/>
      </w:pPr>
      <w:r>
        <w:rPr>
          <w:rFonts w:ascii="Amiri" w:hAnsi="Amiri" w:eastAsia="Amiri" w:cs="Amiri"/>
          <w:color w:val="111111"/>
          <w:sz w:val="28"/>
          <w:sz w:val="28"/>
          <w:szCs w:val="28"/>
          <w:rtl w:val="true"/>
          <w:lang w:bidi="ar-SA"/>
        </w:rPr>
        <w:t>يستحبّ تشييع الجنازة إذا كان مؤمناً؛ للإجماع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الركوب للإجماع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مكروه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المشي خلفها عرفاً، لا بحيث يخرج في البُعْد عن هيئة المشيّع، فإن لم يمكن خلفها مشى عن جانبيها؛ لدلالة الأخبار</w:t>
      </w:r>
      <w:r>
        <w:rPr>
          <w:rStyle w:val="FootnoteAnchor"/>
          <w:rtl w:val="true"/>
        </w:rPr>
        <w:footnoteReference w:id="233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المشي أمامها؛ جمعاً بين الأخبار المجوّزة </w:t>
      </w:r>
      <w:r>
        <w:rPr>
          <w:rStyle w:val="FootnoteAnchor"/>
          <w:rtl w:val="true"/>
        </w:rPr>
        <w:footnoteReference w:id="2332"/>
      </w:r>
      <w:r>
        <w:rPr>
          <w:rFonts w:ascii="Amiri" w:hAnsi="Amiri" w:eastAsia="Amiri" w:cs="Amiri"/>
          <w:color w:val="111111"/>
          <w:sz w:val="28"/>
          <w:sz w:val="28"/>
          <w:szCs w:val="28"/>
          <w:rtl w:val="true"/>
          <w:lang w:bidi="ar-SA"/>
        </w:rPr>
        <w:t>والأخبار الناهية</w:t>
      </w:r>
      <w:r>
        <w:rPr>
          <w:rStyle w:val="FootnoteAnchor"/>
          <w:rtl w:val="true"/>
        </w:rPr>
        <w:footnoteReference w:id="2333"/>
      </w:r>
      <w:r>
        <w:rPr>
          <w:rFonts w:ascii="Amiri" w:hAnsi="Amiri" w:eastAsia="Amiri" w:cs="Amiri"/>
          <w:color w:val="111111"/>
          <w:sz w:val="28"/>
          <w:sz w:val="28"/>
          <w:szCs w:val="28"/>
          <w:rtl w:val="true"/>
          <w:lang w:bidi="ar-SA"/>
        </w:rPr>
        <w:t>، مع أنّ المشي أمامها من شعار العامّة والرشد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الكراهة كراهة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أمام جنازة المخالف؛ للتعليل باستقبال ملائكة العذاب</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تربيع الجنازة، بمعنى حملها من الجوانب الأربع؛ للأخبار</w:t>
      </w:r>
      <w:r>
        <w:rPr>
          <w:rStyle w:val="FootnoteAnchor"/>
          <w:rtl w:val="true"/>
        </w:rPr>
        <w:footnoteReference w:id="2335"/>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يستحب الاستدارة عليها مع ذلك مختتماً بما بدأ مرة أو مرتين أو أزيد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كيفيّة التربيع مختلفة، ككلام الأصحاب، والمشهور نقلا </w:t>
      </w:r>
      <w:r>
        <w:rPr>
          <w:rStyle w:val="FootnoteAnchor"/>
          <w:rtl w:val="true"/>
        </w:rPr>
        <w:footnoteReference w:id="2336"/>
      </w:r>
      <w:r>
        <w:rPr>
          <w:rFonts w:ascii="Amiri" w:hAnsi="Amiri" w:eastAsia="Amiri" w:cs="Amiri"/>
          <w:color w:val="111111"/>
          <w:sz w:val="28"/>
          <w:sz w:val="28"/>
          <w:szCs w:val="28"/>
          <w:rtl w:val="true"/>
          <w:lang w:bidi="ar-SA"/>
        </w:rPr>
        <w:t>بل ربّما يدّعى تحصيلاً، ونقل عليه الإجماع</w:t>
      </w:r>
      <w:r>
        <w:rPr>
          <w:rStyle w:val="FootnoteAnchor"/>
          <w:rtl w:val="true"/>
        </w:rPr>
        <w:footnoteReference w:id="2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بمقدّم السرير الأيمن على عاتقه الأيسر، ثمّ بمؤخّره، ثمّ بمؤخّر الأيسر على عاتقه الأيمن إلى أن يرجع إلى مقدّمه، فيجتمع يسار الحامل مع يسار </w:t>
      </w:r>
    </w:p>
    <w:p>
      <w:pPr>
        <w:pStyle w:val="BookText"/>
        <w:rPr/>
      </w:pPr>
      <w:r>
        <w:rPr>
          <w:rFonts w:ascii="Amiri" w:hAnsi="Amiri" w:eastAsia="Amiri" w:cs="Amiri"/>
          <w:color w:val="111111"/>
          <w:sz w:val="28"/>
          <w:sz w:val="28"/>
          <w:szCs w:val="28"/>
          <w:rtl w:val="true"/>
          <w:lang w:bidi="ar-SA"/>
        </w:rPr>
        <w:t>المحمول مع يمين السرير، بناءً على أنّ السرير كالدابّة السائرة والميّت مستلقى عليها، فيمينه يساره ويساره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السرير قبل ذلك في الزمن السابق كان له أربعة أرجل كهيئة الدابّة، وأمّا تابوت اليوم فالظاهر أنّ يمينه ويمين الميّت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أيضاً ما يدلّ على الحكم المزبور،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تستقبل الجنازة من جانبها الأيمن</w:t>
      </w:r>
      <w:r>
        <w:rPr>
          <w:rFonts w:eastAsia="Amiri" w:cs="Amiri" w:ascii="Amiri" w:hAnsi="Amiri"/>
          <w:color w:val="111111"/>
          <w:sz w:val="28"/>
          <w:szCs w:val="28"/>
          <w:rtl w:val="true"/>
          <w:lang w:bidi="ar-SA"/>
        </w:rPr>
        <w:t>»</w:t>
      </w:r>
      <w:r>
        <w:rPr>
          <w:rStyle w:val="FootnoteAnchor"/>
          <w:rtl w:val="true"/>
        </w:rPr>
        <w:footnoteReference w:id="2338"/>
      </w:r>
      <w:r>
        <w:rPr>
          <w:rFonts w:ascii="Amiri" w:hAnsi="Amiri" w:eastAsia="Amiri" w:cs="Amiri"/>
          <w:color w:val="111111"/>
          <w:sz w:val="28"/>
          <w:sz w:val="28"/>
          <w:szCs w:val="28"/>
          <w:rtl w:val="true"/>
          <w:lang w:bidi="ar-SA"/>
        </w:rPr>
        <w:t xml:space="preserve">فيراد بالجنازة السرير لا الميّت؛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يلي يسارك</w:t>
      </w:r>
      <w:r>
        <w:rPr>
          <w:rFonts w:eastAsia="Amiri" w:cs="Amiri" w:ascii="Amiri" w:hAnsi="Amiri"/>
          <w:color w:val="111111"/>
          <w:sz w:val="28"/>
          <w:szCs w:val="28"/>
          <w:rtl w:val="true"/>
          <w:lang w:bidi="ar-SA"/>
        </w:rPr>
        <w:t>»</w:t>
      </w:r>
      <w:r>
        <w:rPr>
          <w:rStyle w:val="FootnoteAnchor"/>
          <w:rtl w:val="true"/>
        </w:rPr>
        <w:footnoteReference w:id="2339"/>
      </w:r>
      <w:r>
        <w:rPr>
          <w:rFonts w:ascii="Amiri" w:hAnsi="Amiri" w:eastAsia="Amiri" w:cs="Amiri"/>
          <w:color w:val="111111"/>
          <w:sz w:val="28"/>
          <w:sz w:val="28"/>
          <w:szCs w:val="28"/>
          <w:rtl w:val="true"/>
          <w:lang w:bidi="ar-SA"/>
        </w:rPr>
        <w:t xml:space="preserve">ولقوله في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باليد اليمنى ثمّ الرّجْل اليمنى ثم ارجع من مكانك إلى ميامن الميّت</w:t>
      </w:r>
      <w:r>
        <w:rPr>
          <w:rFonts w:eastAsia="Amiri" w:cs="Amiri" w:ascii="Amiri" w:hAnsi="Amiri"/>
          <w:color w:val="111111"/>
          <w:sz w:val="28"/>
          <w:szCs w:val="28"/>
          <w:rtl w:val="true"/>
          <w:lang w:bidi="ar-SA"/>
        </w:rPr>
        <w:t xml:space="preserve">» </w:t>
      </w:r>
      <w:r>
        <w:rPr>
          <w:rStyle w:val="FootnoteAnchor"/>
          <w:rtl w:val="true"/>
        </w:rPr>
        <w:footnoteReference w:id="2340"/>
      </w:r>
      <w:r>
        <w:rPr>
          <w:rFonts w:ascii="Amiri" w:hAnsi="Amiri" w:eastAsia="Amiri" w:cs="Amiri"/>
          <w:color w:val="111111"/>
          <w:sz w:val="28"/>
          <w:sz w:val="28"/>
          <w:szCs w:val="28"/>
          <w:rtl w:val="true"/>
          <w:lang w:bidi="ar-SA"/>
        </w:rPr>
        <w:t>فإنّ الأمر بالرجوع إلى ميا من الميّت دليل على يمين السرير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معنى التربيع عكس الأوّل</w:t>
      </w:r>
      <w:r>
        <w:rPr>
          <w:rStyle w:val="FootnoteAnchor"/>
          <w:rtl w:val="true"/>
        </w:rPr>
        <w:footnoteReference w:id="2341"/>
      </w:r>
      <w:r>
        <w:rPr>
          <w:rFonts w:ascii="Amiri" w:hAnsi="Amiri" w:eastAsia="Amiri" w:cs="Amiri"/>
          <w:color w:val="111111"/>
          <w:sz w:val="28"/>
          <w:sz w:val="28"/>
          <w:szCs w:val="28"/>
          <w:rtl w:val="true"/>
          <w:lang w:bidi="ar-SA"/>
        </w:rPr>
        <w:t>، و نُقل عليه الشهرة</w:t>
      </w:r>
      <w:r>
        <w:rPr>
          <w:rStyle w:val="FootnoteAnchor"/>
          <w:rtl w:val="true"/>
        </w:rPr>
        <w:footnoteReference w:id="2342"/>
      </w:r>
      <w:r>
        <w:rPr>
          <w:rFonts w:ascii="Amiri" w:hAnsi="Amiri" w:eastAsia="Amiri" w:cs="Amiri"/>
          <w:color w:val="111111"/>
          <w:sz w:val="28"/>
          <w:sz w:val="28"/>
          <w:szCs w:val="28"/>
          <w:rtl w:val="true"/>
          <w:lang w:bidi="ar-SA"/>
        </w:rPr>
        <w:t>، وأُيّد بالاعتبار؛ لاجتماع يمينّي الحامل والميّت مع يسار السرير دون الأوّل؛ لاجتماع يساريهما مع يمينه، والأوّل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أيضاً بتحقّق الاستدارة المأمور بها معه من غير تكلّفٍ، دون المذكور سابقاً؛ لأنّ استدارة الرحى إلى اليسار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حفر القبر قامة أو إلى الترقوة؛ للإجماع المنقول</w:t>
      </w:r>
      <w:r>
        <w:rPr>
          <w:rStyle w:val="FootnoteAnchor"/>
          <w:rtl w:val="true"/>
        </w:rPr>
        <w:footnoteReference w:id="2343"/>
      </w:r>
      <w:r>
        <w:rPr>
          <w:rFonts w:ascii="Amiri" w:hAnsi="Amiri" w:eastAsia="Amiri" w:cs="Amiri"/>
          <w:color w:val="111111"/>
          <w:sz w:val="28"/>
          <w:sz w:val="28"/>
          <w:szCs w:val="28"/>
          <w:rtl w:val="true"/>
          <w:lang w:bidi="ar-SA"/>
        </w:rPr>
        <w:t>، ورواية الأذرع الثلاث</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استحباب القامة إلى الرأس وإلى الثدي، ولكن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الأرض المعتدلة، فلو كانت رطبة يخرج ماؤها قريباً استحبّ دون ذلك، أو كانت رملاً مهيلاً ضعيفة الحفظ عن السباع استحبّ فوق ذلك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اللحد؛ إجماعاً فتوىً ونصّاً، وهي حفيرة واسعة بقدر ما يجلس الميّت نحو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الشقّ إلّا للبدن؛ لأمر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بالشقّ له</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ويستحبّ أن يتحفّى النازل إلى القبر، ويحلّ أزراره، ويكشف رأسه للأخبار</w:t>
      </w:r>
      <w:r>
        <w:rPr>
          <w:rStyle w:val="FootnoteAnchor"/>
          <w:rtl w:val="true"/>
        </w:rPr>
        <w:footnoteReference w:id="2346"/>
      </w:r>
      <w:r>
        <w:rPr>
          <w:rFonts w:ascii="Amiri" w:hAnsi="Amiri" w:eastAsia="Amiri" w:cs="Amiri"/>
          <w:color w:val="111111"/>
          <w:sz w:val="28"/>
          <w:sz w:val="28"/>
          <w:szCs w:val="28"/>
          <w:rtl w:val="true"/>
          <w:lang w:bidi="ar-SA"/>
        </w:rPr>
        <w:t>،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 عند نزوله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نزول ذي الرحم القبر إلّا الولد مع والده على الأظهر؛ للأخبار</w:t>
      </w:r>
      <w:r>
        <w:rPr>
          <w:rStyle w:val="FootnoteAnchor"/>
          <w:rtl w:val="true"/>
        </w:rPr>
        <w:footnoteReference w:id="2347"/>
      </w:r>
      <w:r>
        <w:rPr>
          <w:rFonts w:ascii="Amiri" w:hAnsi="Amiri" w:eastAsia="Amiri" w:cs="Amiri"/>
          <w:color w:val="111111"/>
          <w:sz w:val="28"/>
          <w:sz w:val="28"/>
          <w:szCs w:val="28"/>
          <w:rtl w:val="true"/>
          <w:lang w:bidi="ar-SA"/>
        </w:rPr>
        <w:t>، وفتوى جملة من الأصحاب</w:t>
      </w:r>
      <w:r>
        <w:rPr>
          <w:rStyle w:val="FootnoteAnchor"/>
          <w:rtl w:val="true"/>
        </w:rPr>
        <w:footnoteReference w:id="2348"/>
      </w:r>
      <w:r>
        <w:rPr>
          <w:rFonts w:ascii="Amiri" w:hAnsi="Amiri" w:eastAsia="Amiri" w:cs="Amiri"/>
          <w:color w:val="111111"/>
          <w:sz w:val="28"/>
          <w:sz w:val="28"/>
          <w:szCs w:val="28"/>
          <w:rtl w:val="true"/>
          <w:lang w:bidi="ar-SA"/>
        </w:rPr>
        <w:t>، إلّا إذا كان الميّت امرأةً فالمحارم والزوج أولى بإنزالها؛ للأخبار</w:t>
      </w:r>
      <w:r>
        <w:rPr>
          <w:rStyle w:val="FootnoteAnchor"/>
          <w:rtl w:val="true"/>
        </w:rPr>
        <w:footnoteReference w:id="2349"/>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إذا أُريد دفنه أن يجعل الميّت عند رِجْلَي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رجلاً؛ للأخبار</w:t>
      </w:r>
      <w:r>
        <w:rPr>
          <w:rStyle w:val="FootnoteAnchor"/>
          <w:rtl w:val="true"/>
        </w:rPr>
        <w:footnoteReference w:id="2350"/>
      </w:r>
      <w:r>
        <w:rPr>
          <w:rFonts w:ascii="Amiri" w:hAnsi="Amiri" w:eastAsia="Amiri" w:cs="Amiri"/>
          <w:color w:val="111111"/>
          <w:sz w:val="28"/>
          <w:sz w:val="28"/>
          <w:szCs w:val="28"/>
          <w:rtl w:val="true"/>
          <w:lang w:bidi="ar-SA"/>
        </w:rPr>
        <w:t>،و إن كانت امرأةً فقُدّامه؛ للرضوي</w:t>
      </w:r>
      <w:r>
        <w:rPr>
          <w:rStyle w:val="FootnoteAnchor"/>
          <w:rtl w:val="true"/>
        </w:rPr>
        <w:footnoteReference w:id="2351"/>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أن ينقل الميّت مرّتين، ويوضع ويصبر هنيئة وينزل في الثالثة؛ للرضوي</w:t>
      </w:r>
      <w:r>
        <w:rPr>
          <w:rStyle w:val="FootnoteAnchor"/>
          <w:rtl w:val="true"/>
        </w:rPr>
        <w:footnoteReference w:id="2352"/>
      </w:r>
      <w:r>
        <w:rPr>
          <w:rFonts w:ascii="IRNazanin" w:hAnsi="IRNazanin" w:eastAsia="IRNazanin"/>
          <w:color w:val="111111"/>
          <w:sz w:val="28"/>
          <w:sz w:val="28"/>
          <w:szCs w:val="28"/>
          <w:rtl w:val="true"/>
          <w:lang w:bidi="fa-IR"/>
        </w:rPr>
        <w:t>، و فتوى الأصحاب</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إنزاله سابقاً برأسه إن كان رجلاً، وأخذها عرضاً إن كانت امرأة</w:t>
      </w:r>
      <w:r>
        <w:rPr>
          <w:rStyle w:val="FootnoteAnchor"/>
          <w:rtl w:val="true"/>
        </w:rPr>
        <w:footnoteReference w:id="2353"/>
      </w:r>
      <w:r>
        <w:rPr>
          <w:rFonts w:ascii="IRNazanin" w:hAnsi="IRNazanin" w:eastAsia="IRNazanin"/>
          <w:color w:val="111111"/>
          <w:sz w:val="28"/>
          <w:sz w:val="28"/>
          <w:szCs w:val="28"/>
          <w:rtl w:val="true"/>
          <w:lang w:bidi="fa-IR"/>
        </w:rPr>
        <w:t>، وأن يحلّ عقد گفته بعد نزوله</w:t>
      </w:r>
      <w:r>
        <w:rPr>
          <w:rStyle w:val="FootnoteAnchor"/>
          <w:rtl w:val="true"/>
        </w:rPr>
        <w:footnoteReference w:id="2354"/>
      </w:r>
      <w:r>
        <w:rPr>
          <w:rFonts w:ascii="Amiri" w:hAnsi="Amiri" w:eastAsia="Amiri" w:cs="Amiri"/>
          <w:color w:val="111111"/>
          <w:sz w:val="28"/>
          <w:sz w:val="28"/>
          <w:szCs w:val="28"/>
          <w:rtl w:val="true"/>
          <w:lang w:bidi="ar-SA"/>
        </w:rPr>
        <w:t>، وأن يلقنه الوليّ أو مَنْ يأمره أُصولّ دينه</w:t>
      </w:r>
      <w:r>
        <w:rPr>
          <w:rStyle w:val="FootnoteAnchor"/>
          <w:rtl w:val="true"/>
        </w:rPr>
        <w:footnoteReference w:id="2355"/>
      </w:r>
      <w:r>
        <w:rPr>
          <w:rFonts w:ascii="Amiri" w:hAnsi="Amiri" w:eastAsia="Amiri" w:cs="Amiri"/>
          <w:color w:val="111111"/>
          <w:sz w:val="28"/>
          <w:sz w:val="28"/>
          <w:szCs w:val="28"/>
          <w:rtl w:val="true"/>
          <w:lang w:bidi="ar-SA"/>
        </w:rPr>
        <w:t>، وأن يجعل معه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يشرج اللحد وينضده باللبن</w:t>
      </w:r>
      <w:r>
        <w:rPr>
          <w:rStyle w:val="FootnoteAnchor"/>
          <w:rtl w:val="true"/>
        </w:rPr>
        <w:footnoteReference w:id="2357"/>
      </w:r>
      <w:r>
        <w:rPr>
          <w:rFonts w:ascii="Amiri" w:hAnsi="Amiri" w:eastAsia="Amiri" w:cs="Amiri"/>
          <w:color w:val="111111"/>
          <w:sz w:val="28"/>
          <w:sz w:val="28"/>
          <w:szCs w:val="28"/>
          <w:rtl w:val="true"/>
          <w:lang w:bidi="ar-SA"/>
        </w:rPr>
        <w:t>، وأن يخرج من قِبَل رِجْليه</w:t>
      </w:r>
      <w:r>
        <w:rPr>
          <w:rStyle w:val="FootnoteAnchor"/>
          <w:rtl w:val="true"/>
        </w:rPr>
        <w:footnoteReference w:id="2358"/>
      </w:r>
      <w:r>
        <w:rPr>
          <w:rFonts w:ascii="Amiri" w:hAnsi="Amiri" w:eastAsia="Amiri" w:cs="Amiri"/>
          <w:color w:val="111111"/>
          <w:sz w:val="28"/>
          <w:sz w:val="28"/>
          <w:szCs w:val="28"/>
          <w:rtl w:val="true"/>
          <w:lang w:bidi="ar-SA"/>
        </w:rPr>
        <w:t>، وأن يهيل الحاضرون التراب عليه بظهور الأكفّ مسترجعين</w:t>
      </w:r>
      <w:r>
        <w:rPr>
          <w:rStyle w:val="FootnoteAnchor"/>
          <w:rtl w:val="true"/>
        </w:rPr>
        <w:footnoteReference w:id="2359"/>
      </w:r>
      <w:r>
        <w:rPr>
          <w:rFonts w:ascii="Amiri" w:hAnsi="Amiri" w:eastAsia="Amiri" w:cs="Amiri"/>
          <w:color w:val="111111"/>
          <w:sz w:val="28"/>
          <w:sz w:val="28"/>
          <w:szCs w:val="28"/>
          <w:rtl w:val="true"/>
          <w:lang w:bidi="ar-SA"/>
        </w:rPr>
        <w:t>، وأن لا يهيل ذو رحم</w:t>
      </w:r>
      <w:r>
        <w:rPr>
          <w:rStyle w:val="FootnoteAnchor"/>
          <w:rtl w:val="true"/>
        </w:rPr>
        <w:footnoteReference w:id="2360"/>
      </w:r>
      <w:r>
        <w:rPr>
          <w:rFonts w:ascii="Amiri" w:hAnsi="Amiri" w:eastAsia="Amiri" w:cs="Amiri"/>
          <w:color w:val="111111"/>
          <w:sz w:val="28"/>
          <w:sz w:val="28"/>
          <w:szCs w:val="28"/>
          <w:rtl w:val="true"/>
          <w:lang w:bidi="ar-SA"/>
        </w:rPr>
        <w:t>، وأن لا يوضع على القبر غير ترابه</w:t>
      </w:r>
      <w:r>
        <w:rPr>
          <w:rStyle w:val="FootnoteAnchor"/>
          <w:rtl w:val="true"/>
        </w:rPr>
        <w:footnoteReference w:id="23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يلقّنه الوليّ بعد انصرافهم عنه أُصول الدين</w:t>
      </w:r>
      <w:r>
        <w:rPr>
          <w:rStyle w:val="FootnoteAnchor"/>
          <w:rtl w:val="true"/>
        </w:rPr>
        <w:footnoteReference w:id="2362"/>
      </w:r>
      <w:r>
        <w:rPr>
          <w:rFonts w:ascii="Amiri" w:hAnsi="Amiri" w:eastAsia="Amiri" w:cs="Amiri"/>
          <w:color w:val="111111"/>
          <w:sz w:val="28"/>
          <w:sz w:val="28"/>
          <w:szCs w:val="28"/>
          <w:rtl w:val="true"/>
          <w:lang w:bidi="ar-SA"/>
        </w:rPr>
        <w:t>، وأن يرفع القبر قدر أربع أصابع منفرجات</w:t>
      </w:r>
      <w:r>
        <w:rPr>
          <w:rStyle w:val="FootnoteAnchor"/>
          <w:rtl w:val="true"/>
        </w:rPr>
        <w:footnoteReference w:id="2363"/>
      </w:r>
      <w:r>
        <w:rPr>
          <w:rFonts w:ascii="Amiri" w:hAnsi="Amiri" w:eastAsia="Amiri" w:cs="Amiri"/>
          <w:color w:val="111111"/>
          <w:sz w:val="28"/>
          <w:sz w:val="28"/>
          <w:szCs w:val="28"/>
          <w:rtl w:val="true"/>
          <w:lang w:bidi="ar-SA"/>
        </w:rPr>
        <w:t>، وأن يكون مسطّحاً مربّعاً</w:t>
      </w:r>
      <w:r>
        <w:rPr>
          <w:rStyle w:val="FootnoteAnchor"/>
          <w:rtl w:val="true"/>
        </w:rPr>
        <w:footnoteReference w:id="2364"/>
      </w:r>
      <w:r>
        <w:rPr>
          <w:rFonts w:ascii="Amiri" w:hAnsi="Amiri" w:eastAsia="Amiri" w:cs="Amiri"/>
          <w:color w:val="111111"/>
          <w:sz w:val="28"/>
          <w:sz w:val="28"/>
          <w:szCs w:val="28"/>
          <w:rtl w:val="true"/>
          <w:lang w:bidi="ar-SA"/>
        </w:rPr>
        <w:t>، وأن يضع الحاضرون الأيدي عليه مترحّمين له</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فرش القبر بالساج وتجصّصه</w:t>
      </w:r>
      <w:r>
        <w:rPr>
          <w:rStyle w:val="FootnoteAnchor"/>
          <w:rtl w:val="true"/>
        </w:rPr>
        <w:footnoteReference w:id="2366"/>
      </w:r>
      <w:r>
        <w:rPr>
          <w:rFonts w:ascii="IRNazanin" w:hAnsi="IRNazanin" w:eastAsia="IRNazanin"/>
          <w:color w:val="111111"/>
          <w:sz w:val="28"/>
          <w:sz w:val="28"/>
          <w:szCs w:val="28"/>
          <w:rtl w:val="true"/>
          <w:lang w:bidi="fa-IR"/>
        </w:rPr>
        <w:t>باطناً ، بل وظاهراً، سوى العلماء وشبههم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تجديد القبر بعد اندراسه</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ذلك دلّت عليه الأخبار وفتاوى الأخيار، فلا محيص عنها</w:t>
      </w:r>
      <w:r>
        <w:rPr>
          <w:rFonts w:eastAsia="Amiri" w:cs="Amiri" w:ascii="Amiri" w:hAnsi="Amiri"/>
          <w:color w:val="111111"/>
          <w:sz w:val="28"/>
          <w:szCs w:val="28"/>
          <w:rtl w:val="true"/>
          <w:lang w:bidi="ar-SA"/>
        </w:rPr>
        <w:t xml:space="preserve">. </w:t>
      </w:r>
      <w:bookmarkStart w:id="1131" w:name="pg18988_203595"/>
    </w:p>
    <w:p>
      <w:pPr>
        <w:pStyle w:val="Heading3"/>
        <w:numPr>
          <w:ilvl w:val="2"/>
          <w:numId w:val="1"/>
        </w:numPr>
        <w:rPr/>
      </w:pPr>
      <w:bookmarkStart w:id="1132" w:name="__RefHeading___Toc13198221_1280447820"/>
      <w:bookmarkStart w:id="1133" w:name="_Toc437"/>
      <w:bookmarkEnd w:id="1131"/>
      <w:bookmarkEnd w:id="1132"/>
      <w:r>
        <w:rPr>
          <w:rtl w:val="true"/>
        </w:rPr>
        <w:t>القول في التيمم</w:t>
      </w:r>
      <w:bookmarkEnd w:id="1133"/>
    </w:p>
    <w:p>
      <w:pPr>
        <w:pStyle w:val="Heading4"/>
        <w:numPr>
          <w:ilvl w:val="3"/>
          <w:numId w:val="1"/>
        </w:numPr>
        <w:rPr/>
      </w:pPr>
      <w:bookmarkStart w:id="1134" w:name="__RefHeading___Toc13198223_1280447820"/>
      <w:bookmarkStart w:id="1135" w:name="_Toc438"/>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2368"/>
      </w:r>
      <w:r>
        <w:rPr>
          <w:rFonts w:ascii="Amiri" w:hAnsi="Amiri" w:eastAsia="Amiri" w:cs="Amiri"/>
          <w:color w:val="111111"/>
          <w:sz w:val="28"/>
          <w:sz w:val="28"/>
          <w:szCs w:val="28"/>
          <w:rtl w:val="true"/>
          <w:lang w:bidi="ar-SA"/>
        </w:rPr>
        <w:t xml:space="preserve">،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أفعالٍ مخصوصة على وجهٍ مخصوص، أو أفعال مخصوصة على وجهٍ مخصوص مقترنة بالقصد، وهو من الحقائق الشرعيّة الموضوعة للصحيح على الصحيح، ومشروعيّته ثابتة بالكتاب والسنّة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مَرْضَى</w:t>
      </w:r>
      <w:r>
        <w:rPr>
          <w:rStyle w:val="FootnoteAnchor"/>
          <w:rtl w:val="true"/>
        </w:rPr>
        <w:footnoteReference w:id="2369"/>
      </w:r>
      <w:r>
        <w:rPr>
          <w:rFonts w:ascii="Amiri" w:hAnsi="Amiri" w:eastAsia="Amiri" w:cs="Amiri"/>
          <w:color w:val="111111"/>
          <w:sz w:val="28"/>
          <w:sz w:val="28"/>
          <w:szCs w:val="28"/>
          <w:rtl w:val="true"/>
          <w:lang w:bidi="ar-SA"/>
        </w:rPr>
        <w:t>نبّه بدلالة الإيماء على أنّ الممنوع من استعمال الماء مع وجوده من مرض حاليٍّ أو استقباليٍّ يتوقّع باستعمال الماء أو من خوف عطش عند إتلافه وما شابه ذلك من العوارض،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سَفَرٍ نبه بذكر السفر؛ لأنّه مظنّة عدم الماء في السفر البرّي على عدم وجوده أو وجوده وعدم إمكان الوصول إليه؛ لعدم الآلة، أو لقطع طريقه من سَبُعٍ أو لُصٍّ أو ظالمٍ، أو لكونه مال الغير، أو لكونه نجساً، أو لضيق الوقت عن استعماله، أو ما شابه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وأراد بعدم الوجدان ما يشمل ما دلّ عليه ذكر المرض والسفر تأكيداً لكون الحكم معلّقاً عليهما لا لأنفسهما، بل لعدم القدرة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الغائط والجنابة تنبيهاً على قيامه مقام رافع الأصغر والأكبر،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ذكرهما تنبيهاً على ترتّب التيمّم على عدم وجدان الماء لا عليهما، ثمّ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أي اقصدوا صَعِيداً أي وجه الأرض، كما عن المشهور بين اللغويّين والفقهاء</w:t>
      </w:r>
      <w:r>
        <w:rPr>
          <w:rStyle w:val="FootnoteAnchor"/>
          <w:rtl w:val="true"/>
        </w:rPr>
        <w:footnoteReference w:id="2370"/>
      </w:r>
      <w:r>
        <w:rPr>
          <w:rFonts w:ascii="Amiri" w:hAnsi="Amiri" w:eastAsia="Amiri" w:cs="Amiri"/>
          <w:color w:val="111111"/>
          <w:sz w:val="28"/>
          <w:sz w:val="28"/>
          <w:szCs w:val="28"/>
          <w:rtl w:val="true"/>
          <w:lang w:bidi="ar-SA"/>
        </w:rPr>
        <w:t>، أو التراب الخالص كما عن بعضٍ</w:t>
      </w:r>
      <w:r>
        <w:rPr>
          <w:rStyle w:val="FootnoteAnchor"/>
          <w:rtl w:val="true"/>
        </w:rPr>
        <w:footnoteReference w:id="237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 أي </w:t>
      </w:r>
      <w:bookmarkStart w:id="1136" w:name="pg18988_203596"/>
    </w:p>
    <w:p>
      <w:pPr>
        <w:pStyle w:val="BookText"/>
        <w:rPr/>
      </w:pPr>
      <w:bookmarkEnd w:id="1136"/>
      <w:r>
        <w:rPr>
          <w:rFonts w:ascii="Amiri" w:hAnsi="Amiri" w:eastAsia="Amiri" w:cs="Amiri"/>
          <w:color w:val="111111"/>
          <w:sz w:val="28"/>
          <w:sz w:val="28"/>
          <w:szCs w:val="28"/>
          <w:rtl w:val="true"/>
          <w:lang w:bidi="ar-SA"/>
        </w:rPr>
        <w:t>طاهراً خالصاً من غير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وَأَيْدِيكُمْ أي ببعضها مبتدئين منه أو من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إرادة نفس الفعل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فيكون صعيداً منصوباً بإسقاط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مشروعيّة التيمّم الإجماع والسنّة الدالّة على أنّه بمنزلة الماء</w:t>
      </w:r>
      <w:r>
        <w:rPr>
          <w:rStyle w:val="FootnoteAnchor"/>
          <w:rtl w:val="true"/>
        </w:rPr>
        <w:footnoteReference w:id="2372"/>
      </w:r>
      <w:r>
        <w:rPr>
          <w:rFonts w:ascii="Amiri" w:hAnsi="Amiri" w:eastAsia="Amiri" w:cs="Amiri"/>
          <w:color w:val="111111"/>
          <w:sz w:val="28"/>
          <w:sz w:val="28"/>
          <w:szCs w:val="28"/>
          <w:rtl w:val="true"/>
          <w:lang w:bidi="ar-SA"/>
        </w:rPr>
        <w:t>و أنّه يجزئك الصعيد عشر سنين</w:t>
      </w:r>
      <w:r>
        <w:rPr>
          <w:rStyle w:val="FootnoteAnchor"/>
          <w:rtl w:val="true"/>
        </w:rPr>
        <w:footnoteReference w:id="2373"/>
      </w:r>
      <w:r>
        <w:rPr>
          <w:rFonts w:ascii="Amiri" w:hAnsi="Amiri" w:eastAsia="Amiri" w:cs="Amiri"/>
          <w:color w:val="111111"/>
          <w:sz w:val="28"/>
          <w:sz w:val="28"/>
          <w:szCs w:val="28"/>
          <w:rtl w:val="true"/>
          <w:lang w:bidi="ar-SA"/>
        </w:rPr>
        <w:t>، وأنّه أحد الطهورين</w:t>
      </w:r>
      <w:r>
        <w:rPr>
          <w:rStyle w:val="FootnoteAnchor"/>
          <w:rtl w:val="true"/>
        </w:rPr>
        <w:footnoteReference w:id="2374"/>
      </w:r>
      <w:r>
        <w:rPr>
          <w:rFonts w:ascii="IRNazanin" w:hAnsi="IRNazanin" w:eastAsia="IRNazanin"/>
          <w:color w:val="111111"/>
          <w:sz w:val="28"/>
          <w:sz w:val="28"/>
          <w:szCs w:val="28"/>
          <w:rtl w:val="true"/>
          <w:lang w:bidi="fa-IR"/>
        </w:rPr>
        <w:t>، وأنّ الأرض مسجد وطهور</w:t>
      </w:r>
      <w:r>
        <w:rPr>
          <w:rStyle w:val="FootnoteAnchor"/>
          <w:rtl w:val="true"/>
        </w:rPr>
        <w:footnoteReference w:id="2375"/>
      </w:r>
      <w:r>
        <w:rPr>
          <w:rFonts w:ascii="Amiri" w:hAnsi="Amiri" w:eastAsia="Amiri" w:cs="Amiri"/>
          <w:color w:val="111111"/>
          <w:sz w:val="28"/>
          <w:sz w:val="28"/>
          <w:szCs w:val="28"/>
          <w:rtl w:val="true"/>
          <w:lang w:bidi="ar-SA"/>
        </w:rPr>
        <w:t>، ولولا الإجماع وجملة من الأخبار</w:t>
      </w:r>
      <w:r>
        <w:rPr>
          <w:rStyle w:val="FootnoteAnchor"/>
          <w:rtl w:val="true"/>
        </w:rPr>
        <w:footnoteReference w:id="2376"/>
      </w:r>
      <w:r>
        <w:rPr>
          <w:rFonts w:ascii="Amiri" w:hAnsi="Amiri" w:eastAsia="Amiri" w:cs="Amiri"/>
          <w:color w:val="111111"/>
          <w:sz w:val="28"/>
          <w:sz w:val="28"/>
          <w:szCs w:val="28"/>
          <w:rtl w:val="true"/>
          <w:lang w:bidi="ar-SA"/>
        </w:rPr>
        <w:t>الدالّين على كونه مبيحاً لا رافعاً، لكان حكمه حكم الماء</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3198225_1280447820"/>
      <w:bookmarkStart w:id="1138" w:name="_Toc439"/>
      <w:bookmarkEnd w:id="1137"/>
      <w:r>
        <w:rPr>
          <w:rtl w:val="true"/>
        </w:rPr>
        <w:t>مسوغات التيمّم</w:t>
      </w:r>
      <w:bookmarkEnd w:id="1138"/>
    </w:p>
    <w:p>
      <w:pPr>
        <w:pStyle w:val="BookText"/>
        <w:rPr/>
      </w:pPr>
      <w:r>
        <w:rPr>
          <w:rFonts w:ascii="Amiri" w:hAnsi="Amiri" w:eastAsia="Amiri" w:cs="Amiri"/>
          <w:color w:val="111111"/>
          <w:sz w:val="28"/>
          <w:sz w:val="28"/>
          <w:szCs w:val="28"/>
          <w:rtl w:val="true"/>
          <w:lang w:bidi="ar-SA"/>
        </w:rPr>
        <w:t>والكلام فيه في مواضع</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3198227_1280447820"/>
      <w:bookmarkStart w:id="1140" w:name="_Toc440"/>
      <w:bookmarkEnd w:id="1139"/>
      <w:r>
        <w:rPr>
          <w:rtl w:val="true"/>
        </w:rPr>
        <w:t>أحدها</w:t>
      </w:r>
      <w:r>
        <w:rPr>
          <w:rtl w:val="true"/>
        </w:rPr>
        <w:t xml:space="preserve">: </w:t>
      </w:r>
      <w:r>
        <w:rPr>
          <w:rtl w:val="true"/>
        </w:rPr>
        <w:t>فقدان الماء إلى آخر الوقت</w:t>
      </w:r>
      <w:bookmarkEnd w:id="1140"/>
    </w:p>
    <w:p>
      <w:pPr>
        <w:pStyle w:val="BookText"/>
        <w:rPr/>
      </w:pPr>
      <w:r>
        <w:rPr>
          <w:rFonts w:ascii="Amiri" w:hAnsi="Amiri" w:eastAsia="Amiri" w:cs="Amiri"/>
          <w:color w:val="111111"/>
          <w:sz w:val="28"/>
          <w:sz w:val="28"/>
          <w:szCs w:val="28"/>
          <w:rtl w:val="true"/>
          <w:lang w:bidi="ar-SA"/>
        </w:rPr>
        <w:t>يشرع التيمّم عند فقدان الماء إلى آخر الوقت، إمّا بالكلّيّة أو فقدان ما لطهارته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مَنْ وجد الماء لبعض طهارته استعمالُه في البعض وضوءاً أو غسلاً؛ لأنّ الطهارة لا تتبعّض، ولعدم الأمر به في مقام البيان، ولظاهر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أجنب في سفره ولم يكن عنده ما يكفيه إلّا للوضوء،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ولا يتوضّأ</w:t>
      </w:r>
      <w:r>
        <w:rPr>
          <w:rFonts w:eastAsia="Amiri" w:cs="Amiri" w:ascii="Amiri" w:hAnsi="Amiri"/>
          <w:color w:val="111111"/>
          <w:sz w:val="28"/>
          <w:szCs w:val="28"/>
          <w:rtl w:val="true"/>
          <w:lang w:bidi="ar-SA"/>
        </w:rPr>
        <w:t>»</w:t>
      </w:r>
      <w:r>
        <w:rPr>
          <w:rStyle w:val="FootnoteAnchor"/>
          <w:rtl w:val="true"/>
        </w:rPr>
        <w:footnoteReference w:id="2377"/>
      </w:r>
      <w:r>
        <w:rPr>
          <w:rFonts w:ascii="Amiri" w:hAnsi="Amiri" w:eastAsia="Amiri" w:cs="Amiri"/>
          <w:color w:val="111111"/>
          <w:sz w:val="28"/>
          <w:sz w:val="28"/>
          <w:szCs w:val="28"/>
          <w:rtl w:val="true"/>
          <w:lang w:bidi="ar-SA"/>
        </w:rPr>
        <w:t>ونحوه غيره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ترى الطهر وليس عندها ماء يكفيها لغُسْلها؟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معها بقدر ما تغسل فرجها فتغسله ثمّ تتيمّم</w:t>
      </w:r>
      <w:r>
        <w:rPr>
          <w:rFonts w:eastAsia="Amiri" w:cs="Amiri" w:ascii="Amiri" w:hAnsi="Amiri"/>
          <w:color w:val="111111"/>
          <w:sz w:val="28"/>
          <w:szCs w:val="28"/>
          <w:rtl w:val="true"/>
          <w:lang w:bidi="ar-SA"/>
        </w:rPr>
        <w:t>»</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الدلالة في الأوّل بعدم البيان، وفي الثاني بتقديم غسل الفرج على غسل بعض الأعضاء، مجبور بفتوى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ضعف القول بوجوب غَسْل المقدور في الغُسْل؛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23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مكلّفاً بطهارةٍ واحدة كوضوء أو غسل جنابة، وأمّا لو كان مكلّفاً بطهارتين فإن وسع الماء للغسل دون الوضوء، وجب قطعاً حتّى لو قلنا باشتراكهما في الرفع، ووجب التيمّم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وسع للوضوء دون الغسل قوي القول بالوجوب أيضاً؛ لأنّ كلّاً منهما عبادة لا تسقط بامتناع الأُخرى، ولظاهر فتوى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 بعضهم</w:t>
      </w:r>
      <w:r>
        <w:rPr>
          <w:rStyle w:val="FootnoteAnchor"/>
          <w:rtl w:val="true"/>
        </w:rPr>
        <w:footnoteReference w:id="2383"/>
      </w:r>
      <w:r>
        <w:rPr>
          <w:rFonts w:ascii="Amiri" w:hAnsi="Amiri" w:eastAsia="Amiri" w:cs="Amiri"/>
          <w:color w:val="111111"/>
          <w:sz w:val="28"/>
          <w:sz w:val="28"/>
          <w:szCs w:val="28"/>
          <w:rtl w:val="true"/>
          <w:lang w:bidi="ar-SA"/>
        </w:rPr>
        <w:t>العدم؛ لامتناع رفع الأصغر مع بقاء الأكبر، فيجب حينئذٍ تيمّمان عن الغسل والوضوء ويسقط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لولا ما قدّمناه على أنّه إنّما يتمشّى فيما إذا كان الوضوء رافعاً، أمّا لو كان مبيحاً كوضوء الاستحاضة وغسلها، فلا؛ لإمكان تركّب الاستباحة من ماء وتراب، على أن يكون مبيح الأكبر التراب ومبيح الأصغر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فالأقوى بمقتضى عموم الأدلّة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تركّب الطهارة من مائيّتين رافعتين ومائيّتين مبيحتين، ومن ترابيّتين مبيحتين، ومن مائيّة كبرى رافعة وترابيّة صغرى مبيحة، ومن ترابيّة كبرى مبيحة ومائيّة صغرى رافعة، ومن مائيّة كبرى مبيحة وترابيّة صغرى مبيحة، وكلّها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الفقهاء لا يتناكرونها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قدر على إيجاد الماء بحفرٍ أو بشراءٍ لا يضرّ بالحال ثمنه يُسمّى واجداً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وُجد بثمن مضرٍّ بالحال أو كان في قبوله منّة عظيمة، أو كان محتاجاً لخَلْقٍ جديد من إحالة هواء أو إذابة أجسام، فالظاهر صدق عدم وجدان الماء، ولا يجب إيجاد مقدّمة الواجب المشروط</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خلط المطلق بمضاف ليكون كلّه مطلقاً ، كان الوجوب أقرب؛ لأقربيّة كون ذلك واجباً مطلقاً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عنده ثلج وشبهه، بل وجوبه متعيّن</w:t>
      </w:r>
      <w:r>
        <w:rPr>
          <w:rFonts w:eastAsia="Amiri" w:cs="Amiri" w:ascii="Amiri" w:hAnsi="Amiri"/>
          <w:color w:val="111111"/>
          <w:sz w:val="28"/>
          <w:szCs w:val="28"/>
          <w:rtl w:val="true"/>
          <w:lang w:bidi="ar-SA"/>
        </w:rPr>
        <w:t xml:space="preserve">. </w:t>
      </w:r>
      <w:bookmarkStart w:id="1141" w:name="pg18988_203598"/>
    </w:p>
    <w:p>
      <w:pPr>
        <w:pStyle w:val="BookText"/>
        <w:rPr/>
      </w:pPr>
      <w:bookmarkEnd w:id="1141"/>
      <w:r>
        <w:rPr>
          <w:rFonts w:ascii="Amiri" w:hAnsi="Amiri" w:eastAsia="Amiri" w:cs="Amiri"/>
          <w:color w:val="111111"/>
          <w:sz w:val="28"/>
          <w:sz w:val="28"/>
          <w:szCs w:val="28"/>
          <w:rtl w:val="true"/>
          <w:lang w:bidi="ar-SA"/>
        </w:rPr>
        <w:t>ولو لم يكن الثمن مضرّاً بالحال وجب الشراء ولو بأضعاف مضاعفة؛ للإجماع المنقول</w:t>
      </w:r>
      <w:r>
        <w:rPr>
          <w:rStyle w:val="FootnoteAnchor"/>
          <w:rtl w:val="true"/>
        </w:rPr>
        <w:footnoteReference w:id="2384"/>
      </w:r>
      <w:r>
        <w:rPr>
          <w:rFonts w:ascii="Amiri" w:hAnsi="Amiri" w:eastAsia="Amiri" w:cs="Amiri"/>
          <w:color w:val="111111"/>
          <w:sz w:val="28"/>
          <w:sz w:val="28"/>
          <w:szCs w:val="28"/>
          <w:rtl w:val="true"/>
          <w:lang w:bidi="ar-SA"/>
        </w:rPr>
        <w:t>،و فتوى المشهور والأخبار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احتاج إلى الوضوء للصلاة وهو لا يقدر على الماء ، فوجد قدر ما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أو ألف؟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قد أصابني مثل هذا فاشتريت</w:t>
      </w:r>
      <w:r>
        <w:rPr>
          <w:rFonts w:eastAsia="Amiri" w:cs="Amiri" w:ascii="Amiri" w:hAnsi="Amiri"/>
          <w:color w:val="111111"/>
          <w:sz w:val="28"/>
          <w:szCs w:val="28"/>
          <w:rtl w:val="true"/>
          <w:lang w:bidi="ar-SA"/>
        </w:rPr>
        <w:t>»</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صورة الضرر لا يجب الشراء؛ لحديث نفي الضرر</w:t>
      </w:r>
      <w:r>
        <w:rPr>
          <w:rStyle w:val="FootnoteAnchor"/>
          <w:rtl w:val="true"/>
        </w:rPr>
        <w:footnoteReference w:id="2387"/>
      </w:r>
      <w:r>
        <w:rPr>
          <w:rFonts w:ascii="IRNazanin" w:hAnsi="IRNazanin" w:eastAsia="IRNazanin"/>
          <w:color w:val="111111"/>
          <w:sz w:val="28"/>
          <w:sz w:val="28"/>
          <w:szCs w:val="28"/>
          <w:rtl w:val="true"/>
          <w:lang w:bidi="fa-IR"/>
        </w:rPr>
        <w:t>، والعسر والحرج، وفتوى المشهور، وظاهر الإجماع المنقول</w:t>
      </w:r>
      <w:r>
        <w:rPr>
          <w:rStyle w:val="FootnoteAnchor"/>
          <w:rtl w:val="true"/>
        </w:rPr>
        <w:footnoteReference w:id="2388"/>
      </w:r>
      <w:r>
        <w:rPr>
          <w:rFonts w:ascii="Amiri" w:hAnsi="Amiri" w:eastAsia="Amiri" w:cs="Amiri"/>
          <w:color w:val="111111"/>
          <w:sz w:val="28"/>
          <w:sz w:val="28"/>
          <w:szCs w:val="28"/>
          <w:rtl w:val="true"/>
          <w:lang w:bidi="ar-SA"/>
        </w:rPr>
        <w:t>، بل ربما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حراماً واشترى وبعد ذلك توضّأ، كان الوضوء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العطاء منّة وجب القبول، كالماء المبذول للمثوبة أو المبذول للزوّار والمتردّدين أو الأضياف، أو كهبة الوالدين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المال المبذول في المعاوضة اختياراً، و أمّا المال المأخوذ قهراً بسبب الوضوء فلا يتفاوت الحال في تسويغه التيمّم بين قليله وكثيره؛ للإجماع المنقول</w:t>
      </w:r>
      <w:r>
        <w:rPr>
          <w:rStyle w:val="FootnoteAnchor"/>
          <w:rtl w:val="true"/>
        </w:rPr>
        <w:footnoteReference w:id="2389"/>
      </w:r>
      <w:r>
        <w:rPr>
          <w:rFonts w:ascii="Amiri" w:hAnsi="Amiri" w:eastAsia="Amiri" w:cs="Amiri"/>
          <w:color w:val="111111"/>
          <w:sz w:val="28"/>
          <w:sz w:val="28"/>
          <w:szCs w:val="28"/>
          <w:rtl w:val="true"/>
          <w:lang w:bidi="ar-SA"/>
        </w:rPr>
        <w:t>على أنّ الخوف من اللصوص موجب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 فيمن كان الماء على يمين الطريق ويساره،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Style w:val="FootnoteAnchor"/>
          <w:rtl w:val="true"/>
        </w:rPr>
        <w:footnoteReference w:id="2390"/>
      </w:r>
      <w:r>
        <w:rPr>
          <w:rFonts w:ascii="IRNazanin" w:hAnsi="IRNazanin" w:eastAsia="IRNazanin"/>
          <w:color w:val="111111"/>
          <w:sz w:val="28"/>
          <w:sz w:val="28"/>
          <w:szCs w:val="28"/>
          <w:rtl w:val="true"/>
          <w:lang w:bidi="fa-IR"/>
        </w:rPr>
        <w:t>ولأنّ في النهب والسلب غضاضةً ومهانةً يستباح معها کثیر من المحظورات كما يرشد إليه باب وجوب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توقّف على اقتراض الثمن وكان معسراً لم يجب عليه القرض؛ لأنّ إيجاد غير الموجود غير واجب</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3198229_1280447820"/>
      <w:bookmarkStart w:id="1143" w:name="_Toc441"/>
      <w:bookmarkEnd w:id="1142"/>
      <w:r>
        <w:rPr>
          <w:rtl w:val="true"/>
        </w:rPr>
        <w:t>ثانيها</w:t>
      </w:r>
      <w:r>
        <w:rPr>
          <w:rtl w:val="true"/>
        </w:rPr>
        <w:t xml:space="preserve">: </w:t>
      </w:r>
      <w:r>
        <w:rPr>
          <w:rtl w:val="true"/>
        </w:rPr>
        <w:t>وجوب طلب الماء عند فقدانه</w:t>
      </w:r>
      <w:bookmarkEnd w:id="114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عند فقدان الماء الطلب له مع الإمكان، وعدم الضرر به في جهةٍ يعلم </w:t>
      </w:r>
    </w:p>
    <w:p>
      <w:pPr>
        <w:pStyle w:val="BookText"/>
        <w:rPr/>
      </w:pPr>
      <w:r>
        <w:rPr>
          <w:rFonts w:ascii="Amiri" w:hAnsi="Amiri" w:eastAsia="Amiri" w:cs="Amiri"/>
          <w:color w:val="111111"/>
          <w:sz w:val="28"/>
          <w:sz w:val="28"/>
          <w:szCs w:val="28"/>
          <w:rtl w:val="true"/>
          <w:lang w:bidi="ar-SA"/>
        </w:rPr>
        <w:t>وجوده بها، وفي جهةٍ لا يعلم وجوده بها معيّناً فيجب من باب المقدّمة، وفي جهةٍ يشكّ في وجوده بها مطلقاً، ولا يجوز التمسّك بأصالة عدم وجوده؛ للإجماع المنقول</w:t>
      </w:r>
      <w:r>
        <w:rPr>
          <w:rStyle w:val="FootnoteAnchor"/>
          <w:rtl w:val="true"/>
        </w:rPr>
        <w:footnoteReference w:id="2391"/>
      </w:r>
      <w:r>
        <w:rPr>
          <w:rFonts w:ascii="Amiri" w:hAnsi="Amiri" w:eastAsia="Amiri" w:cs="Amiri"/>
          <w:color w:val="111111"/>
          <w:sz w:val="28"/>
          <w:sz w:val="28"/>
          <w:szCs w:val="28"/>
          <w:rtl w:val="true"/>
          <w:lang w:bidi="ar-SA"/>
        </w:rPr>
        <w:t>وفتوى الفحول، والأخبار كالحسن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w:t>
      </w:r>
      <w:r>
        <w:rPr>
          <w:rFonts w:eastAsia="Amiri" w:cs="Amiri" w:ascii="Amiri" w:hAnsi="Amiri"/>
          <w:color w:val="111111"/>
          <w:sz w:val="28"/>
          <w:szCs w:val="28"/>
          <w:rtl w:val="true"/>
          <w:lang w:bidi="ar-SA"/>
        </w:rPr>
        <w:t>»</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يميناً وشمالاً ولا في بئرٍ، إن وجدته على الطريق فتوضّأ، وإن لم تجده فامضِ</w:t>
      </w:r>
      <w:r>
        <w:rPr>
          <w:rFonts w:eastAsia="Amiri" w:cs="Amiri" w:ascii="Amiri" w:hAnsi="Amiri"/>
          <w:color w:val="111111"/>
          <w:sz w:val="28"/>
          <w:szCs w:val="28"/>
          <w:rtl w:val="true"/>
          <w:lang w:bidi="ar-SA"/>
        </w:rPr>
        <w:t>»</w:t>
      </w:r>
      <w:r>
        <w:rPr>
          <w:rStyle w:val="FootnoteAnchor"/>
          <w:rtl w:val="true"/>
        </w:rPr>
        <w:footnoteReference w:id="2393"/>
      </w:r>
      <w:r>
        <w:rPr>
          <w:rFonts w:ascii="Amiri" w:hAnsi="Amiri" w:eastAsia="Amiri" w:cs="Amiri"/>
          <w:color w:val="111111"/>
          <w:sz w:val="28"/>
          <w:sz w:val="28"/>
          <w:szCs w:val="28"/>
          <w:rtl w:val="true"/>
          <w:lang w:bidi="ar-SA"/>
        </w:rPr>
        <w:t>محمول على صورة حصول الخوف من سَبُعٍ وشبهه،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ولكن تيمّم، فإنّي أخاف عليك التخلّف عن أصحابك فتضلّ ويأكلك السبع</w:t>
      </w:r>
      <w:r>
        <w:rPr>
          <w:rFonts w:eastAsia="Amiri" w:cs="Amiri" w:ascii="Amiri" w:hAnsi="Amiri"/>
          <w:color w:val="111111"/>
          <w:sz w:val="28"/>
          <w:szCs w:val="28"/>
          <w:rtl w:val="true"/>
          <w:lang w:bidi="ar-SA"/>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الفتوى والنصّ والاحتياط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المقدّمة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طلب الماء حتّى يحصل القطع أو الظنّ الشرعي بعدمه، وربما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 ما دام في الوقت</w:t>
      </w:r>
      <w:r>
        <w:rPr>
          <w:rFonts w:eastAsia="Amiri" w:cs="Amiri" w:ascii="Amiri" w:hAnsi="Amiri"/>
          <w:color w:val="111111"/>
          <w:sz w:val="28"/>
          <w:szCs w:val="28"/>
          <w:rtl w:val="true"/>
          <w:lang w:bidi="ar-SA"/>
        </w:rPr>
        <w:t>»</w:t>
      </w:r>
      <w:r>
        <w:rPr>
          <w:rStyle w:val="FootnoteAnchor"/>
          <w:rtl w:val="true"/>
        </w:rPr>
        <w:footnoteReference w:id="2395"/>
      </w:r>
      <w:r>
        <w:rPr>
          <w:rFonts w:ascii="Amiri" w:hAnsi="Amiri" w:eastAsia="Amiri" w:cs="Amiri"/>
          <w:color w:val="111111"/>
          <w:sz w:val="28"/>
          <w:sz w:val="28"/>
          <w:szCs w:val="28"/>
          <w:rtl w:val="true"/>
          <w:lang w:bidi="ar-SA"/>
        </w:rPr>
        <w:t>سواء كان دوام الوقت ظرفاً للطلب أو كان ظرفاً للوجوب؛ للأمر بالطلب وإرادته في الجملة، والاجتزاء</w:t>
      </w:r>
      <w:r>
        <w:rPr>
          <w:rStyle w:val="FootnoteAnchor"/>
          <w:rtl w:val="true"/>
        </w:rPr>
        <w:footnoteReference w:id="2396"/>
      </w:r>
      <w:r>
        <w:rPr>
          <w:rFonts w:ascii="Amiri" w:hAnsi="Amiri" w:eastAsia="Amiri" w:cs="Amiri"/>
          <w:color w:val="111111"/>
          <w:sz w:val="28"/>
          <w:sz w:val="28"/>
          <w:szCs w:val="28"/>
          <w:rtl w:val="true"/>
          <w:lang w:bidi="ar-SA"/>
        </w:rPr>
        <w:t>بمسمّاه بعيد، وحيث إنّه لم يحدّ تعيّن حمله على أنّ نهايته القطع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لم يطلب لا يصدق عليه أنّه غير واجدٍ للماء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الطلب واجب لصحّة التيمّم إلى أن يحصل القطع بالعدم، ويكفي فيه القطع العادي بحيث تطمئنّ نفسه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بالقطع بالعدم هو القطع بعدم وجوده في ذلك الزمن، وعدم حصوله إلى أن يمضي زمن كثير من الوقت يُعتدّ به أو إلى أن يمضي الوقت كلّه، كما هو الأظهر والأحوط، فإذا قطع بذلك ساغ له التيمّم، ولا يجب عليه التأخير إلى الضيق</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القول بجواز البدار للتيمّم عند القطع بعدمِ وجود الماء في مكانه، وعدم العلم به في جهة يمكنه الذهاب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يرجو حصوله بعد ذلك من مارّ أو مستطرق، أو وجوده في الطريق بعد ذلك في غير ما دلّ الدليل على وجوب الطلب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في النظر، وربما كان فتوى المشهور عليه فيراد من الطلب في كلامهم هو الطلب الخاصّ الذي جاءت به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الأظهر والأحوط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فقد ورد الأمر للمسافر بطلب غلوة سهم في الحزونة، وغلوة سهمين إن كانت سهولة</w:t>
      </w:r>
      <w:r>
        <w:rPr>
          <w:rStyle w:val="FootnoteAnchor"/>
          <w:rtl w:val="true"/>
        </w:rPr>
        <w:footnoteReference w:id="2397"/>
      </w:r>
      <w:r>
        <w:rPr>
          <w:rFonts w:ascii="Amiri" w:hAnsi="Amiri" w:eastAsia="Amiri" w:cs="Amiri"/>
          <w:color w:val="111111"/>
          <w:sz w:val="28"/>
          <w:sz w:val="28"/>
          <w:szCs w:val="28"/>
          <w:rtl w:val="true"/>
          <w:lang w:bidi="ar-SA"/>
        </w:rPr>
        <w:t>، وهي وإن كانت سكونيّةً ولكنّها منجبرة بفتوى الأصحاب والإجماعات المنقولة</w:t>
      </w:r>
      <w:r>
        <w:rPr>
          <w:rStyle w:val="FootnoteAnchor"/>
          <w:rtl w:val="true"/>
        </w:rPr>
        <w:footnoteReference w:id="2398"/>
      </w:r>
      <w:r>
        <w:rPr>
          <w:rFonts w:ascii="Amiri" w:hAnsi="Amiri" w:eastAsia="Amiri" w:cs="Amiri"/>
          <w:color w:val="111111"/>
          <w:sz w:val="28"/>
          <w:sz w:val="28"/>
          <w:szCs w:val="28"/>
          <w:rtl w:val="true"/>
          <w:lang w:bidi="ar-SA"/>
        </w:rPr>
        <w:t>في الباب، ونقل عن ابن إدريس أنّه ادّعى تواترها</w:t>
      </w:r>
      <w:r>
        <w:rPr>
          <w:rStyle w:val="FootnoteAnchor"/>
          <w:rtl w:val="true"/>
        </w:rPr>
        <w:footnoteReference w:id="2399"/>
      </w:r>
      <w:r>
        <w:rPr>
          <w:rFonts w:ascii="Amiri" w:hAnsi="Amiri" w:eastAsia="Amiri" w:cs="Amiri"/>
          <w:color w:val="111111"/>
          <w:sz w:val="28"/>
          <w:sz w:val="28"/>
          <w:szCs w:val="28"/>
          <w:rtl w:val="true"/>
          <w:lang w:bidi="ar-SA"/>
        </w:rPr>
        <w:t>، فالأخذ بها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الطلب حتّى يحصل القطع واليأس بعدم وجود الماء وعدم حصوله في جميع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الرواية مخصّصةً لذلك الحكم في المسافر فقط، ويبقى الحاضر و مَنْ بحكمه على القاعدة في وجوب الطلب إلى حدّ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الأعمى والخائف والعاجز عن الطلب ومَنْ كان في ليل لا يبصر شيئاً على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كفاية الاستنابة لهم بمن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كفاية عدم وجدان الماء وعدم العلم به في جهةٍ في صحّة التيمّم وإن احتمل حصوله بعد ذلك أو وجوده في مكانٍ آخَر كان الطلب المأمور به خاصّاً بالمسافر، وتنزَّل الإجماعات الدالّة على وجوب الطلب على الطلب المخصوص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يلزم أن يكون المسافر أسوأ حالاً من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بالسهلة هي الخالية عن صعوبة الوطء من شجرٍ وحجرٍ وعلوٍّ و هبوطٍ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بضدّها الحزونة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بالغلوة قدر الرمية المتعارفة من الرامي المعتدل والجذب المعتدل بالآلة المعتدلة الهواء المعتدل، ومعرفته موكولة للعرف، ومع الشكّ يأخذ باليقين، وتقديره بشيء معلوم غير معلومٍ كما قدّره بعضهم</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الرواية كون الطلب في جهةٍ واحدة كافٍ في صحّة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الأصحاب والإجماع المنقول</w:t>
      </w:r>
      <w:r>
        <w:rPr>
          <w:rStyle w:val="FootnoteAnchor"/>
          <w:rtl w:val="true"/>
        </w:rPr>
        <w:footnoteReference w:id="2401"/>
      </w:r>
      <w:r>
        <w:rPr>
          <w:rFonts w:ascii="Amiri" w:hAnsi="Amiri" w:eastAsia="Amiri" w:cs="Amiri"/>
          <w:color w:val="111111"/>
          <w:sz w:val="28"/>
          <w:sz w:val="28"/>
          <w:szCs w:val="28"/>
          <w:rtl w:val="true"/>
          <w:lang w:bidi="ar-SA"/>
        </w:rPr>
        <w:t>في الباب هو وجوب الطلب في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والخلف، </w:t>
      </w:r>
    </w:p>
    <w:p>
      <w:pPr>
        <w:pStyle w:val="BookText"/>
        <w:rPr/>
      </w:pPr>
      <w:r>
        <w:rPr>
          <w:rFonts w:ascii="Amiri" w:hAnsi="Amiri" w:eastAsia="Amiri" w:cs="Amiri"/>
          <w:color w:val="111111"/>
          <w:sz w:val="28"/>
          <w:sz w:val="28"/>
          <w:szCs w:val="28"/>
          <w:rtl w:val="true"/>
          <w:lang w:bidi="ar-SA"/>
        </w:rPr>
        <w:t>واليمين، والشمال، وأن تكون متقاطعة على طريقة زوايا القوائم عرفاً، لا على طريقة الحادّة والمنفرجة ، ويجتزئ بقطع الأربع بذهابين وإيابين بأن يذهب بواحدة ويرجع في أُخرى ، والأولى جعل الأربع ثمانياً بتفريق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طلب ذلك القدر على جهة الاستدارة من طرف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وجوب طلب ذلك المقدار مستديراً، فيكفي في الجهة المسامتة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وجوب طلب كلّ جزءٍ جزءٍ ممّا بينه وبين الحدّ، وربما يحصل العلم بجميع أجزاء الأرض الداخلة في الحدّ عند الطلب في الأربع جهات؛ لأنّ الماء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كفاية الجهتين من اليمين واليسار أو الثلاث دون الخلف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المعلوم عدم وجود الماء فيها يسقط عنها الطلب كلاًّ أو بعضاً، كما أنّه عند العلم بوجوده في مكان متجاوز للحدّ وجب طلبه، وكذا لو كان من باب الشبهة المحصورة، فإنّه يجب التتبّع حتّى يحصل القطع بالعدم، وربما كان الظنّ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الاستنابة لمن يوثق به، والأحوط استنابة العدلين، والأعمى يكفيه الواحد على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 بالطلب فعل حراماً، ويفسد تيمّمه؛ لفقدان شرطه مع السعة؛ لأنّ الظاهر من الأمر به هو الشرطيّة لا التعبّديّة، ولأنّ الأصل حرمة التيمّم مع رجاء الماء، خرج المسافر مع الطلب هذا المقدار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 به حتّى ضاق الوقت صحّ تيمّمه على الأصحّ، ولا إعادة عليه كما هو المشهور، سواء ضاق عن الطلب أو عن الاستعمال؛ لصدق عدم الوجدان عليه، والامتثال يقضي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شرطيّة الطلب حتّى عند الضيق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الأرض مركّبة من السهلة والحزنة أخذ من كلٍّ بنسبتها، والأحوط مراعاة الغلوتين في المركّب بجهةٍ واحدة، كأن كان نصفٌ سهلةً ونصفٌ 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الطلب إلّا بمقدار النصف، لم يجتزئ به ورجع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فاحتمل بعد طلبه تجدّد الماء، وجب عليه التجديد ما لم يلزم العسر والحرج</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ويجتزئ بالطلب قبل الوقت إذا لم يحتمل وجود ماء جديد بعد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طلب حتّى ضاق الوقت عن الطهارة المائية نفسها فتيمّم وصلّى ووجد الماء في رحله، صحّت صلاته؛ لمصادفتها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قصّر في الطلب حتّى ضاق الوقت فتيمّم و صلّى ووجد الماء في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طلب فلم يجد فتيمّم في السعة فصلّى فوجد الماء في موضع طلبه من دون تقصيرٍ منه بل لخفاء الماء،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والأحوط الإعادة سيّما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في رحله بعد طلبه وكان الوقت في سعةٍ،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لوجود الماء وإن خفي عليه، والأصل في الشرائط الواقع دون ما ظهر لدى المكلّف؛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معه ماء فنسيه فتيمّم ووجد الماء في رحله قبل أن يخرج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يتوضّأ ويعيد</w:t>
      </w:r>
      <w:r>
        <w:rPr>
          <w:rFonts w:eastAsia="Amiri" w:cs="Amiri" w:ascii="Amiri" w:hAnsi="Amiri"/>
          <w:color w:val="111111"/>
          <w:sz w:val="28"/>
          <w:szCs w:val="28"/>
          <w:rtl w:val="true"/>
          <w:lang w:bidi="ar-SA"/>
        </w:rPr>
        <w:t>»</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بعدم الإعادة؛ لأنّ المرء متعبّد بقطعه والأصل في الامتثال الإجزاء، ولأنّه يصدق عليه أنّه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لا تصلح لهدم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الناسي فيعيد؛ أخذاً بمنطوق الرواية، وغيره 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في الطلب فضاق الوقت عن الطلب لا عن استعمال الماء فتيمّم وصلّى فوجد الماء في رحله، فإن كان ناسياً فالأظهر الإعادة؛ للرواية</w:t>
      </w:r>
      <w:r>
        <w:rPr>
          <w:rStyle w:val="FootnoteAnchor"/>
          <w:rtl w:val="true"/>
        </w:rPr>
        <w:footnoteReference w:id="2403"/>
      </w:r>
      <w:r>
        <w:rPr>
          <w:rFonts w:ascii="Amiri" w:hAnsi="Amiri" w:eastAsia="Amiri" w:cs="Amiri"/>
          <w:color w:val="111111"/>
          <w:sz w:val="28"/>
          <w:sz w:val="28"/>
          <w:szCs w:val="28"/>
          <w:rtl w:val="true"/>
          <w:lang w:bidi="ar-SA"/>
        </w:rPr>
        <w:t>، وفتوى المشهور على الظاهر، وإن لم يكن ناسياً ،فوجهان،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إلحاقاً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الوقت عن استعمال الماء أيضاً، فالأقوى الصحّة مطلقاً، كما قدمنا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بعضهم</w:t>
      </w:r>
      <w:r>
        <w:rPr>
          <w:rStyle w:val="FootnoteAnchor"/>
          <w:rtl w:val="true"/>
        </w:rPr>
        <w:footnoteReference w:id="2404"/>
      </w:r>
      <w:r>
        <w:rPr>
          <w:rFonts w:ascii="Amiri" w:hAnsi="Amiri" w:eastAsia="Amiri" w:cs="Amiri"/>
          <w:color w:val="111111"/>
          <w:sz w:val="28"/>
          <w:sz w:val="28"/>
          <w:szCs w:val="28"/>
          <w:rtl w:val="true"/>
          <w:lang w:bidi="ar-SA"/>
        </w:rPr>
        <w:t>و نُسب</w:t>
      </w:r>
      <w:r>
        <w:rPr>
          <w:rStyle w:val="FootnoteAnchor"/>
          <w:rtl w:val="true"/>
        </w:rPr>
        <w:footnoteReference w:id="2405"/>
      </w:r>
      <w:r>
        <w:rPr>
          <w:rFonts w:ascii="Amiri" w:hAnsi="Amiri" w:eastAsia="Amiri" w:cs="Amiri"/>
          <w:color w:val="111111"/>
          <w:sz w:val="28"/>
          <w:sz w:val="28"/>
          <w:szCs w:val="28"/>
          <w:rtl w:val="true"/>
          <w:lang w:bidi="ar-SA"/>
        </w:rPr>
        <w:t>، للمشهور وجوب القضاء وعدم الصحّة، مستندين للرواية المتقدّمة</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الضيق عن الاستعمال يلزمه التيمّم على كلّ حال، فلا معنى للقضاء بعد صحّة الأداء، والرواية موردها السعة دون الضيق عن الاستعمال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عند المكلّف ماء أو مرّ بماء فأراق الأوّل ولم يستعمل الثاني، فإن فعل ذلك قبل الوقت تيمّم عند عدم الوجدان ولا إثم عليه وصحّ تيمّمه، وإن لم يعلم بعدم الماء بعد دخول </w:t>
      </w:r>
      <w:bookmarkStart w:id="1144" w:name="pg18988_203603"/>
    </w:p>
    <w:p>
      <w:pPr>
        <w:pStyle w:val="BookText"/>
        <w:rPr/>
      </w:pPr>
      <w:bookmarkEnd w:id="1144"/>
      <w:r>
        <w:rPr>
          <w:rFonts w:ascii="Amiri" w:hAnsi="Amiri" w:eastAsia="Amiri" w:cs="Amiri"/>
          <w:color w:val="111111"/>
          <w:sz w:val="28"/>
          <w:sz w:val="28"/>
          <w:szCs w:val="28"/>
          <w:rtl w:val="true"/>
          <w:lang w:bidi="ar-SA"/>
        </w:rPr>
        <w:t>الوقت، ومع العلم بعدمه احتُمل القول بالجواز و صحّة التيمّم؛ للأصل وعمومات أدلّة التيمّم، واحتُمل القول بحرمة الإراقة وصحّة التيمّم أيضاً؛ لاهتمام الشارع بالصلاة وكونها أعظم الفرائض، فتجب مقدّمتها مع العلم بعدمها في الوقت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من المنع من السفر إلى أرض لا ماء فيها وأنّه هلاك للدين</w:t>
      </w:r>
      <w:r>
        <w:rPr>
          <w:rStyle w:val="FootnoteAnchor"/>
          <w:rtl w:val="true"/>
        </w:rPr>
        <w:footnoteReference w:id="2407"/>
      </w:r>
      <w:r>
        <w:rPr>
          <w:rFonts w:ascii="Amiri" w:hAnsi="Amiri" w:eastAsia="Amiri" w:cs="Amiri"/>
          <w:color w:val="111111"/>
          <w:sz w:val="28"/>
          <w:sz w:val="28"/>
          <w:szCs w:val="28"/>
          <w:rtl w:val="true"/>
          <w:lang w:bidi="ar-SA"/>
        </w:rPr>
        <w:t>، وإطلاقها شامل لذلك،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صنعته في ذلك المكان كالحطّاب، قوي القول بالجواز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فَعَل ذلك بعد دخول الوقت، فإن كان راجياً للماء فحكمه كذلك، وإن علم بعدمه أثم؛ لتفويته الواجب بعد تعلّقه به، ولخطابه بحفظه من باب المقدّمة، وصحّ تيمّمه عند فقدان الماء؛ لعموم الأدلّة، والامتثال يقضي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الإعادة</w:t>
      </w:r>
      <w:r>
        <w:rPr>
          <w:rStyle w:val="FootnoteAnchor"/>
          <w:rtl w:val="true"/>
        </w:rPr>
        <w:footnoteReference w:id="2408"/>
      </w:r>
      <w:r>
        <w:rPr>
          <w:rFonts w:ascii="Amiri" w:hAnsi="Amiri" w:eastAsia="Amiri" w:cs="Amiri"/>
          <w:color w:val="111111"/>
          <w:sz w:val="28"/>
          <w:sz w:val="28"/>
          <w:szCs w:val="28"/>
          <w:rtl w:val="true"/>
          <w:lang w:bidi="ar-SA"/>
        </w:rPr>
        <w:t>لتعلّق الخطاب بذمّته بالطهارة المائيّة، والشكّ في حصول الانتقال إلى الترابيّة مع تفويت الواجب بنفسه، فلا يكون فعله عذراً مسوّغاً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العذر المسوّغ هو نفس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هاهنا بين التيمّم حال الضيق عن الاستعمال فلا إعادة، وبين التيمّم في السعة ثمّ يجد الماء في الوقت بعد ذلك فيعيد؛ استصحاباً للأمر الأوّل وانكشاف بقائه،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ذكرنا مَنْ علم كون الماء بمكان يمكن الوصول إليه فأهمل حتّى ضاق الوقت عن الوصول، فإنّ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التيمّم وعدم الإعادة</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3198231_1280447820"/>
      <w:bookmarkStart w:id="1146" w:name="_Toc442"/>
      <w:bookmarkEnd w:id="1145"/>
      <w:r>
        <w:rPr>
          <w:rtl w:val="true"/>
        </w:rPr>
        <w:t>ثالثها</w:t>
      </w:r>
      <w:r>
        <w:rPr>
          <w:rtl w:val="true"/>
        </w:rPr>
        <w:t xml:space="preserve">: </w:t>
      </w:r>
      <w:r>
        <w:rPr>
          <w:rtl w:val="true"/>
        </w:rPr>
        <w:t>تضیّق الوقت عن استعمال الماء</w:t>
      </w:r>
      <w:bookmarkEnd w:id="114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يسوّغ له التيمّم ضيق الوقت عن استعماله مع إدراك ركعة من فرضه أو مع إدراك جميعه، وهو الأقوى، أو ضيق الوقت عن الوصول إليه مع استعماله وإدراك ركعة لو علمه في مكان، أو ضيق الوقت عن طلبه في الجهات الأربع واستعماله وإدراك ركعة لو لم يعلمه، أو ضيق الوقت عن التفحّص عنه حتّى يعثر عليه لو علمه في مكان محصور مشتبه، ولا يتفاوت بين كون الضيق ناشئاً عن تفريطه أو غير ناشئ عن ذلك، كلّ ذلك لعموم المنزلة</w:t>
      </w:r>
      <w:r>
        <w:rPr>
          <w:rStyle w:val="FootnoteAnchor"/>
          <w:rtl w:val="true"/>
        </w:rPr>
        <w:footnoteReference w:id="2409"/>
      </w:r>
      <w:r>
        <w:rPr>
          <w:rFonts w:ascii="IRNazanin" w:hAnsi="IRNazanin" w:eastAsia="IRNazanin"/>
          <w:color w:val="111111"/>
          <w:sz w:val="28"/>
          <w:sz w:val="28"/>
          <w:szCs w:val="28"/>
          <w:rtl w:val="true"/>
          <w:lang w:bidi="fa-IR"/>
        </w:rPr>
        <w:t>، ولأنه طهور</w:t>
      </w:r>
      <w:r>
        <w:rPr>
          <w:rStyle w:val="FootnoteAnchor"/>
          <w:rtl w:val="true"/>
        </w:rPr>
        <w:footnoteReference w:id="2410"/>
      </w:r>
      <w:r>
        <w:rPr>
          <w:rFonts w:ascii="IRNazanin" w:hAnsi="IRNazanin" w:eastAsia="IRNazanin"/>
          <w:color w:val="111111"/>
          <w:sz w:val="28"/>
          <w:sz w:val="28"/>
          <w:szCs w:val="28"/>
          <w:rtl w:val="true"/>
          <w:lang w:bidi="fa-IR"/>
        </w:rPr>
        <w:t xml:space="preserve">، </w:t>
      </w:r>
      <w:bookmarkStart w:id="1147" w:name="pg18988_203604"/>
    </w:p>
    <w:p>
      <w:pPr>
        <w:pStyle w:val="BookText"/>
        <w:rPr/>
      </w:pPr>
      <w:bookmarkEnd w:id="1147"/>
      <w:r>
        <w:rPr>
          <w:rFonts w:ascii="Amiri" w:hAnsi="Amiri" w:eastAsia="Amiri" w:cs="Amiri"/>
          <w:color w:val="111111"/>
          <w:sz w:val="28"/>
          <w:sz w:val="28"/>
          <w:szCs w:val="28"/>
          <w:rtl w:val="true"/>
          <w:lang w:bidi="ar-SA"/>
        </w:rPr>
        <w:t>وأحد الطهورين</w:t>
      </w:r>
      <w:r>
        <w:rPr>
          <w:rStyle w:val="FootnoteAnchor"/>
          <w:rtl w:val="true"/>
        </w:rPr>
        <w:footnoteReference w:id="2411"/>
      </w:r>
      <w:r>
        <w:rPr>
          <w:rFonts w:ascii="Amiri" w:hAnsi="Amiri" w:eastAsia="Amiri" w:cs="Amiri"/>
          <w:color w:val="111111"/>
          <w:sz w:val="28"/>
          <w:sz w:val="28"/>
          <w:szCs w:val="28"/>
          <w:rtl w:val="true"/>
          <w:lang w:bidi="ar-SA"/>
        </w:rPr>
        <w:t>، وأنّه يجزئ عشر سنين</w:t>
      </w:r>
      <w:r>
        <w:rPr>
          <w:rStyle w:val="FootnoteAnchor"/>
          <w:rtl w:val="true"/>
        </w:rPr>
        <w:footnoteReference w:id="2412"/>
      </w:r>
      <w:r>
        <w:rPr>
          <w:rFonts w:ascii="Amiri" w:hAnsi="Amiri" w:eastAsia="Amiri" w:cs="Amiri"/>
          <w:color w:val="111111"/>
          <w:sz w:val="28"/>
          <w:sz w:val="28"/>
          <w:szCs w:val="28"/>
          <w:rtl w:val="true"/>
          <w:lang w:bidi="ar-SA"/>
        </w:rPr>
        <w:t>، ولأنّ مشروعيّته للمحافظة على أداء الفرض في وقته، كما يُفهم من الأخبار والآثار، ولأنّ الصلاة لا تسقط بحال، والصلاة من دون طهور والتراب موجود لا يلتزمه أحد، ولأنّ مَنْ بَعُد عنه الماء بحيث إنّه لو سعى إليه لفات الوقت وجب عليه التيمّم اتفاقاً ، فهذا مثله، ولأنّ ربّ الصعيد وربّ الماء واحد، ولأنّ الظاهر أنّ مشروعيّة التيمّم عند عدم التمكّن من الماء على جميع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بوجوب الطهارة المائيّة والقضاء لعدم الدليل على مشروعيّة التيمّم هاهنا وعدم تسويغ ضيق الوقت للتيمّم، ضعيف، كالفرق بين ضيق الوقت عن الوصول إليه فيسوغ التيمّم؛ لعدم وجدان الماء وإن كان قريباً، وبين ضيقه عن استعماله فلا يسوغ؛ لأنّه 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الحكم لكثير من الشرائط إذا لم يتّسع الوقت لتحصيلها، كإزالة النجاسة، وتحصيل الساتر، ونحوهما، فإنّه يسقط وجوب تحصيلها اهتماماً بإيجاد الصلاة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تطهّر بالماء مَنْ كان فرضه التيمّم، صحت طهارته على الأقوى؛ لعموم الأدلّة، ولأنّ الأمر بالشيء لا يقضي بالنهي عن الضدّ، وكونه غير مخاطب بالطهارة المائية لهذه الصلاة لا يقضي بأنّه غير مخاطب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أن لا ينوي الطهارة لهذه الصلاة الخاصّة</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3198233_1280447820"/>
      <w:bookmarkStart w:id="1149" w:name="_Toc443"/>
      <w:bookmarkEnd w:id="1148"/>
      <w:r>
        <w:rPr>
          <w:rtl w:val="true"/>
        </w:rPr>
        <w:t>رابعها</w:t>
      </w:r>
      <w:r>
        <w:rPr>
          <w:rtl w:val="true"/>
        </w:rPr>
        <w:t xml:space="preserve">: </w:t>
      </w:r>
      <w:r>
        <w:rPr>
          <w:rtl w:val="true"/>
        </w:rPr>
        <w:t>عدم الوصول إلي الماء لخوف سبعٍ أو لصٍّ</w:t>
      </w:r>
      <w:bookmarkEnd w:id="1149"/>
    </w:p>
    <w:p>
      <w:pPr>
        <w:pStyle w:val="BookText"/>
        <w:rPr/>
      </w:pPr>
      <w:r>
        <w:rPr>
          <w:rFonts w:ascii="Amiri" w:hAnsi="Amiri" w:eastAsia="Amiri" w:cs="Amiri"/>
          <w:color w:val="111111"/>
          <w:sz w:val="28"/>
          <w:sz w:val="28"/>
          <w:szCs w:val="28"/>
          <w:rtl w:val="true"/>
          <w:lang w:bidi="ar-SA"/>
        </w:rPr>
        <w:t>ممّا يسوّغ له التيمّم عدم الوصول إليه لخوف سبع أو لصّ ؛ للأخبار</w:t>
      </w:r>
      <w:r>
        <w:rPr>
          <w:rStyle w:val="FootnoteAnchor"/>
          <w:rtl w:val="true"/>
        </w:rPr>
        <w:footnoteReference w:id="2413"/>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لو وجد بثمن يضرّ بالحال في الحال أو المآل بحيث كان ضرر المآل متوقّعاً عادة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الخوف من الفقر، لأنّ الله هو المغني والرزّاق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بالنسبة إلى أحوال الناس، فربّ شيء يضرّ بشخصٍ دون آخر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الضرر بين كونه على نفسه أو أهله لجوع أو ذلّة أو مهانة أو تأدية لذلّ السؤال أو إعواز نفقة أو 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ذلك فتوى مشهور الأصحاب والأخبار العامّة النافية للضرر والضرار</w:t>
      </w:r>
      <w:r>
        <w:rPr>
          <w:rStyle w:val="FootnoteAnchor"/>
          <w:rtl w:val="true"/>
        </w:rPr>
        <w:footnoteReference w:id="2414"/>
      </w:r>
      <w:r>
        <w:rPr>
          <w:rFonts w:ascii="Amiri" w:hAnsi="Amiri" w:eastAsia="Amiri" w:cs="Amiri"/>
          <w:color w:val="111111"/>
          <w:sz w:val="28"/>
          <w:sz w:val="28"/>
          <w:szCs w:val="28"/>
          <w:rtl w:val="true"/>
          <w:lang w:bidi="ar-SA"/>
        </w:rPr>
        <w:t>، وفحوى ما دلّ على جواز التيمّم للخوف على المال وإن قلّ</w:t>
      </w:r>
      <w:r>
        <w:rPr>
          <w:rStyle w:val="FootnoteAnchor"/>
          <w:rtl w:val="true"/>
        </w:rPr>
        <w:footnoteReference w:id="2415"/>
      </w:r>
      <w:r>
        <w:rPr>
          <w:rFonts w:ascii="Amiri" w:hAnsi="Amiri" w:eastAsia="Amiri" w:cs="Amiri"/>
          <w:color w:val="111111"/>
          <w:sz w:val="28"/>
          <w:sz w:val="28"/>
          <w:szCs w:val="28"/>
          <w:rtl w:val="true"/>
          <w:lang w:bidi="ar-SA"/>
        </w:rPr>
        <w:t>، ولخبر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 دفعه الثمن ما يخاف منه على نفسه التلف إن عدمه والعطب، فلا يشتريه ويتيمم بالصعيد ويصلّي</w:t>
      </w:r>
      <w:r>
        <w:rPr>
          <w:rFonts w:eastAsia="Amiri" w:cs="Amiri" w:ascii="Amiri" w:hAnsi="Amiri"/>
          <w:color w:val="111111"/>
          <w:sz w:val="28"/>
          <w:szCs w:val="28"/>
          <w:rtl w:val="true"/>
          <w:lang w:bidi="ar-SA"/>
        </w:rPr>
        <w:t>»</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واقتصر بعضهم</w:t>
      </w:r>
      <w:r>
        <w:rPr>
          <w:rStyle w:val="FootnoteAnchor"/>
          <w:rtl w:val="true"/>
        </w:rPr>
        <w:footnoteReference w:id="2417"/>
      </w:r>
      <w:r>
        <w:rPr>
          <w:rFonts w:ascii="Amiri" w:hAnsi="Amiri" w:eastAsia="Amiri" w:cs="Amiri"/>
          <w:color w:val="111111"/>
          <w:sz w:val="28"/>
          <w:sz w:val="28"/>
          <w:szCs w:val="28"/>
          <w:rtl w:val="true"/>
          <w:lang w:bidi="ar-SA"/>
        </w:rPr>
        <w:t>على ما ذُكر في هذا الخبر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جواز التيمّم متى تجاوز العوض عن قيمة المثل كثيراً</w:t>
      </w:r>
      <w:r>
        <w:rPr>
          <w:rStyle w:val="FootnoteAnchor"/>
          <w:rtl w:val="true"/>
        </w:rPr>
        <w:footnoteReference w:id="2418"/>
      </w:r>
      <w:r>
        <w:rPr>
          <w:rFonts w:ascii="Amiri" w:hAnsi="Amiri" w:eastAsia="Amiri" w:cs="Amiri"/>
          <w:color w:val="111111"/>
          <w:sz w:val="28"/>
          <w:sz w:val="28"/>
          <w:szCs w:val="28"/>
          <w:rtl w:val="true"/>
          <w:lang w:bidi="ar-SA"/>
        </w:rPr>
        <w:t>؛ استناداً إلى تجويز التيمّم مع الخوف على المال اليسير، فالكثير بالطريق الأولى، ولأنّ المال قليله وكثيره محترم؛ لكفر مستحلّه، وفسق غاصبه، وجواز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للأخبار الدالّة على وجوب بذل المال الكثير في ماء الوضوء</w:t>
      </w:r>
      <w:r>
        <w:rPr>
          <w:rStyle w:val="FootnoteAnchor"/>
          <w:rtl w:val="true"/>
        </w:rPr>
        <w:footnoteReference w:id="2419"/>
      </w:r>
      <w:r>
        <w:rPr>
          <w:rFonts w:ascii="Amiri" w:hAnsi="Amiri" w:eastAsia="Amiri" w:cs="Amiri"/>
          <w:color w:val="111111"/>
          <w:sz w:val="28"/>
          <w:sz w:val="28"/>
          <w:szCs w:val="28"/>
          <w:rtl w:val="true"/>
          <w:lang w:bidi="ar-SA"/>
        </w:rPr>
        <w:t>، المعتبرة بنفسها وبفتوى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أجحف كثيراً كأن تصل الثلاث أكفّ إلى ألف دينار، ربما أشكل فيه الحال؛ لعدم وجود النظير له في أبواب الفقه، ولعدم ذكرهم لمثله في لباس أو مكان أو ماء لرفع الخبث، أو دليل على القبلة، أو أرض يسجد عليها، أو آلة لتحصيل الماء أو لتحصيل غيره من الشرائط، أو لتحصيل كفٍّ من ترابٍ للتيمّم، ولو وجب بذل الكثير على كلّ جزءٍ جزءٍ من هذه الأُمور لذكروه في أكثر المقامات، بل ربما يدّعى قيام السيرة على خلافه، بل ربما يدّعى أنّ بذل ألف دينار في كفّ من تراب أو كفٍّ من ماء سفه عرفاً، فلا يسوغ شرعاً، وربما يظهر من بعضهم الإجماع على أنّ الزيادة لو أجحفت بالحال سقط وجوب البذل</w:t>
      </w:r>
      <w:r>
        <w:rPr>
          <w:rStyle w:val="FootnoteAnchor"/>
          <w:rtl w:val="true"/>
        </w:rPr>
        <w:footnoteReference w:id="2420"/>
      </w:r>
      <w:r>
        <w:rPr>
          <w:rFonts w:ascii="Amiri" w:hAnsi="Amiri" w:eastAsia="Amiri" w:cs="Amiri"/>
          <w:color w:val="111111"/>
          <w:sz w:val="28"/>
          <w:sz w:val="28"/>
          <w:szCs w:val="28"/>
          <w:rtl w:val="true"/>
          <w:lang w:bidi="ar-SA"/>
        </w:rPr>
        <w:t>، ومع ذلك فالتخطّي عمّا نطقت به الأخبار ودلّت عليه كلمات الأصحاب لا وجه 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عدم إمكان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الآلة لاستخراج الماء من دلو أو رشاء أو غيرهما؛ للإجماع، والأخبار</w:t>
      </w:r>
      <w:r>
        <w:rPr>
          <w:rStyle w:val="FootnoteAnchor"/>
          <w:rtl w:val="true"/>
        </w:rPr>
        <w:footnoteReference w:id="2421"/>
      </w:r>
      <w:r>
        <w:rPr>
          <w:rFonts w:ascii="Amiri" w:hAnsi="Amiri" w:eastAsia="Amiri" w:cs="Amiri"/>
          <w:color w:val="111111"/>
          <w:sz w:val="28"/>
          <w:sz w:val="28"/>
          <w:szCs w:val="28"/>
          <w:rtl w:val="true"/>
          <w:lang w:bidi="ar-SA"/>
        </w:rPr>
        <w:t>الدالّة على التيمّم لمن لم يكن عنده دلو وقد مرّ بالبئر، و أنّه لا يقع في البئر ولا يفسد على القوم ماءهم</w:t>
      </w:r>
      <w:r>
        <w:rPr>
          <w:rFonts w:eastAsia="Amiri" w:cs="Amiri" w:ascii="Amiri" w:hAnsi="Amiri"/>
          <w:color w:val="111111"/>
          <w:sz w:val="28"/>
          <w:szCs w:val="28"/>
          <w:rtl w:val="true"/>
          <w:lang w:bidi="ar-SA"/>
        </w:rPr>
        <w:t xml:space="preserve">. </w:t>
      </w:r>
      <w:bookmarkStart w:id="1150" w:name="pg18988_203606"/>
    </w:p>
    <w:p>
      <w:pPr>
        <w:pStyle w:val="Heading4"/>
        <w:numPr>
          <w:ilvl w:val="3"/>
          <w:numId w:val="1"/>
        </w:numPr>
        <w:rPr/>
      </w:pPr>
      <w:bookmarkStart w:id="1151" w:name="__RefHeading___Toc13198235_1280447820"/>
      <w:bookmarkStart w:id="1152" w:name="_Toc444"/>
      <w:bookmarkEnd w:id="1150"/>
      <w:bookmarkEnd w:id="1151"/>
      <w:r>
        <w:rPr>
          <w:rtl w:val="true"/>
        </w:rPr>
        <w:t>خامسها</w:t>
      </w:r>
      <w:r>
        <w:rPr>
          <w:rtl w:val="true"/>
        </w:rPr>
        <w:t xml:space="preserve">: </w:t>
      </w:r>
      <w:r>
        <w:rPr>
          <w:rtl w:val="true"/>
        </w:rPr>
        <w:t>عدم وجود الماء المحلَّل</w:t>
      </w:r>
      <w:bookmarkEnd w:id="1152"/>
    </w:p>
    <w:p>
      <w:pPr>
        <w:pStyle w:val="BookText"/>
        <w:rPr/>
      </w:pPr>
      <w:r>
        <w:rPr>
          <w:rFonts w:ascii="Amiri" w:hAnsi="Amiri" w:eastAsia="Amiri" w:cs="Amiri"/>
          <w:color w:val="111111"/>
          <w:sz w:val="28"/>
          <w:sz w:val="28"/>
          <w:szCs w:val="28"/>
          <w:rtl w:val="true"/>
          <w:lang w:bidi="ar-SA"/>
        </w:rPr>
        <w:t>ممّا يسوّغ التيمّم عدم وجود الماء المحلَّل بملك أو إباحة أو إذن فحوائيّة علميّة أو ظنّيّة جرت السيرة على العمل بها، أو بإذن إلهيّة، كاستعمال الأنهار والعيون المملوكة في الطرق، فإنّ المعلوم من سيرة المسلمين استعمالها مع القطع بالإذن الفحوائيّة ومع عدمه، بل ومع القطع بعدم الرضى؛ لإذن المالك الحقيقي بها، كما يشهد به فعل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الشيعة، والأخبار الواردة في أنّ الناس أو المسلمين شركاء في الماء والكلأ</w:t>
      </w:r>
      <w:r>
        <w:rPr>
          <w:rStyle w:val="FootnoteAnchor"/>
          <w:rtl w:val="true"/>
        </w:rPr>
        <w:footnoteReference w:id="2422"/>
      </w:r>
      <w:r>
        <w:rPr>
          <w:rFonts w:ascii="Amiri" w:hAnsi="Amiri" w:eastAsia="Amiri" w:cs="Amiri"/>
          <w:color w:val="111111"/>
          <w:sz w:val="28"/>
          <w:sz w:val="28"/>
          <w:szCs w:val="28"/>
          <w:rtl w:val="true"/>
          <w:lang w:bidi="ar-SA"/>
        </w:rPr>
        <w:t>، وربما نُقل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يجحف المتناول، وإلّا حرم، والأحوط التجنّب مع النهي من المالك، وكذا مع العلم بأنّه لأيتام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عدم وجود الماء الطاهر إجماعاً، ولو كان عنده نجس وطاهر واحتاج الشرب شرب الطاهر وتيمّم، ولا يجوز له شرب النجس للنهيّ عنه، والمنهي عنه مسوّغ للتيمّم ،كما في الأخبار</w:t>
      </w:r>
      <w:r>
        <w:rPr>
          <w:rStyle w:val="FootnoteAnchor"/>
          <w:rtl w:val="true"/>
        </w:rPr>
        <w:footnoteReference w:id="2423"/>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ماء طاهر وثوب نجس أو كان بدنه نجساً، فهل يغسل به النجس ويتيمّم، أو يتوضّأ ويصلّي بالنجاسة؟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النجاسة والتيمّم؛ لأنّ الأدلّة وإن كان بينها تعارض إلّا أنّ المفهوم من أدلّة التيمّم أنّه ينتقل إليه مع الموانع الشرعيّة والعرفيّة، فكلّما كان اضطرار شرعاً أو عرفاً ساغ له التيمّم، على أنّ الظاهر أن الحكم اتفاقيّ</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3198237_1280447820"/>
      <w:bookmarkStart w:id="1154" w:name="_Toc445"/>
      <w:bookmarkEnd w:id="1153"/>
      <w:r>
        <w:rPr>
          <w:rtl w:val="true"/>
        </w:rPr>
        <w:t>سادسها</w:t>
      </w:r>
      <w:r>
        <w:rPr>
          <w:rtl w:val="true"/>
        </w:rPr>
        <w:t xml:space="preserve">: </w:t>
      </w:r>
      <w:r>
        <w:rPr>
          <w:rtl w:val="true"/>
        </w:rPr>
        <w:t>التألّم الشديد على البدن</w:t>
      </w:r>
      <w:bookmarkEnd w:id="115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يسوّغ به التيمّم التألّم الشديد على البدن وإن كان لا يخشى معه من المرض على الأقوى؛ لعموم نفي الضرر</w:t>
      </w:r>
      <w:r>
        <w:rPr>
          <w:rStyle w:val="FootnoteAnchor"/>
          <w:rtl w:val="true"/>
        </w:rPr>
        <w:footnoteReference w:id="2424"/>
      </w:r>
      <w:r>
        <w:rPr>
          <w:rFonts w:ascii="IRNazanin" w:hAnsi="IRNazanin" w:eastAsia="IRNazanin"/>
          <w:color w:val="111111"/>
          <w:sz w:val="28"/>
          <w:sz w:val="28"/>
          <w:szCs w:val="28"/>
          <w:rtl w:val="true"/>
          <w:lang w:bidi="fa-IR"/>
        </w:rPr>
        <w:t>والعسر</w:t>
      </w:r>
      <w:r>
        <w:rPr>
          <w:rStyle w:val="FootnoteAnchor"/>
          <w:rtl w:val="true"/>
        </w:rPr>
        <w:footnoteReference w:id="2425"/>
      </w:r>
      <w:r>
        <w:rPr>
          <w:rFonts w:ascii="IRNazanin" w:hAnsi="IRNazanin" w:eastAsia="IRNazanin"/>
          <w:color w:val="111111"/>
          <w:sz w:val="28"/>
          <w:sz w:val="28"/>
          <w:szCs w:val="28"/>
          <w:rtl w:val="true"/>
          <w:lang w:bidi="fa-IR"/>
        </w:rPr>
        <w:t>، والحرج</w:t>
      </w:r>
      <w:r>
        <w:rPr>
          <w:rStyle w:val="FootnoteAnchor"/>
          <w:rtl w:val="true"/>
        </w:rPr>
        <w:footnoteReference w:id="2426"/>
      </w:r>
      <w:r>
        <w:rPr>
          <w:rFonts w:ascii="Amiri" w:hAnsi="Amiri" w:eastAsia="Amiri" w:cs="Amiri"/>
          <w:color w:val="111111"/>
          <w:sz w:val="28"/>
          <w:sz w:val="28"/>
          <w:szCs w:val="28"/>
          <w:rtl w:val="true"/>
          <w:lang w:bidi="ar-SA"/>
        </w:rPr>
        <w:t>، ولأنّه قد يكون أقوى من المرض</w:t>
      </w:r>
      <w:r>
        <w:rPr>
          <w:rFonts w:eastAsia="Amiri" w:cs="Amiri" w:ascii="Amiri" w:hAnsi="Amiri"/>
          <w:color w:val="111111"/>
          <w:sz w:val="28"/>
          <w:szCs w:val="28"/>
          <w:rtl w:val="true"/>
          <w:lang w:bidi="ar-SA"/>
        </w:rPr>
        <w:t xml:space="preserve">. </w:t>
      </w:r>
      <w:bookmarkStart w:id="1155" w:name="pg18988_203607"/>
    </w:p>
    <w:p>
      <w:pPr>
        <w:pStyle w:val="BookText"/>
        <w:rPr/>
      </w:pPr>
      <w:bookmarkEnd w:id="1155"/>
      <w:r>
        <w:rPr>
          <w:rFonts w:ascii="Amiri" w:hAnsi="Amiri" w:eastAsia="Amiri" w:cs="Amiri"/>
          <w:color w:val="111111"/>
          <w:sz w:val="28"/>
          <w:sz w:val="28"/>
          <w:szCs w:val="28"/>
          <w:rtl w:val="true"/>
          <w:lang w:bidi="ar-SA"/>
        </w:rPr>
        <w:t xml:space="preserve">فعلى هذا لو أصابه برد شديد أو حرّ شديد في الحمّامات، أو حركة عنيفة في المسير إلى محلّ الماء، أو تعب شديد في الغسل لكبر وعجز، ساغ له التيمّم، كما يُفهم ذلك من الأخبار عموماً وخصوصاً </w:t>
      </w:r>
      <w:r>
        <w:rPr>
          <w:rStyle w:val="FootnoteAnchor"/>
          <w:rtl w:val="true"/>
        </w:rPr>
        <w:footnoteReference w:id="2427"/>
      </w:r>
      <w:r>
        <w:rPr>
          <w:rFonts w:ascii="Amiri" w:hAnsi="Amiri" w:eastAsia="Amiri" w:cs="Amiri"/>
          <w:color w:val="111111"/>
          <w:sz w:val="28"/>
          <w:sz w:val="28"/>
          <w:szCs w:val="28"/>
          <w:rtl w:val="true"/>
          <w:lang w:bidi="ar-SA"/>
        </w:rPr>
        <w:t>لدخوله فيمن خاف على نفسه من البرد، وكلام جملة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بلزوم المائيّة </w:t>
      </w:r>
      <w:r>
        <w:rPr>
          <w:rStyle w:val="FootnoteAnchor"/>
          <w:rtl w:val="true"/>
        </w:rPr>
        <w:footnoteReference w:id="2428"/>
      </w:r>
      <w:r>
        <w:rPr>
          <w:rFonts w:ascii="Amiri" w:hAnsi="Amiri" w:eastAsia="Amiri" w:cs="Amiri"/>
          <w:color w:val="111111"/>
          <w:sz w:val="28"/>
          <w:sz w:val="28"/>
          <w:szCs w:val="28"/>
          <w:rtl w:val="true"/>
          <w:lang w:bidi="ar-SA"/>
        </w:rPr>
        <w:t>للعمومات وصحيح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تصيبه الجنابة في أرض باردة ولا يجد الماء وعسى أن يكون جامداً؟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مخصوصة، والرواية معارضة بصحيحته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يجنب ولا يجد إلّا الثلج أو ماءً جامداً؟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يتيمّم</w:t>
      </w:r>
      <w:r>
        <w:rPr>
          <w:rFonts w:eastAsia="Amiri" w:cs="Amiri" w:ascii="Amiri" w:hAnsi="Amiri"/>
          <w:color w:val="111111"/>
          <w:sz w:val="28"/>
          <w:szCs w:val="28"/>
          <w:rtl w:val="true"/>
          <w:lang w:bidi="ar-SA"/>
        </w:rPr>
        <w:t>»</w:t>
      </w:r>
      <w:r>
        <w:rPr>
          <w:rStyle w:val="FootnoteAnchor"/>
          <w:rtl w:val="true"/>
        </w:rPr>
        <w:footnoteReference w:id="2430"/>
      </w:r>
      <w:r>
        <w:rPr>
          <w:rFonts w:ascii="Amiri" w:hAnsi="Amiri" w:eastAsia="Amiri" w:cs="Amiri"/>
          <w:color w:val="111111"/>
          <w:sz w:val="28"/>
          <w:sz w:val="28"/>
          <w:szCs w:val="28"/>
          <w:rtl w:val="true"/>
          <w:lang w:bidi="ar-SA"/>
        </w:rPr>
        <w:t>فلتُحمل الرواية على القدرة على ذلك لبعض الأمزجة</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3198239_1280447820"/>
      <w:bookmarkStart w:id="1157" w:name="_Toc446"/>
      <w:bookmarkEnd w:id="1156"/>
      <w:r>
        <w:rPr>
          <w:rtl w:val="true"/>
        </w:rPr>
        <w:t>سابعها</w:t>
      </w:r>
      <w:r>
        <w:rPr>
          <w:rtl w:val="true"/>
        </w:rPr>
        <w:t xml:space="preserve">: </w:t>
      </w:r>
      <w:r>
        <w:rPr>
          <w:rtl w:val="true"/>
        </w:rPr>
        <w:t>الخوف العطش على النفس</w:t>
      </w:r>
      <w:bookmarkEnd w:id="1157"/>
    </w:p>
    <w:p>
      <w:pPr>
        <w:pStyle w:val="BookText"/>
        <w:rPr/>
      </w:pPr>
      <w:r>
        <w:rPr>
          <w:rFonts w:ascii="Amiri" w:hAnsi="Amiri" w:eastAsia="Amiri" w:cs="Amiri"/>
          <w:color w:val="111111"/>
          <w:sz w:val="28"/>
          <w:sz w:val="28"/>
          <w:szCs w:val="28"/>
          <w:rtl w:val="true"/>
          <w:lang w:bidi="ar-SA"/>
        </w:rPr>
        <w:t>ممّا يسوّغ التيمّم الخوف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نفس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المحترمة من إنسان أو حيوان محترم على الأظهر، أو على ماله أو مال غيره المحترم، أو عرضه أو عرض غيره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وإلحاق المال بالنفس يمكن الاستدلال عليه برواية اللصّ </w:t>
      </w:r>
      <w:r>
        <w:rPr>
          <w:rStyle w:val="FootnoteAnchor"/>
          <w:rtl w:val="true"/>
        </w:rPr>
        <w:footnoteReference w:id="2431"/>
      </w:r>
      <w:r>
        <w:rPr>
          <w:rFonts w:ascii="Amiri" w:hAnsi="Amiri" w:eastAsia="Amiri" w:cs="Amiri"/>
          <w:color w:val="111111"/>
          <w:sz w:val="28"/>
          <w:sz w:val="28"/>
          <w:szCs w:val="28"/>
          <w:rtl w:val="true"/>
          <w:lang w:bidi="ar-SA"/>
        </w:rPr>
        <w:t>و بغيرها ممّا جاء باحترام المال ولزوم حفظه والدفاع عنه، وكذا العرض، إلّا أنّ تسويغ التيمّم لحفظ مال الغير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الخوف جُبْناً كان لا اعتبار به فيقوّي نفسه على ما لا يخاف منه عادة، إلّا إذا أدّت شدّة الجبن إلى الوقوع في الجنون أو مرض آخَر، كما رأيناه من بعض أهل الأوهام من الجنّ والملائكة</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3198241_1280447820"/>
      <w:bookmarkStart w:id="1159" w:name="_Toc447"/>
      <w:bookmarkEnd w:id="1158"/>
      <w:r>
        <w:rPr>
          <w:rtl w:val="true"/>
        </w:rPr>
        <w:t>ثامنها</w:t>
      </w:r>
      <w:r>
        <w:rPr>
          <w:rtl w:val="true"/>
        </w:rPr>
        <w:t xml:space="preserve">: </w:t>
      </w:r>
      <w:r>
        <w:rPr>
          <w:rtl w:val="true"/>
        </w:rPr>
        <w:t>خوف العطش على نفسه</w:t>
      </w:r>
      <w:bookmarkEnd w:id="115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يسوّغ له التيمّم خوف العطش على نفسه وإن لم 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مجرّد التألّم منه؛ لإطلاق الفتوى، وصحيح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خاف عطشاً فلا يهريق منه قطرة، وليتيمّم بالصعيد</w:t>
      </w:r>
      <w:r>
        <w:rPr>
          <w:rFonts w:eastAsia="Amiri" w:cs="Amiri" w:ascii="Amiri" w:hAnsi="Amiri"/>
          <w:color w:val="111111"/>
          <w:sz w:val="28"/>
          <w:szCs w:val="28"/>
          <w:rtl w:val="true"/>
          <w:lang w:bidi="ar-SA"/>
        </w:rPr>
        <w:t>»</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 xml:space="preserve">. </w:t>
      </w:r>
      <w:bookmarkStart w:id="1160" w:name="pg18988_203608"/>
    </w:p>
    <w:p>
      <w:pPr>
        <w:pStyle w:val="BookText"/>
        <w:rPr/>
      </w:pPr>
      <w:bookmarkEnd w:id="1160"/>
      <w:r>
        <w:rPr>
          <w:rFonts w:ascii="Amiri" w:hAnsi="Amiri" w:eastAsia="Amiri" w:cs="Amiri"/>
          <w:color w:val="111111"/>
          <w:sz w:val="28"/>
          <w:sz w:val="28"/>
          <w:szCs w:val="28"/>
          <w:rtl w:val="true"/>
          <w:lang w:bidi="ar-SA"/>
        </w:rPr>
        <w:t>والظاهر أنّ الخوف من عطش رفيقه ودابّته المحترمين مسوّغ للتيمّم أيضاً؛ لأنّ حفظ المسلم وحفظ المال المحترم أهمّ من الصلاة والطهارة، ولذا تقطع الصلاة لأجلهما ولو في الضيق ولدخولهما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خاف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ما أمكن تذكيته من دوابّه وبين ما لم يمكن، إلّا أنّ ما يمكن تذكيته وأكل لحمه بحيث يمكن الجمع بين استعمال الماء وعدم إذهاب المال ورفع حرمته، فالأحوط استعمال الماء وذبحه قبل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على دابّة غيره من رفقائه، فإن لم يمكن تذكيتها وكانت محترمةً قوي القول بجواز دفع الماء لها والتيمّم، وفي الوجوب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ذلك، فجواز بذل الماء لها والتيمّم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الحيوان الغير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كالحربي والمرتدّ والكلب العقور والخنزير والمؤذي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دفع الماء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وجب عليه القتل لحدٍّ أو قصاص إشكال، والأقوى بقاء حرمته إلى حين القتل </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3198243_1280447820"/>
      <w:bookmarkStart w:id="1162" w:name="_Toc448"/>
      <w:bookmarkEnd w:id="1161"/>
      <w:r>
        <w:rPr>
          <w:rtl w:val="true"/>
        </w:rPr>
        <w:t>تاسعها</w:t>
      </w:r>
      <w:r>
        <w:rPr>
          <w:rtl w:val="true"/>
        </w:rPr>
        <w:t xml:space="preserve">: </w:t>
      </w:r>
      <w:r>
        <w:rPr>
          <w:rtl w:val="true"/>
        </w:rPr>
        <w:t>زيادة المرض للمريض باستعمال الماء</w:t>
      </w:r>
      <w:bookmarkEnd w:id="1162"/>
    </w:p>
    <w:p>
      <w:pPr>
        <w:pStyle w:val="BookText"/>
        <w:rPr/>
      </w:pPr>
      <w:r>
        <w:rPr>
          <w:rFonts w:ascii="Amiri" w:hAnsi="Amiri" w:eastAsia="Amiri" w:cs="Amiri"/>
          <w:color w:val="111111"/>
          <w:sz w:val="28"/>
          <w:sz w:val="28"/>
          <w:szCs w:val="28"/>
          <w:rtl w:val="true"/>
          <w:lang w:bidi="ar-SA"/>
        </w:rPr>
        <w:t>ممّا يسوغ له التيمّم زيادة المرض للمريض باستعمال الماء، أو عسر علاجه، أو تألّمه باستعماله له، أو خوف استمراره، أو خوف التلف بسببه؛ لنصّ الكتاب</w:t>
      </w:r>
      <w:r>
        <w:rPr>
          <w:rStyle w:val="FootnoteAnchor"/>
          <w:rtl w:val="true"/>
        </w:rPr>
        <w:footnoteReference w:id="2433"/>
      </w:r>
      <w:r>
        <w:rPr>
          <w:rFonts w:ascii="Amiri" w:hAnsi="Amiri" w:eastAsia="Amiri" w:cs="Amiri"/>
          <w:color w:val="111111"/>
          <w:sz w:val="28"/>
          <w:sz w:val="28"/>
          <w:szCs w:val="28"/>
          <w:rtl w:val="true"/>
          <w:lang w:bidi="ar-SA"/>
        </w:rPr>
        <w:t>والإجماع، إلّا فيمن أجنب مختاراً، والنصوص الواردة في المجدور والكسير والمبطون و مَنْ به جروح أو قروح أو خاف على نفسه من البرد</w:t>
      </w:r>
      <w:r>
        <w:rPr>
          <w:rStyle w:val="FootnoteAnchor"/>
          <w:rtl w:val="true"/>
        </w:rPr>
        <w:footnoteReference w:id="2434"/>
      </w:r>
      <w:r>
        <w:rPr>
          <w:rFonts w:ascii="Amiri" w:hAnsi="Amiri" w:eastAsia="Amiri" w:cs="Amiri"/>
          <w:color w:val="111111"/>
          <w:sz w:val="28"/>
          <w:sz w:val="28"/>
          <w:szCs w:val="28"/>
          <w:rtl w:val="true"/>
          <w:lang w:bidi="ar-SA"/>
        </w:rPr>
        <w:t>، والعمومات النافية للعسر</w:t>
      </w:r>
      <w:r>
        <w:rPr>
          <w:rStyle w:val="FootnoteAnchor"/>
          <w:rtl w:val="true"/>
        </w:rPr>
        <w:footnoteReference w:id="2435"/>
      </w:r>
      <w:r>
        <w:rPr>
          <w:rFonts w:ascii="IRNazanin" w:hAnsi="IRNazanin" w:eastAsia="IRNazanin"/>
          <w:color w:val="111111"/>
          <w:sz w:val="28"/>
          <w:sz w:val="28"/>
          <w:szCs w:val="28"/>
          <w:rtl w:val="true"/>
          <w:lang w:bidi="fa-IR"/>
        </w:rPr>
        <w:t>والحرج</w:t>
      </w:r>
      <w:r>
        <w:rPr>
          <w:rStyle w:val="FootnoteAnchor"/>
          <w:rtl w:val="true"/>
        </w:rPr>
        <w:footnoteReference w:id="2436"/>
      </w:r>
      <w:r>
        <w:rPr>
          <w:rFonts w:ascii="IRNazanin" w:hAnsi="IRNazanin" w:eastAsia="IRNazanin"/>
          <w:color w:val="111111"/>
          <w:sz w:val="28"/>
          <w:sz w:val="28"/>
          <w:szCs w:val="28"/>
          <w:rtl w:val="true"/>
          <w:lang w:bidi="fa-IR"/>
        </w:rPr>
        <w:t>والضرر</w:t>
      </w:r>
      <w:r>
        <w:rPr>
          <w:rStyle w:val="FootnoteAnchor"/>
          <w:rtl w:val="true"/>
        </w:rPr>
        <w:footnoteReference w:id="2437"/>
      </w:r>
      <w:r>
        <w:rPr>
          <w:rFonts w:ascii="Amiri" w:hAnsi="Amiri" w:eastAsia="Amiri" w:cs="Amiri"/>
          <w:color w:val="111111"/>
          <w:sz w:val="28"/>
          <w:sz w:val="28"/>
          <w:szCs w:val="28"/>
          <w:rtl w:val="true"/>
          <w:lang w:bidi="ar-SA"/>
        </w:rPr>
        <w:t>، والناهية عن إلقاء النفس في التهلكة</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خوف حدوث المرض باستعمال الماء وإن كان صحيحاً قبل استعماله؛ للعمومات </w:t>
      </w:r>
    </w:p>
    <w:p>
      <w:pPr>
        <w:pStyle w:val="BookText"/>
        <w:rPr/>
      </w:pPr>
      <w:r>
        <w:rPr>
          <w:rFonts w:ascii="Amiri" w:hAnsi="Amiri" w:eastAsia="Amiri" w:cs="Amiri"/>
          <w:color w:val="111111"/>
          <w:sz w:val="28"/>
          <w:sz w:val="28"/>
          <w:szCs w:val="28"/>
          <w:rtl w:val="true"/>
          <w:lang w:bidi="ar-SA"/>
        </w:rPr>
        <w:t>وفحوى الأخبار الواردة في الصوم</w:t>
      </w:r>
      <w:r>
        <w:rPr>
          <w:rStyle w:val="FootnoteAnchor"/>
          <w:rtl w:val="true"/>
        </w:rPr>
        <w:footnoteReference w:id="2439"/>
      </w:r>
      <w:r>
        <w:rPr>
          <w:rFonts w:ascii="Amiri" w:hAnsi="Amiri" w:eastAsia="Amiri" w:cs="Amiri"/>
          <w:color w:val="111111"/>
          <w:sz w:val="28"/>
          <w:sz w:val="28"/>
          <w:szCs w:val="28"/>
          <w:rtl w:val="true"/>
          <w:lang w:bidi="ar-SA"/>
        </w:rPr>
        <w:t>والواردة هاهنا</w:t>
      </w:r>
      <w:r>
        <w:rPr>
          <w:rStyle w:val="FootnoteAnchor"/>
          <w:rtl w:val="true"/>
        </w:rPr>
        <w:footnoteReference w:id="2440"/>
      </w:r>
      <w:r>
        <w:rPr>
          <w:rFonts w:ascii="Amiri" w:hAnsi="Amiri" w:eastAsia="Amiri" w:cs="Amiri"/>
          <w:color w:val="111111"/>
          <w:sz w:val="28"/>
          <w:sz w:val="28"/>
          <w:szCs w:val="28"/>
          <w:rtl w:val="true"/>
          <w:lang w:bidi="ar-SA"/>
        </w:rPr>
        <w:t>، ولدخوله في الخوف من البرد المسوّغ للتيمّم، ولأنّ حفظ الصحّة يساوي دفع المرض في كون كلٍّ منهما مطلوباً للنفس إن لم يكن أولى، ولاتّفاق الأصحاب على ذلك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خوف المرض من الصحيح وخوف الزيادة من المريض بحصول الظنّ به، بل و الشكّ؛ لأنّ الشاكّ في الخوف خائف، والضرر المشكوك به 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صدر من معتدل المزاج جبناً وشجاعةً، فلو كان جَباناً كثير الخوف رجع إلى عامّة الناس، فإن حكموا بأنّه مخوف تركه و إلّا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المتجاوز في الشجاعة حدّ التهوّر، مع احتمال دوران الحكم مدار الخوف مطلقاً، ومع الجهل وعدم المعرفة بحال نفسه يرجع إلى أهل الخبرة المفيد قولهم الظنّ أو الخوف، واحداً أو متعدّداً، مسلماً عدلاً أو فاسقاً أو كافراً، ولو لم يفد قولهم الظنّ أو الخوف، فإن كان المُخبر عدلين وجب الأخذ بقولهما، وإن كان عدلاً واحداً 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إلى ما ذكرنا من قول الأطبّاء وأهل الخبرة قضت به الأخبار في كتاب الصوم</w:t>
      </w:r>
      <w:r>
        <w:rPr>
          <w:rStyle w:val="FootnoteAnchor"/>
          <w:rtl w:val="true"/>
        </w:rPr>
        <w:footnoteReference w:id="2441"/>
      </w:r>
      <w:r>
        <w:rPr>
          <w:rFonts w:ascii="Amiri" w:hAnsi="Amiri" w:eastAsia="Amiri" w:cs="Amiri"/>
          <w:color w:val="111111"/>
          <w:sz w:val="28"/>
          <w:sz w:val="28"/>
          <w:szCs w:val="28"/>
          <w:rtl w:val="true"/>
          <w:lang w:bidi="ar-SA"/>
        </w:rPr>
        <w:t>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بالمرض هو ما يُسمّى مرضاً عرفاً بحيث يعتدّ به ويهتمّ بحاله، فلو كان المرض يسيراً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كألم لحظة في جزء من البدن أو حصول رجفة في الأعضاء من البرد أو اختلاج أو همول عينٍ أو أنفٍ يسيراً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 به، ويجب استعمال الماء تمسّكاً بالقاعدة وشكّاً في الخروج عنها؛ للشكّ في شمول الإطلاق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له الخوف فاستعمل الماء بطل عمله؛ لتوجّه النهي إليه ولو وافق الواقع من عدم حصول ما 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يحصل له الخوف فاستعمل الماء، صحّ استعماله ولو خالف الواقع من حصول ما لم يخف منه ؛ لدوران الأمر مدار الخوف</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الخوف من العطش والبرد والخوف على النفس وعلى العرض والمال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أنّ الحكم معلّق على ترتّب الأمر المخوف واقعاً ؛ لأنّ الأصل في الشرائط والموانع الواقعيّة، ضعيف؛ لمخالفته الأخبار وكلام الأصحاب من تعليق الحكم على نفس الخوف وجوداً وعدماً، والامتثال قاضٍ بالإجزاء، والنهي قاضٍ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حدوث الشين في الوجه كالتفطير والانكماش، فقد نقل الإجماع على جواز التيمّم معه</w:t>
      </w:r>
      <w:r>
        <w:rPr>
          <w:rStyle w:val="FootnoteAnchor"/>
          <w:rtl w:val="true"/>
        </w:rPr>
        <w:footnoteReference w:id="2442"/>
      </w:r>
      <w:r>
        <w:rPr>
          <w:rFonts w:ascii="Amiri" w:hAnsi="Amiri" w:eastAsia="Amiri" w:cs="Amiri"/>
          <w:color w:val="111111"/>
          <w:sz w:val="28"/>
          <w:sz w:val="28"/>
          <w:szCs w:val="28"/>
          <w:rtl w:val="true"/>
          <w:lang w:bidi="ar-SA"/>
        </w:rPr>
        <w:t xml:space="preserve">، وظاهر إطلاق الإجماع أنّ الشين مسوّغ للتيمّم مطلقاً ، وهو مع حصول الضرر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سيلان دم أو تشويه خلقة أو حدوث 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 ومع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كالواقع معتاداً في البلاد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تسويغه للتيمّم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جواز التيمّم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والفتاوى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جواز التيمّم للمريض بين أن يجنب اختياراً أو اضطراراً بعد الوقت أو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للشيخين القول بأنّ مَنْ أجنب مختاراً يجب عليه الغسل وإن خشي التلف</w:t>
      </w:r>
      <w:r>
        <w:rPr>
          <w:rStyle w:val="FootnoteAnchor"/>
          <w:rtl w:val="true"/>
        </w:rPr>
        <w:footnoteReference w:id="2443"/>
      </w:r>
      <w:r>
        <w:rPr>
          <w:rFonts w:ascii="Amiri" w:hAnsi="Amiri" w:eastAsia="Amiri" w:cs="Amiri"/>
          <w:color w:val="111111"/>
          <w:sz w:val="28"/>
          <w:sz w:val="28"/>
          <w:szCs w:val="28"/>
          <w:rtl w:val="true"/>
          <w:lang w:bidi="ar-SA"/>
        </w:rPr>
        <w:t>للمرفوعتين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المجدور أصابته 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أجنب نفسه فليغتسل وإن احتلم فليتيمّم</w:t>
      </w:r>
      <w:r>
        <w:rPr>
          <w:rFonts w:eastAsia="Amiri" w:cs="Amiri" w:ascii="Amiri" w:hAnsi="Amiri"/>
          <w:color w:val="111111"/>
          <w:sz w:val="28"/>
          <w:szCs w:val="28"/>
          <w:rtl w:val="true"/>
          <w:lang w:bidi="ar-SA"/>
        </w:rPr>
        <w:t>»</w:t>
      </w:r>
      <w:r>
        <w:rPr>
          <w:rStyle w:val="FootnoteAnchor"/>
          <w:rtl w:val="true"/>
        </w:rPr>
        <w:footnoteReference w:id="2444"/>
      </w:r>
      <w:r>
        <w:rPr>
          <w:rFonts w:ascii="Amiri" w:hAnsi="Amiri" w:eastAsia="Amiri" w:cs="Amiri"/>
          <w:color w:val="111111"/>
          <w:sz w:val="28"/>
          <w:sz w:val="28"/>
          <w:szCs w:val="28"/>
          <w:rtl w:val="true"/>
          <w:lang w:bidi="ar-SA"/>
        </w:rPr>
        <w:t>والصحيحين،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المجنب يتخوّف أن يصيبه عنت من الغسل لأنّه في أرض باردة؟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وإن أصابه ما أصابه</w:t>
      </w:r>
      <w:r>
        <w:rPr>
          <w:rFonts w:eastAsia="Amiri" w:cs="Amiri" w:ascii="Amiri" w:hAnsi="Amiri"/>
          <w:color w:val="111111"/>
          <w:sz w:val="28"/>
          <w:szCs w:val="28"/>
          <w:rtl w:val="true"/>
          <w:lang w:bidi="ar-SA"/>
        </w:rPr>
        <w:t>»</w:t>
      </w:r>
      <w:r>
        <w:rPr>
          <w:rStyle w:val="FootnoteAnchor"/>
          <w:rtl w:val="true"/>
        </w:rPr>
        <w:footnoteReference w:id="2445"/>
      </w:r>
      <w:r>
        <w:rPr>
          <w:rFonts w:ascii="Amiri" w:hAnsi="Amiri" w:eastAsia="Amiri" w:cs="Amiri"/>
          <w:color w:val="111111"/>
          <w:sz w:val="28"/>
          <w:sz w:val="28"/>
          <w:szCs w:val="28"/>
          <w:rtl w:val="true"/>
          <w:lang w:bidi="ar-SA"/>
        </w:rPr>
        <w:t>وفى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الجنابة في أرض باردة؟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على ما كان، فإنّه لا بدّ من الغسل</w:t>
      </w:r>
      <w:r>
        <w:rPr>
          <w:rFonts w:eastAsia="Amiri" w:cs="Amiri" w:ascii="Amiri" w:hAnsi="Amiri"/>
          <w:color w:val="111111"/>
          <w:sz w:val="28"/>
          <w:szCs w:val="28"/>
          <w:rtl w:val="true"/>
          <w:lang w:bidi="ar-SA"/>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ضعيف؛ لضعف المرفوعتين سنداً ودلالةً؛ لاحتمال إرادة أنّه إذا أجنب نفسه كان قادراً على تحمّل الغسل دون ما إذا احتلم؛ ولضعف الصحيحتين دلالةً؛ لاحتمال أنّ المشقّة هو البرد نفسه، ولم يبلغ إلى حيث لا يمكن تحمّله أو إلى ترتّب ضرر عليه، ومع ذلك فهما معارضتان بعمومات أدلّة نفي العسر والحرج والضرر وسهولة الشريعة كتاباً</w:t>
      </w:r>
      <w:r>
        <w:rPr>
          <w:rStyle w:val="FootnoteAnchor"/>
          <w:rtl w:val="true"/>
        </w:rPr>
        <w:footnoteReference w:id="2447"/>
      </w:r>
      <w:r>
        <w:rPr>
          <w:rFonts w:ascii="Amiri" w:hAnsi="Amiri" w:eastAsia="Amiri" w:cs="Amiri"/>
          <w:color w:val="111111"/>
          <w:sz w:val="28"/>
          <w:sz w:val="28"/>
          <w:szCs w:val="28"/>
          <w:rtl w:val="true"/>
          <w:lang w:bidi="ar-SA"/>
        </w:rPr>
        <w:t>وسنّةً</w:t>
      </w:r>
      <w:r>
        <w:rPr>
          <w:rStyle w:val="FootnoteAnchor"/>
          <w:rtl w:val="true"/>
        </w:rPr>
        <w:footnoteReference w:id="2448"/>
      </w:r>
      <w:r>
        <w:rPr>
          <w:rFonts w:ascii="IRNazanin" w:hAnsi="IRNazanin" w:eastAsia="IRNazanin"/>
          <w:color w:val="111111"/>
          <w:sz w:val="28"/>
          <w:sz w:val="28"/>
          <w:szCs w:val="28"/>
          <w:rtl w:val="true"/>
          <w:lang w:bidi="fa-IR"/>
        </w:rPr>
        <w:t xml:space="preserve">، وبالأخبار </w:t>
      </w:r>
      <w:bookmarkStart w:id="1163" w:name="pg18988_203611"/>
    </w:p>
    <w:p>
      <w:pPr>
        <w:pStyle w:val="BookText"/>
        <w:rPr/>
      </w:pPr>
      <w:bookmarkEnd w:id="1163"/>
      <w:r>
        <w:rPr>
          <w:rFonts w:ascii="Amiri" w:hAnsi="Amiri" w:eastAsia="Amiri" w:cs="Amiri"/>
          <w:color w:val="111111"/>
          <w:sz w:val="28"/>
          <w:sz w:val="28"/>
          <w:szCs w:val="28"/>
          <w:rtl w:val="true"/>
          <w:lang w:bidi="ar-SA"/>
        </w:rPr>
        <w:t>الصحيحة والمعتبرة الدالّة على أنّ مَنْ أصابته جنابة فى ليلة باردة ويخاف على نفسه إن هو اغتسل،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فإذا أمن البرد اغتسل وأعاد</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 و بالأخبار الدالّة على جواز الجنابة لمن كان فاقد الماء و أنّه حلال يؤجر عليه</w:t>
      </w:r>
      <w:r>
        <w:rPr>
          <w:rStyle w:val="FootnoteAnchor"/>
          <w:rtl w:val="true"/>
        </w:rPr>
        <w:footnoteReference w:id="2450"/>
      </w:r>
      <w:r>
        <w:rPr>
          <w:rFonts w:ascii="Amiri" w:hAnsi="Amiri" w:eastAsia="Amiri" w:cs="Amiri"/>
          <w:color w:val="111111"/>
          <w:sz w:val="28"/>
          <w:sz w:val="28"/>
          <w:szCs w:val="28"/>
          <w:rtl w:val="true"/>
          <w:lang w:bidi="ar-SA"/>
        </w:rPr>
        <w:t>، فإنّها ظاهرة في تسويغ التيمم؛ لأنّ القائل بمنعه ووجوب الغسل إنّما يقوله عقوبةً له على تعمّده الجنابة وتقصيره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دلّ على التيمّم والاغتسال بعد ذلك وإعادة الصلاة</w:t>
      </w:r>
      <w:r>
        <w:rPr>
          <w:rStyle w:val="FootnoteAnchor"/>
          <w:rtl w:val="true"/>
        </w:rPr>
        <w:footnoteReference w:id="2451"/>
      </w:r>
      <w:r>
        <w:rPr>
          <w:rFonts w:ascii="Amiri" w:hAnsi="Amiri" w:eastAsia="Amiri" w:cs="Amiri"/>
          <w:color w:val="111111"/>
          <w:sz w:val="28"/>
          <w:sz w:val="28"/>
          <w:szCs w:val="28"/>
          <w:rtl w:val="true"/>
          <w:lang w:bidi="ar-SA"/>
        </w:rPr>
        <w:t>محمول على الندب؛ لفتوى المشهور بعدم الإعادة للصلاة، ولأنّ الامتثال مقتض للإجزاء، وللأخبار الدالّة على عدم وجوب الإعادة للصلاة</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13198245_1280447820"/>
      <w:bookmarkStart w:id="1165" w:name="_Toc449"/>
      <w:bookmarkEnd w:id="1164"/>
      <w:r>
        <w:rPr>
          <w:rtl w:val="true"/>
        </w:rPr>
        <w:t>عاشرها</w:t>
      </w:r>
      <w:r>
        <w:rPr>
          <w:rtl w:val="true"/>
        </w:rPr>
        <w:t xml:space="preserve">: </w:t>
      </w:r>
      <w:r>
        <w:rPr>
          <w:rtl w:val="true"/>
        </w:rPr>
        <w:t>عدم التمكّن من الطهارة الشرعيّة لتقيّةٍ</w:t>
      </w:r>
      <w:bookmarkEnd w:id="1165"/>
    </w:p>
    <w:p>
      <w:pPr>
        <w:pStyle w:val="Heading5"/>
        <w:numPr>
          <w:ilvl w:val="4"/>
          <w:numId w:val="1"/>
        </w:numPr>
        <w:rPr/>
      </w:pPr>
      <w:bookmarkStart w:id="1166" w:name="__RefHeading___Toc13198247_1280447820"/>
      <w:bookmarkStart w:id="1167" w:name="_Toc450"/>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ممّا يسوغ له التيمّم عدم التمكّن من الطهارة الشرعيّة 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تقيّة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يهود أو نصارى أو ملل أُخَر، فإنّ التوضّؤ والغسل على طريقتهم لم تثبت مشروعيّته، فالعدول للتيمّم</w:t>
      </w:r>
      <w:r>
        <w:rPr>
          <w:rStyle w:val="FootnoteAnchor"/>
          <w:rtl w:val="true"/>
        </w:rPr>
        <w:footnoteReference w:id="2453"/>
      </w:r>
      <w:r>
        <w:rPr>
          <w:rFonts w:ascii="Amiri" w:hAnsi="Amiri" w:eastAsia="Amiri" w:cs="Amiri"/>
          <w:color w:val="111111"/>
          <w:sz w:val="28"/>
          <w:sz w:val="28"/>
          <w:szCs w:val="28"/>
          <w:rtl w:val="true"/>
          <w:lang w:bidi="ar-SA"/>
        </w:rPr>
        <w:t>من الأُمور اللازمة</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3198249_1280447820"/>
      <w:bookmarkStart w:id="1169" w:name="_Toc451"/>
      <w:bookmarkEnd w:id="1168"/>
      <w:r>
        <w:rPr>
          <w:rtl w:val="true"/>
        </w:rPr>
        <w:t>جواز التيمّم لمن منعه الزحام يوم الجمعة أو عرفة وقد ضاق عليه الوقت</w:t>
      </w:r>
      <w:bookmarkEnd w:id="1169"/>
    </w:p>
    <w:p>
      <w:pPr>
        <w:pStyle w:val="BookText"/>
        <w:rPr/>
      </w:pPr>
      <w:r>
        <w:rPr>
          <w:rFonts w:ascii="Amiri" w:hAnsi="Amiri" w:eastAsia="Amiri" w:cs="Amiri"/>
          <w:color w:val="111111"/>
          <w:sz w:val="28"/>
          <w:sz w:val="28"/>
          <w:szCs w:val="28"/>
          <w:rtl w:val="true"/>
          <w:lang w:bidi="ar-SA"/>
        </w:rPr>
        <w:t>وكذا يسوّغ التيمّم لمن منعه الزحام يوم الجمعة أو عرفة وقد ضاق عليه الوقت للأخبار</w:t>
      </w:r>
      <w:r>
        <w:rPr>
          <w:rStyle w:val="FootnoteAnchor"/>
          <w:rtl w:val="true"/>
        </w:rPr>
        <w:footnoteReference w:id="2454"/>
      </w:r>
      <w:r>
        <w:rPr>
          <w:rFonts w:ascii="IRNazanin" w:hAnsi="IRNazanin" w:eastAsia="IRNazanin"/>
          <w:color w:val="111111"/>
          <w:sz w:val="28"/>
          <w:sz w:val="28"/>
          <w:szCs w:val="28"/>
          <w:rtl w:val="true"/>
          <w:lang w:bidi="fa-IR"/>
        </w:rPr>
        <w:t>، و 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وهو محمول على الندب، أو على أنّ الصلاة مع العامّة</w:t>
      </w:r>
    </w:p>
    <w:p>
      <w:pPr>
        <w:pStyle w:val="BookText"/>
        <w:rPr/>
      </w:pPr>
      <w:r>
        <w:rPr>
          <w:rFonts w:ascii="Amiri" w:hAnsi="Amiri" w:eastAsia="Amiri" w:cs="Amiri"/>
          <w:color w:val="111111"/>
          <w:sz w:val="28"/>
          <w:sz w:val="28"/>
          <w:szCs w:val="28"/>
          <w:rtl w:val="true"/>
          <w:lang w:bidi="ar-SA"/>
        </w:rPr>
        <w:t>فيصلّى معهم صورةً ثمّ يعيدها</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13198251_1280447820"/>
      <w:bookmarkStart w:id="1171" w:name="_Toc452"/>
      <w:bookmarkEnd w:id="1170"/>
      <w:r>
        <w:rPr>
          <w:rtl w:val="true"/>
        </w:rPr>
        <w:t>جواز التيمّم تأدية استعمال الماء إلى الإفساد على المستطرقين والمارّين</w:t>
      </w:r>
      <w:bookmarkEnd w:id="117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يسوغ له التيمّم تأدية استعمال الماء إلى الإفساد على المستطرقين والمارّين من المسلمين ، كالدخول إلى الآبار الموضوعة في الطرق والعيون والقنوات ؛ للأخبار الناهية عن الوقوع في البئر وأن يفسد على القوم ماءهم</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 xml:space="preserve">. </w:t>
      </w:r>
      <w:bookmarkStart w:id="1172" w:name="pg18988_203612"/>
    </w:p>
    <w:p>
      <w:pPr>
        <w:pStyle w:val="Heading3"/>
        <w:numPr>
          <w:ilvl w:val="2"/>
          <w:numId w:val="1"/>
        </w:numPr>
        <w:rPr/>
      </w:pPr>
      <w:bookmarkStart w:id="1173" w:name="__RefHeading___Toc13198253_1280447820"/>
      <w:bookmarkStart w:id="1174" w:name="_Toc453"/>
      <w:bookmarkEnd w:id="1172"/>
      <w:bookmarkEnd w:id="1173"/>
      <w:r>
        <w:rPr>
          <w:rtl w:val="true"/>
        </w:rPr>
        <w:t>القول فيما يتيمّم به</w:t>
      </w:r>
      <w:bookmarkEnd w:id="1174"/>
    </w:p>
    <w:p>
      <w:pPr>
        <w:pStyle w:val="Heading4"/>
        <w:numPr>
          <w:ilvl w:val="3"/>
          <w:numId w:val="1"/>
        </w:numPr>
        <w:rPr/>
      </w:pPr>
      <w:bookmarkStart w:id="1175" w:name="__RefHeading___Toc13198255_1280447820"/>
      <w:bookmarkStart w:id="1176" w:name="_Toc454"/>
      <w:bookmarkEnd w:id="1175"/>
      <w:r>
        <w:rPr>
          <w:rtl w:val="true"/>
        </w:rPr>
        <w:t>وفيه مباحث</w:t>
      </w:r>
      <w:r>
        <w:rPr>
          <w:rtl w:val="true"/>
        </w:rPr>
        <w:t>:</w:t>
      </w:r>
      <w:bookmarkEnd w:id="1176"/>
    </w:p>
    <w:p>
      <w:pPr>
        <w:pStyle w:val="Heading4"/>
        <w:numPr>
          <w:ilvl w:val="3"/>
          <w:numId w:val="1"/>
        </w:numPr>
        <w:rPr/>
      </w:pPr>
      <w:bookmarkStart w:id="1177" w:name="__RefHeading___Toc13198257_1280447820"/>
      <w:bookmarkStart w:id="1178" w:name="_Toc455"/>
      <w:bookmarkEnd w:id="1177"/>
      <w:r>
        <w:rPr>
          <w:rtl w:val="true"/>
        </w:rPr>
        <w:t>أحدها</w:t>
      </w:r>
      <w:r>
        <w:rPr>
          <w:rtl w:val="true"/>
        </w:rPr>
        <w:t xml:space="preserve">: </w:t>
      </w:r>
      <w:r>
        <w:rPr>
          <w:rtl w:val="true"/>
        </w:rPr>
        <w:t>وجوب التيمّم بالصعيد الطيّب</w:t>
      </w:r>
      <w:bookmarkEnd w:id="1178"/>
    </w:p>
    <w:p>
      <w:pPr>
        <w:pStyle w:val="BookText"/>
        <w:rPr/>
      </w:pPr>
      <w:r>
        <w:rPr>
          <w:rFonts w:ascii="Amiri" w:hAnsi="Amiri" w:eastAsia="Amiri" w:cs="Amiri"/>
          <w:color w:val="111111"/>
          <w:sz w:val="28"/>
          <w:sz w:val="28"/>
          <w:szCs w:val="28"/>
          <w:rtl w:val="true"/>
          <w:lang w:bidi="ar-SA"/>
        </w:rPr>
        <w:t xml:space="preserve">يجب التيمّم بالصعيد الطيّب إجماعاً وكتاباً </w:t>
      </w:r>
      <w:r>
        <w:rPr>
          <w:rStyle w:val="FootnoteAnchor"/>
          <w:rtl w:val="true"/>
        </w:rPr>
        <w:footnoteReference w:id="2457"/>
      </w:r>
      <w:r>
        <w:rPr>
          <w:rFonts w:ascii="Amiri" w:hAnsi="Amiri" w:eastAsia="Amiri" w:cs="Amiri"/>
          <w:color w:val="111111"/>
          <w:sz w:val="28"/>
          <w:sz w:val="28"/>
          <w:szCs w:val="28"/>
          <w:rtl w:val="true"/>
          <w:lang w:bidi="ar-SA"/>
        </w:rPr>
        <w:t xml:space="preserve">وسنّةً </w:t>
      </w:r>
      <w:r>
        <w:rPr>
          <w:rStyle w:val="FootnoteAnchor"/>
          <w:rtl w:val="true"/>
        </w:rPr>
        <w:footnoteReference w:id="2458"/>
      </w:r>
      <w:r>
        <w:rPr>
          <w:rFonts w:ascii="Amiri" w:hAnsi="Amiri" w:eastAsia="Amiri" w:cs="Amiri"/>
          <w:color w:val="111111"/>
          <w:sz w:val="28"/>
          <w:sz w:val="28"/>
          <w:szCs w:val="28"/>
          <w:rtl w:val="true"/>
          <w:lang w:bidi="ar-SA"/>
        </w:rPr>
        <w:t>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والصعيد هو التراب كما نصّ عليه جملة من اللغويّين</w:t>
      </w:r>
      <w:r>
        <w:rPr>
          <w:rStyle w:val="FootnoteAnchor"/>
          <w:rtl w:val="true"/>
        </w:rPr>
        <w:footnoteReference w:id="2459"/>
      </w:r>
      <w:r>
        <w:rPr>
          <w:rFonts w:ascii="Amiri" w:hAnsi="Amiri" w:eastAsia="Amiri" w:cs="Amiri"/>
          <w:color w:val="111111"/>
          <w:sz w:val="28"/>
          <w:sz w:val="28"/>
          <w:szCs w:val="28"/>
          <w:rtl w:val="true"/>
          <w:lang w:bidi="ar-SA"/>
        </w:rPr>
        <w:t>وجملة من الفقهاء</w:t>
      </w:r>
      <w:r>
        <w:rPr>
          <w:rStyle w:val="FootnoteAnchor"/>
          <w:rtl w:val="true"/>
        </w:rPr>
        <w:footnoteReference w:id="2460"/>
      </w:r>
      <w:r>
        <w:rPr>
          <w:rFonts w:ascii="Amiri" w:hAnsi="Amiri" w:eastAsia="Amiri" w:cs="Amiri"/>
          <w:color w:val="111111"/>
          <w:sz w:val="28"/>
          <w:sz w:val="28"/>
          <w:szCs w:val="28"/>
          <w:rtl w:val="true"/>
          <w:lang w:bidi="ar-SA"/>
        </w:rPr>
        <w:t>، وحكي عن الأصمعي وأبي عبيدة</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المتيقّن من وضع اللفظ بعد الشكّ في أنّه موضوع للعامّ أو الخاصّ، وهو المتيقّن من إرادة أهل اللغة له، حملاً للمطلق على المقيّد، وإن كانا ليسا من متكلّمٍ واحد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إطلاق الأرض؛ لأنّه فردها الظاهر، وهو المتيقّن من إرادته بعد الشكّ في إرادة العامّ أو الخاصّ، وبعد الشكّ في المعنى الحقيقي والمجازي؛ وبعد الإجمال الناشئ من الشكّ في إرادة المعنى الخاصّ من المشترك اللفظي أو المعنوي لو كان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الآية بعد رجوع الضمير في</w:t>
      </w:r>
      <w:r>
        <w:rPr>
          <w:rFonts w:ascii="IRNazanin" w:hAnsi="IRNazanin" w:eastAsia="IRNazanin"/>
          <w:color w:val="111111"/>
          <w:sz w:val="28"/>
          <w:sz w:val="28"/>
          <w:szCs w:val="28"/>
          <w:rtl w:val="true"/>
          <w:lang w:bidi="fa-IR"/>
        </w:rPr>
        <w:t>منه</w:t>
      </w:r>
      <w:r>
        <w:rPr>
          <w:rStyle w:val="FootnoteAnchor"/>
          <w:rtl w:val="true"/>
        </w:rPr>
        <w:footnoteReference w:id="2462"/>
      </w:r>
      <w:r>
        <w:rPr>
          <w:rFonts w:ascii="Amiri" w:hAnsi="Amiri" w:eastAsia="Amiri" w:cs="Amiri"/>
          <w:color w:val="111111"/>
          <w:sz w:val="28"/>
          <w:sz w:val="28"/>
          <w:szCs w:val="28"/>
          <w:rtl w:val="true"/>
          <w:lang w:bidi="ar-SA"/>
        </w:rPr>
        <w:t>إلى الصعيد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 من الأرض</w:t>
      </w:r>
      <w:r>
        <w:rPr>
          <w:rFonts w:eastAsia="Amiri" w:cs="Amiri" w:ascii="Amiri" w:hAnsi="Amiri"/>
          <w:color w:val="111111"/>
          <w:sz w:val="28"/>
          <w:szCs w:val="28"/>
          <w:rtl w:val="true"/>
          <w:lang w:bidi="ar-SA"/>
        </w:rPr>
        <w:t>»</w:t>
      </w:r>
      <w:r>
        <w:rPr>
          <w:rStyle w:val="FootnoteAnchor"/>
          <w:rtl w:val="true"/>
        </w:rPr>
        <w:footnoteReference w:id="2463"/>
      </w:r>
      <w:r>
        <w:rPr>
          <w:rFonts w:ascii="Amiri" w:hAnsi="Amiri" w:eastAsia="Amiri" w:cs="Amiri"/>
          <w:color w:val="111111"/>
          <w:sz w:val="28"/>
          <w:sz w:val="28"/>
          <w:szCs w:val="28"/>
          <w:rtl w:val="true"/>
          <w:lang w:bidi="ar-SA"/>
        </w:rPr>
        <w:t>لظهور تبعيضيّة الجارّ، والظاهر من الصحيح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2464"/>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ولا ماء فانظر إلى أجفّ موضع تجده</w:t>
      </w:r>
      <w:r>
        <w:rPr>
          <w:rFonts w:eastAsia="Amiri" w:cs="Amiri" w:ascii="Amiri" w:hAnsi="Amiri"/>
          <w:color w:val="111111"/>
          <w:sz w:val="28"/>
          <w:szCs w:val="28"/>
          <w:rtl w:val="true"/>
          <w:lang w:bidi="ar-SA"/>
        </w:rPr>
        <w:t>»</w:t>
      </w:r>
      <w:r>
        <w:rPr>
          <w:rStyle w:val="FootnoteAnchor"/>
          <w:rtl w:val="true"/>
        </w:rPr>
        <w:footnoteReference w:id="2465"/>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يصيب الماء والتراب أيتيمّم بالطين؟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الماء ربّ التراب</w:t>
      </w:r>
      <w:r>
        <w:rPr>
          <w:rFonts w:eastAsia="Amiri" w:cs="Amiri" w:ascii="Amiri" w:hAnsi="Amiri"/>
          <w:color w:val="111111"/>
          <w:sz w:val="28"/>
          <w:szCs w:val="28"/>
          <w:rtl w:val="true"/>
          <w:lang w:bidi="ar-SA"/>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 من أخبار العلوق</w:t>
      </w:r>
      <w:r>
        <w:rPr>
          <w:rStyle w:val="FootnoteAnchor"/>
          <w:rtl w:val="true"/>
        </w:rPr>
        <w:footnoteReference w:id="2468"/>
      </w:r>
      <w:r>
        <w:rPr>
          <w:rFonts w:ascii="Amiri" w:hAnsi="Amiri" w:eastAsia="Amiri" w:cs="Amiri"/>
          <w:color w:val="111111"/>
          <w:sz w:val="28"/>
          <w:sz w:val="28"/>
          <w:szCs w:val="28"/>
          <w:rtl w:val="true"/>
          <w:lang w:bidi="ar-SA"/>
        </w:rPr>
        <w:t>المشترط في التيمّم، وهو الموافق للاحتياط ووجوب الفراغ اليقيني المسبّب عن الشغل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والصعيد أيضاً هو الأرض، كما نصّ عليه جمعٌ من اللغويّين</w:t>
      </w:r>
      <w:r>
        <w:rPr>
          <w:rStyle w:val="FootnoteAnchor"/>
          <w:rtl w:val="true"/>
        </w:rPr>
        <w:footnoteReference w:id="2469"/>
      </w:r>
      <w:r>
        <w:rPr>
          <w:rFonts w:ascii="IRNazanin" w:hAnsi="IRNazanin" w:eastAsia="IRNazanin"/>
          <w:color w:val="111111"/>
          <w:sz w:val="28"/>
          <w:sz w:val="28"/>
          <w:szCs w:val="28"/>
          <w:rtl w:val="true"/>
          <w:lang w:bidi="fa-IR"/>
        </w:rPr>
        <w:t>والفقهاء</w:t>
      </w:r>
      <w:r>
        <w:rPr>
          <w:rStyle w:val="FootnoteAnchor"/>
          <w:rtl w:val="true"/>
        </w:rPr>
        <w:footnoteReference w:id="2470"/>
      </w:r>
      <w:r>
        <w:rPr>
          <w:rFonts w:ascii="Amiri" w:hAnsi="Amiri" w:eastAsia="Amiri" w:cs="Amiri"/>
          <w:color w:val="111111"/>
          <w:sz w:val="28"/>
          <w:sz w:val="28"/>
          <w:szCs w:val="28"/>
          <w:rtl w:val="true"/>
          <w:lang w:bidi="ar-SA"/>
        </w:rPr>
        <w:t>، وهو الموافق للإجماع المنقول على أنّه كذلك عند أهل اللغة</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الموافق للأخبار الدالّة على جواز التيمّم بالحجر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أيتيمم بالصفا البالية على وجه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بالرماد لأنه لا يخرج من الأرض</w:t>
      </w:r>
      <w:r>
        <w:rPr>
          <w:rFonts w:eastAsia="Amiri" w:cs="Amiri" w:ascii="Amiri" w:hAnsi="Amiri"/>
          <w:color w:val="111111"/>
          <w:sz w:val="28"/>
          <w:szCs w:val="28"/>
          <w:rtl w:val="true"/>
          <w:lang w:bidi="ar-SA"/>
        </w:rPr>
        <w:t>»</w:t>
      </w:r>
      <w:r>
        <w:rPr>
          <w:rStyle w:val="FootnoteAnchor"/>
          <w:rtl w:val="true"/>
        </w:rPr>
        <w:footnoteReference w:id="2472"/>
      </w:r>
      <w:r>
        <w:rPr>
          <w:rFonts w:ascii="Amiri" w:hAnsi="Amiri" w:eastAsia="Amiri" w:cs="Amiri"/>
          <w:color w:val="111111"/>
          <w:sz w:val="28"/>
          <w:sz w:val="28"/>
          <w:szCs w:val="28"/>
          <w:rtl w:val="true"/>
          <w:lang w:bidi="ar-SA"/>
        </w:rPr>
        <w:t>والموثق فيمن تمرّ به جنازة وهو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بيديه على حائط لبن ويتيمّم</w:t>
      </w:r>
      <w:r>
        <w:rPr>
          <w:rFonts w:eastAsia="Amiri" w:cs="Amiri" w:ascii="Amiri" w:hAnsi="Amiri"/>
          <w:color w:val="111111"/>
          <w:sz w:val="28"/>
          <w:szCs w:val="28"/>
          <w:rtl w:val="true"/>
          <w:lang w:bidi="ar-SA"/>
        </w:rPr>
        <w:t>»</w:t>
      </w:r>
      <w:r>
        <w:rPr>
          <w:rStyle w:val="FootnoteAnchor"/>
          <w:rtl w:val="true"/>
        </w:rPr>
        <w:footnoteReference w:id="2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بالفرق المؤيدة بفتوى المشهور</w:t>
      </w:r>
      <w:r>
        <w:rPr>
          <w:rStyle w:val="FootnoteAnchor"/>
          <w:rtl w:val="true"/>
        </w:rPr>
        <w:footnoteReference w:id="2474"/>
      </w:r>
      <w:r>
        <w:rPr>
          <w:rFonts w:ascii="IRNazanin" w:hAnsi="IRNazanin" w:eastAsia="IRNazanin"/>
          <w:color w:val="111111"/>
          <w:sz w:val="28"/>
          <w:sz w:val="28"/>
          <w:szCs w:val="28"/>
          <w:rtl w:val="true"/>
          <w:lang w:bidi="fa-IR"/>
        </w:rPr>
        <w:t>والإجماع</w:t>
      </w:r>
      <w:r>
        <w:rPr>
          <w:rStyle w:val="FootnoteAnchor"/>
          <w:rtl w:val="true"/>
        </w:rPr>
        <w:footnoteReference w:id="2475"/>
      </w:r>
      <w:r>
        <w:rPr>
          <w:rFonts w:ascii="Amiri" w:hAnsi="Amiri" w:eastAsia="Amiri" w:cs="Amiri"/>
          <w:color w:val="111111"/>
          <w:sz w:val="28"/>
          <w:sz w:val="28"/>
          <w:szCs w:val="28"/>
          <w:rtl w:val="true"/>
          <w:lang w:bidi="ar-SA"/>
        </w:rPr>
        <w:t>المنقولين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الموافق للصحاح الآمرة بالتيمّم بالأرض،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هو ربّ الأرض</w:t>
      </w:r>
      <w:r>
        <w:rPr>
          <w:rFonts w:eastAsia="Amiri" w:cs="Amiri" w:ascii="Amiri" w:hAnsi="Amiri"/>
          <w:color w:val="111111"/>
          <w:sz w:val="28"/>
          <w:szCs w:val="28"/>
          <w:rtl w:val="true"/>
          <w:lang w:bidi="ar-SA"/>
        </w:rPr>
        <w:t>»</w:t>
      </w:r>
      <w:r>
        <w:rPr>
          <w:rStyle w:val="FootnoteAnchor"/>
          <w:rtl w:val="true"/>
        </w:rPr>
        <w:footnoteReference w:id="247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قويّ، إلّا أنّ الأوّل أقوى دليلاً؛ لأشهريّة تفسير الصعيد بالتراب في كلام أهل اللغة، ولأقربيّته من وجه الأرض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الصعيد هو التراب؛ لأنّه يصعد من وجه الأرض، ولظهور إرادة التراب ممّن عبّر بوجه الأرض أو الأرض من أهل اللغة والفقهاء والروايات؛ لأنّه فردها الظاهر والغالب، ولظهور الأخبار في إرادة غير ما قدّمناه،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الرواية </w:t>
      </w:r>
      <w:bookmarkStart w:id="1179" w:name="pg18988_203614"/>
    </w:p>
    <w:p>
      <w:pPr>
        <w:pStyle w:val="BookText"/>
        <w:rPr/>
      </w:pPr>
      <w:bookmarkEnd w:id="1179"/>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w:t>
      </w:r>
      <w:r>
        <w:rPr>
          <w:rStyle w:val="FootnoteAnchor"/>
          <w:rtl w:val="true"/>
        </w:rPr>
        <w:footnoteReference w:id="2478"/>
      </w:r>
      <w:r>
        <w:rPr>
          <w:rFonts w:ascii="Amiri" w:hAnsi="Amiri" w:eastAsia="Amiri" w:cs="Amiri"/>
          <w:color w:val="111111"/>
          <w:sz w:val="28"/>
          <w:sz w:val="28"/>
          <w:szCs w:val="28"/>
          <w:rtl w:val="true"/>
          <w:lang w:bidi="ar-SA"/>
        </w:rPr>
        <w:t xml:space="preserve">لي الأرض مسجداً وترابها طهوراً </w:t>
      </w:r>
      <w:r>
        <w:rPr>
          <w:rFonts w:eastAsia="Amiri" w:cs="Amiri" w:ascii="Amiri" w:hAnsi="Amiri"/>
          <w:color w:val="111111"/>
          <w:sz w:val="28"/>
          <w:szCs w:val="28"/>
          <w:rtl w:val="true"/>
          <w:lang w:bidi="ar-SA"/>
        </w:rPr>
        <w:t>»</w:t>
      </w:r>
      <w:r>
        <w:rPr>
          <w:rStyle w:val="FootnoteAnchor"/>
          <w:rtl w:val="true"/>
        </w:rPr>
        <w:footnoteReference w:id="2479"/>
      </w:r>
      <w:r>
        <w:rPr>
          <w:rFonts w:ascii="Amiri" w:hAnsi="Amiri" w:eastAsia="Amiri" w:cs="Amiri"/>
          <w:color w:val="111111"/>
          <w:sz w:val="28"/>
          <w:sz w:val="28"/>
          <w:szCs w:val="28"/>
          <w:rtl w:val="true"/>
          <w:lang w:bidi="ar-SA"/>
        </w:rPr>
        <w:t>وهي ظاهرة في تخصيص الطهوريّة بالتراب،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صعيد طيّب وماء طهور</w:t>
      </w:r>
      <w:r>
        <w:rPr>
          <w:rFonts w:eastAsia="Amiri" w:cs="Amiri" w:ascii="Amiri" w:hAnsi="Amiri"/>
          <w:color w:val="111111"/>
          <w:sz w:val="28"/>
          <w:szCs w:val="28"/>
          <w:rtl w:val="true"/>
          <w:lang w:bidi="ar-SA"/>
        </w:rPr>
        <w:t>»</w:t>
      </w:r>
      <w:r>
        <w:rPr>
          <w:rStyle w:val="FootnoteAnchor"/>
          <w:rtl w:val="true"/>
        </w:rPr>
        <w:footnoteReference w:id="248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أهوى بيديه إلى الأرض فوضعهما على الصعيد</w:t>
      </w:r>
      <w:r>
        <w:rPr>
          <w:rFonts w:eastAsia="Amiri" w:cs="Amiri" w:ascii="Amiri" w:hAnsi="Amiri"/>
          <w:color w:val="111111"/>
          <w:sz w:val="28"/>
          <w:szCs w:val="28"/>
          <w:rtl w:val="true"/>
          <w:lang w:bidi="ar-SA"/>
        </w:rPr>
        <w:t>»</w:t>
      </w:r>
      <w:r>
        <w:rPr>
          <w:rStyle w:val="FootnoteAnchor"/>
          <w:rtl w:val="true"/>
        </w:rPr>
        <w:footnoteReference w:id="2481"/>
      </w:r>
      <w:r>
        <w:rPr>
          <w:rFonts w:ascii="IRNazanin" w:hAnsi="IRNazanin" w:eastAsia="IRNazanin"/>
          <w:color w:val="111111"/>
          <w:sz w:val="28"/>
          <w:sz w:val="28"/>
          <w:szCs w:val="28"/>
          <w:rtl w:val="true"/>
          <w:lang w:bidi="fa-IR"/>
        </w:rPr>
        <w:t>، ولأنّ عمّار تمعّك فى التراب فأزرى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إنّه تمعّك</w:t>
      </w:r>
      <w:r>
        <w:rPr>
          <w:rStyle w:val="FootnoteAnchor"/>
          <w:rtl w:val="true"/>
        </w:rPr>
        <w:footnoteReference w:id="2482"/>
      </w:r>
      <w:r>
        <w:rPr>
          <w:rFonts w:ascii="Amiri" w:hAnsi="Amiri" w:eastAsia="Amiri" w:cs="Amiri"/>
          <w:color w:val="111111"/>
          <w:sz w:val="28"/>
          <w:sz w:val="28"/>
          <w:szCs w:val="28"/>
          <w:rtl w:val="true"/>
          <w:lang w:bidi="ar-SA"/>
        </w:rPr>
        <w:t>، وتمعّكه في التراب دليل على أنّ استعمال التراب كان معلوماً لديهم، إلى غير ذلك من الأخبار الناصّة على التراب، فحمل لفظ الصعيد لو كان مجملاً أو كان مطلقاً، ولفظ الأرض المطلق على المقيّد ممّا لا محيص عنه؛ لأولويّته من حمل لفظ التراب على إرادة الأعمّ منه وهو وجه الأرض؛ لبُعْد إرادة العامّ من الخاصّ في أبواب المحاورات، ولبُعْد الأخذ بالمطلق على إطلاقه وإبقاء المقيّد على حاله في الخطابات العرفيّة والشرعيّة، فالأقوى الأخذ بأدلّة وجوب التيمّم بالتراب، وحمل ما جاء في الحجر وشبهه على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 أنّ المراد بالتراب ما قابل الحجر عرفاً، فيدخل فيه التراب المتماسك و إن كان في غاية الصلابة، كالمدر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فى التراب أن يكون هائلاً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اشترطنا العلوق لزم الضرب على هائلٍ في الجملة، وهو بحثٌ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سحق الحجر فعاد تراباً فإن صدق عليه اسم التراب صحّ به التيمّم،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بعد سحقه يكون تراباً مطلقاً ولكن على تأمّلٍ</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3198259_1280447820"/>
      <w:bookmarkStart w:id="1181" w:name="_Toc456"/>
      <w:bookmarkEnd w:id="1180"/>
      <w:r>
        <w:rPr>
          <w:rtl w:val="true"/>
        </w:rPr>
        <w:t>ثانيها</w:t>
      </w:r>
      <w:r>
        <w:rPr>
          <w:rtl w:val="true"/>
        </w:rPr>
        <w:t xml:space="preserve">: </w:t>
      </w:r>
      <w:r>
        <w:rPr>
          <w:rtl w:val="true"/>
        </w:rPr>
        <w:t>فی بیان شرایط ما یجوز التیمّم</w:t>
      </w:r>
      <w:bookmarkEnd w:id="1181"/>
    </w:p>
    <w:p>
      <w:pPr>
        <w:pStyle w:val="BookText"/>
        <w:rPr/>
      </w:pPr>
      <w:r>
        <w:rPr>
          <w:rFonts w:ascii="Amiri" w:hAnsi="Amiri" w:eastAsia="Amiri" w:cs="Amiri"/>
          <w:color w:val="111111"/>
          <w:sz w:val="28"/>
          <w:sz w:val="28"/>
          <w:szCs w:val="28"/>
          <w:rtl w:val="true"/>
          <w:lang w:bidi="ar-SA"/>
        </w:rPr>
        <w:t>يشترط إطلاق التراب، فلا يكفي التراب المضاف من أنواع الأرض، أو ممّا نبت فيها، أو ممّا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طهارته؛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Style w:val="FootnoteAnchor"/>
          <w:rtl w:val="true"/>
        </w:rPr>
        <w:footnoteReference w:id="2483"/>
      </w:r>
      <w:r>
        <w:rPr>
          <w:rFonts w:ascii="Amiri" w:hAnsi="Amiri" w:eastAsia="Amiri" w:cs="Amiri"/>
          <w:color w:val="111111"/>
          <w:sz w:val="28"/>
          <w:sz w:val="28"/>
          <w:szCs w:val="28"/>
          <w:rtl w:val="true"/>
          <w:lang w:bidi="ar-SA"/>
        </w:rPr>
        <w:t>وللاحتياط، ولأنّه طهور، ولفتوى الأصحاب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المشتبه المحصور يجب اجتنابه مع الاختيار، ومع الاضطرار يحتمل الوجوب من باب </w:t>
      </w:r>
      <w:bookmarkStart w:id="1182" w:name="pg18988_203615"/>
    </w:p>
    <w:p>
      <w:pPr>
        <w:pStyle w:val="BookText"/>
        <w:rPr/>
      </w:pPr>
      <w:bookmarkEnd w:id="1182"/>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إلحاقاً له بالماء لوجوب إراقته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إباحته؛ لتعلّق النهي بغير المباح فتفسد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سلامته من خليطٍ لا يدخل تحت اسمه ولا يستهلك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جفافه؛ لانصراف لفظه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عدم الحائل بينه وبين الكفّ، بحيث يستبين من تِبْن أو حبّ أو حصى كبار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تمام الكلام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3198261_1280447820"/>
      <w:bookmarkStart w:id="1184" w:name="_Toc457"/>
      <w:bookmarkEnd w:id="1183"/>
      <w:r>
        <w:rPr>
          <w:rtl w:val="true"/>
        </w:rPr>
        <w:t>ثالثها</w:t>
      </w:r>
      <w:r>
        <w:rPr>
          <w:rtl w:val="true"/>
        </w:rPr>
        <w:t xml:space="preserve">: </w:t>
      </w:r>
      <w:r>
        <w:rPr>
          <w:rtl w:val="true"/>
        </w:rPr>
        <w:t>حکم ما لو فقد التراب</w:t>
      </w:r>
      <w:bookmarkEnd w:id="1184"/>
    </w:p>
    <w:p>
      <w:pPr>
        <w:pStyle w:val="BookText"/>
        <w:rPr/>
      </w:pPr>
      <w:r>
        <w:rPr>
          <w:rFonts w:ascii="Amiri" w:hAnsi="Amiri" w:eastAsia="Amiri" w:cs="Amiri"/>
          <w:color w:val="111111"/>
          <w:sz w:val="28"/>
          <w:sz w:val="28"/>
          <w:szCs w:val="28"/>
          <w:rtl w:val="true"/>
          <w:lang w:bidi="ar-SA"/>
        </w:rPr>
        <w:t>لو فقد التراب جاز التيمّم بالحجر للإجماع المنقول</w:t>
      </w:r>
      <w:r>
        <w:rPr>
          <w:rStyle w:val="FootnoteAnchor"/>
          <w:rtl w:val="true"/>
        </w:rPr>
        <w:footnoteReference w:id="2484"/>
      </w:r>
      <w:r>
        <w:rPr>
          <w:rFonts w:ascii="Amiri" w:hAnsi="Amiri" w:eastAsia="Amiri" w:cs="Amiri"/>
          <w:color w:val="111111"/>
          <w:sz w:val="28"/>
          <w:sz w:val="28"/>
          <w:szCs w:val="28"/>
          <w:rtl w:val="true"/>
          <w:lang w:bidi="ar-SA"/>
        </w:rPr>
        <w:t>وفتوى الفحول، ولأنّه مع امتناع المقيّد يقوم مقامه المطلق، وللأمر بالتيمّم بالأرض</w:t>
      </w:r>
      <w:r>
        <w:rPr>
          <w:rStyle w:val="FootnoteAnchor"/>
          <w:rtl w:val="true"/>
        </w:rPr>
        <w:footnoteReference w:id="2485"/>
      </w:r>
      <w:r>
        <w:rPr>
          <w:rFonts w:ascii="Amiri" w:hAnsi="Amiri" w:eastAsia="Amiri" w:cs="Amiri"/>
          <w:color w:val="111111"/>
          <w:sz w:val="28"/>
          <w:sz w:val="28"/>
          <w:szCs w:val="28"/>
          <w:rtl w:val="true"/>
          <w:lang w:bidi="ar-SA"/>
        </w:rPr>
        <w:t>مطلقاً، فيُحمل على إرادة التراب مع الاختيار وغيره مع الاضطرار، وللأخبار</w:t>
      </w:r>
      <w:r>
        <w:rPr>
          <w:rStyle w:val="FootnoteAnchor"/>
          <w:rtl w:val="true"/>
        </w:rPr>
        <w:footnoteReference w:id="2486"/>
      </w:r>
      <w:r>
        <w:rPr>
          <w:rFonts w:ascii="Amiri" w:hAnsi="Amiri" w:eastAsia="Amiri" w:cs="Amiri"/>
          <w:color w:val="111111"/>
          <w:sz w:val="28"/>
          <w:sz w:val="28"/>
          <w:szCs w:val="28"/>
          <w:rtl w:val="true"/>
          <w:lang w:bidi="ar-SA"/>
        </w:rPr>
        <w:t>المجوّزة للتيمّم به، المحمولة على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لو دار الأمر بين التيمّم به مسحوقاً وبينه غير مسحوق قدّم المسحوق منه؛ لأقربيّته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بأنّه بعد السحق يعود تراباً مطلقاً؛ لاحتمال أنّ الحجر تراب اكتسب رطوبة وعملت فيه حرارة الشمس حتّى تحجّر، فإذا انسحق عاد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w:t>
      </w:r>
      <w:r>
        <w:rPr>
          <w:rStyle w:val="FootnoteAnchor"/>
          <w:rtl w:val="true"/>
        </w:rPr>
        <w:footnoteReference w:id="2487"/>
      </w:r>
      <w:r>
        <w:rPr>
          <w:rFonts w:ascii="Amiri" w:hAnsi="Amiri" w:eastAsia="Amiri" w:cs="Amiri"/>
          <w:color w:val="111111"/>
          <w:sz w:val="28"/>
          <w:sz w:val="28"/>
          <w:szCs w:val="28"/>
          <w:rtl w:val="true"/>
          <w:lang w:bidi="ar-SA"/>
        </w:rPr>
        <w:t>، أنّ الرمل والسبخ تراب، ما عدا الملح الذي يظهر على وجه السبخة، فإنّه ليس منه، وما عدا الحصى الكبار فى الرمل فإنّه ليس منه إلّا إذا انسحق، فلا يبعد القول بصيرورته تراباً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تجنّبه، بل الأحوط تجنّب الأرض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نقل الإجماع على جواز التيمّم بها</w:t>
      </w:r>
      <w:r>
        <w:rPr>
          <w:rStyle w:val="FootnoteAnchor"/>
          <w:rtl w:val="true"/>
        </w:rPr>
        <w:footnoteReference w:id="2488"/>
      </w:r>
      <w:r>
        <w:rPr>
          <w:rFonts w:ascii="Amiri" w:hAnsi="Amiri" w:eastAsia="Amiri" w:cs="Amiri"/>
          <w:color w:val="111111"/>
          <w:sz w:val="28"/>
          <w:sz w:val="28"/>
          <w:szCs w:val="28"/>
          <w:rtl w:val="true"/>
          <w:lang w:bidi="ar-SA"/>
        </w:rPr>
        <w:t xml:space="preserve">، والظاهر منه ولو 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الصعيد هو التراب الخالص الذي لا يخالطه سبخ ولا رمل</w:t>
      </w:r>
      <w:r>
        <w:rPr>
          <w:rFonts w:eastAsia="Amiri" w:cs="Amiri" w:ascii="Amiri" w:hAnsi="Amiri"/>
          <w:color w:val="111111"/>
          <w:sz w:val="28"/>
          <w:szCs w:val="28"/>
          <w:rtl w:val="true"/>
          <w:lang w:bidi="ar-SA"/>
        </w:rPr>
        <w:t>»</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bookmarkStart w:id="1185" w:name="pg18988_203616"/>
    </w:p>
    <w:p>
      <w:pPr>
        <w:pStyle w:val="BookText"/>
        <w:rPr/>
      </w:pPr>
      <w:bookmarkEnd w:id="1185"/>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الرمل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نقل الإجماع أيضاً على جواز التيمّم به</w:t>
      </w:r>
      <w:r>
        <w:rPr>
          <w:rStyle w:val="FootnoteAnchor"/>
          <w:rtl w:val="true"/>
        </w:rPr>
        <w:footnoteReference w:id="2490"/>
      </w:r>
      <w:r>
        <w:rPr>
          <w:rFonts w:ascii="Amiri" w:hAnsi="Amiri" w:eastAsia="Amiri" w:cs="Amiri"/>
          <w:color w:val="111111"/>
          <w:sz w:val="28"/>
          <w:sz w:val="28"/>
          <w:szCs w:val="28"/>
          <w:rtl w:val="true"/>
          <w:lang w:bidi="ar-SA"/>
        </w:rPr>
        <w:t xml:space="preserve">على وجه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الناهي عن الصلاة على الزجاج لأنّه من الملح و الرمل، وهما ممسوخان</w:t>
      </w:r>
      <w:r>
        <w:rPr>
          <w:rStyle w:val="FootnoteAnchor"/>
          <w:rtl w:val="true"/>
        </w:rPr>
        <w:footnoteReference w:id="2491"/>
      </w:r>
      <w:r>
        <w:rPr>
          <w:rFonts w:ascii="Amiri" w:hAnsi="Amiri" w:eastAsia="Amiri" w:cs="Amiri"/>
          <w:color w:val="111111"/>
          <w:sz w:val="28"/>
          <w:sz w:val="28"/>
          <w:szCs w:val="28"/>
          <w:rtl w:val="true"/>
          <w:lang w:bidi="ar-SA"/>
        </w:rPr>
        <w:t xml:space="preserve">، ولمقابلة الرمل بالتراب عرفاً، ولقول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الرمل والحصى والتراب</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تحبّها قلت بهراً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 بجواز التيمّم بالأرض مطلقاً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شبهة خروج الرمل عن مسمّى الأرض ضعيفة جدّاً، ورواية المسخ لا عامل عليها</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3198263_1280447820"/>
      <w:bookmarkStart w:id="1187" w:name="_Toc458"/>
      <w:bookmarkEnd w:id="1186"/>
      <w:r>
        <w:rPr>
          <w:rtl w:val="true"/>
        </w:rPr>
        <w:t>رابعها</w:t>
      </w:r>
      <w:r>
        <w:rPr>
          <w:rtl w:val="true"/>
        </w:rPr>
        <w:t xml:space="preserve">: </w:t>
      </w:r>
      <w:r>
        <w:rPr>
          <w:rtl w:val="true"/>
        </w:rPr>
        <w:t>فی أنّ تراب الخزف والآجر والطين المشوي ليس من التراب المطلق</w:t>
      </w:r>
      <w:bookmarkEnd w:id="1187"/>
    </w:p>
    <w:p>
      <w:pPr>
        <w:pStyle w:val="BookText"/>
        <w:rPr/>
      </w:pPr>
      <w:r>
        <w:rPr>
          <w:rFonts w:ascii="Amiri" w:hAnsi="Amiri" w:eastAsia="Amiri" w:cs="Amiri"/>
          <w:color w:val="111111"/>
          <w:sz w:val="28"/>
          <w:sz w:val="28"/>
          <w:szCs w:val="28"/>
          <w:rtl w:val="true"/>
          <w:lang w:bidi="ar-SA"/>
        </w:rPr>
        <w:t>تراب الخزف والآجر والطين المشوي ليس من التراب المطلق، بل يلحق بأصله، فإنّ جوّزنا التيمّم بالأرض اختياراً جاز،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أنّها بالسحق تعود تراباً مطلقاً، لا نبني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خروجها بالطبخ عن مسمّى الأرض فلا يجوز التيمّم بها مطلقاً ، واضح البطلان، ويردّه الاستصحاب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وتراب الحصى المسحوق يلحق بأصله، وليس من التراب المطلق</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3198265_1280447820"/>
      <w:bookmarkStart w:id="1189" w:name="_Toc459"/>
      <w:bookmarkEnd w:id="1188"/>
      <w:r>
        <w:rPr>
          <w:rtl w:val="true"/>
        </w:rPr>
        <w:t xml:space="preserve">خامسها </w:t>
      </w:r>
      <w:r>
        <w:rPr>
          <w:rtl w:val="true"/>
        </w:rPr>
        <w:t>:</w:t>
      </w:r>
      <w:r>
        <w:rPr>
          <w:rtl w:val="true"/>
        </w:rPr>
        <w:t>فی أنّ تراب الجصّ والنورة ليسا من التراب المطلق</w:t>
      </w:r>
      <w:bookmarkEnd w:id="1189"/>
    </w:p>
    <w:p>
      <w:pPr>
        <w:pStyle w:val="BookText"/>
        <w:rPr/>
      </w:pPr>
      <w:r>
        <w:rPr>
          <w:rFonts w:ascii="Amiri" w:hAnsi="Amiri" w:eastAsia="Amiri" w:cs="Amiri"/>
          <w:color w:val="111111"/>
          <w:sz w:val="28"/>
          <w:sz w:val="28"/>
          <w:szCs w:val="28"/>
          <w:rtl w:val="true"/>
          <w:lang w:bidi="ar-SA"/>
        </w:rPr>
        <w:t>تراب الجصّ والنورة ليسا من التراب المطلق لا قبل الطبخ ولا بعده، كما يشهد به العرف، وإن كان تراب النورة أقرب لصدق الترابيّة من تراب الجصّ</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جاء في الخبرين من جواز التيمّم بالجصّ و النورة ولا يجوز التيمّم بالرماد لأنّه لم يخرج من الأرض</w:t>
      </w:r>
      <w:r>
        <w:rPr>
          <w:rStyle w:val="FootnoteAnchor"/>
          <w:rtl w:val="true"/>
        </w:rPr>
        <w:footnoteReference w:id="2493"/>
      </w:r>
      <w:r>
        <w:rPr>
          <w:rFonts w:ascii="Amiri" w:hAnsi="Amiri" w:eastAsia="Amiri" w:cs="Amiri"/>
          <w:color w:val="111111"/>
          <w:sz w:val="28"/>
          <w:sz w:val="28"/>
          <w:szCs w:val="28"/>
          <w:rtl w:val="true"/>
          <w:lang w:bidi="ar-SA"/>
        </w:rPr>
        <w:t>محمول على إرادة الجواز في الجملة، وهو جائز عند فقد التراب المطلق، كالأخبار الواردة في جواز التيمّم بالحجر</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 xml:space="preserve">. </w:t>
      </w:r>
      <w:bookmarkStart w:id="1190" w:name="pg18988_203617"/>
    </w:p>
    <w:p>
      <w:pPr>
        <w:pStyle w:val="BookText"/>
        <w:rPr/>
      </w:pPr>
      <w:bookmarkEnd w:id="1190"/>
      <w:r>
        <w:rPr>
          <w:rFonts w:ascii="IRNazanin" w:hAnsi="IRNazanin" w:eastAsia="IRNazanin"/>
          <w:color w:val="111111"/>
          <w:sz w:val="28"/>
          <w:sz w:val="28"/>
          <w:szCs w:val="28"/>
          <w:rtl w:val="true"/>
          <w:lang w:bidi="fa-IR"/>
        </w:rPr>
        <w:t>ومنع بعضهم</w:t>
      </w:r>
      <w:r>
        <w:rPr>
          <w:rStyle w:val="FootnoteAnchor"/>
          <w:rtl w:val="true"/>
        </w:rPr>
        <w:footnoteReference w:id="2495"/>
      </w:r>
      <w:r>
        <w:rPr>
          <w:rFonts w:ascii="Amiri" w:hAnsi="Amiri" w:eastAsia="Amiri" w:cs="Amiri"/>
          <w:color w:val="111111"/>
          <w:sz w:val="28"/>
          <w:sz w:val="28"/>
          <w:szCs w:val="28"/>
          <w:rtl w:val="true"/>
          <w:lang w:bidi="ar-SA"/>
        </w:rPr>
        <w:t>من التيمّم بهما مطلقاً؛ لخروجهما عن الأرض وكونهما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منع من التيمّم بهما مطلقاً بعد الإحراق</w:t>
      </w:r>
      <w:r>
        <w:rPr>
          <w:rStyle w:val="FootnoteAnchor"/>
          <w:rtl w:val="true"/>
        </w:rPr>
        <w:footnoteReference w:id="2496"/>
      </w:r>
      <w:r>
        <w:rPr>
          <w:rFonts w:ascii="IRNazanin" w:hAnsi="IRNazanin" w:eastAsia="IRNazanin"/>
          <w:color w:val="111111"/>
          <w:sz w:val="28"/>
          <w:sz w:val="28"/>
          <w:szCs w:val="28"/>
          <w:rtl w:val="true"/>
          <w:lang w:bidi="fa-IR"/>
        </w:rPr>
        <w:t>لخروجهما بالطبخ عن مسمّى الأرض، و نُسب للمشهور</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ويردّهما حكم العرف بالأرضيّة، والاستصحاب، والخبران</w:t>
      </w:r>
      <w:r>
        <w:rPr>
          <w:rStyle w:val="FootnoteAnchor"/>
          <w:rtl w:val="true"/>
        </w:rPr>
        <w:footnoteReference w:id="2498"/>
      </w:r>
      <w:r>
        <w:rPr>
          <w:rFonts w:ascii="Amiri" w:hAnsi="Amiri" w:eastAsia="Amiri" w:cs="Amiri"/>
          <w:color w:val="111111"/>
          <w:sz w:val="28"/>
          <w:sz w:val="28"/>
          <w:szCs w:val="28"/>
          <w:rtl w:val="true"/>
          <w:lang w:bidi="ar-SA"/>
        </w:rPr>
        <w:t>المذكوران في الباب، إلّا أنّ الاحتياط ولزوم الفراغ اليقيني من الشغل اليقيني يقضي بالاجتناب</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3198267_1280447820"/>
      <w:bookmarkStart w:id="1192" w:name="_Toc460"/>
      <w:bookmarkEnd w:id="1191"/>
      <w:r>
        <w:rPr>
          <w:rtl w:val="true"/>
        </w:rPr>
        <w:t>سادسها</w:t>
      </w:r>
      <w:r>
        <w:rPr>
          <w:rtl w:val="true"/>
        </w:rPr>
        <w:t xml:space="preserve">: </w:t>
      </w:r>
      <w:r>
        <w:rPr>
          <w:rtl w:val="true"/>
        </w:rPr>
        <w:t>عدم جواز التیمّم بما خرج عن مسمّی الأرض</w:t>
      </w:r>
      <w:bookmarkEnd w:id="1192"/>
    </w:p>
    <w:p>
      <w:pPr>
        <w:pStyle w:val="BookText"/>
        <w:rPr/>
      </w:pPr>
      <w:r>
        <w:rPr>
          <w:rFonts w:ascii="Amiri" w:hAnsi="Amiri" w:eastAsia="Amiri" w:cs="Amiri"/>
          <w:color w:val="111111"/>
          <w:sz w:val="28"/>
          <w:sz w:val="28"/>
          <w:szCs w:val="28"/>
          <w:rtl w:val="true"/>
          <w:lang w:bidi="ar-SA"/>
        </w:rPr>
        <w:t xml:space="preserve">كلّ ما خرج عن مسمّى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فيها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به، كسحيق الأُشنان والدقيق والمعادن مسحوقةً أم لا، والرماد إذا كان من غير الأرض، وسحيق الفحم، إجماعاً و نصّاً، كتاباً </w:t>
      </w:r>
      <w:r>
        <w:rPr>
          <w:rStyle w:val="FootnoteAnchor"/>
          <w:rtl w:val="true"/>
        </w:rPr>
        <w:footnoteReference w:id="2499"/>
      </w:r>
      <w:r>
        <w:rPr>
          <w:rFonts w:ascii="Amiri" w:hAnsi="Amiri" w:eastAsia="Amiri" w:cs="Amiri"/>
          <w:color w:val="111111"/>
          <w:sz w:val="28"/>
          <w:sz w:val="28"/>
          <w:szCs w:val="28"/>
          <w:rtl w:val="true"/>
          <w:lang w:bidi="ar-SA"/>
        </w:rPr>
        <w:t>و سنّةً</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وتجويز الإسكافي للتيمّم بالمعادن لأنّها تخرج من الأرض</w:t>
      </w:r>
      <w:r>
        <w:rPr>
          <w:rStyle w:val="FootnoteAnchor"/>
          <w:rtl w:val="true"/>
        </w:rPr>
        <w:footnoteReference w:id="2501"/>
      </w:r>
      <w:r>
        <w:rPr>
          <w:rFonts w:ascii="Amiri" w:hAnsi="Amiri" w:eastAsia="Amiri" w:cs="Amiri"/>
          <w:color w:val="111111"/>
          <w:sz w:val="28"/>
          <w:sz w:val="28"/>
          <w:szCs w:val="28"/>
          <w:rtl w:val="true"/>
          <w:lang w:bidi="ar-SA"/>
        </w:rPr>
        <w:t xml:space="preserve">،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العبرة بمسمّاها لا بما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استند إليه من مفهوم الخبر</w:t>
      </w:r>
      <w:r>
        <w:rPr>
          <w:rStyle w:val="FootnoteAnchor"/>
          <w:rtl w:val="true"/>
        </w:rPr>
        <w:footnoteReference w:id="2502"/>
      </w:r>
      <w:r>
        <w:rPr>
          <w:rFonts w:ascii="Amiri" w:hAnsi="Amiri" w:eastAsia="Amiri" w:cs="Amiri"/>
          <w:color w:val="111111"/>
          <w:sz w:val="28"/>
          <w:sz w:val="28"/>
          <w:szCs w:val="28"/>
          <w:rtl w:val="true"/>
          <w:lang w:bidi="ar-SA"/>
        </w:rPr>
        <w:t>ضعيف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رماد الأرض نفسها فالظاهر أنّه كذلك؛ لخروجه عن مسمّاها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بقائه تحت مصداقها وإن جرى عليه اسم آخَر؛ للاستصحاب،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بعد إحراق الأرض في خروجها عن مسمّاها وتسميتها رماداً كان الأصل عدم الخروج</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3198269_1280447820"/>
      <w:bookmarkStart w:id="1194" w:name="_Toc461"/>
      <w:bookmarkEnd w:id="1193"/>
      <w:r>
        <w:rPr>
          <w:rtl w:val="true"/>
        </w:rPr>
        <w:t>سابعها</w:t>
      </w:r>
      <w:r>
        <w:rPr>
          <w:rtl w:val="true"/>
        </w:rPr>
        <w:t xml:space="preserve">: </w:t>
      </w:r>
      <w:r>
        <w:rPr>
          <w:rtl w:val="true"/>
        </w:rPr>
        <w:t>حکم ما لو فقد المتيمّم التراب المطلق</w:t>
      </w:r>
      <w:bookmarkEnd w:id="119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فقد المتيمّم التراب المطلق، وجب الرجوع إلى تراب الأرض مطلقاً، ولو فقده وجب الرجوع إلى مسمّى الأرض من حجر وغيره ممّا يُسمّى أرضاً، فلو فقده وجب </w:t>
      </w:r>
    </w:p>
    <w:p>
      <w:pPr>
        <w:pStyle w:val="BookText"/>
        <w:rPr/>
      </w:pPr>
      <w:r>
        <w:rPr>
          <w:rFonts w:ascii="Amiri" w:hAnsi="Amiri" w:eastAsia="Amiri" w:cs="Amiri"/>
          <w:color w:val="111111"/>
          <w:sz w:val="28"/>
          <w:sz w:val="28"/>
          <w:szCs w:val="28"/>
          <w:rtl w:val="true"/>
          <w:lang w:bidi="ar-SA"/>
        </w:rPr>
        <w:t>الرجوع إلى التيمّم بالغبار؛ للإجماع المنقول</w:t>
      </w:r>
      <w:r>
        <w:rPr>
          <w:rStyle w:val="FootnoteAnchor"/>
          <w:rtl w:val="true"/>
        </w:rPr>
        <w:footnoteReference w:id="2503"/>
      </w:r>
      <w:r>
        <w:rPr>
          <w:rFonts w:ascii="IRNazanin" w:hAnsi="IRNazanin" w:eastAsia="IRNazanin"/>
          <w:color w:val="111111"/>
          <w:sz w:val="28"/>
          <w:sz w:val="28"/>
          <w:szCs w:val="28"/>
          <w:rtl w:val="true"/>
          <w:lang w:bidi="fa-IR"/>
        </w:rPr>
        <w:t>، وفتوى الأصحاب،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المواقف إن لم يكن على وضوء ولا يقدر على النزول، كيف يصنع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من لبده أو سرجه أو عُرْف دابّته، فإنّ فيها غباراً ويصلّي</w:t>
      </w:r>
      <w:r>
        <w:rPr>
          <w:rFonts w:eastAsia="Amiri" w:cs="Amiri" w:ascii="Amiri" w:hAnsi="Amiri"/>
          <w:color w:val="111111"/>
          <w:sz w:val="28"/>
          <w:szCs w:val="28"/>
          <w:rtl w:val="true"/>
          <w:lang w:bidi="ar-SA"/>
        </w:rPr>
        <w:t>»</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ثلج فلينظر لبد سرجه فليتيمّم من غباره أو شيء مغبر، وإن كان في حال لا يجد إلّا الطين فلا بأس أن يتيمّم منه</w:t>
      </w:r>
      <w:r>
        <w:rPr>
          <w:rFonts w:eastAsia="Amiri" w:cs="Amiri" w:ascii="Amiri" w:hAnsi="Amiri"/>
          <w:color w:val="111111"/>
          <w:sz w:val="28"/>
          <w:szCs w:val="28"/>
          <w:rtl w:val="true"/>
          <w:lang w:bidi="ar-SA"/>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الثلج فلينظر لبد سرجه فيتيمم من غباره أو من شيء معه، وإن كان في حال لا يجد إلا الطين فلا بأس أن يتيمّم منه </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تقدر إلا على الطين فتيمّم به، فإنّ الله أولى بالعذر إذا لم يكن معك ثوب جاف أو لبد تقدر أن تنفضه وتتيمّم به</w:t>
      </w:r>
      <w:r>
        <w:rPr>
          <w:rFonts w:eastAsia="Amiri" w:cs="Amiri" w:ascii="Amiri" w:hAnsi="Amiri"/>
          <w:color w:val="111111"/>
          <w:sz w:val="28"/>
          <w:szCs w:val="28"/>
          <w:rtl w:val="true"/>
          <w:lang w:bidi="ar-SA"/>
        </w:rPr>
        <w:t>»</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والأظهر 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بالغبار مرتبة متأخّرة عن التيمّم في الأرض، وهو الذي تقضي به القواعد، ونُقل عليه الإجماع</w:t>
      </w:r>
      <w:r>
        <w:rPr>
          <w:rStyle w:val="FootnoteAnchor"/>
          <w:rtl w:val="true"/>
        </w:rPr>
        <w:footnoteReference w:id="2508"/>
      </w:r>
      <w:r>
        <w:rPr>
          <w:rFonts w:ascii="Amiri" w:hAnsi="Amiri" w:eastAsia="Amiri" w:cs="Amiri"/>
          <w:color w:val="111111"/>
          <w:sz w:val="28"/>
          <w:sz w:val="28"/>
          <w:szCs w:val="28"/>
          <w:rtl w:val="true"/>
          <w:lang w:bidi="ar-SA"/>
        </w:rPr>
        <w:t>، ودلّ عليه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 فإن كان في ثلج فلينظر لبد سرجه فليتيمّم من غباره أو شيء مغبر</w:t>
      </w:r>
      <w:r>
        <w:rPr>
          <w:rFonts w:eastAsia="Amiri" w:cs="Amiri" w:ascii="Amiri" w:hAnsi="Amiri"/>
          <w:color w:val="111111"/>
          <w:sz w:val="28"/>
          <w:szCs w:val="28"/>
          <w:rtl w:val="true"/>
          <w:lang w:bidi="ar-SA"/>
        </w:rPr>
        <w:t>»</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بمساواة الغبار للتراب لا يُعتمد عليه ، والاستناد إلى أنّه تراب ، لا وجه له ؛ لأنّ الغبار حقيقة أُخرى مغايرة للتراب، ولا أقلّ من الشكّ في صدق اسم التراب المطلق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الغبار كثير أو عرف أنّ أصله من التراب جاز التيمّم به قطعاً، ويجب تقديمه على الحجر أو الخزف</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تأخير مرتبة الطين عنه للأخبار المتقدّمة </w:t>
      </w:r>
      <w:r>
        <w:rPr>
          <w:rStyle w:val="FootnoteAnchor"/>
          <w:rtl w:val="true"/>
        </w:rPr>
        <w:footnoteReference w:id="2510"/>
      </w:r>
      <w:r>
        <w:rPr>
          <w:rFonts w:ascii="IRNazanin" w:hAnsi="IRNazanin" w:eastAsia="IRNazanin"/>
          <w:color w:val="111111"/>
          <w:sz w:val="28"/>
          <w:sz w:val="28"/>
          <w:szCs w:val="28"/>
          <w:rtl w:val="true"/>
          <w:lang w:bidi="fa-IR"/>
        </w:rPr>
        <w:t xml:space="preserve">وفتوى المشهور؛ وما تشعر به بعض </w:t>
      </w:r>
      <w:bookmarkStart w:id="1195" w:name="pg18988_203619"/>
    </w:p>
    <w:p>
      <w:pPr>
        <w:pStyle w:val="BookText"/>
        <w:rPr/>
      </w:pPr>
      <w:bookmarkEnd w:id="1195"/>
      <w:r>
        <w:rPr>
          <w:rFonts w:ascii="IRNazanin" w:hAnsi="IRNazanin" w:eastAsia="IRNazanin"/>
          <w:color w:val="111111"/>
          <w:sz w:val="28"/>
          <w:sz w:val="28"/>
          <w:szCs w:val="28"/>
          <w:rtl w:val="true"/>
          <w:lang w:bidi="fa-IR"/>
        </w:rPr>
        <w:t>الأخبار</w:t>
      </w:r>
      <w:r>
        <w:rPr>
          <w:rStyle w:val="FootnoteAnchor"/>
          <w:rtl w:val="true"/>
        </w:rPr>
        <w:footnoteReference w:id="2511"/>
      </w:r>
      <w:r>
        <w:rPr>
          <w:rFonts w:ascii="Amiri" w:hAnsi="Amiri" w:eastAsia="Amiri" w:cs="Amiri"/>
          <w:color w:val="111111"/>
          <w:sz w:val="28"/>
          <w:sz w:val="28"/>
          <w:szCs w:val="28"/>
          <w:rtl w:val="true"/>
          <w:lang w:bidi="ar-SA"/>
        </w:rPr>
        <w:t>من تقديم الطين على الغبار، ضعيف؛ لضعها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كيفيّة التيمّم بالغبار هو أن ينفض الثوب أو ما شابهه حتّى يعلو عليه شيء من الغبار فيتيمّم به، وهو الظاهر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نفضه بحيث يطير في الهواء فيضرب عليه في الهواء بعيد، كاحتمال أنّه يكفي الضرب على نفس المغبرّ من دون نفض له، فإنّه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لو علم أنّ الغبار الذي في الموضع غير تراب مطلق بل غبار نورة أو جصّ أو شبههما، كان التيمّم به في المرتبة الثانية، ولو علم أنّه غبار غير الأرض من دقيق أو أُشنان لم يجز به التيمّم مطلقاً، مع احتمال جوازه مطلقاً، وكفاية صدق اسم الغبار عليه فتتساوى أفراده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لزوم الترتيب بين أفراد المضروب، وإن ظهر من بعضهم لزوم الترتيب</w:t>
      </w:r>
      <w:r>
        <w:rPr>
          <w:rStyle w:val="FootnoteAnchor"/>
          <w:rtl w:val="true"/>
        </w:rPr>
        <w:footnoteReference w:id="2512"/>
      </w:r>
      <w:r>
        <w:rPr>
          <w:rFonts w:ascii="Amiri" w:hAnsi="Amiri" w:eastAsia="Amiri" w:cs="Amiri"/>
          <w:color w:val="111111"/>
          <w:sz w:val="28"/>
          <w:sz w:val="28"/>
          <w:szCs w:val="28"/>
          <w:rtl w:val="true"/>
          <w:lang w:bidi="ar-SA"/>
        </w:rPr>
        <w:t>، و النصوص ظاهرة في عدم لزوم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التحرّي لما كان أكثر غباراً فالأكثر، وهكذا</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3198271_1280447820"/>
      <w:bookmarkStart w:id="1197" w:name="_Toc462"/>
      <w:bookmarkEnd w:id="1196"/>
      <w:r>
        <w:rPr>
          <w:rtl w:val="true"/>
        </w:rPr>
        <w:t>ثامنها</w:t>
      </w:r>
      <w:r>
        <w:rPr>
          <w:rtl w:val="true"/>
        </w:rPr>
        <w:t xml:space="preserve">: </w:t>
      </w:r>
      <w:r>
        <w:rPr>
          <w:rtl w:val="true"/>
        </w:rPr>
        <w:t>وجوب التیمّم بالوحل فیما لو فقد التراب</w:t>
      </w:r>
      <w:bookmarkEnd w:id="1197"/>
    </w:p>
    <w:p>
      <w:pPr>
        <w:pStyle w:val="BookText"/>
        <w:rPr/>
      </w:pPr>
      <w:r>
        <w:rPr>
          <w:rFonts w:ascii="Amiri" w:hAnsi="Amiri" w:eastAsia="Amiri" w:cs="Amiri"/>
          <w:color w:val="111111"/>
          <w:sz w:val="28"/>
          <w:sz w:val="28"/>
          <w:szCs w:val="28"/>
          <w:rtl w:val="true"/>
          <w:lang w:bidi="ar-SA"/>
        </w:rPr>
        <w:t>لو فقد التراب وجب التيمّم بالوحل، وهو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المتقدّمة والإجماع نطقت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اليدين عليه والمسح بهما سواء بقي علوق منه بالكفّ أو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بقاء شيء من أثره بالكفّ، فللمتيمّم حينئذٍ أن يضرب يديه عليه ويمسح بهما وجهه، وله أن يضرب يديه عليه ويفركهما حتّى لا يبقى طين ويمسح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على تجفيف الطين بحيث يكون تراباً وجب؛ لأنّه في المرتبة الأُولى</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قدر على تجفيفه بحيث يخرج عن مسمّى الطين إلى مسمّى الأرض وجب أيضاً؛ لأنّها في المرتبة الثانية</w:t>
      </w:r>
      <w:r>
        <w:rPr>
          <w:rFonts w:eastAsia="Amiri" w:cs="Amiri" w:ascii="Amiri" w:hAnsi="Amiri"/>
          <w:color w:val="111111"/>
          <w:sz w:val="28"/>
          <w:szCs w:val="28"/>
          <w:rtl w:val="true"/>
          <w:lang w:bidi="ar-SA"/>
        </w:rPr>
        <w:t xml:space="preserve">. </w:t>
      </w:r>
      <w:bookmarkStart w:id="1198" w:name="pg18988_203620"/>
    </w:p>
    <w:p>
      <w:pPr>
        <w:pStyle w:val="BookText"/>
        <w:rPr/>
      </w:pPr>
      <w:bookmarkEnd w:id="1198"/>
      <w:r>
        <w:rPr>
          <w:rFonts w:ascii="IRNazanin" w:hAnsi="IRNazanin" w:eastAsia="IRNazanin"/>
          <w:color w:val="111111"/>
          <w:sz w:val="28"/>
          <w:sz w:val="28"/>
          <w:szCs w:val="28"/>
          <w:rtl w:val="true"/>
          <w:lang w:bidi="fa-IR"/>
        </w:rPr>
        <w:t>وعن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التيمّم في 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يضع يديه على الوحل ثمّ يفركهما ويتيمّم به</w:t>
      </w:r>
      <w:r>
        <w:rPr>
          <w:rStyle w:val="FootnoteAnchor"/>
          <w:rtl w:val="true"/>
        </w:rPr>
        <w:footnoteReference w:id="2513"/>
      </w:r>
      <w:r>
        <w:rPr>
          <w:rFonts w:ascii="Amiri" w:hAnsi="Amiri" w:eastAsia="Amiri" w:cs="Amiri"/>
          <w:color w:val="111111"/>
          <w:sz w:val="28"/>
          <w:sz w:val="28"/>
          <w:szCs w:val="28"/>
          <w:rtl w:val="true"/>
          <w:lang w:bidi="ar-SA"/>
        </w:rPr>
        <w:t>، فإن رجع إلى ما ذكرناه أخذنا به، و إلّا طرحناه</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3198273_1280447820"/>
      <w:bookmarkStart w:id="1200" w:name="_Toc463"/>
      <w:bookmarkEnd w:id="1199"/>
      <w:r>
        <w:rPr>
          <w:rtl w:val="true"/>
        </w:rPr>
        <w:t xml:space="preserve">تاسعها </w:t>
      </w:r>
      <w:r>
        <w:rPr>
          <w:rtl w:val="true"/>
        </w:rPr>
        <w:t>:</w:t>
      </w:r>
      <w:r>
        <w:rPr>
          <w:rtl w:val="true"/>
        </w:rPr>
        <w:t>حکم ما لو لم يوجد شيء ممّا یجوز التیمّم به إلّا الثلج</w:t>
      </w:r>
      <w:bookmarkEnd w:id="1200"/>
    </w:p>
    <w:p>
      <w:pPr>
        <w:pStyle w:val="BookText"/>
        <w:rPr/>
      </w:pPr>
      <w:r>
        <w:rPr>
          <w:rFonts w:ascii="Amiri" w:hAnsi="Amiri" w:eastAsia="Amiri" w:cs="Amiri"/>
          <w:color w:val="111111"/>
          <w:sz w:val="28"/>
          <w:sz w:val="28"/>
          <w:szCs w:val="28"/>
          <w:rtl w:val="true"/>
          <w:lang w:bidi="ar-SA"/>
        </w:rPr>
        <w:t xml:space="preserve">لو لم يوجد شيء ممّا ذكرنا إلّا الثلج،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للمشهور</w:t>
      </w:r>
      <w:r>
        <w:rPr>
          <w:rStyle w:val="FootnoteAnchor"/>
          <w:rtl w:val="true"/>
        </w:rPr>
        <w:footnoteReference w:id="25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يكون كفاقد الطهورين، فلا يجب عليه استعمال الثلج، ولا يجب عليه التأدية للصلاة؛ لانتفاء المشروط عند عدم القدرة على الشرط، ولأنّ الطهارة من شرائط الوجوب، فإذا لم تحصل لم يجب مشروطها، فالطهارة الترابيّة أو المائيّة من حيث هما شرط وجوبٍ كالوقت، والطهارة المائيّة فقط شرط صحّةٍ يجب لها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 الأداء ضعيف، والاستناد إلى أنّ الصلاة لا تسقط بحالٍ ضعيف أيضاً؛ لأنّ ذلك فيما جعله الشارع شرط صحّةٍ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وجوب القضاء وعدمه، فقيل بالعدم</w:t>
      </w:r>
      <w:r>
        <w:rPr>
          <w:rStyle w:val="FootnoteAnchor"/>
          <w:rtl w:val="true"/>
        </w:rPr>
        <w:footnoteReference w:id="2515"/>
      </w:r>
      <w:r>
        <w:rPr>
          <w:rFonts w:ascii="Amiri" w:hAnsi="Amiri" w:eastAsia="Amiri" w:cs="Amiri"/>
          <w:color w:val="111111"/>
          <w:sz w:val="28"/>
          <w:sz w:val="28"/>
          <w:szCs w:val="28"/>
          <w:rtl w:val="true"/>
          <w:lang w:bidi="ar-SA"/>
        </w:rPr>
        <w:t>للأصل، ولأنّ فوت الأداء لا يقضي بوجوب القضاء، بل القضاء يحتاج إلى أمرٍ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القضاء</w:t>
      </w:r>
      <w:r>
        <w:rPr>
          <w:rStyle w:val="FootnoteAnchor"/>
          <w:rtl w:val="true"/>
        </w:rPr>
        <w:footnoteReference w:id="2516"/>
      </w:r>
      <w:r>
        <w:rPr>
          <w:rFonts w:ascii="IRNazanin" w:hAnsi="IRNazanin" w:eastAsia="IRNazanin"/>
          <w:color w:val="111111"/>
          <w:sz w:val="28"/>
          <w:sz w:val="28"/>
          <w:szCs w:val="28"/>
          <w:rtl w:val="true"/>
          <w:lang w:bidi="fa-IR"/>
        </w:rPr>
        <w:t>، وهو الأشهر نقلاً</w:t>
      </w:r>
      <w:r>
        <w:rPr>
          <w:rStyle w:val="FootnoteAnchor"/>
          <w:rtl w:val="true"/>
        </w:rPr>
        <w:footnoteReference w:id="2517"/>
      </w:r>
      <w:r>
        <w:rPr>
          <w:rFonts w:ascii="Amiri" w:hAnsi="Amiri" w:eastAsia="Amiri" w:cs="Amiri"/>
          <w:color w:val="111111"/>
          <w:sz w:val="28"/>
          <w:sz w:val="28"/>
          <w:szCs w:val="28"/>
          <w:rtl w:val="true"/>
          <w:lang w:bidi="ar-SA"/>
        </w:rPr>
        <w:t xml:space="preserve">، والأحوط عملاً؛ أخذاً بعمومات الأدلّة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w:t>
      </w:r>
      <w:r>
        <w:rPr>
          <w:rStyle w:val="FootnoteAnchor"/>
          <w:rtl w:val="true"/>
        </w:rPr>
        <w:footnoteReference w:id="2518"/>
      </w:r>
      <w:r>
        <w:rPr>
          <w:rFonts w:ascii="Amiri" w:hAnsi="Amiri" w:eastAsia="Amiri" w:cs="Amiri"/>
          <w:color w:val="111111"/>
          <w:sz w:val="28"/>
          <w:sz w:val="28"/>
          <w:szCs w:val="28"/>
          <w:rtl w:val="true"/>
          <w:lang w:bidi="ar-SA"/>
        </w:rPr>
        <w:t>، وصدق الفوت متحقّق هاهنا على الأظهر، فظهر أنّ القول بوجوب الأداء فقط، والقول الأداء فقط، والقول بوجوب الأداء والقضاء، والقول بعدم وجوبهما، كلّه ضعيف</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بالثلج</w:t>
      </w:r>
      <w:r>
        <w:rPr>
          <w:rStyle w:val="FootnoteAnchor"/>
          <w:rtl w:val="true"/>
        </w:rPr>
        <w:footnoteReference w:id="2519"/>
      </w:r>
      <w:r>
        <w:rPr>
          <w:rFonts w:ascii="Amiri" w:hAnsi="Amiri" w:eastAsia="Amiri" w:cs="Amiri"/>
          <w:color w:val="111111"/>
          <w:sz w:val="28"/>
          <w:sz w:val="28"/>
          <w:szCs w:val="28"/>
          <w:rtl w:val="true"/>
          <w:lang w:bidi="ar-SA"/>
        </w:rPr>
        <w:t>للاحتياط، ولما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أجنب ولم يجد إلّا الثلج أو ماءً جامداً؟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يتيمّم</w:t>
      </w:r>
      <w:r>
        <w:rPr>
          <w:rFonts w:eastAsia="Amiri" w:cs="Amiri" w:ascii="Amiri" w:hAnsi="Amiri"/>
          <w:color w:val="111111"/>
          <w:sz w:val="28"/>
          <w:szCs w:val="28"/>
          <w:rtl w:val="true"/>
          <w:lang w:bidi="ar-SA"/>
        </w:rPr>
        <w:t>»</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والقول الأوّل أقوى؛ للأصل، وفتوى المشهور، وضعف الرواية دلالةً؛ لاحتمال الأمر بالتيمّم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إذابة الثلج بحيث يمكن الغسل به وجب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أخذ نداوة منه بحيث يبلّ بها الأعضاء من دون إجراء أو أمكن مسح الأعضاء بحيث يؤثّر فيها انتشاراً للرطوبة فهل يجب ذلك، ويقدّم على التيمّم؟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25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2522"/>
      </w:r>
      <w:r>
        <w:rPr>
          <w:rFonts w:ascii="Amiri" w:hAnsi="Amiri" w:eastAsia="Amiri" w:cs="Amiri"/>
          <w:color w:val="111111"/>
          <w:sz w:val="28"/>
          <w:sz w:val="28"/>
          <w:szCs w:val="28"/>
          <w:rtl w:val="true"/>
          <w:lang w:bidi="ar-SA"/>
        </w:rPr>
        <w:t>، ولعدم القطع بدخول الجريان في مفهوم الغُسل لغةً وشرعاً، ولظاهر 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المجنب أو على غير وضوء، ولم يجد إلّا ثلجاً وصعيداً، أيّهما أفضل، أيتيمّم أم يمسح بالثلج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الثلج إذا بلّ رأسه وجسده أفضل، فإن لم يقدر على أن يغتسل به فليتيمّم</w:t>
      </w:r>
      <w:r>
        <w:rPr>
          <w:rFonts w:eastAsia="Amiri" w:cs="Amiri" w:ascii="Amiri" w:hAnsi="Amiri"/>
          <w:color w:val="111111"/>
          <w:sz w:val="28"/>
          <w:szCs w:val="28"/>
          <w:rtl w:val="true"/>
          <w:lang w:bidi="ar-SA"/>
        </w:rPr>
        <w:t>»</w:t>
      </w:r>
      <w:r>
        <w:rPr>
          <w:rStyle w:val="FootnoteAnchor"/>
          <w:rtl w:val="true"/>
        </w:rPr>
        <w:footnoteReference w:id="2523"/>
      </w:r>
      <w:r>
        <w:rPr>
          <w:rFonts w:ascii="Amiri" w:hAnsi="Amiri" w:eastAsia="Amiri" w:cs="Amiri"/>
          <w:color w:val="111111"/>
          <w:sz w:val="28"/>
          <w:sz w:val="28"/>
          <w:szCs w:val="28"/>
          <w:rtl w:val="true"/>
          <w:lang w:bidi="ar-SA"/>
        </w:rPr>
        <w:t>و نحوه غيره</w:t>
      </w:r>
      <w:r>
        <w:rPr>
          <w:rStyle w:val="FootnoteAnchor"/>
          <w:rtl w:val="true"/>
        </w:rPr>
        <w:footnoteReference w:id="2524"/>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يجد إلّا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به جلدي؟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25"/>
      </w:r>
      <w:r>
        <w:rPr>
          <w:rFonts w:ascii="Amiri" w:hAnsi="Amiri" w:eastAsia="Amiri" w:cs="Amiri"/>
          <w:color w:val="111111"/>
          <w:sz w:val="28"/>
          <w:sz w:val="28"/>
          <w:szCs w:val="28"/>
          <w:rtl w:val="true"/>
          <w:lang w:bidi="ar-SA"/>
        </w:rPr>
        <w:t>، أو لا يجب ؟ للأصل، وللشكّ في شمول العموم لمثل هذا المقام، ولضعف الروايات دلالةً؛ لقوله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أن يغتسل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قرينة على إرادة الغُسل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رأسه وجسده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إرادة الإيجاب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ولاحتمال إرادة الغُسل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الجريان من الثلج إذا مسّ الجلد بحرارة، وهذا هو الأقوى</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الجمع بين المسح بالثلج والتيمّم والصلاة، ثمّ الغسل</w:t>
      </w:r>
      <w:r>
        <w:rPr>
          <w:rFonts w:eastAsia="Amiri" w:cs="Amiri" w:ascii="Amiri" w:hAnsi="Amiri"/>
          <w:color w:val="111111"/>
          <w:sz w:val="28"/>
          <w:szCs w:val="28"/>
          <w:rtl w:val="true"/>
          <w:lang w:bidi="ar-SA"/>
        </w:rPr>
        <w:t xml:space="preserve">. </w:t>
      </w:r>
      <w:bookmarkStart w:id="1201" w:name="pg18988_203622"/>
    </w:p>
    <w:p>
      <w:pPr>
        <w:pStyle w:val="Heading3"/>
        <w:numPr>
          <w:ilvl w:val="2"/>
          <w:numId w:val="1"/>
        </w:numPr>
        <w:rPr/>
      </w:pPr>
      <w:bookmarkStart w:id="1202" w:name="__RefHeading___Toc13198275_1280447820"/>
      <w:bookmarkStart w:id="1203" w:name="_Toc464"/>
      <w:bookmarkEnd w:id="1201"/>
      <w:bookmarkEnd w:id="1202"/>
      <w:r>
        <w:rPr>
          <w:rtl w:val="true"/>
        </w:rPr>
        <w:t>القول في كيفيته</w:t>
      </w:r>
      <w:bookmarkEnd w:id="1203"/>
    </w:p>
    <w:p>
      <w:pPr>
        <w:pStyle w:val="Heading4"/>
        <w:numPr>
          <w:ilvl w:val="3"/>
          <w:numId w:val="1"/>
        </w:numPr>
        <w:rPr/>
      </w:pPr>
      <w:bookmarkStart w:id="1204" w:name="__RefHeading___Toc13198277_1280447820"/>
      <w:bookmarkStart w:id="1205" w:name="_Toc465"/>
      <w:bookmarkEnd w:id="1204"/>
      <w:r>
        <w:rPr>
          <w:rtl w:val="true"/>
        </w:rPr>
        <w:t>وفيه مباحث</w:t>
      </w:r>
      <w:r>
        <w:rPr>
          <w:rtl w:val="true"/>
        </w:rPr>
        <w:t>:</w:t>
      </w:r>
      <w:bookmarkEnd w:id="1205"/>
    </w:p>
    <w:p>
      <w:pPr>
        <w:pStyle w:val="Heading4"/>
        <w:numPr>
          <w:ilvl w:val="3"/>
          <w:numId w:val="1"/>
        </w:numPr>
        <w:rPr/>
      </w:pPr>
      <w:bookmarkStart w:id="1206" w:name="__RefHeading___Toc13198279_1280447820"/>
      <w:bookmarkStart w:id="1207" w:name="_Toc466"/>
      <w:bookmarkEnd w:id="1206"/>
      <w:r>
        <w:rPr>
          <w:rtl w:val="true"/>
        </w:rPr>
        <w:t>أحدها</w:t>
      </w:r>
      <w:r>
        <w:rPr>
          <w:rtl w:val="true"/>
        </w:rPr>
        <w:t xml:space="preserve">: </w:t>
      </w:r>
      <w:r>
        <w:rPr>
          <w:rtl w:val="true"/>
        </w:rPr>
        <w:t>وجوب النيّة في التيمّم</w:t>
      </w:r>
      <w:bookmarkEnd w:id="1207"/>
    </w:p>
    <w:p>
      <w:pPr>
        <w:pStyle w:val="BookText"/>
        <w:rPr/>
      </w:pPr>
      <w:r>
        <w:rPr>
          <w:rFonts w:ascii="Amiri" w:hAnsi="Amiri" w:eastAsia="Amiri" w:cs="Amiri"/>
          <w:color w:val="111111"/>
          <w:sz w:val="28"/>
          <w:sz w:val="28"/>
          <w:szCs w:val="28"/>
          <w:rtl w:val="true"/>
          <w:lang w:bidi="ar-SA"/>
        </w:rPr>
        <w:t>تجب في التيمّم النيّة؛ للإجماع، ولأنّه عبادة بالمعنى الأخصّ، فتجب فيها النيّة إجماعاً، ولأنّ الفراغ اليقيني في العبادة موقوف عليها، ولأنّ ما شكّ في شرطيّته شرط، وهي عبارة عن قصد الفعل في الجملة مع نيّة القربة والعبوديّة والامتثال لحضرة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فيها نيّة الوجه من وجوبٍ وندبٍ، بل لو نوى الخلاف فلا بأس به، إلّا أن يجعل نيّة الخلاف وصفاً للمنويّ،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لتأديته إلى نيّة عملٍ غير مشروعٍ وقصد فعلٍ لا يمكن وقوعه ولو من جهة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نيّة الاستباحة؟ الظاهر عدم الوجوب؛ لأنّ الاستباحة كالرفع من الآثار المترتّبة على نفس الفعل قهراً فلا حاجة إلى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لزوم نيّة الاستباحة لتشخيص المنويّ عن غيره؛ لاشتراك التيمّم بين المبيح وغيره، ضعيف؛ لأنّ التيمّم عند عدم التمكّن من الماء لا يكون إلّا مبيحاً، وعند التمكّن منه لا يكون إلّا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نيّة رفع الحدث؛ لأنّ التيمّم غير رافعٍ حقيقةً، إجماعاً، إلّا إذا أُريد من الرفع رفع المانعيّة عن فعل المشروط به إلى زمن انتقاضه، فإنّه يصحّ، ولكن تغني عنه نيّة الاستباحة، بل هو معناه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الرفع الحقيقي به لغت نيّته و صحّ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جهلاً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w:t>
      </w:r>
      <w:bookmarkStart w:id="1208" w:name="pg18988_203623"/>
    </w:p>
    <w:p>
      <w:pPr>
        <w:pStyle w:val="BookText"/>
        <w:rPr/>
      </w:pPr>
      <w:bookmarkEnd w:id="1208"/>
      <w:r>
        <w:rPr>
          <w:rFonts w:ascii="Amiri" w:hAnsi="Amiri" w:eastAsia="Amiri" w:cs="Amiri"/>
          <w:color w:val="111111"/>
          <w:sz w:val="28"/>
          <w:sz w:val="28"/>
          <w:szCs w:val="28"/>
          <w:rtl w:val="true"/>
          <w:lang w:bidi="ar-SA"/>
        </w:rPr>
        <w:t>الرفع غاية له ما لم تدخل تحت عبادة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نيّة الرفع وصفاً له فنوى التيمّم الرافع كان القول بالفساد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ضمّها إلى الاستباحة توجّهت الصحّة؛ ترجيحاً لجانب الصحّة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فيه نيّة البدليّة مطلقاً؛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2526"/>
      </w:r>
      <w:r>
        <w:rPr>
          <w:rFonts w:ascii="Amiri" w:hAnsi="Amiri" w:eastAsia="Amiri" w:cs="Amiri"/>
          <w:color w:val="111111"/>
          <w:sz w:val="28"/>
          <w:sz w:val="28"/>
          <w:szCs w:val="28"/>
          <w:rtl w:val="true"/>
          <w:lang w:bidi="ar-SA"/>
        </w:rPr>
        <w:t>أو لا تجب مطلقاً ؛ لحصول المنويّ في الجملة فلا حاجة إلى أمرٍ آخَر، أو الفرق بين ما إذا قلنا باتّحاد صورة التيمّم مطلقاً فلا يحتاج؛ لأنّه ماهيّة واحدة يقع أثرها بحسب ما تصادفه، فإن كان أصغر استبيحت به الصلاة عن الأصغر، وإن كان أكبَر استبيحت به الصلاة عن الأكبر، وبين ما إذا قلنا باختلاف صورته فضربة للبدل عن الوضوء وضربتان للبدل عن الغسل، فيحتاج إلى نيّة البدليّة؛ لكونهما ماهيّتين مختلفتين فيجب تمييز إحداهما عن الأُخرى، أو الفرق بين ما إذا وجب على المكلّف تيمّمان فتجب نيّة البدليّة للتمييز، وبين ما لم يجب إلّا واحداً فلا تجب؛ لانصرافه إليه، وأصالة عدم وجوب التعيين؟ وجوه، أحوطها بل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تداخل التيمّمات عن أغسال متعدّدة يصحّ فيها التداخل؛ لعموم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استدامة حكم النيّة، كما تقدّم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مقارنتها لأوّل أجزاء التيمّم ، فإن كان هو الضرب وجب مقارنتها للضرب، وإن كان غيره وجب مقارنتها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 النيّة هي الداعي يسهل الخطب غاية السهولة</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3198281_1280447820"/>
      <w:bookmarkStart w:id="1210" w:name="_Toc467"/>
      <w:bookmarkEnd w:id="1209"/>
      <w:r>
        <w:rPr>
          <w:rtl w:val="true"/>
        </w:rPr>
        <w:t>ثانيها</w:t>
      </w:r>
      <w:r>
        <w:rPr>
          <w:rtl w:val="true"/>
        </w:rPr>
        <w:t xml:space="preserve">: </w:t>
      </w:r>
      <w:r>
        <w:rPr>
          <w:rtl w:val="true"/>
        </w:rPr>
        <w:t>وجوب المباشرة في التيمّم</w:t>
      </w:r>
      <w:bookmarkEnd w:id="121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المباشرة في التيمّم؛ للإجماع، والاحتياط، والتأسّي، والعمل المعهود، وظاهر الخطاب، وعدم تيقّن الفراغ بغيرها إلّا مع العجز فتجوز التولية، بمعنى أن يرفع أعضاءه شخصٌ ثمّ يمسح بهما، وإن لم يمكن تولّى غيره الضرب بيديه ومسح أعضاءه بها كتيمّم الميّت، والأوّل هو المقدّم؛ لأنّه هو المتيقّن به في فراغ الذمّة بعد شغلها</w:t>
      </w:r>
      <w:r>
        <w:rPr>
          <w:rFonts w:eastAsia="Amiri" w:cs="Amiri" w:ascii="Amiri" w:hAnsi="Amiri"/>
          <w:color w:val="111111"/>
          <w:sz w:val="28"/>
          <w:szCs w:val="28"/>
          <w:rtl w:val="true"/>
          <w:lang w:bidi="ar-SA"/>
        </w:rPr>
        <w:t xml:space="preserve">. </w:t>
      </w:r>
      <w:bookmarkStart w:id="1211" w:name="pg18988_203624"/>
    </w:p>
    <w:p>
      <w:pPr>
        <w:pStyle w:val="Heading4"/>
        <w:numPr>
          <w:ilvl w:val="3"/>
          <w:numId w:val="1"/>
        </w:numPr>
        <w:rPr/>
      </w:pPr>
      <w:bookmarkStart w:id="1212" w:name="__RefHeading___Toc13198283_1280447820"/>
      <w:bookmarkStart w:id="1213" w:name="_Toc468"/>
      <w:bookmarkEnd w:id="1211"/>
      <w:bookmarkEnd w:id="1212"/>
      <w:r>
        <w:rPr>
          <w:rtl w:val="true"/>
        </w:rPr>
        <w:t>ثالثها</w:t>
      </w:r>
      <w:r>
        <w:rPr>
          <w:rtl w:val="true"/>
        </w:rPr>
        <w:t xml:space="preserve">: </w:t>
      </w:r>
      <w:r>
        <w:rPr>
          <w:rtl w:val="true"/>
        </w:rPr>
        <w:t>وجوب الموالاة في التيمّم</w:t>
      </w:r>
      <w:bookmarkEnd w:id="1213"/>
    </w:p>
    <w:p>
      <w:pPr>
        <w:pStyle w:val="BookText"/>
        <w:rPr/>
      </w:pPr>
      <w:r>
        <w:rPr>
          <w:rFonts w:ascii="Amiri" w:hAnsi="Amiri" w:eastAsia="Amiri" w:cs="Amiri"/>
          <w:color w:val="111111"/>
          <w:sz w:val="28"/>
          <w:sz w:val="28"/>
          <w:szCs w:val="28"/>
          <w:rtl w:val="true"/>
          <w:lang w:bidi="ar-SA"/>
        </w:rPr>
        <w:t>تجب الموالاة في التيمّم مطلقاً، سواء كان بدلاً عن الغسل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الموالاة العرفيّة لا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الموالاة الاحتياط؛ ولأنّه المعهود والمتيقّن للفراغ، ولظاهر الإجماع المنقول</w:t>
      </w:r>
      <w:r>
        <w:rPr>
          <w:rStyle w:val="FootnoteAnchor"/>
          <w:rtl w:val="true"/>
        </w:rPr>
        <w:footnoteReference w:id="2527"/>
      </w:r>
      <w:r>
        <w:rPr>
          <w:rFonts w:ascii="Amiri" w:hAnsi="Amiri" w:eastAsia="Amiri" w:cs="Amiri"/>
          <w:color w:val="111111"/>
          <w:sz w:val="28"/>
          <w:sz w:val="28"/>
          <w:szCs w:val="28"/>
          <w:rtl w:val="true"/>
          <w:lang w:bidi="ar-SA"/>
        </w:rPr>
        <w:t>، ولفتوى المشهور من الفحول، وللتأسّي بما فعله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البيان؛ للنقل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تابعوا في تيمّمهم</w:t>
      </w:r>
      <w:r>
        <w:rPr>
          <w:rStyle w:val="FootnoteAnchor"/>
          <w:rtl w:val="true"/>
        </w:rPr>
        <w:footnoteReference w:id="2528"/>
      </w:r>
      <w:r>
        <w:rPr>
          <w:rFonts w:ascii="Amiri" w:hAnsi="Amiri" w:eastAsia="Amiri" w:cs="Amiri"/>
          <w:color w:val="111111"/>
          <w:sz w:val="28"/>
          <w:sz w:val="28"/>
          <w:szCs w:val="28"/>
          <w:rtl w:val="true"/>
          <w:lang w:bidi="ar-SA"/>
        </w:rPr>
        <w:t>، ولظاهر الآية</w:t>
      </w:r>
      <w:r>
        <w:rPr>
          <w:rStyle w:val="FootnoteAnchor"/>
          <w:rtl w:val="true"/>
        </w:rPr>
        <w:footnoteReference w:id="2529"/>
      </w:r>
      <w:r>
        <w:rPr>
          <w:rFonts w:ascii="Amiri" w:hAnsi="Amiri" w:eastAsia="Amiri" w:cs="Amiri"/>
          <w:color w:val="111111"/>
          <w:sz w:val="28"/>
          <w:sz w:val="28"/>
          <w:szCs w:val="28"/>
          <w:rtl w:val="true"/>
          <w:lang w:bidi="ar-SA"/>
        </w:rPr>
        <w:t>حيث وقع العطف فيها بالفاء المقتضية لتعقيب العمل المركّب، ولا يتمّ إلّا بمعاقبة أجزائه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نظر</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3198285_1280447820"/>
      <w:bookmarkStart w:id="1215" w:name="_Toc469"/>
      <w:bookmarkEnd w:id="1214"/>
      <w:r>
        <w:rPr>
          <w:rtl w:val="true"/>
        </w:rPr>
        <w:t>رابعها</w:t>
      </w:r>
      <w:r>
        <w:rPr>
          <w:rtl w:val="true"/>
        </w:rPr>
        <w:t xml:space="preserve">: </w:t>
      </w:r>
      <w:r>
        <w:rPr>
          <w:rtl w:val="true"/>
        </w:rPr>
        <w:t>وجوب الترتيب بين الأعضاء</w:t>
      </w:r>
      <w:bookmarkEnd w:id="1215"/>
    </w:p>
    <w:p>
      <w:pPr>
        <w:pStyle w:val="BookText"/>
        <w:rPr/>
      </w:pPr>
      <w:r>
        <w:rPr>
          <w:rFonts w:ascii="Amiri" w:hAnsi="Amiri" w:eastAsia="Amiri" w:cs="Amiri"/>
          <w:color w:val="111111"/>
          <w:sz w:val="28"/>
          <w:sz w:val="28"/>
          <w:szCs w:val="28"/>
          <w:rtl w:val="true"/>
          <w:lang w:bidi="ar-SA"/>
        </w:rPr>
        <w:t>يجب الترتيب بين الأعضاء الآتي ذكرها إن شاء الله تعالى؛ للإجماع المنقول</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جمهور الفحول، ولظاهر الآية</w:t>
      </w:r>
      <w:r>
        <w:rPr>
          <w:rStyle w:val="FootnoteAnchor"/>
          <w:rtl w:val="true"/>
        </w:rPr>
        <w:footnoteReference w:id="2531"/>
      </w:r>
      <w:r>
        <w:rPr>
          <w:rFonts w:ascii="Amiri" w:hAnsi="Amiri" w:eastAsia="Amiri" w:cs="Amiri"/>
          <w:color w:val="111111"/>
          <w:sz w:val="28"/>
          <w:sz w:val="28"/>
          <w:szCs w:val="28"/>
          <w:rtl w:val="true"/>
          <w:lang w:bidi="ar-SA"/>
        </w:rPr>
        <w:t>في تقديم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الواو للترتيب، أو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ابدأوا بمابدأ الله تعالى</w:t>
      </w:r>
      <w:r>
        <w:rPr>
          <w:rFonts w:eastAsia="Amiri" w:cs="Amiri" w:ascii="Amiri" w:hAnsi="Amiri"/>
          <w:color w:val="111111"/>
          <w:sz w:val="28"/>
          <w:szCs w:val="28"/>
          <w:rtl w:val="true"/>
          <w:lang w:bidi="ar-SA"/>
        </w:rPr>
        <w:t>»</w:t>
      </w:r>
      <w:r>
        <w:rPr>
          <w:rStyle w:val="FootnoteAnchor"/>
          <w:rtl w:val="true"/>
        </w:rPr>
        <w:footnoteReference w:id="2532"/>
      </w:r>
      <w:r>
        <w:rPr>
          <w:rFonts w:ascii="Amiri" w:hAnsi="Amiri" w:eastAsia="Amiri" w:cs="Amiri"/>
          <w:color w:val="111111"/>
          <w:sz w:val="28"/>
          <w:sz w:val="28"/>
          <w:szCs w:val="28"/>
          <w:rtl w:val="true"/>
          <w:lang w:bidi="ar-SA"/>
        </w:rPr>
        <w:t>وللأخبار الظاهرة في الترتيب في الضرب، ثمّ مسح الوجه، ثمّ مسح اليدين</w:t>
      </w:r>
      <w:r>
        <w:rPr>
          <w:rStyle w:val="FootnoteAnchor"/>
          <w:rtl w:val="true"/>
        </w:rPr>
        <w:footnoteReference w:id="2533"/>
      </w:r>
      <w:r>
        <w:rPr>
          <w:rFonts w:ascii="Amiri" w:hAnsi="Amiri" w:eastAsia="Amiri" w:cs="Amiri"/>
          <w:color w:val="111111"/>
          <w:sz w:val="28"/>
          <w:sz w:val="28"/>
          <w:szCs w:val="28"/>
          <w:rtl w:val="true"/>
          <w:lang w:bidi="ar-SA"/>
        </w:rPr>
        <w:t>، وفي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مسح اليسرى على اليمنى واليمنى على اليسرى</w:t>
      </w:r>
      <w:r>
        <w:rPr>
          <w:rFonts w:eastAsia="Amiri" w:cs="Amiri" w:ascii="Amiri" w:hAnsi="Amiri"/>
          <w:color w:val="111111"/>
          <w:sz w:val="28"/>
          <w:szCs w:val="28"/>
          <w:rtl w:val="true"/>
          <w:lang w:bidi="ar-SA"/>
        </w:rPr>
        <w:t>»</w:t>
      </w:r>
      <w:r>
        <w:rPr>
          <w:rStyle w:val="FootnoteAnchor"/>
          <w:rtl w:val="true"/>
        </w:rPr>
        <w:footnoteReference w:id="2534"/>
      </w:r>
      <w:r>
        <w:rPr>
          <w:rFonts w:ascii="Amiri" w:hAnsi="Amiri" w:eastAsia="Amiri" w:cs="Amiri"/>
          <w:color w:val="111111"/>
          <w:sz w:val="28"/>
          <w:sz w:val="28"/>
          <w:szCs w:val="28"/>
          <w:rtl w:val="true"/>
          <w:lang w:bidi="ar-SA"/>
        </w:rPr>
        <w:t>وهو ظاهر في الترتيب في مقام البيان، ولقيامه مقام ما يجب ترتيبه، بل ربما يدّعى أنّ عموم المنزلة يقضى به أيضاً</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3198287_1280447820"/>
      <w:bookmarkStart w:id="1217" w:name="_Toc470"/>
      <w:bookmarkEnd w:id="1216"/>
      <w:r>
        <w:rPr>
          <w:rtl w:val="true"/>
        </w:rPr>
        <w:t>خامسها</w:t>
      </w:r>
      <w:r>
        <w:rPr>
          <w:rtl w:val="true"/>
        </w:rPr>
        <w:t xml:space="preserve">: </w:t>
      </w:r>
      <w:r>
        <w:rPr>
          <w:rtl w:val="true"/>
        </w:rPr>
        <w:t>وجوب الابتداء بالأعلى بالنسبة إلى الأجزاء</w:t>
      </w:r>
      <w:bookmarkEnd w:id="121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الابتداء بالأعلى بالنسبة إلى الأجزاء الآتية إن شاء الله تعالى؛ للاحتياط </w:t>
      </w:r>
      <w:bookmarkStart w:id="1218" w:name="pg18988_203625"/>
    </w:p>
    <w:p>
      <w:pPr>
        <w:pStyle w:val="BookText"/>
        <w:rPr/>
      </w:pPr>
      <w:bookmarkEnd w:id="1218"/>
      <w:r>
        <w:rPr>
          <w:rFonts w:ascii="Amiri" w:hAnsi="Amiri" w:eastAsia="Amiri" w:cs="Amiri"/>
          <w:color w:val="111111"/>
          <w:sz w:val="28"/>
          <w:sz w:val="28"/>
          <w:szCs w:val="28"/>
          <w:rtl w:val="true"/>
          <w:lang w:bidi="ar-SA"/>
        </w:rPr>
        <w:t>وفتوى الأصحاب، والفراغ اليقيني، وعموم المنزلة، والتأسّي بالمعلوم من فعلهم وفعل التابعين لهم وإن لم يصرّحوا به لفظاً، بل ربما كان معلوماً لديهم في الزمان السابق، ولقوله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وجهه ويديه فوق الكفّ قليلاً </w:t>
      </w:r>
      <w:r>
        <w:rPr>
          <w:rStyle w:val="FootnoteAnchor"/>
          <w:rtl w:val="true"/>
        </w:rPr>
        <w:footnoteReference w:id="2535"/>
      </w:r>
      <w:r>
        <w:rPr>
          <w:rFonts w:ascii="Amiri" w:hAnsi="Amiri" w:eastAsia="Amiri" w:cs="Amiri"/>
          <w:color w:val="111111"/>
          <w:sz w:val="28"/>
          <w:sz w:val="28"/>
          <w:szCs w:val="28"/>
          <w:rtl w:val="true"/>
          <w:lang w:bidi="ar-SA"/>
        </w:rPr>
        <w:t>، وهي ظاهرة في الابتداء بالأعلى، ولا قائل بالفصل</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3198289_1280447820"/>
      <w:bookmarkStart w:id="1220" w:name="_Toc471"/>
      <w:bookmarkEnd w:id="1219"/>
      <w:r>
        <w:rPr>
          <w:rtl w:val="true"/>
        </w:rPr>
        <w:t>سادسها</w:t>
      </w:r>
      <w:r>
        <w:rPr>
          <w:rtl w:val="true"/>
        </w:rPr>
        <w:t xml:space="preserve">: </w:t>
      </w:r>
      <w:r>
        <w:rPr>
          <w:rtl w:val="true"/>
        </w:rPr>
        <w:t>اشتراط طهارة الأعضاء الماسحة والممسوحة</w:t>
      </w:r>
      <w:bookmarkEnd w:id="1220"/>
    </w:p>
    <w:p>
      <w:pPr>
        <w:pStyle w:val="BookText"/>
        <w:rPr/>
      </w:pPr>
      <w:r>
        <w:rPr>
          <w:rFonts w:ascii="Amiri" w:hAnsi="Amiri" w:eastAsia="Amiri" w:cs="Amiri"/>
          <w:color w:val="111111"/>
          <w:sz w:val="28"/>
          <w:sz w:val="28"/>
          <w:szCs w:val="28"/>
          <w:rtl w:val="true"/>
          <w:lang w:bidi="ar-SA"/>
        </w:rPr>
        <w:t>يشترط طهارة الأعضاء الماسحة والممسوحة ؛ للاحتياط ، ولفحوى البدليّة ، ولتوقّف الفراغ اليقيني عليه، ولفحوى اشتراط طيب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إزالة النجاسة وجب المسح على النَجس، إلّا إذا أدّى النجس إلى سراية النجاسة إلى التراب، فإنّه يسقط حكم التيمّم، وترجع المسألة إلى حكم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على محال التيمّم جبيرة طاهرة وجب المسح عليها؛ لعموم المنزلة والبدليّة عن الوضوء والغسل، وإن كانت نجسةً وضع عليها طاهرة ومسح عليها</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3198291_1280447820"/>
      <w:bookmarkStart w:id="1222" w:name="_Toc472"/>
      <w:bookmarkEnd w:id="1221"/>
      <w:r>
        <w:rPr>
          <w:rtl w:val="true"/>
        </w:rPr>
        <w:t>سابعها</w:t>
      </w:r>
      <w:r>
        <w:rPr>
          <w:rtl w:val="true"/>
        </w:rPr>
        <w:t xml:space="preserve">: </w:t>
      </w:r>
      <w:r>
        <w:rPr>
          <w:rtl w:val="true"/>
        </w:rPr>
        <w:t>وجوب ضرب اليدين على الأرض باعتمادٍ</w:t>
      </w:r>
      <w:bookmarkEnd w:id="1222"/>
    </w:p>
    <w:p>
      <w:pPr>
        <w:pStyle w:val="BookText"/>
        <w:rPr/>
      </w:pPr>
      <w:r>
        <w:rPr>
          <w:rFonts w:ascii="Amiri" w:hAnsi="Amiri" w:eastAsia="Amiri" w:cs="Amiri"/>
          <w:color w:val="111111"/>
          <w:sz w:val="28"/>
          <w:sz w:val="28"/>
          <w:szCs w:val="28"/>
          <w:rtl w:val="true"/>
          <w:lang w:bidi="ar-SA"/>
        </w:rPr>
        <w:t>يجب على المتيمّم ضرب اليدين على الأرض، سواء كانت الأرض فوق اليدين أو تحتهما أو مسامتة لهما؛ للإجماع، والأخبار، والاحتياط الواجب، وللتأسّي، ولأنّه المعهود، فلا يكفي استقبال العواصف ولا ضرب الأرض على اليدين، ولا وضع تراب عليهما ولا غير ذلك</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بالضرب هو الوضع على الأرض باعتمادٍ، سواء حصل له صوت أو لا، والظاهر أنّه لا يكفي مجرّد الوضع للمتمكّن من الضرب؛ لكثرة التعبير بالضرب في الفتوى والرواية </w:t>
      </w:r>
      <w:r>
        <w:rPr>
          <w:rStyle w:val="FootnoteAnchor"/>
          <w:rtl w:val="true"/>
        </w:rPr>
        <w:footnoteReference w:id="2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عليه ما جاء بلفظ الوضع </w:t>
      </w:r>
      <w:r>
        <w:rPr>
          <w:rStyle w:val="FootnoteAnchor"/>
          <w:rtl w:val="true"/>
        </w:rPr>
        <w:footnoteReference w:id="2537"/>
      </w:r>
      <w:r>
        <w:rPr>
          <w:rFonts w:ascii="Amiri" w:hAnsi="Amiri" w:eastAsia="Amiri" w:cs="Amiri"/>
          <w:color w:val="111111"/>
          <w:sz w:val="28"/>
          <w:sz w:val="28"/>
          <w:szCs w:val="28"/>
          <w:rtl w:val="true"/>
          <w:lang w:bidi="ar-SA"/>
        </w:rPr>
        <w:t xml:space="preserve">حملاً للمطلق على المقيّد، ولكونه هو المعهود، و للاحتياط في مقام فراغ الذمّة، وإن كان القول بجواز مجرّد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الغرض منه </w:t>
      </w:r>
    </w:p>
    <w:p>
      <w:pPr>
        <w:pStyle w:val="BookText"/>
        <w:rPr/>
      </w:pPr>
      <w:r>
        <w:rPr>
          <w:rFonts w:ascii="Amiri" w:hAnsi="Amiri" w:eastAsia="Amiri" w:cs="Amiri"/>
          <w:color w:val="111111"/>
          <w:sz w:val="28"/>
          <w:sz w:val="28"/>
          <w:szCs w:val="28"/>
          <w:rtl w:val="true"/>
          <w:lang w:bidi="ar-SA"/>
        </w:rPr>
        <w:t>بالمماسّة، ولإطلاق الآية</w:t>
      </w:r>
      <w:r>
        <w:rPr>
          <w:rStyle w:val="FootnoteAnchor"/>
          <w:rtl w:val="true"/>
        </w:rPr>
        <w:footnoteReference w:id="2538"/>
      </w:r>
      <w:r>
        <w:rPr>
          <w:rFonts w:ascii="Amiri" w:hAnsi="Amiri" w:eastAsia="Amiri" w:cs="Amiri"/>
          <w:color w:val="111111"/>
          <w:sz w:val="28"/>
          <w:sz w:val="28"/>
          <w:szCs w:val="28"/>
          <w:rtl w:val="true"/>
          <w:lang w:bidi="ar-SA"/>
        </w:rPr>
        <w:t xml:space="preserve">، وحمل ما دلّ على الضرب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باليدين معاً؛ للأخبار</w:t>
      </w:r>
      <w:r>
        <w:rPr>
          <w:rStyle w:val="FootnoteAnchor"/>
          <w:rtl w:val="true"/>
        </w:rPr>
        <w:footnoteReference w:id="2539"/>
      </w:r>
      <w:r>
        <w:rPr>
          <w:rFonts w:ascii="Amiri" w:hAnsi="Amiri" w:eastAsia="Amiri" w:cs="Amiri"/>
          <w:color w:val="111111"/>
          <w:sz w:val="28"/>
          <w:sz w:val="28"/>
          <w:szCs w:val="28"/>
          <w:rtl w:val="true"/>
          <w:lang w:bidi="ar-SA"/>
        </w:rPr>
        <w:t>، وفتوى الأصحاب، وللتأسّي، وكونه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دفعةً لا مرتّباً؛ لظاهر الأخبار</w:t>
      </w:r>
      <w:r>
        <w:rPr>
          <w:rStyle w:val="FootnoteAnchor"/>
          <w:rtl w:val="true"/>
        </w:rPr>
        <w:footnoteReference w:id="2540"/>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الدفعة، والإطلاق منصرف إليه لأنّه هو المعهود من فعل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والإماميّة، ويقضي به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الضرب بكلتا اليدين بباطنهما ؛لأنّه هو المنصرف إليه الإطلاق، وهو المعهود من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الباطن وجب الانتقال إلى الظاهر؛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25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2542"/>
      </w:r>
      <w:r>
        <w:rPr>
          <w:rFonts w:ascii="Amiri" w:hAnsi="Amiri" w:eastAsia="Amiri" w:cs="Amiri"/>
          <w:color w:val="111111"/>
          <w:sz w:val="28"/>
          <w:sz w:val="28"/>
          <w:szCs w:val="28"/>
          <w:rtl w:val="true"/>
          <w:lang w:bidi="ar-SA"/>
        </w:rPr>
        <w:t>وربما شمله إطلاق الأمر باليدين؛ لتوجّهه إلى المختار والمضطرّ، فالمختار بباطنهما، والمضطرّ بظاهرهما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ومقطوع اليد يكتفي بالواحدة؛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ومقطوعهما ينتقل إلى الزند؛ للعموم المذكور،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بانتقاله إلى أن يُيمّمه غيره قوي أيضاً، والأحوط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بسقوط مسح الجبهة فقط ها هنا ؛ لعدم الأمر بها فقط ، فيسقط فرض الصلاة بسقوطها،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استيعاب الكفّين عند الضرب؛ لظاهر الأخبار والاحتياط، ولأنه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ما لا يصل إلى الأرض عادة عند الضرب من الأجزاء الداخلة في</w:t>
      </w:r>
    </w:p>
    <w:p>
      <w:pPr>
        <w:pStyle w:val="BookText"/>
        <w:rPr/>
      </w:pPr>
      <w:r>
        <w:rPr>
          <w:rFonts w:ascii="Amiri" w:hAnsi="Amiri" w:eastAsia="Amiri" w:cs="Amiri"/>
          <w:color w:val="111111"/>
          <w:sz w:val="28"/>
          <w:sz w:val="28"/>
          <w:szCs w:val="28"/>
          <w:rtl w:val="true"/>
          <w:lang w:bidi="ar-SA"/>
        </w:rPr>
        <w:t>الكفّ الشبيهة بالبواطن؛ لجريان السيرة على عدم التفحص عنها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كون الضرب على الأرض نفسها، بل لو وضع التراب في إناء لأجزأ الضرب </w:t>
      </w:r>
    </w:p>
    <w:p>
      <w:pPr>
        <w:pStyle w:val="BookText"/>
        <w:rPr/>
      </w:pPr>
      <w:r>
        <w:rPr>
          <w:rFonts w:ascii="Amiri" w:hAnsi="Amiri" w:eastAsia="Amiri" w:cs="Amiri"/>
          <w:color w:val="111111"/>
          <w:sz w:val="28"/>
          <w:sz w:val="28"/>
          <w:szCs w:val="28"/>
          <w:rtl w:val="true"/>
          <w:lang w:bidi="ar-SA"/>
        </w:rPr>
        <w:t>عليه قطعاً، بل أكثر المرضى لا يتمكّنون إلّا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العلوق، كما ذهب إليه المشهور؛ للأصل، وخلوّ الأخبار عن الأمر به في مقام البيان، ولاستحباب النفض المدلول عليه بالفتوى والرواية </w:t>
      </w:r>
      <w:r>
        <w:rPr>
          <w:rStyle w:val="FootnoteAnchor"/>
          <w:rtl w:val="true"/>
        </w:rPr>
        <w:footnoteReference w:id="2543"/>
      </w:r>
      <w:r>
        <w:rPr>
          <w:rFonts w:ascii="Amiri" w:hAnsi="Amiri" w:eastAsia="Amiri" w:cs="Amiri"/>
          <w:color w:val="111111"/>
          <w:sz w:val="28"/>
          <w:sz w:val="28"/>
          <w:szCs w:val="28"/>
          <w:rtl w:val="true"/>
          <w:lang w:bidi="ar-SA"/>
        </w:rPr>
        <w:t>، فلو كان العلوق معتبراً لما أمر بما كان عرضةً لزواله، ولجواز التيمّم بالحجر إمّا بالمرتبة الأُولى أو الثانية، والغالب خلوّه عن التراب العالق، ولأنّ الضربة الواحدة كافية والغالب عدم بقاء شيء منها لمسح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المشترطين للعلوق هو اشتراط المسح به، لا مجرّد نفس كونه عالقاً عند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باشتراطه، بل ولزوم المسح به</w:t>
      </w:r>
      <w:r>
        <w:rPr>
          <w:rStyle w:val="FootnoteAnchor"/>
          <w:rtl w:val="true"/>
        </w:rPr>
        <w:footnoteReference w:id="2544"/>
      </w:r>
      <w:r>
        <w:rPr>
          <w:rFonts w:ascii="Amiri" w:hAnsi="Amiri" w:eastAsia="Amiri" w:cs="Amiri"/>
          <w:color w:val="111111"/>
          <w:sz w:val="28"/>
          <w:sz w:val="28"/>
          <w:szCs w:val="28"/>
          <w:rtl w:val="true"/>
          <w:lang w:bidi="ar-SA"/>
        </w:rPr>
        <w:t>؛ لرواية زرارة،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وضع الوضوء عمّن لم يجد الماء أثبت بعض الغسل مسحاً؛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 ثمّ وصل بها وأيديكم منهأي من ذلك التيمّم، لأنّه علم أنّ ذلك أجمع لا يجري على الوجه، لأنّه يعلق من ذلك الصعيد ببعض الكفّ ولا يعلق ببعضها</w:t>
      </w:r>
      <w:r>
        <w:rPr>
          <w:rFonts w:eastAsia="Amiri" w:cs="Amiri" w:ascii="Amiri" w:hAnsi="Amiri"/>
          <w:color w:val="111111"/>
          <w:sz w:val="28"/>
          <w:szCs w:val="28"/>
          <w:rtl w:val="true"/>
          <w:lang w:bidi="ar-SA"/>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كما صرّح به صاحب الكشّاف</w:t>
      </w:r>
      <w:r>
        <w:rPr>
          <w:rStyle w:val="FootnoteAnchor"/>
          <w:rtl w:val="true"/>
        </w:rPr>
        <w:footnoteReference w:id="2546"/>
      </w:r>
      <w:r>
        <w:rPr>
          <w:rFonts w:ascii="Amiri" w:hAnsi="Amiri" w:eastAsia="Amiri" w:cs="Amiri"/>
          <w:color w:val="111111"/>
          <w:sz w:val="28"/>
          <w:sz w:val="28"/>
          <w:szCs w:val="28"/>
          <w:rtl w:val="true"/>
          <w:lang w:bidi="ar-SA"/>
        </w:rPr>
        <w:t>، وأن المراد بالتيمّم الراجع إليه ضمير الجارّ هو المتيمّم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والضمير للمعنى المصدري أو المتيمّم منه الذي هو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الرواية الاحتياط ويقين الفراغ به وكون التراب بمنزلة الماء فيجري عليها ما يجري على الماء من لزوم تأثيره في المحلّ،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أخبار التيمّم والأمر باستعمال التراب ووصفه بالطهوريّة وغير ذلك هو أنّ المسح به و أنّ استعماله على نحو استعمال الماء</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جواز التيمّم بالحجر عند فقد التراب؛ لأنّا نشترط أيضاً استعمال حجر له تأثير في اليد مهما أمكن</w:t>
      </w:r>
      <w:r>
        <w:rPr>
          <w:rFonts w:eastAsia="Amiri" w:cs="Amiri" w:ascii="Amiri" w:hAnsi="Amiri"/>
          <w:color w:val="111111"/>
          <w:sz w:val="28"/>
          <w:szCs w:val="28"/>
          <w:rtl w:val="true"/>
          <w:lang w:bidi="ar-SA"/>
        </w:rPr>
        <w:t xml:space="preserve">. </w:t>
      </w:r>
      <w:bookmarkStart w:id="1223" w:name="pg18988_203628"/>
    </w:p>
    <w:p>
      <w:pPr>
        <w:pStyle w:val="BookText"/>
        <w:rPr/>
      </w:pPr>
      <w:bookmarkEnd w:id="1223"/>
      <w:r>
        <w:rPr>
          <w:rFonts w:ascii="Amiri" w:hAnsi="Amiri" w:eastAsia="Amiri" w:cs="Amiri"/>
          <w:color w:val="111111"/>
          <w:sz w:val="28"/>
          <w:sz w:val="28"/>
          <w:szCs w:val="28"/>
          <w:rtl w:val="true"/>
          <w:lang w:bidi="ar-SA"/>
        </w:rPr>
        <w:t>نعم، لو لم يمكن جاز استعماله في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وكفّيه ولم يمسح الذراعين بشيء</w:t>
      </w:r>
      <w:r>
        <w:rPr>
          <w:rStyle w:val="FootnoteAnchor"/>
          <w:rtl w:val="true"/>
        </w:rPr>
        <w:footnoteReference w:id="2547"/>
      </w:r>
      <w:r>
        <w:rPr>
          <w:rFonts w:ascii="Amiri" w:hAnsi="Amiri" w:eastAsia="Amiri" w:cs="Amiri"/>
          <w:color w:val="111111"/>
          <w:sz w:val="28"/>
          <w:sz w:val="28"/>
          <w:szCs w:val="28"/>
          <w:rtl w:val="true"/>
          <w:lang w:bidi="ar-SA"/>
        </w:rPr>
        <w:t>، وبأنّ استحباب النفض دليل على لزوم العلوق؛ لأنّ النفض لا يزيله أصلاً بل يزيل ما يؤدّي للتشويه، فالأمر بالنفض في الرواية</w:t>
      </w:r>
      <w:r>
        <w:rPr>
          <w:rStyle w:val="FootnoteAnchor"/>
          <w:rtl w:val="true"/>
        </w:rPr>
        <w:footnoteReference w:id="2548"/>
      </w:r>
      <w:r>
        <w:rPr>
          <w:rFonts w:ascii="Amiri" w:hAnsi="Amiri" w:eastAsia="Amiri" w:cs="Amiri"/>
          <w:color w:val="111111"/>
          <w:sz w:val="28"/>
          <w:sz w:val="28"/>
          <w:szCs w:val="28"/>
          <w:rtl w:val="true"/>
          <w:lang w:bidi="ar-SA"/>
        </w:rPr>
        <w:t>ظاهر في ملازمته للضرب؛ للأمر به بعده، فيفهم منه لزوم العلوق معه، لا أنّه إن اتّفق العلوق استحبّ النفض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فاشتراط العلوق أقوى، واشتراط المسح به أيضاً قويّ، وهو الأحوط</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3198293_1280447820"/>
      <w:bookmarkStart w:id="1225" w:name="_Toc473"/>
      <w:bookmarkEnd w:id="1224"/>
      <w:r>
        <w:rPr>
          <w:rtl w:val="true"/>
        </w:rPr>
        <w:t>ثامنها</w:t>
      </w:r>
      <w:r>
        <w:rPr>
          <w:rtl w:val="true"/>
        </w:rPr>
        <w:t xml:space="preserve">: </w:t>
      </w:r>
      <w:r>
        <w:rPr>
          <w:rtl w:val="true"/>
        </w:rPr>
        <w:t>کیفییّۀ التیمّم بدل الوضوء أو الغسل</w:t>
      </w:r>
      <w:bookmarkEnd w:id="1225"/>
    </w:p>
    <w:p>
      <w:pPr>
        <w:pStyle w:val="BookText"/>
        <w:rPr/>
      </w:pPr>
      <w:r>
        <w:rPr>
          <w:rFonts w:ascii="IRNazanin" w:hAnsi="IRNazanin" w:eastAsia="IRNazanin"/>
          <w:color w:val="111111"/>
          <w:sz w:val="28"/>
          <w:sz w:val="28"/>
          <w:szCs w:val="28"/>
          <w:rtl w:val="true"/>
          <w:lang w:bidi="fa-IR"/>
        </w:rPr>
        <w:t>ذهب جمعٌ من أصحابنا</w:t>
      </w:r>
      <w:r>
        <w:rPr>
          <w:rStyle w:val="FootnoteAnchor"/>
          <w:rtl w:val="true"/>
        </w:rPr>
        <w:footnoteReference w:id="2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للمشهور</w:t>
      </w:r>
      <w:r>
        <w:rPr>
          <w:rStyle w:val="FootnoteAnchor"/>
          <w:rtl w:val="true"/>
        </w:rPr>
        <w:footnoteReference w:id="2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الضربة الواحدة للوجه والكفّين في الوضوء، ووجوب التعدّد مرّتين في الغسل، مستندين إلى مناسبة الخفيف للأخفّ والثقيل للأثقل، وللاحتياط في الجملة، وللجمع بين الأخبار الدالّة على المرّة</w:t>
      </w:r>
      <w:r>
        <w:rPr>
          <w:rStyle w:val="FootnoteAnchor"/>
          <w:rtl w:val="true"/>
        </w:rPr>
        <w:footnoteReference w:id="2551"/>
      </w:r>
      <w:r>
        <w:rPr>
          <w:rFonts w:ascii="Amiri" w:hAnsi="Amiri" w:eastAsia="Amiri" w:cs="Amiri"/>
          <w:color w:val="111111"/>
          <w:sz w:val="28"/>
          <w:sz w:val="28"/>
          <w:szCs w:val="28"/>
          <w:rtl w:val="true"/>
          <w:lang w:bidi="ar-SA"/>
        </w:rPr>
        <w:t>بحملها على الوضوء، والدالّة على المرّتين</w:t>
      </w:r>
      <w:r>
        <w:rPr>
          <w:rStyle w:val="FootnoteAnchor"/>
          <w:rtl w:val="true"/>
        </w:rPr>
        <w:footnoteReference w:id="2552"/>
      </w:r>
      <w:r>
        <w:rPr>
          <w:rFonts w:ascii="IRNazanin" w:hAnsi="IRNazanin" w:eastAsia="IRNazanin"/>
          <w:color w:val="111111"/>
          <w:sz w:val="28"/>
          <w:sz w:val="28"/>
          <w:szCs w:val="28"/>
          <w:rtl w:val="true"/>
          <w:lang w:bidi="fa-IR"/>
        </w:rPr>
        <w:t>بحملها على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رواه في المنتهى</w:t>
      </w:r>
      <w:r>
        <w:rPr>
          <w:rStyle w:val="FootnoteAnchor"/>
          <w:rtl w:val="true"/>
        </w:rPr>
        <w:footnoteReference w:id="2553"/>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التيمّم من الوضوء مرّة واحدة، ومن الجنابة مرّتان</w:t>
      </w:r>
      <w:r>
        <w:rPr>
          <w:rFonts w:eastAsia="Amiri" w:cs="Amiri" w:ascii="Amiri" w:hAnsi="Amiri"/>
          <w:color w:val="111111"/>
          <w:sz w:val="28"/>
          <w:szCs w:val="28"/>
          <w:rtl w:val="true"/>
          <w:lang w:bidi="ar-SA"/>
        </w:rPr>
        <w:t>»</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 واحد للوضوء، والغسل من الجنابة تضرب بيديك مرّتين، ثمّ تنفضهما نفضةً للوجه ومرّةً لليدين</w:t>
      </w:r>
      <w:r>
        <w:rPr>
          <w:rFonts w:eastAsia="Amiri" w:cs="Amiri" w:ascii="Amiri" w:hAnsi="Amiri"/>
          <w:color w:val="111111"/>
          <w:sz w:val="28"/>
          <w:szCs w:val="28"/>
          <w:rtl w:val="true"/>
          <w:lang w:bidi="ar-SA"/>
        </w:rPr>
        <w:t>»</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وبالإجماع المنقول في الأمالي بأنّه من دين الإماميّة</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الجميع نظر ؛ لضعف التعليل عن جعله من الدليل، ولمعارضة الاحتياط باحتياطٍ أقوى منه يظهر لك من الأدلّة إن شاء الله تعالى ولعدم ثبوت رواية المنتهى في جميع الكتب فلا يحصل ظنّ بل شك بصحّتها، فالظاهر أنّها اشتباه بالرواية الأُخرى، ولإجمال الرواية الأُخرى؛ لاحتمال كون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الوضوء، لا استئناف، وهو مقتضٍ للتسوية بينهما، ويكون دليلاً على المرّتين لهما معاً ، إمّا على المذهب المعروف بحمل النفضة والمرّة على الضربة، أو على ما لا يقوله أحد بجعل الضربتين متلاحقتين متقدّمتين وتوزيع النفضتين على الأعضاء الثلاثة في المسحين، ولعدم ثبوت الإجماع المنقول إمّا لعدم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دين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ألفاظه، وإمّا لعدم تحقّقه، مع مخالفة الأساطين له، ولورود الموثّق</w:t>
      </w:r>
      <w:r>
        <w:rPr>
          <w:rStyle w:val="FootnoteAnchor"/>
          <w:rtl w:val="true"/>
        </w:rPr>
        <w:footnoteReference w:id="2557"/>
      </w:r>
      <w:r>
        <w:rPr>
          <w:rFonts w:ascii="Amiri" w:hAnsi="Amiri" w:eastAsia="Amiri" w:cs="Amiri"/>
          <w:color w:val="111111"/>
          <w:sz w:val="28"/>
          <w:sz w:val="28"/>
          <w:szCs w:val="28"/>
          <w:rtl w:val="true"/>
          <w:lang w:bidi="ar-SA"/>
        </w:rPr>
        <w:t>والرضوي</w:t>
      </w:r>
      <w:r>
        <w:rPr>
          <w:rStyle w:val="FootnoteAnchor"/>
          <w:rtl w:val="true"/>
        </w:rPr>
        <w:footnoteReference w:id="2558"/>
      </w:r>
      <w:r>
        <w:rPr>
          <w:rFonts w:ascii="Amiri" w:hAnsi="Amiri" w:eastAsia="Amiri" w:cs="Amiri"/>
          <w:color w:val="111111"/>
          <w:sz w:val="28"/>
          <w:sz w:val="28"/>
          <w:szCs w:val="28"/>
          <w:rtl w:val="true"/>
          <w:lang w:bidi="ar-SA"/>
        </w:rPr>
        <w:t>بالمنع من التفرقة بين تيمّم الوضوء والغسل، وأنّهما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ضعف القول بالتفصيل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الفحول</w:t>
      </w:r>
      <w:r>
        <w:rPr>
          <w:rStyle w:val="FootnoteAnchor"/>
          <w:rtl w:val="true"/>
        </w:rPr>
        <w:footnoteReference w:id="2559"/>
      </w:r>
      <w:r>
        <w:rPr>
          <w:rFonts w:ascii="Amiri" w:hAnsi="Amiri" w:eastAsia="Amiri" w:cs="Amiri"/>
          <w:color w:val="111111"/>
          <w:sz w:val="28"/>
          <w:sz w:val="28"/>
          <w:szCs w:val="28"/>
          <w:rtl w:val="true"/>
          <w:lang w:bidi="ar-SA"/>
        </w:rPr>
        <w:t>إلى اتّحاد الضربة للمسحين ؛ للأخبار البيانيّة الواردة في كيفيّة التيمّم من حيث هو ، وفي كيفيّته في مقام الجنابة الخالية عن ذكر الضربة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وصف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أهوى بيديه إلى الأرض فوضعهما على الصعيد ثمّ مسح جبينه بأصابعه وكفّيه إحداهما بالأُخرى ثمّ لم يعد ذلك</w:t>
      </w:r>
      <w:r>
        <w:rPr>
          <w:rFonts w:eastAsia="Amiri" w:cs="Amiri" w:ascii="Amiri" w:hAnsi="Amiri"/>
          <w:color w:val="111111"/>
          <w:sz w:val="28"/>
          <w:szCs w:val="28"/>
          <w:rtl w:val="true"/>
          <w:lang w:bidi="ar-SA"/>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التتمّة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المراد بما لا يعاد هو الضرب؛ لأنّه هو الملحوظ في البيان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بيديه الأرض، ثمّ رفعهما فنفضهما، ثمّ مسح على  جبهته وكفّيه مرّة واحدة </w:t>
      </w:r>
      <w:r>
        <w:rPr>
          <w:rFonts w:eastAsia="Amiri" w:cs="Amiri" w:ascii="Amiri" w:hAnsi="Amiri"/>
          <w:color w:val="111111"/>
          <w:sz w:val="28"/>
          <w:szCs w:val="28"/>
          <w:rtl w:val="true"/>
          <w:lang w:bidi="ar-SA"/>
        </w:rPr>
        <w:t>»</w:t>
      </w:r>
      <w:r>
        <w:rPr>
          <w:rStyle w:val="FootnoteAnchor"/>
          <w:rtl w:val="true"/>
        </w:rPr>
        <w:footnoteReference w:id="2561"/>
      </w:r>
      <w:r>
        <w:rPr>
          <w:rFonts w:ascii="IRNazanin" w:hAnsi="IRNazanin" w:eastAsia="IRNazanin"/>
          <w:color w:val="111111"/>
          <w:sz w:val="28"/>
          <w:sz w:val="28"/>
          <w:szCs w:val="28"/>
          <w:rtl w:val="true"/>
          <w:lang w:bidi="fa-IR"/>
        </w:rPr>
        <w:t>، ونحوه الآخَر</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لبيان الضرب؛ لأنّه محلّ التوهّم بين العامّة والخاصّة، دون المسح؛ إذ لا توهّم في تكراره سيّما والسائل عن مثل ذلك زرارة وأشباهه، و هُم من أفقه الناس، فلا يتوجّه سؤالهم إلّا عمّا كان مشتبهاً عليهم لا ما كان معلوماً عندهم عدمه، كالمسح على جميع البدن أو المسح متعدّداً، على أنّ وحدة الضرب منقول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عبّاس وعمّار، وقد نقله العامّة</w:t>
      </w:r>
      <w:r>
        <w:rPr>
          <w:rStyle w:val="FootnoteAnchor"/>
          <w:rtl w:val="true"/>
        </w:rPr>
        <w:footnoteReference w:id="2563"/>
      </w:r>
      <w:r>
        <w:rPr>
          <w:rFonts w:ascii="Amiri" w:hAnsi="Amiri" w:eastAsia="Amiri" w:cs="Amiri"/>
          <w:color w:val="111111"/>
          <w:sz w:val="28"/>
          <w:sz w:val="28"/>
          <w:szCs w:val="28"/>
          <w:rtl w:val="true"/>
          <w:lang w:bidi="ar-SA"/>
        </w:rPr>
        <w:t>، وهو دليل على أنّه معروف بين علماء الإماميّة، كما أنّ غيره معروف من أنّه من مذهب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2564"/>
      </w:r>
      <w:r>
        <w:rPr>
          <w:rFonts w:ascii="Amiri" w:hAnsi="Amiri" w:eastAsia="Amiri" w:cs="Amiri"/>
          <w:color w:val="111111"/>
          <w:sz w:val="28"/>
          <w:sz w:val="28"/>
          <w:szCs w:val="28"/>
          <w:rtl w:val="true"/>
          <w:lang w:bidi="ar-SA"/>
        </w:rPr>
        <w:t>إلى تعدّد الضرب مطلقاً في وضوءٍ وفي غسلٍ؛ للاحتياط، ولأنّ المشكوك بجزئيّته في مقام العبادة جزء وبشرطيّته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عن التيمّم؟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واليدين</w:t>
      </w:r>
      <w:r>
        <w:rPr>
          <w:rFonts w:eastAsia="Amiri" w:cs="Amiri" w:ascii="Amiri" w:hAnsi="Amiri"/>
          <w:color w:val="111111"/>
          <w:sz w:val="28"/>
          <w:szCs w:val="28"/>
          <w:rtl w:val="true"/>
          <w:lang w:bidi="ar-SA"/>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على الأرض مرّتين ، ثمّ تنفضهما وتمسح بهما وجهك و ذراعيك</w:t>
      </w:r>
      <w:r>
        <w:rPr>
          <w:rFonts w:eastAsia="Amiri" w:cs="Amiri" w:ascii="Amiri" w:hAnsi="Amiri"/>
          <w:color w:val="111111"/>
          <w:sz w:val="28"/>
          <w:szCs w:val="28"/>
          <w:rtl w:val="true"/>
          <w:lang w:bidi="ar-SA"/>
        </w:rPr>
        <w:t>»</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تضرب بيديك مرّتين، ثمّ تنفضهما نفضةً للوجه ومرّةً لليدين</w:t>
      </w:r>
      <w:r>
        <w:rPr>
          <w:rFonts w:eastAsia="Amiri" w:cs="Amiri" w:ascii="Amiri" w:hAnsi="Amiri"/>
          <w:color w:val="111111"/>
          <w:sz w:val="28"/>
          <w:szCs w:val="28"/>
          <w:rtl w:val="true"/>
          <w:lang w:bidi="ar-SA"/>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الجميع نظر ؛ لمعارضة الاحتياط باحتياط الموالاة واحتياط التشريع، ومعارضة الأخبار بالأخبار المتقدّمة، وهي مرجوحة بالنسبة إليها؛ لموافقتها لفتوى أكثر العامّة، سيّما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الذراعين </w:t>
      </w:r>
      <w:r>
        <w:rPr>
          <w:rFonts w:eastAsia="Amiri" w:cs="Amiri" w:ascii="Amiri" w:hAnsi="Amiri"/>
          <w:color w:val="111111"/>
          <w:sz w:val="28"/>
          <w:szCs w:val="28"/>
          <w:rtl w:val="true"/>
          <w:lang w:bidi="ar-SA"/>
        </w:rPr>
        <w:t>»</w:t>
      </w:r>
      <w:r>
        <w:rPr>
          <w:rStyle w:val="FootnoteAnchor"/>
          <w:rtl w:val="true"/>
        </w:rPr>
        <w:footnoteReference w:id="2569"/>
      </w:r>
      <w:r>
        <w:rPr>
          <w:rFonts w:ascii="Amiri" w:hAnsi="Amiri" w:eastAsia="Amiri" w:cs="Amiri"/>
          <w:color w:val="111111"/>
          <w:sz w:val="28"/>
          <w:sz w:val="28"/>
          <w:szCs w:val="28"/>
          <w:rtl w:val="true"/>
          <w:lang w:bidi="ar-SA"/>
        </w:rPr>
        <w:t xml:space="preserve">، وهو من مذهبهم، ولضعف دلالة كثير منها على الكيفيّة المعهودة من المرّتين، بل الظاهر من بعضها أنّ الضربتين متقدّمتان و متلاحقتان، ومن بعضها أنّ الضربتين خاصّة بالبدل عن الغسل، وفي بعضها الإجمال؛ لاحتمال المرّتين للضرب، </w:t>
      </w:r>
      <w:bookmarkStart w:id="1226" w:name="pg18988_203631"/>
    </w:p>
    <w:p>
      <w:pPr>
        <w:pStyle w:val="BookText"/>
        <w:rPr/>
      </w:pPr>
      <w:bookmarkEnd w:id="1226"/>
      <w:r>
        <w:rPr>
          <w:rFonts w:ascii="Amiri" w:hAnsi="Amiri" w:eastAsia="Amiri" w:cs="Amiri"/>
          <w:color w:val="111111"/>
          <w:sz w:val="28"/>
          <w:sz w:val="28"/>
          <w:szCs w:val="28"/>
          <w:rtl w:val="true"/>
          <w:lang w:bidi="ar-SA"/>
        </w:rPr>
        <w:t>واحتمالهما للمسح، واحتمالهما لبيان القول، وفي بعضها احتمال إرادة المسحتين من الضربتين؛ لصدق الضرب عليه، فحمل هذه الأخبار على التقيّة أو على الاستحباب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w:t>
      </w:r>
      <w:r>
        <w:rPr>
          <w:rStyle w:val="FootnoteAnchor"/>
          <w:rtl w:val="true"/>
        </w:rPr>
        <w:footnoteReference w:id="2570"/>
      </w:r>
      <w:r>
        <w:rPr>
          <w:rFonts w:ascii="Amiri" w:hAnsi="Amiri" w:eastAsia="Amiri" w:cs="Amiri"/>
          <w:color w:val="111111"/>
          <w:sz w:val="28"/>
          <w:sz w:val="28"/>
          <w:szCs w:val="28"/>
          <w:rtl w:val="true"/>
          <w:lang w:bidi="ar-SA"/>
        </w:rPr>
        <w:t>إلى تثليث الضرب موزّعاً على المسح ، تمسّكاً بروايةٍ</w:t>
      </w:r>
      <w:r>
        <w:rPr>
          <w:rStyle w:val="FootnoteAnchor"/>
          <w:rtl w:val="true"/>
        </w:rPr>
        <w:footnoteReference w:id="2571"/>
      </w:r>
      <w:r>
        <w:rPr>
          <w:rFonts w:ascii="Amiri" w:hAnsi="Amiri" w:eastAsia="Amiri" w:cs="Amiri"/>
          <w:color w:val="111111"/>
          <w:sz w:val="28"/>
          <w:sz w:val="28"/>
          <w:szCs w:val="28"/>
          <w:rtl w:val="true"/>
          <w:lang w:bidi="ar-SA"/>
        </w:rPr>
        <w:t>شاذّة لم يعمل عليها أحد ممّن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الإتيان بالضربتين لعدم تحقّق فوات الموالاة بالضربة المتوسّطة، بل الظاهر عدم فوا بها، وأحوط منه ضربة للوجه واليدين، ثمّ ضربة لليدين، وأحوط منه أن يؤى بتيمّمين أحدهما يشتمل على ضربةٍ والآخَر على ضربتين</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3198295_1280447820"/>
      <w:bookmarkStart w:id="1228" w:name="_Toc474"/>
      <w:bookmarkEnd w:id="1227"/>
      <w:r>
        <w:rPr>
          <w:rtl w:val="true"/>
        </w:rPr>
        <w:t xml:space="preserve">تاسعها </w:t>
      </w:r>
      <w:r>
        <w:rPr>
          <w:rtl w:val="true"/>
        </w:rPr>
        <w:t xml:space="preserve">: </w:t>
      </w:r>
      <w:r>
        <w:rPr>
          <w:rtl w:val="true"/>
        </w:rPr>
        <w:t>هل تجب مسح الجبهة بباطل الکفّین الزیادۀ علیها؟</w:t>
      </w:r>
      <w:bookmarkEnd w:id="1228"/>
    </w:p>
    <w:p>
      <w:pPr>
        <w:pStyle w:val="BookText"/>
        <w:rPr/>
      </w:pPr>
      <w:r>
        <w:rPr>
          <w:rFonts w:ascii="Amiri" w:hAnsi="Amiri" w:eastAsia="Amiri" w:cs="Amiri"/>
          <w:color w:val="111111"/>
          <w:sz w:val="28"/>
          <w:sz w:val="28"/>
          <w:szCs w:val="28"/>
          <w:rtl w:val="true"/>
          <w:lang w:bidi="ar-SA"/>
        </w:rPr>
        <w:t>يجب مسح الجبهة إجماعاً منقولاً</w:t>
      </w:r>
      <w:r>
        <w:rPr>
          <w:rStyle w:val="FootnoteAnchor"/>
          <w:rtl w:val="true"/>
        </w:rPr>
        <w:footnoteReference w:id="2572"/>
      </w:r>
      <w:r>
        <w:rPr>
          <w:rFonts w:ascii="Amiri" w:hAnsi="Amiri" w:eastAsia="Amiri" w:cs="Amiri"/>
          <w:color w:val="111111"/>
          <w:sz w:val="28"/>
          <w:sz w:val="28"/>
          <w:szCs w:val="28"/>
          <w:rtl w:val="true"/>
          <w:lang w:bidi="ar-SA"/>
        </w:rPr>
        <w:t>بل محصّلاً، أو شهرة محصّلة ، وهو مقطوع به من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وجوب الزيادة عليها، فالمشهور لزوم الاقتصار عليها، ومن فقهائنا القدماء مَنْ أضاف إليها الحاجبين والجبينين</w:t>
      </w:r>
      <w:r>
        <w:rPr>
          <w:rStyle w:val="FootnoteAnchor"/>
          <w:rtl w:val="true"/>
        </w:rPr>
        <w:footnoteReference w:id="2573"/>
      </w:r>
      <w:r>
        <w:rPr>
          <w:rFonts w:ascii="Amiri" w:hAnsi="Amiri" w:eastAsia="Amiri" w:cs="Amiri"/>
          <w:color w:val="111111"/>
          <w:sz w:val="28"/>
          <w:sz w:val="28"/>
          <w:szCs w:val="28"/>
          <w:rtl w:val="true"/>
          <w:lang w:bidi="ar-SA"/>
        </w:rPr>
        <w:t>، ومنهم مَنْ أضاف إليها باقي الوجه مخيّراً بينها وبينه أو معيّناً للوجه دونها</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ذلك مختلفة،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ضمّنت مسح الوجه</w:t>
      </w:r>
      <w:r>
        <w:rPr>
          <w:rStyle w:val="FootnoteAnchor"/>
          <w:rtl w:val="true"/>
        </w:rPr>
        <w:footnoteReference w:id="2575"/>
      </w:r>
      <w:r>
        <w:rPr>
          <w:rFonts w:ascii="Amiri" w:hAnsi="Amiri" w:eastAsia="Amiri" w:cs="Amiri"/>
          <w:color w:val="111111"/>
          <w:sz w:val="28"/>
          <w:sz w:val="28"/>
          <w:szCs w:val="28"/>
          <w:rtl w:val="true"/>
          <w:lang w:bidi="ar-SA"/>
        </w:rPr>
        <w:t>، وهي أكثرها،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لفظ الجبين</w:t>
      </w:r>
      <w:r>
        <w:rPr>
          <w:rStyle w:val="FootnoteAnchor"/>
          <w:rtl w:val="true"/>
        </w:rPr>
        <w:footnoteReference w:id="2576"/>
      </w:r>
      <w:r>
        <w:rPr>
          <w:rFonts w:ascii="Amiri" w:hAnsi="Amiri" w:eastAsia="Amiri" w:cs="Amiri"/>
          <w:color w:val="111111"/>
          <w:sz w:val="28"/>
          <w:sz w:val="28"/>
          <w:szCs w:val="28"/>
          <w:rtl w:val="true"/>
          <w:lang w:bidi="ar-SA"/>
        </w:rPr>
        <w:t>مفرداً، وهي جملة أُخرى، ومنها ما تضمّنت لفظ الجبينين</w:t>
      </w:r>
      <w:r>
        <w:rPr>
          <w:rStyle w:val="FootnoteAnchor"/>
          <w:rtl w:val="true"/>
        </w:rPr>
        <w:footnoteReference w:id="2577"/>
      </w:r>
      <w:r>
        <w:rPr>
          <w:rFonts w:ascii="Amiri" w:hAnsi="Amiri" w:eastAsia="Amiri" w:cs="Amiri"/>
          <w:color w:val="111111"/>
          <w:sz w:val="28"/>
          <w:sz w:val="28"/>
          <w:szCs w:val="28"/>
          <w:rtl w:val="true"/>
          <w:lang w:bidi="ar-SA"/>
        </w:rPr>
        <w:t>تثنية،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في نسخة التهذيب لفظ الجبهة</w:t>
      </w:r>
      <w:r>
        <w:rPr>
          <w:rStyle w:val="FootnoteAnchor"/>
          <w:rtl w:val="true"/>
        </w:rPr>
        <w:footnoteReference w:id="2578"/>
      </w:r>
      <w:r>
        <w:rPr>
          <w:rFonts w:ascii="Amiri" w:hAnsi="Amiri" w:eastAsia="Amiri" w:cs="Amiri"/>
          <w:color w:val="111111"/>
          <w:sz w:val="28"/>
          <w:sz w:val="28"/>
          <w:szCs w:val="28"/>
          <w:rtl w:val="true"/>
          <w:lang w:bidi="ar-SA"/>
        </w:rPr>
        <w:t>وفي نسخة التهذيب الأُخرى ونسخ الكافي لفظ الجبين</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فتوى المشهور، وضعف القول بما دلّت عليه الأخبار، وشذوذ القول باستيعاب الوجه، وعدم القول بوجوب جبين واحد، وبالإجماع المنقول على نفي الزائد على الجبهة التي هي من القصاص إلى طرف الأنف</w:t>
      </w:r>
      <w:r>
        <w:rPr>
          <w:rStyle w:val="FootnoteAnchor"/>
          <w:rtl w:val="true"/>
        </w:rPr>
        <w:footnoteReference w:id="2580"/>
      </w:r>
      <w:r>
        <w:rPr>
          <w:rFonts w:ascii="Amiri" w:hAnsi="Amiri" w:eastAsia="Amiri" w:cs="Amiri"/>
          <w:color w:val="111111"/>
          <w:sz w:val="28"/>
          <w:sz w:val="28"/>
          <w:szCs w:val="28"/>
          <w:rtl w:val="true"/>
          <w:lang w:bidi="ar-SA"/>
        </w:rPr>
        <w:t>، وبالمحكيّ عن العماني من تواتر الأخبار بمسح الجبهة والكفّين في تعليم عمّار</w:t>
      </w:r>
      <w:r>
        <w:rPr>
          <w:rStyle w:val="FootnoteAnchor"/>
          <w:rtl w:val="true"/>
        </w:rPr>
        <w:footnoteReference w:id="2581"/>
      </w:r>
      <w:r>
        <w:rPr>
          <w:rFonts w:ascii="Amiri" w:hAnsi="Amiri" w:eastAsia="Amiri" w:cs="Amiri"/>
          <w:color w:val="111111"/>
          <w:sz w:val="28"/>
          <w:sz w:val="28"/>
          <w:szCs w:val="28"/>
          <w:rtl w:val="true"/>
          <w:lang w:bidi="ar-SA"/>
        </w:rPr>
        <w:t>، وبالرضوي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بها وجهك موضع السجود من قدّام الشعر إلى طرف الأنف </w:t>
      </w:r>
      <w:r>
        <w:rPr>
          <w:rFonts w:eastAsia="Amiri" w:cs="Amiri" w:ascii="Amiri" w:hAnsi="Amiri"/>
          <w:color w:val="111111"/>
          <w:sz w:val="28"/>
          <w:szCs w:val="28"/>
          <w:rtl w:val="true"/>
          <w:lang w:bidi="ar-SA"/>
        </w:rPr>
        <w:t>»</w:t>
      </w:r>
      <w:r>
        <w:rPr>
          <w:rStyle w:val="FootnoteAnchor"/>
          <w:rtl w:val="true"/>
        </w:rPr>
        <w:footnoteReference w:id="2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إرادة الجبهة من لفظ الجبين ولفظ الوجه ؛ لاستعمال لفظ الجبين في الجبهة، وكذا لفظ الجبينين ، وقد ورد في المعتبرة استعماله كذلك، كالموثّق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يصيب أنفه جبينه</w:t>
      </w:r>
      <w:r>
        <w:rPr>
          <w:rFonts w:eastAsia="Amiri" w:cs="Amiri" w:ascii="Amiri" w:hAnsi="Amiri"/>
          <w:color w:val="111111"/>
          <w:sz w:val="28"/>
          <w:szCs w:val="28"/>
          <w:rtl w:val="true"/>
          <w:lang w:bidi="ar-SA"/>
        </w:rPr>
        <w:t>»</w:t>
      </w:r>
      <w:r>
        <w:rPr>
          <w:rStyle w:val="FootnoteAnchor"/>
          <w:rtl w:val="true"/>
        </w:rPr>
        <w:footnoteReference w:id="2583"/>
      </w:r>
      <w:r>
        <w:rPr>
          <w:rFonts w:ascii="Amiri" w:hAnsi="Amiri" w:eastAsia="Amiri" w:cs="Amiri"/>
          <w:color w:val="111111"/>
          <w:sz w:val="28"/>
          <w:sz w:val="28"/>
          <w:szCs w:val="28"/>
          <w:rtl w:val="true"/>
          <w:lang w:bidi="ar-SA"/>
        </w:rPr>
        <w:t>، و نحوه غيره</w:t>
      </w:r>
      <w:r>
        <w:rPr>
          <w:rStyle w:val="FootnoteAnchor"/>
          <w:rtl w:val="true"/>
        </w:rPr>
        <w:footnoteReference w:id="2584"/>
      </w:r>
      <w:r>
        <w:rPr>
          <w:rFonts w:ascii="Amiri" w:hAnsi="Amiri" w:eastAsia="Amiri" w:cs="Amiri"/>
          <w:color w:val="111111"/>
          <w:sz w:val="28"/>
          <w:sz w:val="28"/>
          <w:szCs w:val="28"/>
          <w:rtl w:val="true"/>
          <w:lang w:bidi="ar-SA"/>
        </w:rPr>
        <w:t>، وكذا استعمال لفظ الوجه فيها عرفاً وشرعاً،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 وجهك على الأرض من غير أن ترفعه</w:t>
      </w:r>
      <w:r>
        <w:rPr>
          <w:rFonts w:eastAsia="Amiri" w:cs="Amiri" w:ascii="Amiri" w:hAnsi="Amiri"/>
          <w:color w:val="111111"/>
          <w:sz w:val="28"/>
          <w:szCs w:val="28"/>
          <w:rtl w:val="true"/>
          <w:lang w:bidi="ar-SA"/>
        </w:rPr>
        <w:t>»</w:t>
      </w:r>
      <w:r>
        <w:rPr>
          <w:rStyle w:val="FootnoteAnchor"/>
          <w:rtl w:val="true"/>
        </w:rPr>
        <w:footnoteReference w:id="258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أُحبّ أن أضع وجهي موضع قدمي</w:t>
      </w:r>
      <w:r>
        <w:rPr>
          <w:rFonts w:eastAsia="Amiri" w:cs="Amiri" w:ascii="Amiri" w:hAnsi="Amiri"/>
          <w:color w:val="111111"/>
          <w:sz w:val="28"/>
          <w:szCs w:val="28"/>
          <w:rtl w:val="true"/>
          <w:lang w:bidi="ar-SA"/>
        </w:rPr>
        <w:t>»</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إرادة الجبهة من الوجه خصوص الصحيح المفسّر للآية الدالّ على أنّ الباء للتبعيض</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المسح على الجبينين مع الجبهة؛ أخذاً بالمجمع عليه من الجبهة وبما دلّت عليه أخبار الجبينين، ولأنّ استعمال لفظ الجبينين فيما يعمّ الجبهة والجبينين أكثر من استعماله فيما يخصّ الجبهة، ولظاهر إجماع الأمالي على وجوب مسح الجبينين</w:t>
      </w:r>
      <w:r>
        <w:rPr>
          <w:rStyle w:val="FootnoteAnchor"/>
          <w:rtl w:val="true"/>
        </w:rPr>
        <w:footnoteReference w:id="2588"/>
      </w:r>
      <w:r>
        <w:rPr>
          <w:rFonts w:ascii="Amiri" w:hAnsi="Amiri" w:eastAsia="Amiri" w:cs="Amiri"/>
          <w:color w:val="111111"/>
          <w:sz w:val="28"/>
          <w:sz w:val="28"/>
          <w:szCs w:val="28"/>
          <w:rtl w:val="true"/>
          <w:lang w:bidi="ar-SA"/>
        </w:rPr>
        <w:t>، وللتخلّص من شبهة الخلاف</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وأحوط منه إضافة الحاجبين؛ 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الرجل على جبينيه وحاجبيه</w:t>
      </w:r>
      <w:r>
        <w:rPr>
          <w:rFonts w:eastAsia="Amiri" w:cs="Amiri" w:ascii="Amiri" w:hAnsi="Amiri"/>
          <w:color w:val="111111"/>
          <w:sz w:val="28"/>
          <w:szCs w:val="28"/>
          <w:rtl w:val="true"/>
          <w:lang w:bidi="ar-SA"/>
        </w:rPr>
        <w:t>»</w:t>
      </w:r>
      <w:r>
        <w:rPr>
          <w:rStyle w:val="FootnoteAnchor"/>
          <w:rtl w:val="true"/>
        </w:rPr>
        <w:footnoteReference w:id="2589"/>
      </w:r>
      <w:bookmarkStart w:id="1229" w:name="pg18988_203633"/>
    </w:p>
    <w:p>
      <w:pPr>
        <w:pStyle w:val="BookText"/>
        <w:rPr/>
      </w:pPr>
      <w:bookmarkEnd w:id="1229"/>
      <w:r>
        <w:rPr>
          <w:rFonts w:ascii="Amiri" w:hAnsi="Amiri" w:eastAsia="Amiri" w:cs="Amiri"/>
          <w:color w:val="111111"/>
          <w:sz w:val="28"/>
          <w:sz w:val="28"/>
          <w:szCs w:val="28"/>
          <w:rtl w:val="true"/>
          <w:lang w:bidi="ar-SA"/>
        </w:rPr>
        <w:t>وللتخلّص من شبهة فتوى الصدوق بهما</w:t>
      </w:r>
      <w:r>
        <w:rPr>
          <w:rStyle w:val="FootnoteAnchor"/>
          <w:rtl w:val="true"/>
        </w:rPr>
        <w:footnoteReference w:id="2590"/>
      </w:r>
      <w:r>
        <w:rPr>
          <w:rFonts w:ascii="Amiri" w:hAnsi="Amiri" w:eastAsia="Amiri" w:cs="Amiri"/>
          <w:color w:val="111111"/>
          <w:sz w:val="28"/>
          <w:sz w:val="28"/>
          <w:szCs w:val="28"/>
          <w:rtl w:val="true"/>
          <w:lang w:bidi="ar-SA"/>
        </w:rPr>
        <w:t>، ولقربهما للإتيان بهما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واحتياط الوجه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المسح بباطن الكفّين؛ لأنّه هو المعهود، والمنصرف إليه إطلاق الفتوى والرواية، وأن يكون بهما جميعاً؛ للأخبار الدالّة على المسح بهما معاً</w:t>
      </w:r>
      <w:r>
        <w:rPr>
          <w:rStyle w:val="FootnoteAnchor"/>
          <w:rtl w:val="true"/>
        </w:rPr>
        <w:footnoteReference w:id="2591"/>
      </w:r>
      <w:r>
        <w:rPr>
          <w:rFonts w:ascii="Amiri" w:hAnsi="Amiri" w:eastAsia="Amiri" w:cs="Amiri"/>
          <w:color w:val="111111"/>
          <w:sz w:val="28"/>
          <w:sz w:val="28"/>
          <w:szCs w:val="28"/>
          <w:rtl w:val="true"/>
          <w:lang w:bidi="ar-SA"/>
        </w:rPr>
        <w:t>، والظاهر منها هو الدفعة، والمعهود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تنصيف الممسوح على الكفّين بحيث يأخذ كلٌّ منهما نصفاً؛ لعدم الدليل، و عدم معهوديّته بخصوصه، والإطلاق يقضي بنفيه</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3198297_1280447820"/>
      <w:bookmarkStart w:id="1231" w:name="_Toc475"/>
      <w:bookmarkEnd w:id="1230"/>
      <w:r>
        <w:rPr>
          <w:rtl w:val="true"/>
        </w:rPr>
        <w:t>عاشرها</w:t>
      </w:r>
      <w:r>
        <w:rPr>
          <w:rtl w:val="true"/>
        </w:rPr>
        <w:t xml:space="preserve">: </w:t>
      </w:r>
      <w:r>
        <w:rPr>
          <w:rtl w:val="true"/>
        </w:rPr>
        <w:t>وجوب مسح ظاهر الكفّين إلى رؤوس الأصابع</w:t>
      </w:r>
      <w:bookmarkEnd w:id="1231"/>
    </w:p>
    <w:p>
      <w:pPr>
        <w:pStyle w:val="BookText"/>
        <w:rPr/>
      </w:pPr>
      <w:r>
        <w:rPr>
          <w:rFonts w:ascii="Amiri" w:hAnsi="Amiri" w:eastAsia="Amiri" w:cs="Amiri"/>
          <w:color w:val="111111"/>
          <w:sz w:val="28"/>
          <w:sz w:val="28"/>
          <w:szCs w:val="28"/>
          <w:rtl w:val="true"/>
          <w:lang w:bidi="ar-SA"/>
        </w:rPr>
        <w:t>يجب مسح ظاهر الكفّين إلى رؤوس الأصابع، ما عدا ما لا يصل إليه المسح بحيث يكون كالباطن؛ للأخبار الدالّة على وجوب مسح الكفّين</w:t>
      </w:r>
      <w:r>
        <w:rPr>
          <w:rStyle w:val="FootnoteAnchor"/>
          <w:rtl w:val="true"/>
        </w:rPr>
        <w:footnoteReference w:id="2592"/>
      </w:r>
      <w:r>
        <w:rPr>
          <w:rFonts w:ascii="Amiri" w:hAnsi="Amiri" w:eastAsia="Amiri" w:cs="Amiri"/>
          <w:color w:val="111111"/>
          <w:sz w:val="28"/>
          <w:sz w:val="28"/>
          <w:szCs w:val="28"/>
          <w:rtl w:val="true"/>
          <w:lang w:bidi="ar-SA"/>
        </w:rPr>
        <w:t>، والإجماع المحكّي عليه</w:t>
      </w:r>
      <w:r>
        <w:rPr>
          <w:rStyle w:val="FootnoteAnchor"/>
          <w:rtl w:val="true"/>
        </w:rPr>
        <w:footnoteReference w:id="2593"/>
      </w:r>
      <w:r>
        <w:rPr>
          <w:rFonts w:ascii="Amiri" w:hAnsi="Amiri" w:eastAsia="Amiri" w:cs="Amiri"/>
          <w:color w:val="111111"/>
          <w:sz w:val="28"/>
          <w:sz w:val="28"/>
          <w:szCs w:val="28"/>
          <w:rtl w:val="true"/>
          <w:lang w:bidi="ar-SA"/>
        </w:rPr>
        <w:t>، وفتوى المشهور به والظاهر من الكلّ هو الظاهر، و هو المعهود من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السيرة المعلومة، و على الكفّين يُحمل ما جاء بوجوب مسح اليدين</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جاء بمسح الذراعين</w:t>
      </w:r>
      <w:r>
        <w:rPr>
          <w:rStyle w:val="FootnoteAnchor"/>
          <w:rtl w:val="true"/>
        </w:rPr>
        <w:footnoteReference w:id="2595"/>
      </w:r>
      <w:r>
        <w:rPr>
          <w:rFonts w:ascii="Amiri" w:hAnsi="Amiri" w:eastAsia="Amiri" w:cs="Amiri"/>
          <w:color w:val="111111"/>
          <w:sz w:val="28"/>
          <w:sz w:val="28"/>
          <w:szCs w:val="28"/>
          <w:rtl w:val="true"/>
          <w:lang w:bidi="ar-SA"/>
        </w:rPr>
        <w:t>شاذّ لم يعمل به إلّا شاذّ من أصحابنا</w:t>
      </w:r>
      <w:r>
        <w:rPr>
          <w:rStyle w:val="FootnoteAnchor"/>
          <w:rtl w:val="true"/>
        </w:rPr>
        <w:footnoteReference w:id="2596"/>
      </w:r>
      <w:r>
        <w:rPr>
          <w:rFonts w:ascii="Amiri" w:hAnsi="Amiri" w:eastAsia="Amiri" w:cs="Amiri"/>
          <w:color w:val="111111"/>
          <w:sz w:val="28"/>
          <w:sz w:val="28"/>
          <w:szCs w:val="28"/>
          <w:rtl w:val="true"/>
          <w:lang w:bidi="ar-SA"/>
        </w:rPr>
        <w:t>، فإمّا أن يُحمل على إرادة الكفّين لعلاقة المجاورة، أو يُطرح، أو يُحمل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ما جاء من المسح ببعض الكفّ من موضع القطع</w:t>
      </w:r>
      <w:r>
        <w:rPr>
          <w:rStyle w:val="FootnoteAnchor"/>
          <w:rtl w:val="true"/>
        </w:rPr>
        <w:footnoteReference w:id="2597"/>
      </w:r>
      <w:r>
        <w:rPr>
          <w:rFonts w:ascii="Amiri" w:hAnsi="Amiri" w:eastAsia="Amiri" w:cs="Amiri"/>
          <w:color w:val="111111"/>
          <w:sz w:val="28"/>
          <w:sz w:val="28"/>
          <w:szCs w:val="28"/>
          <w:rtl w:val="true"/>
          <w:lang w:bidi="ar-SA"/>
        </w:rPr>
        <w:t>على موضعه عند العامّة من أصل الكفّ، لا من رؤوس الأصابع، فالقول بلزوم المسح من أُصول الأصابع لذلك ضعيف جدّاً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المسح بباطن الكفّ على ظاهر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والواجب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ظهر الكفّ؛ لظاهر الأخبار؛ لأنّ المسح يقضي بالاستيعاب، ولأنّه المعهود، وللإجماع المنقول</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تقديم اليمني على اليسرى؛ لأنّه المعهود، وللتأسّي، ولعموم المنزلة، ولأنّ الله يحبّ التيامن في كلّ شيء، وللإجماع المنقول</w:t>
      </w:r>
      <w:r>
        <w:rPr>
          <w:rStyle w:val="FootnoteAnchor"/>
          <w:rtl w:val="true"/>
        </w:rPr>
        <w:footnoteReference w:id="2599"/>
      </w:r>
      <w:r>
        <w:rPr>
          <w:rFonts w:ascii="Amiri" w:hAnsi="Amiri" w:eastAsia="Amiri" w:cs="Amiri"/>
          <w:color w:val="111111"/>
          <w:sz w:val="28"/>
          <w:sz w:val="28"/>
          <w:szCs w:val="28"/>
          <w:rtl w:val="true"/>
          <w:lang w:bidi="ar-SA"/>
        </w:rPr>
        <w:t>، وفتوى المشهور،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استيعاب الماسح للمسح؛ للأصل، وعدم الشكّ المعتبر من روايةٍ أو فتوى بخلافه، ولأنّ إطلاق الماسح لا يقضي بالاستيعاب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وجوب استيعاب الماسح للمسح، سواء في ذلك الجبهة والبدن؛ لما قدمنا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جبينه بأصابعه</w:t>
      </w:r>
      <w:r>
        <w:rPr>
          <w:rFonts w:eastAsia="Amiri" w:cs="Amiri" w:ascii="Amiri" w:hAnsi="Amiri"/>
          <w:color w:val="111111"/>
          <w:sz w:val="28"/>
          <w:szCs w:val="28"/>
          <w:rtl w:val="true"/>
          <w:lang w:bidi="ar-SA"/>
        </w:rPr>
        <w:t>»</w:t>
      </w:r>
      <w:r>
        <w:rPr>
          <w:rStyle w:val="FootnoteAnchor"/>
          <w:rtl w:val="true"/>
        </w:rPr>
        <w:footnoteReference w:id="2600"/>
      </w:r>
      <w:r>
        <w:rPr>
          <w:rFonts w:ascii="Amiri" w:hAnsi="Amiri" w:eastAsia="Amiri" w:cs="Amiri"/>
          <w:color w:val="111111"/>
          <w:sz w:val="28"/>
          <w:sz w:val="28"/>
          <w:szCs w:val="28"/>
          <w:rtl w:val="true"/>
          <w:lang w:bidi="ar-SA"/>
        </w:rPr>
        <w:t>،ولصعوبة استيعاب الماسح في المسح سيّما في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جرّ الماسح على الممسوح من أوّله حتّى ينتهي بجرّه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تعذر المسح على ظاهر الكفّين، انتقل إلى باطنهما؛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2601"/>
      </w:r>
      <w:r>
        <w:rPr>
          <w:rFonts w:ascii="Amiri" w:hAnsi="Amiri" w:eastAsia="Amiri" w:cs="Amiri"/>
          <w:color w:val="111111"/>
          <w:sz w:val="28"/>
          <w:sz w:val="28"/>
          <w:szCs w:val="28"/>
          <w:rtl w:val="true"/>
          <w:lang w:bidi="ar-SA"/>
        </w:rPr>
        <w:t>، وللاحتياط، مع احتمال سقوط المسح على الكفّين والاجتزاء بالجبهة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المسح على ظاهر الشعر مطلقاً ؛ لخلوّ الأخبار عن وجوب تخليله في مقام البيان ، وللسيرة على عدم التخليل ، سواء في ذلك شعر الوجه وغيره، والتيمّم عن الجنابة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المسح على ما نبت في محلّ المسح من ثآليل و غدد ويد أصليّة أو زائدة؛ لعموم وأيديكم</w:t>
      </w:r>
      <w:r>
        <w:rPr>
          <w:rStyle w:val="FootnoteAnchor"/>
          <w:rtl w:val="true"/>
        </w:rPr>
        <w:footnoteReference w:id="2602"/>
      </w:r>
      <w:r>
        <w:rPr>
          <w:rFonts w:ascii="Amiri" w:hAnsi="Amiri" w:eastAsia="Amiri" w:cs="Amiri"/>
          <w:color w:val="111111"/>
          <w:sz w:val="28"/>
          <w:sz w:val="28"/>
          <w:szCs w:val="28"/>
          <w:rtl w:val="true"/>
          <w:lang w:bidi="ar-SA"/>
        </w:rPr>
        <w:t>وللاحتياط</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تطهير البدن قبل التيمّم من غير محالّ المسح من ماسح أو ممسوح؛ للأصل، وخلوّ الأخبار البيانيّة، ولعدم وجوبه في المبدل عنه، ولو قلنا بوجوبه في غسل الجنابة لا نقوله هاهنا؛ لما ذكرناه</w:t>
      </w:r>
      <w:r>
        <w:rPr>
          <w:rFonts w:eastAsia="Amiri" w:cs="Amiri" w:ascii="Amiri" w:hAnsi="Amiri"/>
          <w:color w:val="111111"/>
          <w:sz w:val="28"/>
          <w:szCs w:val="28"/>
          <w:rtl w:val="true"/>
          <w:lang w:bidi="ar-SA"/>
        </w:rPr>
        <w:t xml:space="preserve">. </w:t>
      </w:r>
      <w:bookmarkStart w:id="1232" w:name="pg18988_203635"/>
    </w:p>
    <w:p>
      <w:pPr>
        <w:pStyle w:val="Heading3"/>
        <w:numPr>
          <w:ilvl w:val="2"/>
          <w:numId w:val="1"/>
        </w:numPr>
        <w:rPr/>
      </w:pPr>
      <w:bookmarkStart w:id="1233" w:name="__RefHeading___Toc13198299_1280447820"/>
      <w:bookmarkStart w:id="1234" w:name="_Toc476"/>
      <w:bookmarkEnd w:id="1232"/>
      <w:bookmarkEnd w:id="1233"/>
      <w:r>
        <w:rPr>
          <w:rtl w:val="true"/>
        </w:rPr>
        <w:t>أحكام التيمم</w:t>
      </w:r>
      <w:bookmarkEnd w:id="1234"/>
    </w:p>
    <w:p>
      <w:pPr>
        <w:pStyle w:val="Heading4"/>
        <w:numPr>
          <w:ilvl w:val="3"/>
          <w:numId w:val="1"/>
        </w:numPr>
        <w:rPr/>
      </w:pPr>
      <w:bookmarkStart w:id="1235" w:name="__RefHeading___Toc13198301_1280447820"/>
      <w:bookmarkStart w:id="1236" w:name="_Toc477"/>
      <w:bookmarkEnd w:id="1235"/>
      <w:r>
        <w:rPr>
          <w:rtl w:val="true"/>
        </w:rPr>
        <w:t>وهاهنا مسائل</w:t>
      </w:r>
      <w:bookmarkEnd w:id="1236"/>
    </w:p>
    <w:p>
      <w:pPr>
        <w:pStyle w:val="Heading4"/>
        <w:numPr>
          <w:ilvl w:val="3"/>
          <w:numId w:val="1"/>
        </w:numPr>
        <w:rPr/>
      </w:pPr>
      <w:bookmarkStart w:id="1237" w:name="__RefHeading___Toc13198303_1280447820"/>
      <w:bookmarkStart w:id="1238" w:name="_Toc478"/>
      <w:bookmarkEnd w:id="1237"/>
      <w:r>
        <w:rPr>
          <w:rtl w:val="true"/>
        </w:rPr>
        <w:t>إحداها</w:t>
      </w:r>
      <w:r>
        <w:rPr>
          <w:rtl w:val="true"/>
        </w:rPr>
        <w:t xml:space="preserve">: </w:t>
      </w:r>
      <w:r>
        <w:rPr>
          <w:rtl w:val="true"/>
        </w:rPr>
        <w:t>يجري في التراب ما يجري في الماء من وجوب السعي إليه و وجوب شرائه ووجوب طلبه إلى وقت الضيق</w:t>
      </w:r>
      <w:bookmarkEnd w:id="1238"/>
    </w:p>
    <w:p>
      <w:pPr>
        <w:pStyle w:val="BookText"/>
        <w:rPr/>
      </w:pPr>
      <w:r>
        <w:rPr>
          <w:rFonts w:ascii="Amiri" w:hAnsi="Amiri" w:eastAsia="Amiri" w:cs="Amiri"/>
          <w:color w:val="111111"/>
          <w:sz w:val="28"/>
          <w:sz w:val="28"/>
          <w:szCs w:val="28"/>
          <w:rtl w:val="true"/>
          <w:lang w:bidi="ar-SA"/>
        </w:rPr>
        <w:t>يجري في التراب ما يجري في الماء من وجوب السعي إليه ومن وجوب شرائه ولو بأضعاف ثمنه، ومن وجوب طلبه إلى وقت الضيق فينتقل إلى المراتب الأُخَر، مع احتمال التمسّك بالأصل عند عدم وجوده، واحتمال إجراء حكم الماء عليه من طلبه غلوة أو غلوتين، ويجري في انتقاله إلى مراتبه الأُخَر من جهة الموانع ما ذكرناه من الانتقال إليه من جهة موانع الماء</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3198305_1280447820"/>
      <w:bookmarkStart w:id="1240" w:name="_Toc479"/>
      <w:bookmarkEnd w:id="1239"/>
      <w:r>
        <w:rPr>
          <w:rtl w:val="true"/>
        </w:rPr>
        <w:t>ثانيتها</w:t>
      </w:r>
      <w:r>
        <w:rPr>
          <w:rtl w:val="true"/>
        </w:rPr>
        <w:t xml:space="preserve">: </w:t>
      </w:r>
      <w:r>
        <w:rPr>
          <w:rtl w:val="true"/>
        </w:rPr>
        <w:t>فی انّ التراب کالماء سبب لاستباحۀ الصلوات المفروضۀ وغیرها</w:t>
      </w:r>
      <w:bookmarkEnd w:id="1240"/>
    </w:p>
    <w:p>
      <w:pPr>
        <w:pStyle w:val="BookText"/>
        <w:rPr/>
      </w:pPr>
      <w:r>
        <w:rPr>
          <w:rFonts w:ascii="Amiri" w:hAnsi="Amiri" w:eastAsia="Amiri" w:cs="Amiri"/>
          <w:color w:val="111111"/>
          <w:sz w:val="28"/>
          <w:sz w:val="28"/>
          <w:szCs w:val="28"/>
          <w:rtl w:val="true"/>
          <w:lang w:bidi="ar-SA"/>
        </w:rPr>
        <w:t xml:space="preserve">الأظهر والأشهر والذي 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التيمّم بمنزلة الماء</w:t>
      </w:r>
      <w:r>
        <w:rPr>
          <w:rStyle w:val="FootnoteAnchor"/>
          <w:rtl w:val="true"/>
        </w:rPr>
        <w:footnoteReference w:id="2603"/>
      </w:r>
      <w:r>
        <w:rPr>
          <w:rFonts w:ascii="Amiri" w:hAnsi="Amiri" w:eastAsia="Amiri" w:cs="Amiri"/>
          <w:color w:val="111111"/>
          <w:sz w:val="28"/>
          <w:sz w:val="28"/>
          <w:szCs w:val="28"/>
          <w:rtl w:val="true"/>
          <w:lang w:bidi="ar-SA"/>
        </w:rPr>
        <w:t>، وأنّه يكفيك الصعيد عشر سنين</w:t>
      </w:r>
      <w:r>
        <w:rPr>
          <w:rStyle w:val="FootnoteAnchor"/>
          <w:rtl w:val="true"/>
        </w:rPr>
        <w:footnoteReference w:id="2604"/>
      </w:r>
      <w:r>
        <w:rPr>
          <w:rFonts w:ascii="Amiri" w:hAnsi="Amiri" w:eastAsia="Amiri" w:cs="Amiri"/>
          <w:color w:val="111111"/>
          <w:sz w:val="28"/>
          <w:sz w:val="28"/>
          <w:szCs w:val="28"/>
          <w:rtl w:val="true"/>
          <w:lang w:bidi="ar-SA"/>
        </w:rPr>
        <w:t>، وأنّه جعل التراب طهوراً كما جعل الماء طهوراً</w:t>
      </w:r>
      <w:r>
        <w:rPr>
          <w:rStyle w:val="FootnoteAnchor"/>
          <w:rtl w:val="true"/>
        </w:rPr>
        <w:footnoteReference w:id="2605"/>
      </w:r>
      <w:r>
        <w:rPr>
          <w:rFonts w:ascii="IRNazanin" w:hAnsi="IRNazanin" w:eastAsia="IRNazanin"/>
          <w:color w:val="111111"/>
          <w:sz w:val="28"/>
          <w:sz w:val="28"/>
          <w:szCs w:val="28"/>
          <w:rtl w:val="true"/>
          <w:lang w:bidi="fa-IR"/>
        </w:rPr>
        <w:t>، وأنّه غسل المضطرّ و وضوؤه</w:t>
      </w:r>
      <w:r>
        <w:rPr>
          <w:rStyle w:val="FootnoteAnchor"/>
          <w:rtl w:val="true"/>
        </w:rPr>
        <w:footnoteReference w:id="26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التراب كالماء، فكلّ ما يكون استعمال الماء سبباً لاستباحته يكون استعمال التراب على الوجه المخصوص سبباً لاستباحته، فيجوز التيمّم للصلوات المفروضة اليوميّة وغيرها من كسوفيّة وخسوفيّة وقضائيّة وأدائيّة، سواء قلنا بمضايقة وقت القضاء أو لا، أو غير مفروضة من نافلة راتبة أو ابتدائيّة أو ذات ،سبب كصلاة الاستسقاء والزيارة ونحوهما، ولغير الصلوات كمسّ مصحف أو قراءة عزائم أو سجود سهو أو دخولٍ للمسجدين أو الحضرات المشرّفة أو لبثٍ في غيرهما من المساجد، أو الكون على الطهارة، أو لتكميل بعض الغايات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ما يستباح بالطهارة المائيّة يستباح بالطهارة الترابية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العمومات والإطلاقات كلّها واردة مورد التيمّم الشرعي الصحيح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التمسّك بها لإثبات ماهيّة التيمّم وصفاته أو أجزائه، أو نفي جزء أو شرط أو وصف </w:t>
      </w:r>
      <w:bookmarkStart w:id="1241" w:name="pg18988_203636"/>
    </w:p>
    <w:p>
      <w:pPr>
        <w:pStyle w:val="BookText"/>
        <w:rPr/>
      </w:pPr>
      <w:bookmarkEnd w:id="1241"/>
      <w:r>
        <w:rPr>
          <w:rFonts w:ascii="Amiri" w:hAnsi="Amiri" w:eastAsia="Amiri" w:cs="Amiri"/>
          <w:color w:val="111111"/>
          <w:sz w:val="28"/>
          <w:sz w:val="28"/>
          <w:szCs w:val="28"/>
          <w:rtl w:val="true"/>
          <w:lang w:bidi="ar-SA"/>
        </w:rPr>
        <w:t>قيد مشكوك به؛ لأنّ أدلّة التيمّم الشرعي واردة على تلك العمومات، وهو مجمل لوضعه للصحيح على الصحيح، فتعود كلّها مجملة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حصول التيمّم الشرعي يصحّ التمسّك بها لإثبات الأثر المترتّب على الماهيّة الصحيحة؛ لأنّه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صحّة الاستدلال بالعمومات على استباحة التيمّم لكلّ ما يستباح بالمائيّة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الاستدلال بها على نفي تقييده بوقتٍ أو وصفٍ أو شرطٍ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شككنا في صحّة التيمّم للعبادة المؤقّتة قبل وقتها منعنا صحّتها، ولم يكن لنا التمسّك بالعمومات، فلا يصحّ التيمّم لفريضةٍ أو نافلةٍ قبل وقتها، و يصحّ فيما لا وقت له عند إرادة فعله لا قبله بكثير، كالنوافل المبتدأة و مسّ المصحف وغير ذلك؛ لأنّه هو المتيقّن والمعهود، ويصحّ فيما له سبب، كالزلزلة والزيارة والاستسقاء والجنازة عند حصول هذه من تجهيز الميّت والخروج إلى الصحراء والدخول إلى الحضرة، و يصحّ وإن لم يترتّب عليه المسبّب؛ استصحاباً لصحّته بعد مشروعيّته، من غير تفاوتٍ في الحكم بين مسوّغات التيمّم من فقدان ماء أو خوف مرض أو عطش أو غير ذلك</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13198307_1280447820"/>
      <w:bookmarkStart w:id="1243" w:name="_Toc480"/>
      <w:bookmarkEnd w:id="1242"/>
      <w:r>
        <w:rPr>
          <w:rtl w:val="true"/>
        </w:rPr>
        <w:t>ثالثتها</w:t>
      </w:r>
      <w:r>
        <w:rPr>
          <w:rtl w:val="true"/>
        </w:rPr>
        <w:t xml:space="preserve">: </w:t>
      </w:r>
      <w:r>
        <w:rPr>
          <w:rtl w:val="true"/>
        </w:rPr>
        <w:t>فی أنّ مَنْ تيمّم تيمّماً مشروعاً جاز له الدخول به في كلّ مشروطٍ بالطهارة ما لم ينتقض تيمّمه بأحد النواقض</w:t>
      </w:r>
      <w:bookmarkEnd w:id="1243"/>
    </w:p>
    <w:p>
      <w:pPr>
        <w:pStyle w:val="BookText"/>
        <w:rPr/>
      </w:pPr>
      <w:r>
        <w:rPr>
          <w:rFonts w:ascii="Amiri" w:hAnsi="Amiri" w:eastAsia="Amiri" w:cs="Amiri"/>
          <w:color w:val="111111"/>
          <w:sz w:val="28"/>
          <w:sz w:val="28"/>
          <w:szCs w:val="28"/>
          <w:rtl w:val="true"/>
          <w:lang w:bidi="ar-SA"/>
        </w:rPr>
        <w:t>ظهر ممّا قدمنا أنّ مَنْ تيمّم تيمّماً مشروعاً جاز له الدخول به في كلّ مشروطٍ بالطهارة ما لم ينتقض تيمّمه بأحد النواقض للاستصحاب، ولعمومات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يتيمّم،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ذلك إلى أن يجد الماء</w:t>
      </w:r>
      <w:r>
        <w:rPr>
          <w:rFonts w:eastAsia="Amiri" w:cs="Amiri" w:ascii="Amiri" w:hAnsi="Amiri"/>
          <w:color w:val="111111"/>
          <w:sz w:val="28"/>
          <w:szCs w:val="28"/>
          <w:rtl w:val="true"/>
          <w:lang w:bidi="ar-SA"/>
        </w:rPr>
        <w:t>»</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أيتيمّم لكلّ 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الصحيح من الأمر بالتيمّم لكلّ صلاة</w:t>
      </w:r>
      <w:r>
        <w:rPr>
          <w:rStyle w:val="FootnoteAnchor"/>
          <w:rtl w:val="true"/>
        </w:rPr>
        <w:footnoteReference w:id="2610"/>
      </w:r>
      <w:r>
        <w:rPr>
          <w:rFonts w:ascii="Amiri" w:hAnsi="Amiri" w:eastAsia="Amiri" w:cs="Amiri"/>
          <w:color w:val="111111"/>
          <w:sz w:val="28"/>
          <w:sz w:val="28"/>
          <w:szCs w:val="28"/>
          <w:rtl w:val="true"/>
          <w:lang w:bidi="ar-SA"/>
        </w:rPr>
        <w:t>، يراد به كفاية التيمّم لكلّ صلاة عند الحدث،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الصعيد عشر سنين</w:t>
      </w:r>
      <w:r>
        <w:rPr>
          <w:rFonts w:eastAsia="Amiri" w:cs="Amiri" w:ascii="Amiri" w:hAnsi="Amiri"/>
          <w:color w:val="111111"/>
          <w:sz w:val="28"/>
          <w:szCs w:val="28"/>
          <w:rtl w:val="true"/>
          <w:lang w:bidi="ar-SA"/>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 xml:space="preserve">. </w:t>
      </w:r>
      <w:bookmarkStart w:id="1244" w:name="pg18988_203637"/>
    </w:p>
    <w:p>
      <w:pPr>
        <w:pStyle w:val="BookText"/>
        <w:rPr/>
      </w:pPr>
      <w:bookmarkEnd w:id="1244"/>
      <w:r>
        <w:rPr>
          <w:rFonts w:ascii="Amiri" w:hAnsi="Amiri" w:eastAsia="Amiri" w:cs="Amiri"/>
          <w:color w:val="111111"/>
          <w:sz w:val="28"/>
          <w:sz w:val="28"/>
          <w:szCs w:val="28"/>
          <w:rtl w:val="true"/>
          <w:lang w:bidi="ar-SA"/>
        </w:rPr>
        <w:t>و خبر السكوني أنّ التيمّم لايتمتع به إلا صلاة واحدة ونافلتها</w:t>
      </w:r>
      <w:r>
        <w:rPr>
          <w:rStyle w:val="FootnoteAnchor"/>
          <w:rtl w:val="true"/>
        </w:rPr>
        <w:footnoteReference w:id="2612"/>
      </w:r>
      <w:r>
        <w:rPr>
          <w:rFonts w:ascii="Amiri" w:hAnsi="Amiri" w:eastAsia="Amiri" w:cs="Amiri"/>
          <w:color w:val="111111"/>
          <w:sz w:val="28"/>
          <w:sz w:val="28"/>
          <w:szCs w:val="28"/>
          <w:rtl w:val="true"/>
          <w:lang w:bidi="ar-SA"/>
        </w:rPr>
        <w:t>، لا يسكن إليه في معارضة ما قدمنا ، فيُحمل على التقيّة؛ لموافقته لمذهب العامة</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3198309_1280447820"/>
      <w:bookmarkStart w:id="1246" w:name="_Toc481"/>
      <w:bookmarkEnd w:id="1245"/>
      <w:r>
        <w:rPr>
          <w:rtl w:val="true"/>
        </w:rPr>
        <w:t>رابعتها</w:t>
      </w:r>
      <w:r>
        <w:rPr>
          <w:rtl w:val="true"/>
        </w:rPr>
        <w:t xml:space="preserve">: </w:t>
      </w:r>
      <w:r>
        <w:rPr>
          <w:rtl w:val="true"/>
        </w:rPr>
        <w:t>جواز اللبث في المساجد للمجنب المتيمّم</w:t>
      </w:r>
      <w:bookmarkEnd w:id="1246"/>
    </w:p>
    <w:p>
      <w:pPr>
        <w:pStyle w:val="BookText"/>
        <w:rPr/>
      </w:pPr>
      <w:r>
        <w:rPr>
          <w:rFonts w:ascii="Amiri" w:hAnsi="Amiri" w:eastAsia="Amiri" w:cs="Amiri"/>
          <w:color w:val="111111"/>
          <w:sz w:val="28"/>
          <w:sz w:val="28"/>
          <w:szCs w:val="28"/>
          <w:rtl w:val="true"/>
          <w:lang w:bidi="ar-SA"/>
        </w:rPr>
        <w:t>ظهر ممّا قدّمنا جواز اللبث في المساجد للمجنب المتيمّم؛ للعمومات المتقدّمة و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لفخر المحقّقين حيث منع</w:t>
      </w:r>
      <w:r>
        <w:rPr>
          <w:rStyle w:val="FootnoteAnchor"/>
          <w:rtl w:val="true"/>
        </w:rPr>
        <w:footnoteReference w:id="2613"/>
      </w:r>
      <w:r>
        <w:rPr>
          <w:rFonts w:ascii="Amiri" w:hAnsi="Amiri" w:eastAsia="Amiri" w:cs="Amiri"/>
          <w:color w:val="111111"/>
          <w:sz w:val="28"/>
          <w:sz w:val="28"/>
          <w:szCs w:val="28"/>
          <w:rtl w:val="true"/>
          <w:lang w:bidi="ar-SA"/>
        </w:rPr>
        <w:t>استناداً للآية</w:t>
      </w:r>
      <w:r>
        <w:rPr>
          <w:rStyle w:val="FootnoteAnchor"/>
          <w:rtl w:val="true"/>
        </w:rPr>
        <w:footnoteReference w:id="2614"/>
      </w:r>
      <w:r>
        <w:rPr>
          <w:rFonts w:ascii="Amiri" w:hAnsi="Amiri" w:eastAsia="Amiri" w:cs="Amiri"/>
          <w:color w:val="111111"/>
          <w:sz w:val="28"/>
          <w:sz w:val="28"/>
          <w:szCs w:val="28"/>
          <w:rtl w:val="true"/>
          <w:lang w:bidi="ar-SA"/>
        </w:rPr>
        <w:t>حيث إنّ الله تعالى منع القرب إليها، و جعل الغاية الاغتسال، وأراد بالصلاة مواضعها، و إلّا للزم التكرير ؛ لذكره لها بعد ذلك، وللأخبار</w:t>
      </w:r>
      <w:r>
        <w:rPr>
          <w:rStyle w:val="FootnoteAnchor"/>
          <w:rtl w:val="true"/>
        </w:rPr>
        <w:footnoteReference w:id="2615"/>
      </w:r>
      <w:r>
        <w:rPr>
          <w:rFonts w:ascii="Amiri" w:hAnsi="Amiri" w:eastAsia="Amiri" w:cs="Amiri"/>
          <w:color w:val="111111"/>
          <w:sz w:val="28"/>
          <w:sz w:val="28"/>
          <w:szCs w:val="28"/>
          <w:rtl w:val="true"/>
          <w:lang w:bidi="ar-SA"/>
        </w:rPr>
        <w:t>المشعرة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عامّ مخصوص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ممّا قدّمناه وجوب تيمّم المجنب للصوم؛ لعموم المنزلة، ولأنّ الغسل ماء فهو بمنزلته، ولأنّه من جملة ما يقع في العشر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استظهره صاحب المدارك من الفرق بين ما يتوقّف استباحته على الطهارة المائيّة فإنّه يستباح به التيمّم؛ لعموم الأدلّة، وبين ما يتوقّف على نوع خاصّ منها كالغسل للصوم فلا يستباح به؛ إذ لا ملازمة بينهما</w:t>
      </w:r>
      <w:r>
        <w:rPr>
          <w:rStyle w:val="FootnoteAnchor"/>
          <w:rtl w:val="true"/>
        </w:rPr>
        <w:footnoteReference w:id="2616"/>
      </w:r>
      <w:r>
        <w:rPr>
          <w:rFonts w:ascii="Amiri" w:hAnsi="Amiri" w:eastAsia="Amiri" w:cs="Amiri"/>
          <w:color w:val="111111"/>
          <w:sz w:val="28"/>
          <w:sz w:val="28"/>
          <w:szCs w:val="28"/>
          <w:rtl w:val="true"/>
          <w:lang w:bidi="ar-SA"/>
        </w:rPr>
        <w:t>، غير ظاهرٍ، وعلى أيّ نحوٍ حُمل كلامه و بأيّ طور فُسّر فهو منظور فيه</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3198311_1280447820"/>
      <w:bookmarkStart w:id="1248" w:name="_Toc482"/>
      <w:bookmarkEnd w:id="1247"/>
      <w:r>
        <w:rPr>
          <w:rtl w:val="true"/>
        </w:rPr>
        <w:t>خامستها</w:t>
      </w:r>
      <w:r>
        <w:rPr>
          <w:rtl w:val="true"/>
        </w:rPr>
        <w:t xml:space="preserve">: </w:t>
      </w:r>
      <w:r>
        <w:rPr>
          <w:rtl w:val="true"/>
        </w:rPr>
        <w:t>عدم جواز التيمّم لفريضةٍ قبل وقتها</w:t>
      </w:r>
      <w:bookmarkEnd w:id="1248"/>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ممّا ذكرنا عدم جواز التيمّم لفريضةٍ قبل وقتها، وجوازه مع الضيق و إلّا لانتفت فائدته، إنّما الكلام في جوازه مع السعة، فقيل بالجواز مطلقاً</w:t>
      </w:r>
      <w:r>
        <w:rPr>
          <w:rStyle w:val="FootnoteAnchor"/>
          <w:rtl w:val="true"/>
        </w:rPr>
        <w:footnoteReference w:id="2617"/>
      </w:r>
      <w:r>
        <w:rPr>
          <w:rFonts w:ascii="Amiri" w:hAnsi="Amiri" w:eastAsia="Amiri" w:cs="Amiri"/>
          <w:color w:val="111111"/>
          <w:sz w:val="28"/>
          <w:sz w:val="28"/>
          <w:szCs w:val="28"/>
          <w:rtl w:val="true"/>
          <w:lang w:bidi="ar-SA"/>
        </w:rPr>
        <w:t>، وقيل بالمنع مطلقاً</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بين اليأس من الماء أو البرء فيجوز مع السعة، وبين الرجاء فلا يجوز </w:t>
      </w:r>
      <w:r>
        <w:rPr>
          <w:rStyle w:val="FootnoteAnchor"/>
          <w:rtl w:val="true"/>
        </w:rPr>
        <w:footnoteReference w:id="2619"/>
      </w:r>
      <w:r>
        <w:rPr>
          <w:rFonts w:ascii="Amiri" w:hAnsi="Amiri" w:eastAsia="Amiri" w:cs="Amiri"/>
          <w:color w:val="111111"/>
          <w:sz w:val="28"/>
          <w:sz w:val="28"/>
          <w:szCs w:val="28"/>
          <w:rtl w:val="true"/>
          <w:lang w:bidi="ar-SA"/>
        </w:rPr>
        <w:t>، والظاهر أنّه لا فرق في الحكم بين كون المسوّغ للتيمّم هو فقدان الماء أو غيره من الأسباب؛ لظاهر الاتّفاق والمنقول من الوفاق</w:t>
      </w:r>
      <w:r>
        <w:rPr>
          <w:rStyle w:val="FootnoteAnchor"/>
          <w:rtl w:val="true"/>
        </w:rPr>
        <w:footnoteReference w:id="2620"/>
      </w:r>
      <w:r>
        <w:rPr>
          <w:rFonts w:ascii="Amiri" w:hAnsi="Amiri" w:eastAsia="Amiri" w:cs="Amiri"/>
          <w:color w:val="111111"/>
          <w:sz w:val="28"/>
          <w:sz w:val="28"/>
          <w:szCs w:val="28"/>
          <w:rtl w:val="true"/>
          <w:lang w:bidi="ar-SA"/>
        </w:rPr>
        <w:t>، وإن كان الظاهر من الأدلّة والفتاوى تخصيص الخلاف بالفاقد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أهل التوسعة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الصَّلوةِ</w:t>
      </w:r>
      <w:r>
        <w:rPr>
          <w:rStyle w:val="FootnoteAnchor"/>
          <w:rtl w:val="true"/>
        </w:rPr>
        <w:footnoteReference w:id="2621"/>
      </w:r>
      <w:r>
        <w:rPr>
          <w:rFonts w:ascii="Amiri" w:hAnsi="Amiri" w:eastAsia="Amiri" w:cs="Amiri"/>
          <w:color w:val="111111"/>
          <w:sz w:val="28"/>
          <w:sz w:val="28"/>
          <w:szCs w:val="28"/>
          <w:rtl w:val="true"/>
          <w:lang w:bidi="ar-SA"/>
        </w:rPr>
        <w:t>حيث أوجب التيمّم عند إرادة القيام للصلاة من غير تفصيلٍ بين السعة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بها موقوف على جواز إرادة المكلّف للصلاة حال السعة، وهو أوّل الكلام،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تحريم الإرادة لا يستلزم عدمها، والحكم معلّق على وجودها لا على تحليلها وتحريمها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الآية من قبيل المجمل؛ لأنّ المأمور به هو التيمّم الصحيح، وكونه في السعة صحيحاً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أيضاً لإطلاقات الكتاب</w:t>
      </w:r>
      <w:r>
        <w:rPr>
          <w:rStyle w:val="FootnoteAnchor"/>
          <w:rtl w:val="true"/>
        </w:rPr>
        <w:footnoteReference w:id="2622"/>
      </w:r>
      <w:r>
        <w:rPr>
          <w:rFonts w:ascii="Amiri" w:hAnsi="Amiri" w:eastAsia="Amiri" w:cs="Amiri"/>
          <w:color w:val="111111"/>
          <w:sz w:val="28"/>
          <w:sz w:val="28"/>
          <w:szCs w:val="28"/>
          <w:rtl w:val="true"/>
          <w:lang w:bidi="ar-SA"/>
        </w:rPr>
        <w:t>والسنّة</w:t>
      </w:r>
      <w:r>
        <w:rPr>
          <w:rStyle w:val="FootnoteAnchor"/>
          <w:rtl w:val="true"/>
        </w:rPr>
        <w:footnoteReference w:id="2623"/>
      </w:r>
      <w:r>
        <w:rPr>
          <w:rFonts w:ascii="Amiri" w:hAnsi="Amiri" w:eastAsia="Amiri" w:cs="Amiri"/>
          <w:color w:val="111111"/>
          <w:sz w:val="28"/>
          <w:sz w:val="28"/>
          <w:szCs w:val="28"/>
          <w:rtl w:val="true"/>
          <w:lang w:bidi="ar-SA"/>
        </w:rPr>
        <w:t>الدالّة على دخول الوقت بالزوال ونحوه، و تيمّم العاجز عن استعمال الماء والصلاة بعده من دون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جميعها مقيّد بالتيمّم الصحيح، وفي كون التيمّم صحيحاً مع السعة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إلى لزوم العسر والحرج في لزوم التأخير غالباً، سيما للأعوام الغير عارفين آخر الأوقات من انتصاف الليل وشبهه، وسيّما لأهل الأمراض و الأعراض الذين يشقّ عليهم التأخير، وإلى لزومه لتفويت كثير من المندوبات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حرج ولا عسر في التأخير؛ لسهولة الطريق إلى معرفة الوقت الأخير غالباً، و ما لم يعرف بالقطع فالطريق إليه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التأخير فوات المندوبات؛ لأنّ المندوبات يجوز التيمّم لها عند ضيق وقتها أو عند الحاجة إليها، بل يجوز في السعة على وجهٍ؛ لاختصاص ظاهر الأخبار بالفريضة، بل إنّ التيمّم لها ممّا يسوّغ الدخول في الفريضة؛ لجواز الصلاة الفريضة بالتيمّم لغيرها في حال السعة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المستدلّ ممّن يقول بمضايقة القضاء وعدم جواز الأداء لمن عليه قضاء، و لم يركن إلى هذا الدليل للقول بخلافه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استندوا للأخبار الخاصّة الدالّة على أنّ مَنْ تيمّم و صلّى في السعة لا شيء عليه، ولو كانت صلاته باطلةً لوجبت عليه الإعادة ولزمه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 وأُصلّي ثمّ أجد الماء وقد بقي علَيَّ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 الصلاة</w:t>
      </w:r>
      <w:r>
        <w:rPr>
          <w:rFonts w:eastAsia="Amiri" w:cs="Amiri" w:ascii="Amiri" w:hAnsi="Amiri"/>
          <w:color w:val="111111"/>
          <w:sz w:val="28"/>
          <w:szCs w:val="28"/>
          <w:rtl w:val="true"/>
          <w:lang w:bidi="ar-SA"/>
        </w:rPr>
        <w:t xml:space="preserve">» </w:t>
      </w:r>
      <w:r>
        <w:rPr>
          <w:rStyle w:val="FootnoteAnchor"/>
          <w:rtl w:val="true"/>
        </w:rPr>
        <w:footnoteReference w:id="2624"/>
      </w:r>
      <w:r>
        <w:rPr>
          <w:rFonts w:ascii="Amiri" w:hAnsi="Amiri" w:eastAsia="Amiri" w:cs="Amiri"/>
          <w:color w:val="111111"/>
          <w:sz w:val="28"/>
          <w:sz w:val="28"/>
          <w:szCs w:val="28"/>
          <w:rtl w:val="true"/>
          <w:lang w:bidi="ar-SA"/>
        </w:rPr>
        <w:t>من دون استفصالٍ في أنّ التيمّم كان مع ظنّ الضيق أو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في رجل تيمّم و صلّى ثمّ أصاب الماء و هو في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صلاته</w:t>
      </w:r>
      <w:r>
        <w:rPr>
          <w:rFonts w:eastAsia="Amiri" w:cs="Amiri" w:ascii="Amiri" w:hAnsi="Amiri"/>
          <w:color w:val="111111"/>
          <w:sz w:val="28"/>
          <w:szCs w:val="28"/>
          <w:rtl w:val="true"/>
          <w:lang w:bidi="ar-SA"/>
        </w:rPr>
        <w:t>»</w:t>
      </w:r>
      <w:r>
        <w:rPr>
          <w:rStyle w:val="FootnoteAnchor"/>
          <w:rtl w:val="true"/>
        </w:rPr>
        <w:footnoteReference w:id="2625"/>
      </w:r>
      <w:r>
        <w:rPr>
          <w:rFonts w:ascii="Amiri" w:hAnsi="Amiri" w:eastAsia="Amiri" w:cs="Amiri"/>
          <w:color w:val="111111"/>
          <w:sz w:val="28"/>
          <w:sz w:val="28"/>
          <w:szCs w:val="28"/>
          <w:rtl w:val="true"/>
          <w:lang w:bidi="ar-SA"/>
        </w:rPr>
        <w:t>و الظاهر منها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لإصابة الماء، لا للتيمّم و الصلاة، لخلوّ القيد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يجد الماء وتيمّم وصلّى ثمّ أُتي بالماء وعليه شيء من الوقت يمضي على صلاته أم يتوضّأ ويعيد؟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Style w:val="FootnoteAnchor"/>
          <w:rtl w:val="true"/>
        </w:rPr>
        <w:footnoteReference w:id="2626"/>
      </w:r>
      <w:r>
        <w:rPr>
          <w:rFonts w:ascii="Amiri" w:hAnsi="Amiri" w:eastAsia="Amiri" w:cs="Amiri"/>
          <w:color w:val="111111"/>
          <w:sz w:val="28"/>
          <w:sz w:val="28"/>
          <w:szCs w:val="28"/>
          <w:rtl w:val="true"/>
          <w:lang w:bidi="ar-SA"/>
        </w:rPr>
        <w:t>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شيء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تيمّم و صلّى ثمّ أصاب الماء وهو في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w:t>
      </w:r>
      <w:r>
        <w:rPr>
          <w:rFonts w:eastAsia="Amiri" w:cs="Amiri" w:ascii="Amiri" w:hAnsi="Amiri"/>
          <w:color w:val="111111"/>
          <w:sz w:val="28"/>
          <w:szCs w:val="28"/>
          <w:rtl w:val="true"/>
          <w:lang w:bidi="ar-SA"/>
        </w:rPr>
        <w:t>»</w:t>
      </w:r>
      <w:r>
        <w:rPr>
          <w:rStyle w:val="FootnoteAnchor"/>
          <w:rtl w:val="true"/>
        </w:rPr>
        <w:footnoteReference w:id="2627"/>
      </w:r>
      <w:r>
        <w:rPr>
          <w:rFonts w:ascii="Amiri" w:hAnsi="Amiri" w:eastAsia="Amiri" w:cs="Amiri"/>
          <w:color w:val="111111"/>
          <w:sz w:val="28"/>
          <w:sz w:val="28"/>
          <w:szCs w:val="28"/>
          <w:rtl w:val="true"/>
          <w:lang w:bidi="ar-SA"/>
        </w:rPr>
        <w:t xml:space="preserve">وفي الموثّق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الماء قبل أن يخرج الوقت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إعادة الصلاة</w:t>
      </w:r>
      <w:r>
        <w:rPr>
          <w:rFonts w:eastAsia="Amiri" w:cs="Amiri" w:ascii="Amiri" w:hAnsi="Amiri"/>
          <w:color w:val="111111"/>
          <w:sz w:val="28"/>
          <w:szCs w:val="28"/>
          <w:rtl w:val="true"/>
          <w:lang w:bidi="ar-SA"/>
        </w:rPr>
        <w:t>»</w:t>
      </w:r>
      <w:r>
        <w:rPr>
          <w:rStyle w:val="FootnoteAnchor"/>
          <w:rtl w:val="true"/>
        </w:rPr>
        <w:footnoteReference w:id="2628"/>
      </w:r>
      <w:r>
        <w:rPr>
          <w:rFonts w:ascii="Amiri" w:hAnsi="Amiri" w:eastAsia="Amiri" w:cs="Amiri"/>
          <w:color w:val="111111"/>
          <w:sz w:val="28"/>
          <w:sz w:val="28"/>
          <w:szCs w:val="28"/>
          <w:rtl w:val="true"/>
          <w:lang w:bidi="ar-SA"/>
        </w:rPr>
        <w:t>، و هُما ظاهران في أنّ القيد لبلوغ الماء وإصابته، 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الماء وقد صلّى بتيمّمٍ وهو في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ولا إعادة عليه</w:t>
      </w:r>
      <w:r>
        <w:rPr>
          <w:rFonts w:eastAsia="Amiri" w:cs="Amiri" w:ascii="Amiri" w:hAnsi="Amiri"/>
          <w:color w:val="111111"/>
          <w:sz w:val="28"/>
          <w:szCs w:val="28"/>
          <w:rtl w:val="true"/>
          <w:lang w:bidi="ar-SA"/>
        </w:rPr>
        <w:t>»</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يأتي الماء وهو جنب وقد صلّى؟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ولا يعيد الصلاة</w:t>
      </w:r>
      <w:r>
        <w:rPr>
          <w:rFonts w:eastAsia="Amiri" w:cs="Amiri" w:ascii="Amiri" w:hAnsi="Amiri"/>
          <w:color w:val="111111"/>
          <w:sz w:val="28"/>
          <w:szCs w:val="28"/>
          <w:rtl w:val="true"/>
          <w:lang w:bidi="ar-SA"/>
        </w:rPr>
        <w:t>»</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 فتيمّم بصعيد وصلّى ثمّ وجد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وجد الماء فليغتسل ولا يعيد</w:t>
      </w:r>
      <w:r>
        <w:rPr>
          <w:rFonts w:eastAsia="Amiri" w:cs="Amiri" w:ascii="Amiri" w:hAnsi="Amiri"/>
          <w:color w:val="111111"/>
          <w:sz w:val="28"/>
          <w:szCs w:val="28"/>
          <w:rtl w:val="true"/>
          <w:lang w:bidi="ar-SA"/>
        </w:rPr>
        <w:t>»</w:t>
      </w:r>
      <w:r>
        <w:rPr>
          <w:rStyle w:val="FootnoteAnchor"/>
          <w:rtl w:val="true"/>
        </w:rPr>
        <w:footnoteReference w:id="2632"/>
      </w:r>
      <w:r>
        <w:rPr>
          <w:rFonts w:ascii="Amiri" w:hAnsi="Amiri" w:eastAsia="Amiri" w:cs="Amiri"/>
          <w:color w:val="111111"/>
          <w:sz w:val="28"/>
          <w:sz w:val="28"/>
          <w:szCs w:val="28"/>
          <w:rtl w:val="true"/>
          <w:lang w:bidi="ar-SA"/>
        </w:rPr>
        <w:t>، إلى غير ذلك من الأخبار الظاهرة في ذلك، والصريح جملة منها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تيمّم وصلّى فأصاب بعد صلاته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الماء قبل أن يمضي الوقت توضّاً وأعاد، فإن مضى الوقت فلا إعادة</w:t>
      </w:r>
      <w:r>
        <w:rPr>
          <w:rFonts w:eastAsia="Amiri" w:cs="Amiri" w:ascii="Amiri" w:hAnsi="Amiri"/>
          <w:color w:val="111111"/>
          <w:sz w:val="28"/>
          <w:szCs w:val="28"/>
          <w:rtl w:val="true"/>
          <w:lang w:bidi="ar-SA"/>
        </w:rPr>
        <w:t>»</w:t>
      </w:r>
      <w:r>
        <w:rPr>
          <w:rStyle w:val="FootnoteAnchor"/>
          <w:rtl w:val="true"/>
        </w:rPr>
        <w:footnoteReference w:id="2633"/>
      </w: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تيمّم وصلّى </w:t>
      </w:r>
    </w:p>
    <w:p>
      <w:pPr>
        <w:pStyle w:val="BookText"/>
        <w:rPr/>
      </w:pPr>
      <w:r>
        <w:rPr>
          <w:rFonts w:ascii="Amiri" w:hAnsi="Amiri" w:eastAsia="Amiri" w:cs="Amiri"/>
          <w:color w:val="111111"/>
          <w:sz w:val="28"/>
          <w:sz w:val="28"/>
          <w:szCs w:val="28"/>
          <w:rtl w:val="true"/>
          <w:lang w:bidi="ar-SA"/>
        </w:rPr>
        <w:t>ثمّ أصاب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أتوضّاً وأُعيد</w:t>
      </w:r>
      <w:r>
        <w:rPr>
          <w:rFonts w:eastAsia="Amiri" w:cs="Amiri" w:ascii="Amiri" w:hAnsi="Amiri"/>
          <w:color w:val="111111"/>
          <w:sz w:val="28"/>
          <w:szCs w:val="28"/>
          <w:rtl w:val="true"/>
          <w:lang w:bidi="ar-SA"/>
        </w:rPr>
        <w:t>»</w:t>
      </w:r>
      <w:r>
        <w:rPr>
          <w:rStyle w:val="FootnoteAnchor"/>
          <w:rtl w:val="true"/>
        </w:rPr>
        <w:footnoteReference w:id="2634"/>
      </w:r>
      <w:r>
        <w:rPr>
          <w:rFonts w:ascii="Amiri" w:hAnsi="Amiri" w:eastAsia="Amiri" w:cs="Amiri"/>
          <w:color w:val="111111"/>
          <w:sz w:val="28"/>
          <w:sz w:val="28"/>
          <w:szCs w:val="28"/>
          <w:rtl w:val="true"/>
          <w:lang w:bidi="ar-SA"/>
        </w:rPr>
        <w:t>لحملهما على الندب، سيّما والأخير ظاهر فيه، على أنّ الإعادة في الأوّل لمكان نفس الصلاة بتيمّم فتكون مندوبةً، لا لفعلها في السعة، و إلّا لكانت باطلةً على القول بالمضايقة، فتجب الإعادة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الأخبار المتقدّمة ما ورد من أنّ الإمام إذا كان مجنباً يتيمّم و يصلّي بالقوم</w:t>
      </w:r>
      <w:r>
        <w:rPr>
          <w:rStyle w:val="FootnoteAnchor"/>
          <w:rtl w:val="true"/>
        </w:rPr>
        <w:footnoteReference w:id="2635"/>
      </w:r>
      <w:r>
        <w:rPr>
          <w:rFonts w:ascii="Amiri" w:hAnsi="Amiri" w:eastAsia="Amiri" w:cs="Amiri"/>
          <w:color w:val="111111"/>
          <w:sz w:val="28"/>
          <w:sz w:val="28"/>
          <w:szCs w:val="28"/>
          <w:rtl w:val="true"/>
          <w:lang w:bidi="ar-SA"/>
        </w:rPr>
        <w:t>إذ من البعيد تأخير صلاة المأمومين لأجله إلى عند الضيق مع تطهّره بالطهارة الاضطراريّة، فالظاهر منه أنّ صلاته واقعة في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الأخبار نظر ؛ لأنّها لم تدلّ على جواز التأخير نصّاً، بل غاية ما تدلّ على إمكان وقوعه، وهو محتمل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جائزاً في السعة، ويمكن أن يكون لظنّ الضيق ثمّ انكشفت التوسعة فإنّ الأقوى هاهنا الصحّة، ويمكن أن يكون للعلم أو الظنّ بعدم الماء فيكون الجواز مقصوراً على صورة خاصّة، ويمكن غير ذلك من الأُمور المجوّزة، غاية ما في الباب أنّ في هذه الأدلّة ظهوراً مّا، وهو لا يعارض النصّ الصريح الدالّ على المنع، كما سيجيء؛ لأنّ النصّ لا يعارض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أهل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يريدون به الضيق إلّا عن التيمّم وأداء الفريضه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التيمّم و أداء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وبالشهرة المنقولة</w:t>
      </w:r>
      <w:r>
        <w:rPr>
          <w:rStyle w:val="FootnoteAnchor"/>
          <w:rtl w:val="true"/>
        </w:rPr>
        <w:footnoteReference w:id="2636"/>
      </w:r>
      <w:r>
        <w:rPr>
          <w:rFonts w:ascii="Amiri" w:hAnsi="Amiri" w:eastAsia="Amiri" w:cs="Amiri"/>
          <w:color w:val="111111"/>
          <w:sz w:val="28"/>
          <w:sz w:val="28"/>
          <w:szCs w:val="28"/>
          <w:rtl w:val="true"/>
          <w:lang w:bidi="ar-SA"/>
        </w:rPr>
        <w:t>بل المحصّلة، وبالإجماعات المنقولة</w:t>
      </w:r>
      <w:r>
        <w:rPr>
          <w:rStyle w:val="FootnoteAnchor"/>
          <w:rtl w:val="true"/>
        </w:rPr>
        <w:footnoteReference w:id="2637"/>
      </w:r>
      <w:r>
        <w:rPr>
          <w:rFonts w:ascii="Amiri" w:hAnsi="Amiri" w:eastAsia="Amiri" w:cs="Amiri"/>
          <w:color w:val="111111"/>
          <w:sz w:val="28"/>
          <w:sz w:val="28"/>
          <w:szCs w:val="28"/>
          <w:rtl w:val="true"/>
          <w:lang w:bidi="ar-SA"/>
        </w:rPr>
        <w:t xml:space="preserve">، وبالأخبار المتكثّرة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الماء وأردت التيمّم فأخّر التيمم إلى آخر الوقت، 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فإن خاف أن يفوته الوقت فليتيمّم وليصلِّ في آخر الوقت</w:t>
      </w:r>
      <w:r>
        <w:rPr>
          <w:rFonts w:eastAsia="Amiri" w:cs="Amiri" w:ascii="Amiri" w:hAnsi="Amiri"/>
          <w:color w:val="111111"/>
          <w:sz w:val="28"/>
          <w:szCs w:val="28"/>
          <w:rtl w:val="true"/>
          <w:lang w:bidi="ar-SA"/>
        </w:rPr>
        <w:t>»</w:t>
      </w:r>
      <w:r>
        <w:rPr>
          <w:rStyle w:val="FootnoteAnchor"/>
          <w:rtl w:val="true"/>
        </w:rPr>
        <w:footnoteReference w:id="2639"/>
      </w:r>
      <w:r>
        <w:rPr>
          <w:rFonts w:ascii="IRNazanin" w:hAnsi="IRNazanin" w:eastAsia="IRNazanin"/>
          <w:color w:val="111111"/>
          <w:sz w:val="28"/>
          <w:sz w:val="28"/>
          <w:szCs w:val="28"/>
          <w:rtl w:val="true"/>
          <w:lang w:bidi="fa-IR"/>
        </w:rPr>
        <w:t>ومفهومه أصرح من منطوقه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تيمّم الرجل فليكن ذلك في آخر الوقت، فإن فاته الماء فلن تفوته الأرض</w:t>
      </w:r>
      <w:r>
        <w:rPr>
          <w:rFonts w:eastAsia="Amiri" w:cs="Amiri" w:ascii="Amiri" w:hAnsi="Amiri"/>
          <w:color w:val="111111"/>
          <w:sz w:val="28"/>
          <w:szCs w:val="28"/>
          <w:rtl w:val="true"/>
          <w:lang w:bidi="ar-SA"/>
        </w:rPr>
        <w:t>»</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آخر الوقت، إن فاته الماء لم تفته الأرض</w:t>
      </w:r>
      <w:r>
        <w:rPr>
          <w:rFonts w:eastAsia="Amiri" w:cs="Amiri" w:ascii="Amiri" w:hAnsi="Amiri"/>
          <w:color w:val="111111"/>
          <w:sz w:val="28"/>
          <w:szCs w:val="28"/>
          <w:rtl w:val="true"/>
          <w:lang w:bidi="ar-SA"/>
        </w:rPr>
        <w:t>»</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لأحدٍ أن يتيمّم إلّا في آخر الوقت</w:t>
      </w:r>
      <w:r>
        <w:rPr>
          <w:rFonts w:eastAsia="Amiri" w:cs="Amiri" w:ascii="Amiri" w:hAnsi="Amiri"/>
          <w:color w:val="111111"/>
          <w:sz w:val="28"/>
          <w:szCs w:val="28"/>
          <w:rtl w:val="true"/>
          <w:lang w:bidi="ar-SA"/>
        </w:rPr>
        <w:t>»</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الجميع نظر ؛ لضعف الإجماع والشهرة بمصير أكثر المتأخّرين إلى خلافهما، ولمعارضة الأخبار بظاهر الأخبار المتقدّمة، فيُجمع بينها بحمل الأمر في هذه على الندب؛ لكثرة استعماله فيه سيّما مع ظهوره في بعض الأخبار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2643"/>
      </w:r>
      <w:r>
        <w:rPr>
          <w:rFonts w:ascii="Amiri" w:hAnsi="Amiri" w:eastAsia="Amiri" w:cs="Amiri"/>
          <w:color w:val="111111"/>
          <w:sz w:val="28"/>
          <w:sz w:val="28"/>
          <w:szCs w:val="28"/>
          <w:rtl w:val="true"/>
          <w:lang w:bidi="ar-SA"/>
        </w:rPr>
        <w:t>، و ممّا يظهر من بعض تعاليلها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أهل التفصيل بأخبار أهل المنع؛ لظهورها في أنّ التأخير لرجاء الحصول؛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2644"/>
      </w:r>
      <w:r>
        <w:rPr>
          <w:rFonts w:ascii="Amiri" w:hAnsi="Amiri" w:eastAsia="Amiri" w:cs="Amiri"/>
          <w:color w:val="111111"/>
          <w:sz w:val="28"/>
          <w:sz w:val="28"/>
          <w:szCs w:val="28"/>
          <w:rtl w:val="true"/>
          <w:lang w:bidi="ar-SA"/>
        </w:rPr>
        <w:t>و بأنّه من المستبعد بعد حصول اليأس من المساء لزوم التأخير تعبّداً؛ لعدم الدليل الواضح عليه سوى الضعيف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الصحيح منها ظاهره أنّ التأخير لاحتمال حصول الماء لا للتعبّد، و بأنّه جمع بين الأخبار الظاهرة في الجواز والأخبار الظاهرة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النظر هو الركون لهذا التفصيل والأحوط التأخير مطلقاً، والظاهر عدم الفرق في هذا الحكم بين جميع الأسباب المسوّغة للتيمّم؛ لإطلاق بعض</w:t>
      </w:r>
      <w:r>
        <w:rPr>
          <w:rStyle w:val="FootnoteAnchor"/>
          <w:rtl w:val="true"/>
        </w:rPr>
        <w:footnoteReference w:id="2645"/>
      </w:r>
      <w:r>
        <w:rPr>
          <w:rFonts w:ascii="Amiri" w:hAnsi="Amiri" w:eastAsia="Amiri" w:cs="Amiri"/>
          <w:color w:val="111111"/>
          <w:sz w:val="28"/>
          <w:sz w:val="28"/>
          <w:szCs w:val="28"/>
          <w:rtl w:val="true"/>
          <w:lang w:bidi="ar-SA"/>
        </w:rPr>
        <w:t>الأخبار المتقدّمة و فتاوي الأصحاب و الإجماعات المنقولة في الباب</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فرق في الصلوات المؤقّتّة بين كونها يوميّة أو غيرها، وبين كونها فريضة أو نافلة راتبة؛ لإطلاق بعض</w:t>
      </w:r>
      <w:r>
        <w:rPr>
          <w:rStyle w:val="FootnoteAnchor"/>
          <w:rtl w:val="true"/>
        </w:rPr>
        <w:footnoteReference w:id="2647"/>
      </w:r>
      <w:r>
        <w:rPr>
          <w:rFonts w:ascii="Amiri" w:hAnsi="Amiri" w:eastAsia="Amiri" w:cs="Amiri"/>
          <w:color w:val="111111"/>
          <w:sz w:val="28"/>
          <w:sz w:val="28"/>
          <w:szCs w:val="28"/>
          <w:rtl w:val="true"/>
          <w:lang w:bidi="ar-SA"/>
        </w:rPr>
        <w:t>الأخبار المتقدّمة، ولإلغاء الفارق بينها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كان وقته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على القول بالتوسعة، وكالنوافل المبتدأة وغير الصلوات ممّا لا وقت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جريان الخلاف فيه، بل يجوز التيمّم عند إرادة فعله؛ إذ من البعيد </w:t>
      </w:r>
      <w:bookmarkStart w:id="1249" w:name="pg18988_203642"/>
    </w:p>
    <w:p>
      <w:pPr>
        <w:pStyle w:val="BookText"/>
        <w:rPr/>
      </w:pPr>
      <w:bookmarkEnd w:id="1249"/>
      <w:r>
        <w:rPr>
          <w:rFonts w:ascii="Amiri" w:hAnsi="Amiri" w:eastAsia="Amiri" w:cs="Amiri"/>
          <w:color w:val="111111"/>
          <w:sz w:val="28"/>
          <w:sz w:val="28"/>
          <w:szCs w:val="28"/>
          <w:rtl w:val="true"/>
          <w:lang w:bidi="ar-SA"/>
        </w:rPr>
        <w:t>التزام وجوب تأخير القضاء إلى ظنّ الفوت لمن فرضه التيمّم، والتزام ترك النوافل المبتدأة، وترك الأعمال المندوبة، بل هو خلاف مذاق أهل الشرع والشريعة، بل لا يبعد أنّ النوافل والأعمال كلّ الأوقات أوقات ضيق بالنسبة إليها، فيشرع لها التيمّم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على القول بالضيق أنّ مَنْ ظَنّه لأمارةٍ في صحو أو غيم فتيمّم وصلّى ثمّ انكشف فساد ظنّه أنّه يعيد؛ لأنّ المشروط عدمٌ عند عدم شرطه والظنّ مصحّح للإقدام لا مثبت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إلى عدم وجوب الإعادة </w:t>
      </w:r>
      <w:r>
        <w:rPr>
          <w:rStyle w:val="FootnoteAnchor"/>
          <w:rtl w:val="true"/>
        </w:rPr>
        <w:footnoteReference w:id="2648"/>
      </w:r>
      <w:r>
        <w:rPr>
          <w:rFonts w:ascii="Amiri" w:hAnsi="Amiri" w:eastAsia="Amiri" w:cs="Amiri"/>
          <w:color w:val="111111"/>
          <w:sz w:val="28"/>
          <w:sz w:val="28"/>
          <w:szCs w:val="28"/>
          <w:rtl w:val="true"/>
          <w:lang w:bidi="ar-SA"/>
        </w:rPr>
        <w:t>استناداً إلى أنّ المرء متعبّد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جواز الإقدام، لا صحّة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الامتثال يقضي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ذلك هو الأُمور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الأصل في الشرائط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الشرائط أن تكون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ظاهر الأخبار المتقدّمة</w:t>
      </w:r>
      <w:r>
        <w:rPr>
          <w:rStyle w:val="FootnoteAnchor"/>
          <w:rtl w:val="true"/>
        </w:rPr>
        <w:footnoteReference w:id="2649"/>
      </w:r>
      <w:r>
        <w:rPr>
          <w:rFonts w:ascii="Amiri" w:hAnsi="Amiri" w:eastAsia="Amiri" w:cs="Amiri"/>
          <w:color w:val="111111"/>
          <w:sz w:val="28"/>
          <w:sz w:val="28"/>
          <w:szCs w:val="28"/>
          <w:rtl w:val="true"/>
          <w:lang w:bidi="ar-SA"/>
        </w:rPr>
        <w:t>النافية للإعادة بحملها على الصلاة والتيمّم لظنّ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فرع ظهورها في ذلك، لا فرع حملها على ذلك</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3198313_1280447820"/>
      <w:bookmarkStart w:id="1251" w:name="_Toc483"/>
      <w:bookmarkEnd w:id="1250"/>
      <w:r>
        <w:rPr>
          <w:rtl w:val="true"/>
        </w:rPr>
        <w:t>سادستها</w:t>
      </w:r>
      <w:r>
        <w:rPr>
          <w:rtl w:val="true"/>
        </w:rPr>
        <w:t xml:space="preserve">: </w:t>
      </w:r>
      <w:r>
        <w:rPr>
          <w:rtl w:val="true"/>
        </w:rPr>
        <w:t>نتقاض التيمّم الحدث الأكبر والأصغر ووجود الماء</w:t>
      </w:r>
      <w:bookmarkEnd w:id="1251"/>
    </w:p>
    <w:p>
      <w:pPr>
        <w:pStyle w:val="BookText"/>
        <w:rPr/>
      </w:pPr>
      <w:r>
        <w:rPr>
          <w:rFonts w:ascii="Amiri" w:hAnsi="Amiri" w:eastAsia="Amiri" w:cs="Amiri"/>
          <w:color w:val="111111"/>
          <w:sz w:val="28"/>
          <w:sz w:val="28"/>
          <w:szCs w:val="28"/>
          <w:rtl w:val="true"/>
          <w:lang w:bidi="ar-SA"/>
        </w:rPr>
        <w:t>ينقض التيمّم الحدث الأكبر والأصغر؛ ووجود الماء، لفتوى الأصحاب والإجماع المنقول</w:t>
      </w:r>
      <w:r>
        <w:rPr>
          <w:rStyle w:val="FootnoteAnchor"/>
          <w:rtl w:val="true"/>
        </w:rPr>
        <w:footnoteReference w:id="2650"/>
      </w:r>
      <w:r>
        <w:rPr>
          <w:rFonts w:ascii="Amiri" w:hAnsi="Amiri" w:eastAsia="Amiri" w:cs="Amiri"/>
          <w:color w:val="111111"/>
          <w:sz w:val="28"/>
          <w:sz w:val="28"/>
          <w:szCs w:val="28"/>
          <w:rtl w:val="true"/>
          <w:lang w:bidi="ar-SA"/>
        </w:rPr>
        <w:t>في الباب، والصحيح الدالّ على بقاء أثر التيمّم ما لم يحدث أو يصب الماء</w:t>
      </w:r>
      <w:r>
        <w:rPr>
          <w:rStyle w:val="FootnoteAnchor"/>
          <w:rtl w:val="true"/>
        </w:rPr>
        <w:footnoteReference w:id="2651"/>
      </w:r>
      <w:r>
        <w:rPr>
          <w:rFonts w:ascii="Amiri" w:hAnsi="Amiri" w:eastAsia="Amiri" w:cs="Amiri"/>
          <w:color w:val="111111"/>
          <w:sz w:val="28"/>
          <w:sz w:val="28"/>
          <w:szCs w:val="28"/>
          <w:rtl w:val="true"/>
          <w:lang w:bidi="ar-SA"/>
        </w:rPr>
        <w:t>وإن لم يستعمله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النصّ والفتوى أنّ الحدث الأصغر ناقض للتيمّم عن الأكبر، سواء كان الأصغر رافعه رافع الأكبر كغسل الجنابة، أو كان رافعه غير رافع الأكبر، وحينئذٍ فلو تيمّم عن الجنابة وأحدث بالأصغر عاد الجنابة بنفسها، لا أنّه يعود حكم الأصغر وتبقى الإباحة للأكبر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تيمّمت المرأة عن الحيض فأحدثت عاد حكم حدث الحيض واحتاجت إلى تيمّمين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ذكرنا فمن تيمّم عن الجنابة فأحدث أعاد التيمّم سواء كان عنده ماء لوضوئه أو لم يكن، ولا يجوز له الوضوء، وحكمه كحكم مَنْ وجد عنده ماء يكفيه للوضوء ابتداءً </w:t>
      </w:r>
    </w:p>
    <w:p>
      <w:pPr>
        <w:pStyle w:val="BookText"/>
        <w:rPr/>
      </w:pPr>
      <w:r>
        <w:rPr>
          <w:rFonts w:ascii="Amiri" w:hAnsi="Amiri" w:eastAsia="Amiri" w:cs="Amiri"/>
          <w:color w:val="111111"/>
          <w:sz w:val="28"/>
          <w:sz w:val="28"/>
          <w:szCs w:val="28"/>
          <w:rtl w:val="true"/>
          <w:lang w:bidi="ar-SA"/>
        </w:rPr>
        <w:t>وكان مجنباً فإنه لا يجوز له التيمّم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نطقت الأخبار</w:t>
      </w:r>
      <w:r>
        <w:rPr>
          <w:rStyle w:val="FootnoteAnchor"/>
          <w:rtl w:val="true"/>
        </w:rPr>
        <w:footnoteReference w:id="2652"/>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الأصغرَ والأكبرَ ناقض للتيمّم المبيح عن الأصغر؛ للإجماع المنقول على أنّ الحدث ناقض</w:t>
      </w:r>
      <w:r>
        <w:rPr>
          <w:rStyle w:val="FootnoteAnchor"/>
          <w:rtl w:val="true"/>
        </w:rPr>
        <w:footnoteReference w:id="2653"/>
      </w:r>
      <w:r>
        <w:rPr>
          <w:rFonts w:ascii="Amiri" w:hAnsi="Amiri" w:eastAsia="Amiri" w:cs="Amiri"/>
          <w:color w:val="111111"/>
          <w:sz w:val="28"/>
          <w:sz w:val="28"/>
          <w:szCs w:val="28"/>
          <w:rtl w:val="true"/>
          <w:lang w:bidi="ar-SA"/>
        </w:rPr>
        <w:t>، والرواية الدالّة على أنّ المتيمّم يصلّي ما لم يحدث أو يصب الماء</w:t>
      </w:r>
      <w:r>
        <w:rPr>
          <w:rStyle w:val="FootnoteAnchor"/>
          <w:rtl w:val="true"/>
        </w:rPr>
        <w:footnoteReference w:id="2654"/>
      </w:r>
      <w:r>
        <w:rPr>
          <w:rFonts w:ascii="Amiri" w:hAnsi="Amiri" w:eastAsia="Amiri" w:cs="Amiri"/>
          <w:color w:val="111111"/>
          <w:sz w:val="28"/>
          <w:sz w:val="28"/>
          <w:szCs w:val="28"/>
          <w:rtl w:val="true"/>
          <w:lang w:bidi="ar-SA"/>
        </w:rPr>
        <w:t xml:space="preserve">، و المتيقّن منهما نقض الحدث الأصغر للمبيح عن الأصغر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الحدث 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مجانساً أو غير مجانسٍ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التيمّم المبيح عن الجنابة؛ لفتوى المشهور والاحتياط، ولبقاء حدث الجنابة مع التيمّم إجماعاً، وغاية ما أفاده التيمّم هو حصول الاستباحة وقد زالت بطروء 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تجزئة الاستباحة فتبقى بالنسبة للأكبر وتنتقض بالنسبة إلى الأصغر، خلاف فتوى الفقهاء والروايات الدالّة على لزوم التيمّم للمجنب المتمكّن من ماء الوضوء</w:t>
      </w:r>
      <w:r>
        <w:rPr>
          <w:rStyle w:val="FootnoteAnchor"/>
          <w:rtl w:val="true"/>
        </w:rPr>
        <w:footnoteReference w:id="2655"/>
      </w:r>
      <w:r>
        <w:rPr>
          <w:rFonts w:ascii="Amiri" w:hAnsi="Amiri" w:eastAsia="Amiri" w:cs="Amiri"/>
          <w:color w:val="111111"/>
          <w:sz w:val="28"/>
          <w:sz w:val="28"/>
          <w:szCs w:val="28"/>
          <w:rtl w:val="true"/>
          <w:lang w:bidi="ar-SA"/>
        </w:rPr>
        <w:t>، ولا فرق في المنع عن التجزئة بين الابتداء والاستدامة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المرتضى لزوم الوضوء لمن أحدث بالأصغر بعد التيمّم عن الجنابة</w:t>
      </w:r>
      <w:r>
        <w:rPr>
          <w:rStyle w:val="FootnoteAnchor"/>
          <w:rtl w:val="true"/>
        </w:rPr>
        <w:footnoteReference w:id="2656"/>
      </w:r>
      <w:r>
        <w:rPr>
          <w:rFonts w:ascii="Amiri" w:hAnsi="Amiri" w:eastAsia="Amiri" w:cs="Amiri"/>
          <w:color w:val="111111"/>
          <w:sz w:val="28"/>
          <w:sz w:val="28"/>
          <w:szCs w:val="28"/>
          <w:rtl w:val="true"/>
          <w:lang w:bidi="ar-SA"/>
        </w:rPr>
        <w:t>، ومقتضاه لزوم التيمّم لمن فقد الماء بقدر الوضوء عنه أيضاً؛ مستنداً إلى أن التيمّم رافع للجنابة، وعند صدور الحدث لا يتحقّق إلّا الحدث الأصغر فيفتقر إلى رافعه وهو الوضوء عند وجود الماء، و يلزمه التيمّم عند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لمنع ارتفاع الحدث بالتيمّم إجماعاً، والنصوص الدالّة على وجوب الغسل عند وجدان الماء</w:t>
      </w:r>
      <w:r>
        <w:rPr>
          <w:rStyle w:val="FootnoteAnchor"/>
          <w:rtl w:val="true"/>
        </w:rPr>
        <w:footnoteReference w:id="2657"/>
      </w:r>
      <w:r>
        <w:rPr>
          <w:rFonts w:ascii="Amiri" w:hAnsi="Amiri" w:eastAsia="Amiri" w:cs="Amiri"/>
          <w:color w:val="111111"/>
          <w:sz w:val="28"/>
          <w:sz w:val="28"/>
          <w:szCs w:val="28"/>
          <w:rtl w:val="true"/>
          <w:lang w:bidi="ar-SA"/>
        </w:rPr>
        <w:t>تدلّ عليه أيضاً؛ لأنّ الغسل لو لم يجب للجنابة لوجب لوجدان الماء، فيلزم أن يكون وجدان الماء حدثاً، و هو باطل قطعاً و إجماعاً، ولأنّ حدثيّته توجب استواء المتيمّمين فيه لاستواء نسبتهم إليه، مع أنّ المجنب لا يتوضّأ والمحدث لا يغتسل إجماعاً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الانتصار للمرتضى بأنّه يريد بالرفع رفع المانعيّة إلى وجود الماء، لا رفع نفس المانع، ورفع المانعيّة مستصحب حتّى يعلم رفعها، ولم يعلم رفعها بحدوث الحدث الأصغر، </w:t>
      </w:r>
      <w:bookmarkStart w:id="1252" w:name="pg18988_203644"/>
    </w:p>
    <w:p>
      <w:pPr>
        <w:pStyle w:val="BookText"/>
        <w:rPr/>
      </w:pPr>
      <w:bookmarkEnd w:id="1252"/>
      <w:r>
        <w:rPr>
          <w:rFonts w:ascii="Amiri" w:hAnsi="Amiri" w:eastAsia="Amiri" w:cs="Amiri"/>
          <w:color w:val="111111"/>
          <w:sz w:val="28"/>
          <w:sz w:val="28"/>
          <w:szCs w:val="28"/>
          <w:rtl w:val="true"/>
          <w:lang w:bidi="ar-SA"/>
        </w:rPr>
        <w:t>و إنّما علم حدوث ما نعيّته، لا عود مانعيّة الأكبر؛ أو يريد بالرفع رفع المانع إلى وجود الماء، ومع ارتفاع المانع يشكّ في عوده مع الحدث الأصغر، و إنّما المعلوم عود أثر نفس الحدث، لا عود الحدث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التخطّي عمّا عليه الجمهور وظواهر الأخبار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الحدث الأصغر بالنسبة إلى التيمّم عن الأكبر غير الجنابة أو الحدث الأكبر غير المجانس فلمانعٍ أن يمنع ناقضيّتهما للتيمّم، وذلك لجواز التيمّم عن الأكبر غير الجنابة، فيستباح به دخول المساجد وقراءة العزائم، ويبقى الحدث الأصغر بحاله، فلا تجوز الصلاة إلّا بتيمّم آخَر، ومتى جاز في الابتداء جاز ولم ينقضه في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فتوى الفقهاء والرواية</w:t>
      </w:r>
      <w:r>
        <w:rPr>
          <w:rStyle w:val="FootnoteAnchor"/>
          <w:rtl w:val="true"/>
        </w:rPr>
        <w:footnoteReference w:id="2658"/>
      </w:r>
      <w:r>
        <w:rPr>
          <w:rFonts w:ascii="Amiri" w:hAnsi="Amiri" w:eastAsia="Amiri" w:cs="Amiri"/>
          <w:color w:val="111111"/>
          <w:sz w:val="28"/>
          <w:sz w:val="28"/>
          <w:szCs w:val="28"/>
          <w:rtl w:val="true"/>
          <w:lang w:bidi="ar-SA"/>
        </w:rPr>
        <w:t>بأنّ التيمّم ينقضه الحدث على إرادة التيمّم عن الجنابة أو المجانس، فينقض الحدث الأصغر التيمّم عن الأصغر، والأكبر التيمّم عن الأكبر المجانس، لا أنّ كلّ حدثٍ ينقض كلّ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فالتعدّي عمّا عليه إطلاق الفتوى والرواية لا يخلو من إشكالٍ</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3198315_1280447820"/>
      <w:bookmarkStart w:id="1254" w:name="_Toc484"/>
      <w:bookmarkEnd w:id="1253"/>
      <w:r>
        <w:rPr>
          <w:rtl w:val="true"/>
        </w:rPr>
        <w:t>سابعتها</w:t>
      </w:r>
      <w:r>
        <w:rPr>
          <w:rtl w:val="true"/>
        </w:rPr>
        <w:t xml:space="preserve">: </w:t>
      </w:r>
      <w:r>
        <w:rPr>
          <w:rtl w:val="true"/>
        </w:rPr>
        <w:t>جواز تيمّم واحد عن أغسال متعدّدة وعدم جواز تداخل التیمّم عن وضوءات متعدّدۀ</w:t>
      </w:r>
      <w:bookmarkEnd w:id="1254"/>
    </w:p>
    <w:p>
      <w:pPr>
        <w:pStyle w:val="BookText"/>
        <w:rPr/>
      </w:pPr>
      <w:r>
        <w:rPr>
          <w:rFonts w:ascii="Amiri" w:hAnsi="Amiri" w:eastAsia="Amiri" w:cs="Amiri"/>
          <w:color w:val="111111"/>
          <w:sz w:val="28"/>
          <w:sz w:val="28"/>
          <w:szCs w:val="28"/>
          <w:rtl w:val="true"/>
          <w:lang w:bidi="ar-SA"/>
        </w:rPr>
        <w:t>يجوز تيمّم واحد عن أغسال متعدّدة يجوز تداخلها، فينوي بالتيمّم البدليّة عن غسل واحد تداخلت فيه أغسال، أو ينوي البدليّة عن جميع الأغسال، أو ينوي تيمّماً واحداً تتداخل فيه تيمّمات متعدّدة بدلاً عن أغسال متعدّدة؛ كلّ ذلك لعموم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والتداخل فيه رخصة لا عزيمة، والأحوط الإتيان بالنية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تداخل التيمّم عن وضوءات متعدّدة بنذر وشبهه، ولا تداخله عن غسل و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تداخله عن وضوءات متعدّدة لأغسال متعدّدة متداخلة؛ لجواز تداخل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تيمّم عن غسل الجنابة وغيره لم يحتج إلى تيمّمٍ آخَر عن الوضوء لغير غسل الجنابة</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3198317_1280447820"/>
      <w:bookmarkStart w:id="1256" w:name="_Toc485"/>
      <w:bookmarkEnd w:id="1255"/>
      <w:r>
        <w:rPr>
          <w:rtl w:val="true"/>
        </w:rPr>
        <w:t>ثامنتها</w:t>
      </w:r>
      <w:r>
        <w:rPr>
          <w:rtl w:val="true"/>
        </w:rPr>
        <w:t xml:space="preserve">: </w:t>
      </w:r>
      <w:r>
        <w:rPr>
          <w:rtl w:val="true"/>
        </w:rPr>
        <w:t>عدم انتقاض التيمّم الصوري بالحدث الأصغر</w:t>
      </w:r>
      <w:bookmarkEnd w:id="1256"/>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الحدث الأصغر لا ينقض التيمّم الصوري، كالتيمّم للنوم وللصلاة على الجنازة على وجهٍ، وكذا لا ينقض ما كان بدلاً عن غسل أو وضوء غير رافعين ولا مبيحين عند عدم وجود الماء، بناءً على عموم بدليّة التيمّم عن كلّ مائيّة صوريّة أو حقيقيّة رافعة أو مبيحة أو غيرهما، كما هو الأقوى؛ لورود التيمّم للمجنب للنوم عند فقد الماء</w:t>
      </w:r>
      <w:r>
        <w:rPr>
          <w:rStyle w:val="FootnoteAnchor"/>
          <w:rtl w:val="true"/>
        </w:rPr>
        <w:footnoteReference w:id="2659"/>
      </w:r>
      <w:r>
        <w:rPr>
          <w:rFonts w:ascii="Amiri" w:hAnsi="Amiri" w:eastAsia="Amiri" w:cs="Amiri"/>
          <w:color w:val="111111"/>
          <w:sz w:val="28"/>
          <w:sz w:val="28"/>
          <w:szCs w:val="28"/>
          <w:rtl w:val="true"/>
          <w:lang w:bidi="ar-SA"/>
        </w:rPr>
        <w:t xml:space="preserve">فغيره بطريق أولى، ولعموم المنزلة القاضية بذلك، ولأنّ التراب طهور، فكلّ ما كان فيه تطهير قام مقامه، ولأنّه </w:t>
      </w:r>
      <w:bookmarkStart w:id="1257" w:name="pg18988_203645"/>
    </w:p>
    <w:p>
      <w:pPr>
        <w:pStyle w:val="BookText"/>
        <w:rPr/>
      </w:pPr>
      <w:bookmarkEnd w:id="1257"/>
      <w:r>
        <w:rPr>
          <w:rFonts w:ascii="Amiri" w:hAnsi="Amiri" w:eastAsia="Amiri" w:cs="Amiri"/>
          <w:color w:val="111111"/>
          <w:sz w:val="28"/>
          <w:sz w:val="28"/>
          <w:szCs w:val="28"/>
          <w:rtl w:val="true"/>
          <w:lang w:bidi="ar-SA"/>
        </w:rPr>
        <w:t>يجزئ عشر سنين، ومن البعيد ترك أكثر المندوبات فيها، وحينئذٍ فلا ينتقض التيمّم الغير رافع ولا مبيح كتيمّم الحائض بدلاً عن الوضوء، وتيمّم المجنب للأكل والشرب، والتيمّم للزيارة و دخول المشاهد بدلاً عن الغسل، والتيمّم بدلاً عن غسل الجمعة إذا وقع الحدث في أثنائه، والتيمّم بدلاً عن الغسل للسعي إلى رؤية المصلوب، والتيمّم بدلاً عن الغسل عند احتراق القرص، والتيمّم بدلاً عن أغسال الأزمان أو الأمكنة المندوبة إذا وقع الحدث في أثناء ذلك التيمّم</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3198319_1280447820"/>
      <w:bookmarkStart w:id="1259" w:name="_Toc486"/>
      <w:bookmarkEnd w:id="1258"/>
      <w:r>
        <w:rPr>
          <w:rtl w:val="true"/>
        </w:rPr>
        <w:t>تاسعتها</w:t>
      </w:r>
      <w:r>
        <w:rPr>
          <w:rtl w:val="true"/>
        </w:rPr>
        <w:t xml:space="preserve">: </w:t>
      </w:r>
      <w:r>
        <w:rPr>
          <w:rtl w:val="true"/>
        </w:rPr>
        <w:t>استحباب التيمّم للنوم ولصلوۀ الجنازۀ</w:t>
      </w:r>
      <w:bookmarkEnd w:id="1259"/>
    </w:p>
    <w:p>
      <w:pPr>
        <w:pStyle w:val="BookText"/>
        <w:rPr/>
      </w:pPr>
      <w:r>
        <w:rPr>
          <w:rFonts w:ascii="Amiri" w:hAnsi="Amiri" w:eastAsia="Amiri" w:cs="Amiri"/>
          <w:color w:val="111111"/>
          <w:sz w:val="28"/>
          <w:sz w:val="28"/>
          <w:szCs w:val="28"/>
          <w:rtl w:val="true"/>
          <w:lang w:bidi="ar-SA"/>
        </w:rPr>
        <w:t>يستحبّ التيمّم للنوم ولو مع وجود الماء، وقد ورد أنّه يتيمّم من دثارها</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يندب التيمّم للجنازة ، وقد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بيديه على حائط لبن فليتيمّم به</w:t>
      </w:r>
      <w:r>
        <w:rPr>
          <w:rFonts w:eastAsia="Amiri" w:cs="Amiri" w:ascii="Amiri" w:hAnsi="Amiri"/>
          <w:color w:val="111111"/>
          <w:sz w:val="28"/>
          <w:szCs w:val="28"/>
          <w:rtl w:val="true"/>
          <w:lang w:bidi="ar-SA"/>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لولا فتوى المشهور والإجماع المنقول</w:t>
      </w:r>
      <w:r>
        <w:rPr>
          <w:rStyle w:val="FootnoteAnchor"/>
          <w:rtl w:val="true"/>
        </w:rPr>
        <w:footnoteReference w:id="2662"/>
      </w:r>
      <w:r>
        <w:rPr>
          <w:rFonts w:ascii="Amiri" w:hAnsi="Amiri" w:eastAsia="Amiri" w:cs="Amiri"/>
          <w:color w:val="111111"/>
          <w:sz w:val="28"/>
          <w:sz w:val="28"/>
          <w:szCs w:val="28"/>
          <w:rtl w:val="true"/>
          <w:lang w:bidi="ar-SA"/>
        </w:rPr>
        <w:t>على استحبابهما مع وجود الماء ومع عدمه لكان تقييده بعدم وجدان الماء أو خوف فوت الجنازة حسناً</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3198321_1280447820"/>
      <w:bookmarkStart w:id="1261" w:name="_Toc487"/>
      <w:bookmarkEnd w:id="1260"/>
      <w:r>
        <w:rPr>
          <w:rtl w:val="true"/>
        </w:rPr>
        <w:t>عاشرتها</w:t>
      </w:r>
      <w:r>
        <w:rPr>
          <w:rtl w:val="true"/>
        </w:rPr>
        <w:t xml:space="preserve">: </w:t>
      </w:r>
      <w:r>
        <w:rPr>
          <w:rtl w:val="true"/>
        </w:rPr>
        <w:t>حکم ما إذا اجتمع ميّت ومحدث وجنب وكان عندهم ماء لا يكفي إلّا أحدهم</w:t>
      </w:r>
      <w:bookmarkEnd w:id="1261"/>
    </w:p>
    <w:p>
      <w:pPr>
        <w:pStyle w:val="BookText"/>
        <w:rPr/>
      </w:pPr>
      <w:r>
        <w:rPr>
          <w:rFonts w:ascii="Amiri" w:hAnsi="Amiri" w:eastAsia="Amiri" w:cs="Amiri"/>
          <w:color w:val="111111"/>
          <w:sz w:val="28"/>
          <w:sz w:val="28"/>
          <w:szCs w:val="28"/>
          <w:rtl w:val="true"/>
          <w:lang w:bidi="ar-SA"/>
        </w:rPr>
        <w:t>إذا اجتمع ميّت ومحدث وجنب وكان عندهم ماء لا يكفي إلّا أحدهم، فإن كان ملكاً لأحدهم اختصّ به، ويحرم بذله لغيره بعد دخول الوقت واليأس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جوازه قبله مع اليأس وجه، والأحوط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مباحاً وجبت المبادرة إليه بعد دخول الوقت ، فمن حازه ملكه، وجرى فيه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في تقديم الجنب</w:t>
      </w:r>
      <w:r>
        <w:rPr>
          <w:rStyle w:val="FootnoteAnchor"/>
          <w:rtl w:val="true"/>
        </w:rPr>
        <w:footnoteReference w:id="2663"/>
      </w:r>
      <w:r>
        <w:rPr>
          <w:rFonts w:ascii="Amiri" w:hAnsi="Amiri" w:eastAsia="Amiri" w:cs="Amiri"/>
          <w:color w:val="111111"/>
          <w:sz w:val="28"/>
          <w:sz w:val="28"/>
          <w:szCs w:val="28"/>
          <w:rtl w:val="true"/>
          <w:lang w:bidi="ar-SA"/>
        </w:rPr>
        <w:t>، مطلقاً،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حازوه دفعةً ملكوه على وجه الشركة، ولكلٍّ منهم الخيار في بذل حصّته لمن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مملوكاً لهم ابتداءً، وكذا لو كان مملوكاً لغيرهم و أراد بذله فإنّ له بذله لمن شاء، ولا يجب عليه؛ للأصل والعموم، وضعف الرواية عن إثبات الوجوب، مع عدم القول به من الأصحاب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هو على سبيل التخيير من دون أولويّة؛ لتزاحم الحقوق وتساويها، أو أنّ الجنب أولى؛ للصحيح القاضي بتقديمه وتيمّم الميّت والمحدث، المعلّل بأنّ غسل الجنابة فريضة </w:t>
      </w:r>
    </w:p>
    <w:p>
      <w:pPr>
        <w:pStyle w:val="BookText"/>
        <w:rPr/>
      </w:pPr>
      <w:r>
        <w:rPr>
          <w:rFonts w:ascii="Amiri" w:hAnsi="Amiri" w:eastAsia="Amiri" w:cs="Amiri"/>
          <w:color w:val="111111"/>
          <w:sz w:val="28"/>
          <w:sz w:val="28"/>
          <w:szCs w:val="28"/>
          <w:rtl w:val="true"/>
          <w:lang w:bidi="ar-SA"/>
        </w:rPr>
        <w:t xml:space="preserve">وغسل الميّت سنّة </w:t>
      </w:r>
      <w:r>
        <w:rPr>
          <w:rStyle w:val="FootnoteAnchor"/>
          <w:rtl w:val="true"/>
        </w:rPr>
        <w:footnoteReference w:id="2664"/>
      </w:r>
      <w:r>
        <w:rPr>
          <w:rFonts w:ascii="Amiri" w:hAnsi="Amiri" w:eastAsia="Amiri" w:cs="Amiri"/>
          <w:color w:val="111111"/>
          <w:sz w:val="28"/>
          <w:sz w:val="28"/>
          <w:szCs w:val="28"/>
          <w:rtl w:val="true"/>
          <w:lang w:bidi="ar-SA"/>
        </w:rPr>
        <w:t>، و نحوه غيره</w:t>
      </w:r>
      <w:r>
        <w:rPr>
          <w:rStyle w:val="FootnoteAnchor"/>
          <w:rtl w:val="true"/>
        </w:rPr>
        <w:footnoteReference w:id="2665"/>
      </w:r>
      <w:r>
        <w:rPr>
          <w:rFonts w:ascii="Amiri" w:hAnsi="Amiri" w:eastAsia="Amiri" w:cs="Amiri"/>
          <w:color w:val="111111"/>
          <w:sz w:val="28"/>
          <w:sz w:val="28"/>
          <w:szCs w:val="28"/>
          <w:rtl w:val="true"/>
          <w:lang w:bidi="ar-SA"/>
        </w:rPr>
        <w:t xml:space="preserve">من الأخبار المتكثّرة المشهورة نقلاً </w:t>
      </w:r>
      <w:r>
        <w:rPr>
          <w:rStyle w:val="FootnoteAnchor"/>
          <w:rtl w:val="true"/>
        </w:rPr>
        <w:footnoteReference w:id="2666"/>
      </w:r>
      <w:r>
        <w:rPr>
          <w:rFonts w:ascii="Amiri" w:hAnsi="Amiri" w:eastAsia="Amiri" w:cs="Amiri"/>
          <w:color w:val="111111"/>
          <w:sz w:val="28"/>
          <w:sz w:val="28"/>
          <w:szCs w:val="28"/>
          <w:rtl w:val="true"/>
          <w:lang w:bidi="ar-SA"/>
        </w:rPr>
        <w:t>وفتوىً، المؤيّدة بالاعتبار، وهو تعلّق الخطاب بالحيّ دون الميّت فيقدّم عليه، ولأنّ غسل الجنابة يفيد طهارة البدن واستباحة العبادة، دون غسل الميّت فلا يفيد إلّا الأوّل؟</w:t>
      </w:r>
    </w:p>
    <w:p>
      <w:pPr>
        <w:pStyle w:val="BookText"/>
        <w:rPr/>
      </w:pPr>
      <w:r>
        <w:rPr>
          <w:rFonts w:ascii="Amiri" w:hAnsi="Amiri" w:eastAsia="Amiri" w:cs="Amiri"/>
          <w:color w:val="111111"/>
          <w:sz w:val="28"/>
          <w:sz w:val="28"/>
          <w:szCs w:val="28"/>
          <w:rtl w:val="true"/>
          <w:lang w:bidi="ar-SA"/>
        </w:rPr>
        <w:t>وبهذا يظهر ضعف القول بتقديم الميّت للخبر الآمر بتقديمه</w:t>
      </w:r>
      <w:r>
        <w:rPr>
          <w:rStyle w:val="FootnoteAnchor"/>
          <w:rtl w:val="true"/>
        </w:rPr>
        <w:footnoteReference w:id="2667"/>
      </w:r>
      <w:r>
        <w:rPr>
          <w:rFonts w:ascii="Amiri" w:hAnsi="Amiri" w:eastAsia="Amiri" w:cs="Amiri"/>
          <w:color w:val="111111"/>
          <w:sz w:val="28"/>
          <w:sz w:val="28"/>
          <w:szCs w:val="28"/>
          <w:rtl w:val="true"/>
          <w:lang w:bidi="ar-SA"/>
        </w:rPr>
        <w:t>، ولعدم إمكان استدراك طهارة الميّت دون الجنب فيقدّم عليه؛ لضعف الخبر والتعليل عن مقاومة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ضعف القول بالتخيير من دون أولويّةٍ؛ لتعارض الأخبار؛ لأنّه لا معارضة مع وجود المرجّح لأحدها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ضعف ترجيح المحدث بالأصغر؛ لضعف مستنده، وعدم معرفة قائلٍ به من أصحابنا، فلا بدّ من طرح الخبر</w:t>
      </w:r>
      <w:r>
        <w:rPr>
          <w:rStyle w:val="FootnoteAnchor"/>
          <w:rtl w:val="true"/>
        </w:rPr>
        <w:footnoteReference w:id="2668"/>
      </w:r>
      <w:r>
        <w:rPr>
          <w:rFonts w:ascii="Amiri" w:hAnsi="Amiri" w:eastAsia="Amiri" w:cs="Amiri"/>
          <w:color w:val="111111"/>
          <w:sz w:val="28"/>
          <w:sz w:val="28"/>
          <w:szCs w:val="28"/>
          <w:rtl w:val="true"/>
          <w:lang w:bidi="ar-SA"/>
        </w:rPr>
        <w:t>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حكم الماء الموصى به، أو المنذور للأحوج، أو الراجح شرعاً،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 استعماله للجميع بأن يجمع الماء المستعمل فيستعمله الآخَر، فالظاهر أنّه يكون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معهم محدث بالأكبر غير الجنابة، أو اجتمع معهم متنجّس بثيابه أو بدنه، أو كان الموجود غير الماء من تراب ونحوه عند فقده، فلا يبعد أولويّة الجنب مطلقاً؛ لمكان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ميّت ومحدث بالأصغر فقط أو بالأكبر غير الجنابة، أو ميّت و متنجّس، أو محدث بالأصغر أو الأكبر مع متنجّس، أو محدثان بالأكبر غير الجنابة مع بعضهم بعضاً، أو غير ذلك، فالظاهر تقديم ما هو فريضة دون ما هو سنّة، و إلّا نظر للأهمّ فالأهمّ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لمالك الماء إذا وفت حصّته به بذله؛ لعموم الأدلّة و فتوى الأصحاب، وظاهر الرواية</w:t>
      </w:r>
      <w:r>
        <w:rPr>
          <w:rStyle w:val="FootnoteAnchor"/>
          <w:rtl w:val="true"/>
        </w:rPr>
        <w:footnoteReference w:id="2669"/>
      </w:r>
      <w:r>
        <w:rPr>
          <w:rFonts w:ascii="Amiri" w:hAnsi="Amiri" w:eastAsia="Amiri" w:cs="Amiri"/>
          <w:color w:val="111111"/>
          <w:sz w:val="28"/>
          <w:sz w:val="28"/>
          <w:szCs w:val="28"/>
          <w:rtl w:val="true"/>
          <w:lang w:bidi="ar-SA"/>
        </w:rPr>
        <w:t>متروك، ولو فَعَل حراماً وبذله حلّ للمبذول له على الأقوى</w:t>
      </w:r>
      <w:r>
        <w:rPr>
          <w:rFonts w:eastAsia="Amiri" w:cs="Amiri" w:ascii="Amiri" w:hAnsi="Amiri"/>
          <w:color w:val="111111"/>
          <w:sz w:val="28"/>
          <w:szCs w:val="28"/>
          <w:rtl w:val="true"/>
          <w:lang w:bidi="ar-SA"/>
        </w:rPr>
        <w:t xml:space="preserve">. </w:t>
      </w:r>
      <w:bookmarkStart w:id="1262" w:name="pg18988_203647"/>
    </w:p>
    <w:p>
      <w:pPr>
        <w:pStyle w:val="Heading4"/>
        <w:numPr>
          <w:ilvl w:val="3"/>
          <w:numId w:val="1"/>
        </w:numPr>
        <w:rPr/>
      </w:pPr>
      <w:bookmarkStart w:id="1263" w:name="__RefHeading___Toc13198323_1280447820"/>
      <w:bookmarkStart w:id="1264" w:name="_Toc488"/>
      <w:bookmarkEnd w:id="1262"/>
      <w:bookmarkEnd w:id="1263"/>
      <w:r>
        <w:rPr>
          <w:rtl w:val="true"/>
        </w:rPr>
        <w:t>حادي عشرها</w:t>
      </w:r>
      <w:r>
        <w:rPr>
          <w:rtl w:val="true"/>
        </w:rPr>
        <w:t xml:space="preserve">: </w:t>
      </w:r>
      <w:r>
        <w:rPr>
          <w:rtl w:val="true"/>
        </w:rPr>
        <w:t>فی أنّ مَنْ تيمّم تيمّماً صحيحاً موافقاً للأدلّة الشرعيّة وصلّى مضى تيمّمه و صحّت صلاته</w:t>
      </w:r>
      <w:bookmarkEnd w:id="1264"/>
    </w:p>
    <w:p>
      <w:pPr>
        <w:pStyle w:val="BookText"/>
        <w:rPr/>
      </w:pPr>
      <w:r>
        <w:rPr>
          <w:rFonts w:ascii="Amiri" w:hAnsi="Amiri" w:eastAsia="Amiri" w:cs="Amiri"/>
          <w:color w:val="111111"/>
          <w:sz w:val="28"/>
          <w:sz w:val="28"/>
          <w:szCs w:val="28"/>
          <w:rtl w:val="true"/>
          <w:lang w:bidi="ar-SA"/>
        </w:rPr>
        <w:t>مَنْ تيمّم تيمّماً صحيحاً موافقاً للأدلّة الشرعيّة وصلّى، مضى تيمّمه و صحّت صلاته؛ للإجماع والأخبار</w:t>
      </w:r>
      <w:r>
        <w:rPr>
          <w:rStyle w:val="FootnoteAnchor"/>
          <w:rtl w:val="true"/>
        </w:rPr>
        <w:footnoteReference w:id="2670"/>
      </w:r>
      <w:r>
        <w:rPr>
          <w:rFonts w:ascii="Amiri" w:hAnsi="Amiri" w:eastAsia="Amiri" w:cs="Amiri"/>
          <w:color w:val="111111"/>
          <w:sz w:val="28"/>
          <w:sz w:val="28"/>
          <w:szCs w:val="28"/>
          <w:rtl w:val="true"/>
          <w:lang w:bidi="ar-SA"/>
        </w:rPr>
        <w:t>وكلام الأصحاب، ولاقتضاء الامتثال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تيمّم تيمّماً عذريّاً ظاهريّاً تخيّل مطابقته للدليل الشرعي فأخطأ في ظنّه، كان عليه بمقتضى القواعد إعادة الصلاة؛ لأنّ الشرائط الأصل فيها أن تكون واقعيّةً لا علميّةً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فمَنْ تيمّم لفقد الماء حقيقةً في الضيق أو السعة فصلّى، مضت صلاته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لبعض الأصحاب القول بالإعادة</w:t>
      </w:r>
      <w:r>
        <w:rPr>
          <w:rStyle w:val="FootnoteAnchor"/>
          <w:rtl w:val="true"/>
        </w:rPr>
        <w:footnoteReference w:id="2671"/>
      </w:r>
      <w:r>
        <w:rPr>
          <w:rFonts w:ascii="Amiri" w:hAnsi="Amiri" w:eastAsia="Amiri" w:cs="Amiri"/>
          <w:color w:val="111111"/>
          <w:sz w:val="28"/>
          <w:sz w:val="28"/>
          <w:szCs w:val="28"/>
          <w:rtl w:val="true"/>
          <w:lang w:bidi="ar-SA"/>
        </w:rPr>
        <w:t>للصحيح و الموثّق الدالّين على الإعادة في الوقت دون خارجه</w:t>
      </w:r>
      <w:r>
        <w:rPr>
          <w:rStyle w:val="FootnoteAnchor"/>
          <w:rtl w:val="true"/>
        </w:rPr>
        <w:footnoteReference w:id="2672"/>
      </w:r>
      <w:r>
        <w:rPr>
          <w:rFonts w:ascii="Amiri" w:hAnsi="Amiri" w:eastAsia="Amiri" w:cs="Amiri"/>
          <w:color w:val="111111"/>
          <w:sz w:val="28"/>
          <w:sz w:val="28"/>
          <w:szCs w:val="28"/>
          <w:rtl w:val="true"/>
          <w:lang w:bidi="ar-SA"/>
        </w:rPr>
        <w:t>، كما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ضعفه على القول بالتوسعة؛ لعدم مقاومة الخبرين للأخبار المتكثّرة الدالّة على عدم الإعادة فلتُحمل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للمرتضى القول بأنّ الحاضر إذا تيمّم لفقد الماء و صلّى وجبت عليه الإعادة إذا وجده</w:t>
      </w:r>
      <w:r>
        <w:rPr>
          <w:rStyle w:val="FootnoteAnchor"/>
          <w:rtl w:val="true"/>
        </w:rPr>
        <w:footnoteReference w:id="2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لخلوّه عن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للشيخ وجوب الإعادة على مَنْ تعمّد الجنابة وتيمّم خوفاً على نفسه من البرد أو غيره وصلّى</w:t>
      </w:r>
      <w:r>
        <w:rPr>
          <w:rStyle w:val="FootnoteAnchor"/>
          <w:rtl w:val="true"/>
        </w:rPr>
        <w:footnoteReference w:id="2674"/>
      </w:r>
      <w:r>
        <w:rPr>
          <w:rFonts w:ascii="Amiri" w:hAnsi="Amiri" w:eastAsia="Amiri" w:cs="Amiri"/>
          <w:color w:val="111111"/>
          <w:sz w:val="28"/>
          <w:sz w:val="28"/>
          <w:szCs w:val="28"/>
          <w:rtl w:val="true"/>
          <w:lang w:bidi="ar-SA"/>
        </w:rPr>
        <w:t>تمسّكاً بالرواية الدالّة على ذلك</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صلاحيّة الرواية لمعارضة الأدلّة القويّة، فلتُحمل على الندب</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للشيخ أنّ مَنْ منعه زحام الجمعة تيمّم و صلّى ثمّ يعيد</w:t>
      </w:r>
      <w:r>
        <w:rPr>
          <w:rStyle w:val="FootnoteAnchor"/>
          <w:rtl w:val="true"/>
        </w:rPr>
        <w:footnoteReference w:id="2676"/>
      </w:r>
      <w:r>
        <w:rPr>
          <w:rFonts w:ascii="Amiri" w:hAnsi="Amiri" w:eastAsia="Amiri" w:cs="Amiri"/>
          <w:color w:val="111111"/>
          <w:sz w:val="28"/>
          <w:sz w:val="28"/>
          <w:szCs w:val="28"/>
          <w:rtl w:val="true"/>
          <w:lang w:bidi="ar-SA"/>
        </w:rPr>
        <w:t>للرواية الدالّة على ذلك</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 xml:space="preserve">. </w:t>
      </w:r>
      <w:bookmarkStart w:id="1265" w:name="pg18988_203648"/>
    </w:p>
    <w:p>
      <w:pPr>
        <w:pStyle w:val="BookText"/>
        <w:rPr/>
      </w:pPr>
      <w:bookmarkEnd w:id="1265"/>
      <w:r>
        <w:rPr>
          <w:rFonts w:ascii="Amiri" w:hAnsi="Amiri" w:eastAsia="Amiri" w:cs="Amiri"/>
          <w:color w:val="111111"/>
          <w:sz w:val="28"/>
          <w:sz w:val="28"/>
          <w:szCs w:val="28"/>
          <w:rtl w:val="true"/>
          <w:lang w:bidi="ar-SA"/>
        </w:rPr>
        <w:t>وضعفه ظاهر؛ لعدم قوّة الرواية لمعارضة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للشيخ أنّ مَنْ كان عليه ثوب نجس لا يقدر على نزعه فصلّى فيه يعيد الصلاة عند التمكّن من غسله</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لعدم مقاومته لما دلّ على الإجزاء وعدم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لابن الجنيد وجوب الإعادة على مَنْ تيمّم لغلوّ قيمة الماء فصلّى، يعيد الصلاة</w:t>
      </w:r>
      <w:r>
        <w:rPr>
          <w:rStyle w:val="FootnoteAnchor"/>
          <w:rtl w:val="true"/>
        </w:rPr>
        <w:footnoteReference w:id="2679"/>
      </w:r>
      <w:r>
        <w:rPr>
          <w:rFonts w:ascii="IRNazanin" w:hAnsi="IRNazanin" w:eastAsia="IRNazanin"/>
          <w:color w:val="111111"/>
          <w:sz w:val="28"/>
          <w:sz w:val="28"/>
          <w:szCs w:val="28"/>
          <w:rtl w:val="true"/>
          <w:lang w:bidi="fa-IR"/>
        </w:rPr>
        <w:t>إذا وجده بثمن مناسب</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للمشهور أنّ مَنْ أخل بالطلب حتّى ضاق الوقت فتيمّم وصلّى ثمّ وجد الماء في محلّ الطلب أو في رحله يعيد عند وجدانه</w:t>
      </w:r>
      <w:r>
        <w:rPr>
          <w:rStyle w:val="FootnoteAnchor"/>
          <w:rtl w:val="true"/>
        </w:rPr>
        <w:footnoteReference w:id="2681"/>
      </w:r>
      <w:r>
        <w:rPr>
          <w:rFonts w:ascii="Amiri" w:hAnsi="Amiri" w:eastAsia="Amiri" w:cs="Amiri"/>
          <w:color w:val="111111"/>
          <w:sz w:val="28"/>
          <w:sz w:val="28"/>
          <w:szCs w:val="28"/>
          <w:rtl w:val="true"/>
          <w:lang w:bidi="ar-SA"/>
        </w:rPr>
        <w:t>لرواية أبي بصير، الواردة فيمن تيمّم و صلّى و قد نسي الماء فذكره بعد ذلك، أنّه يعيد</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قوي، إلّا أنّ حمله على الندب عند الضيق أولى</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3198325_1280447820"/>
      <w:bookmarkStart w:id="1267" w:name="_Toc489"/>
      <w:bookmarkEnd w:id="1266"/>
      <w:r>
        <w:rPr>
          <w:rtl w:val="true"/>
        </w:rPr>
        <w:t>ثاني عشرها</w:t>
      </w:r>
      <w:r>
        <w:rPr>
          <w:rtl w:val="true"/>
        </w:rPr>
        <w:t xml:space="preserve">: </w:t>
      </w:r>
      <w:r>
        <w:rPr>
          <w:rtl w:val="true"/>
        </w:rPr>
        <w:t>حکم ما لو وجد المتيمّم الماء بعد فقده وتمكّن من استعماله</w:t>
      </w:r>
      <w:bookmarkEnd w:id="1267"/>
    </w:p>
    <w:p>
      <w:pPr>
        <w:pStyle w:val="BookText"/>
        <w:rPr/>
      </w:pPr>
      <w:r>
        <w:rPr>
          <w:rFonts w:ascii="Amiri" w:hAnsi="Amiri" w:eastAsia="Amiri" w:cs="Amiri"/>
          <w:color w:val="111111"/>
          <w:sz w:val="28"/>
          <w:sz w:val="28"/>
          <w:szCs w:val="28"/>
          <w:rtl w:val="true"/>
          <w:lang w:bidi="ar-SA"/>
        </w:rPr>
        <w:t>لو وجد المتيمّم الماء بعد فقده وتمكّن من استعماله، فإمّا أن يجده قبل دخوله في الصلاة حال السعة، فلا شكّ في انتقاض تيمّمه و وجوب استعمال الماء، حتّى أنّه لو لم يستعمله ففقده بعد ذلك لزمه تيمّم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إجماع الأصحاب، والصحيح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ورجا أن يقدر على ماء آخر وظنّ أنّه يقدر عليه فلمّا أراده تعسّر عليه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 ذلك تيمّمه، وعليه أن يعيد التيمّم</w:t>
      </w:r>
      <w:r>
        <w:rPr>
          <w:rFonts w:eastAsia="Amiri" w:cs="Amiri" w:ascii="Amiri" w:hAnsi="Amiri"/>
          <w:color w:val="111111"/>
          <w:sz w:val="28"/>
          <w:szCs w:val="28"/>
          <w:rtl w:val="true"/>
          <w:lang w:bidi="ar-SA"/>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يجده بعد تمام الصلاة، والأظهر هاهنا والأشهر مضيّ الصلاة من غير إعادة، خلافاً لشاذٍّ من أصحابنا وقد تقدّم</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إمّا أن يجده قبل الصلاة ولكن في الضيق عن استعماله وإدراك تمام الصلاة أو إدراك ركعة على الوجهين، فالظاهر هاهنا عدم انتقاض التيمّم ولزوم البدار إلى الصلاة؛ لأهمّيّة أدائها عند الشارع، والظاهر كفاية الضيق عن إدراك المائيّة وجميع الصلاة في عدم انتقاض التيمّم ولا الضيق عن المائيّة وإدراك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هذه الصلاة التي يريد فعلها في الوقت، وأمّا بالنسبة إلى غيرها من الصلوات فهل ينتقض التيمّم بالنسبة إليها، أو يبقى حكمه كما إذا فقد الماء بعد هذه الصلاة بلا فصل؟ و 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الانتقاض مطلقاً؛ لأنّ المانع الشرعي كالمانع العقلي، إلّا في صورة ما إذا تمكّن من الصلاة واستعمال المائيّة في أثنائها من دون إبطال لها، كما إذا أمكن فعلها من دون فعل كثير أو لزوم استدبار أو غيره من قواطع الصلاة، فإنّ القول بالانتقاض هاهنا قويّ؛ لحصول الطهارة المائيّة وإمكان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ينتقض التيمّم لو وجده قبل الصلاة بمقدار زمان لا يتمكّن من الطهارة به لقصره، فإنّه لا ينتقض التيمّم أيضاً؛ استصحاباً لحكمه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جاء من أنّ الماء ناقض عند وجوده</w:t>
      </w:r>
      <w:r>
        <w:rPr>
          <w:rStyle w:val="FootnoteAnchor"/>
          <w:rtl w:val="true"/>
        </w:rPr>
        <w:footnoteReference w:id="2685"/>
      </w:r>
      <w:r>
        <w:rPr>
          <w:rFonts w:ascii="Amiri" w:hAnsi="Amiri" w:eastAsia="Amiri" w:cs="Amiri"/>
          <w:color w:val="111111"/>
          <w:sz w:val="28"/>
          <w:sz w:val="28"/>
          <w:szCs w:val="28"/>
          <w:rtl w:val="true"/>
          <w:lang w:bidi="ar-SA"/>
        </w:rPr>
        <w:t>، منزَّل على صورة إمكان استعماله وسعة الوقت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يجده في الوقت الموسّع و هو في مقدّمات الصلاة قبل انتهاء تكبيرة الإحرام، فالظاهر هاهنا الانتقاض؛ لعدم انعقاد الصلاة قبل انتهاء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يتفاوت الحال بين كون المقدّمات ممّا يحرم قطعها أو ممّا لا يحرم؛ لأنّ تحريم القطع ليس من مسوّغات التيمّم، لبطلان العمل في نفسه، فلا يدخل تحت وَ لَا تُبْطِلُوا أَعْمَالَكُمْ</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يتمشّى الحكم لكلّ عمل يحرم قطعه؛ فإنّ الظاهر أنّ الماء ينقض التيمّم فيبطل العمل المبنيّ عليه ما لم يكن العمل وقته مضيّقاً فيفاجئه الماء عند الضيق ولا يتمكّن فيه من استعماله حال تلبسه به، فإنّه يكون حكمه حكم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انتقاض التيمّم بالماء للمصلّي في الجملة إنّما جاء به الدليل كما سيجيء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تحريم قطعها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بانتقاض التيمّم وبطلان العمل انتقاضه من حينه لا من أصله، فيصحّ ما مضى من العمل ويبطل الباقي ما لم تكن الموالاة شرطاً فيه بحيث لا يمكن تجزئته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أن يجده بعد الدخول في الصلاة وانعقادها بتمام تكبيرة الإحرام سواء قرأ أو لم يقرأ، و الظاهر هاهنا انتقاض تيمّمه؛ للدليل الدالّ بإطلاقه على أن وجود الماء ناقض، فهو كالحدث ناقض متى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ما دلّ على تحريم إبطال العمل</w:t>
      </w:r>
      <w:r>
        <w:rPr>
          <w:rStyle w:val="FootnoteAnchor"/>
          <w:rtl w:val="true"/>
        </w:rPr>
        <w:footnoteReference w:id="2687"/>
      </w:r>
      <w:r>
        <w:rPr>
          <w:rFonts w:ascii="Amiri" w:hAnsi="Amiri" w:eastAsia="Amiri" w:cs="Amiri"/>
          <w:color w:val="111111"/>
          <w:sz w:val="28"/>
          <w:sz w:val="28"/>
          <w:szCs w:val="28"/>
          <w:rtl w:val="true"/>
          <w:lang w:bidi="ar-SA"/>
        </w:rPr>
        <w:t>، وعلى تحريم إبطال الصلاة</w:t>
      </w:r>
      <w:r>
        <w:rPr>
          <w:rStyle w:val="FootnoteAnchor"/>
          <w:rtl w:val="true"/>
        </w:rPr>
        <w:footnoteReference w:id="2688"/>
      </w:r>
      <w:r>
        <w:rPr>
          <w:rFonts w:ascii="Amiri" w:hAnsi="Amiri" w:eastAsia="Amiri" w:cs="Amiri"/>
          <w:color w:val="111111"/>
          <w:sz w:val="28"/>
          <w:sz w:val="28"/>
          <w:szCs w:val="28"/>
          <w:rtl w:val="true"/>
          <w:lang w:bidi="ar-SA"/>
        </w:rPr>
        <w:t>لانصرافهما إلى صدور الإبطال والقطع بالاختيار بعد ثبوت الصحّة، وأمّا لو جاء البطلان لنفسه من جهة فقدان شرط أو وجود مانع فذلك بطلان لا إبطال، فلا يدخل تحت ما دلّ على منع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النهي عن الإبطال جاء على سبيل الإطلاق فيكون الإبطال ممنوعاً منه شرعاً، والمانع الشرعي كالمانع العقلي مسوّغ للتيمّم، ولا ينقض التيمّم ما دام متحقّقاً فلا تنتقض الصلاة، مردودة بأنّ تحريم الإبطال موقوف على صحّة التيمّم، فلو توقّفت صحّة التيمّم عليه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يعارضه استصحاب إباحة التيمّم أو استصحاب صحّة الصلاة ؛ لأنّ الإباحة و الصحّة إنّما وقعا على وجهٍ خاصّ وهو ما دام الماء مفقوداً، وأمّا مع وجوده فيتغيّر الموضوع وينقطع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يعارضه رواية محمّد بن حمران، الدالّة على أنّ مَنْ تيمّم ودخل في الصلاة فأُتي له بالماء يمضي في الصلاة، وليس ينبغي لأحدٍ أن يتيمّم إلّا في آخَر الوقت</w:t>
      </w:r>
      <w:r>
        <w:rPr>
          <w:rStyle w:val="FootnoteAnchor"/>
          <w:rtl w:val="true"/>
        </w:rPr>
        <w:footnoteReference w:id="2689"/>
      </w:r>
      <w:r>
        <w:rPr>
          <w:rFonts w:ascii="Amiri" w:hAnsi="Amiri" w:eastAsia="Amiri" w:cs="Amiri"/>
          <w:color w:val="111111"/>
          <w:sz w:val="28"/>
          <w:sz w:val="28"/>
          <w:szCs w:val="28"/>
          <w:rtl w:val="true"/>
          <w:lang w:bidi="ar-SA"/>
        </w:rPr>
        <w:t>، وكذا رواية الفقه الرضوي</w:t>
      </w:r>
      <w:r>
        <w:rPr>
          <w:rStyle w:val="FootnoteAnchor"/>
          <w:rtl w:val="true"/>
        </w:rPr>
        <w:footnoteReference w:id="2690"/>
      </w:r>
      <w:r>
        <w:rPr>
          <w:rFonts w:ascii="Amiri" w:hAnsi="Amiri" w:eastAsia="Amiri" w:cs="Amiri"/>
          <w:color w:val="111111"/>
          <w:sz w:val="28"/>
          <w:sz w:val="28"/>
          <w:szCs w:val="28"/>
          <w:rtl w:val="true"/>
          <w:lang w:bidi="ar-SA"/>
        </w:rPr>
        <w:t>، الدالّة على ذلك؛ لضعفهما سنداً؛ لاشتراك محمّد بن حمران بين النهدي الثقة وبين غيره، ولا قرينة تُعيّن أنه الثقة، ولمعلوميّة ضعف الرضوي، وضعفهما دلالةً؛ لأنّهما مطلقان وقد جاء ما يقيّدهما من التفصيل بين الوصول إلى الركوع فلا ينتقض التيمّم وبين عدم الوصول فينتقض</w:t>
      </w:r>
      <w:r>
        <w:rPr>
          <w:rStyle w:val="FootnoteAnchor"/>
          <w:rtl w:val="true"/>
        </w:rPr>
        <w:footnoteReference w:id="2691"/>
      </w:r>
      <w:r>
        <w:rPr>
          <w:rFonts w:ascii="Amiri" w:hAnsi="Amiri" w:eastAsia="Amiri" w:cs="Amiri"/>
          <w:color w:val="111111"/>
          <w:sz w:val="28"/>
          <w:sz w:val="28"/>
          <w:szCs w:val="28"/>
          <w:rtl w:val="true"/>
          <w:lang w:bidi="ar-SA"/>
        </w:rPr>
        <w:t>، والمقيّد أقوى دلالةً من المطلق</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بحمل المطلق على المقيّد خيرٌ من إبقاء المطلق على إطلاقه، وحمل المقيّد على الندب كما حقّق في محلّه، سيّما لو كان المقيّد أقوى سنداً وأكثر عدداً كما هو هاهنا هكذا، ولاحتمال حمل رواية محمّد بن حمران على ضيق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يعارضه ما ورد في الصحيح فيمن تيمّم وصلّى ركعتين ثمّ فاجأه الماء أنّه يمضي في صلاته فيتمّها ولا ينقضها؛ لمكان أنّه دخلها وهو على طهور</w:t>
      </w:r>
      <w:r>
        <w:rPr>
          <w:rStyle w:val="FootnoteAnchor"/>
          <w:rtl w:val="true"/>
        </w:rPr>
        <w:footnoteReference w:id="2692"/>
      </w:r>
      <w:r>
        <w:rPr>
          <w:rFonts w:ascii="Amiri" w:hAnsi="Amiri" w:eastAsia="Amiri" w:cs="Amiri"/>
          <w:color w:val="111111"/>
          <w:sz w:val="28"/>
          <w:sz w:val="28"/>
          <w:szCs w:val="28"/>
          <w:rtl w:val="true"/>
          <w:lang w:bidi="ar-SA"/>
        </w:rPr>
        <w:t>لأنّ عموم هذا التعليل مخصوص بما دلّ على التفصيل بين الوصول إلى محلّ الركوع وبين عدمه</w:t>
      </w:r>
      <w:r>
        <w:rPr>
          <w:rStyle w:val="FootnoteAnchor"/>
          <w:rtl w:val="true"/>
        </w:rPr>
        <w:footnoteReference w:id="2693"/>
      </w:r>
      <w:r>
        <w:rPr>
          <w:rFonts w:ascii="Amiri" w:hAnsi="Amiri" w:eastAsia="Amiri" w:cs="Amiri"/>
          <w:color w:val="111111"/>
          <w:sz w:val="28"/>
          <w:sz w:val="28"/>
          <w:szCs w:val="28"/>
          <w:rtl w:val="true"/>
          <w:lang w:bidi="ar-SA"/>
        </w:rPr>
        <w:t xml:space="preserve">، والخاصّ مقدّم على العامّ، مع احتمال إرادة الدخول في الركوع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الفرد الأكمل، وقد ورد أنّ أوّل الصلاة الركوع</w:t>
      </w:r>
      <w:r>
        <w:rPr>
          <w:rStyle w:val="FootnoteAnchor"/>
          <w:rtl w:val="true"/>
        </w:rPr>
        <w:footnoteReference w:id="2694"/>
      </w:r>
      <w:r>
        <w:rPr>
          <w:rFonts w:ascii="IRNazanin" w:hAnsi="IRNazanin" w:eastAsia="IRNazanin"/>
          <w:color w:val="111111"/>
          <w:sz w:val="28"/>
          <w:sz w:val="28"/>
          <w:szCs w:val="28"/>
          <w:rtl w:val="true"/>
          <w:lang w:bidi="fa-IR"/>
        </w:rPr>
        <w:t>، وأنّه ثلثها</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أن يجد الماء بعد أن ركع، والأظهر هاهنا المضيّ على الصلاة وعدم الإعادة؛ للأخبار</w:t>
      </w:r>
      <w:r>
        <w:rPr>
          <w:rStyle w:val="FootnoteAnchor"/>
          <w:rtl w:val="true"/>
        </w:rPr>
        <w:footnoteReference w:id="2696"/>
      </w:r>
      <w:r>
        <w:rPr>
          <w:rFonts w:ascii="Amiri" w:hAnsi="Amiri" w:eastAsia="Amiri" w:cs="Amiri"/>
          <w:color w:val="111111"/>
          <w:sz w:val="28"/>
          <w:sz w:val="28"/>
          <w:szCs w:val="28"/>
          <w:rtl w:val="true"/>
          <w:lang w:bidi="ar-SA"/>
        </w:rPr>
        <w:t>الدالّة على ذلك، وفيها الصحيح والحسن، فهي أقوى سنداً من غيرها وأصرح دلالةً، فلا يعارضها الخبر الدالّ على أنّ مَنْ تيمّم وصلّى ركعة و مرّ به نهر،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فليغتسل وليستقبل الصلاة</w:t>
      </w:r>
      <w:r>
        <w:rPr>
          <w:rFonts w:eastAsia="Amiri" w:cs="Amiri" w:ascii="Amiri" w:hAnsi="Amiri"/>
          <w:color w:val="111111"/>
          <w:sz w:val="28"/>
          <w:szCs w:val="28"/>
          <w:rtl w:val="true"/>
          <w:lang w:bidi="ar-SA"/>
        </w:rPr>
        <w:t>»</w:t>
      </w:r>
      <w:r>
        <w:rPr>
          <w:rStyle w:val="FootnoteAnchor"/>
          <w:rtl w:val="true"/>
        </w:rPr>
        <w:footnoteReference w:id="2697"/>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ركعة بتيمّم و جاء رجل معه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الصلاة ويتوضّأ ويبني على واحدة</w:t>
      </w:r>
      <w:r>
        <w:rPr>
          <w:rFonts w:eastAsia="Amiri" w:cs="Amiri" w:ascii="Amiri" w:hAnsi="Amiri"/>
          <w:color w:val="111111"/>
          <w:sz w:val="28"/>
          <w:szCs w:val="28"/>
          <w:rtl w:val="true"/>
          <w:lang w:bidi="ar-SA"/>
        </w:rPr>
        <w:t>»</w:t>
      </w:r>
      <w:r>
        <w:rPr>
          <w:rStyle w:val="FootnoteAnchor"/>
          <w:rtl w:val="true"/>
        </w:rPr>
        <w:footnoteReference w:id="2698"/>
      </w:r>
      <w:r>
        <w:rPr>
          <w:rFonts w:ascii="Amiri" w:hAnsi="Amiri" w:eastAsia="Amiri" w:cs="Amiri"/>
          <w:color w:val="111111"/>
          <w:sz w:val="28"/>
          <w:sz w:val="28"/>
          <w:szCs w:val="28"/>
          <w:rtl w:val="true"/>
          <w:lang w:bidi="ar-SA"/>
        </w:rPr>
        <w:t>لضعفهما عن المعارضة سنداً ودلالةً ، فليُحملا على إرادة التلبّس بالركعة لا إتمامها، على أنّ الأخير لا قائل به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يعارضها الصحيح الدالّ على أن مَنْ صلّى ركعتين بتيمّمٍ يمضي ولا يعيد</w:t>
      </w:r>
      <w:r>
        <w:rPr>
          <w:rStyle w:val="FootnoteAnchor"/>
          <w:rtl w:val="true"/>
        </w:rPr>
        <w:footnoteReference w:id="2699"/>
      </w:r>
      <w:r>
        <w:rPr>
          <w:rFonts w:ascii="Amiri" w:hAnsi="Amiri" w:eastAsia="Amiri" w:cs="Amiri"/>
          <w:color w:val="111111"/>
          <w:sz w:val="28"/>
          <w:sz w:val="28"/>
          <w:szCs w:val="28"/>
          <w:rtl w:val="true"/>
          <w:lang w:bidi="ar-SA"/>
        </w:rPr>
        <w:t>لأنّا نقول به، فهو مؤيّد لنا، لا نافٍ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انتقاض الصلاة إلّا ما خرج بالدليل من الوصول إلى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الاقتصار على مورد اليقين من الخارج، و هو وجدان الماء لفاقده بعد أن ركع، فلا يسري لمن برى من مرضه أو أمن من خوفه أو غير ذلك، بل تبقى هذه على القاعدة</w:t>
      </w:r>
    </w:p>
    <w:p>
      <w:pPr>
        <w:pStyle w:val="BookText"/>
        <w:rPr/>
      </w:pPr>
      <w:r>
        <w:rPr>
          <w:rFonts w:ascii="IRNazanin" w:hAnsi="IRNazanin" w:eastAsia="IRNazanin"/>
          <w:color w:val="111111"/>
          <w:sz w:val="28"/>
          <w:sz w:val="28"/>
          <w:szCs w:val="28"/>
          <w:rtl w:val="true"/>
          <w:lang w:bidi="fa-IR"/>
        </w:rPr>
        <w:t>من الفساد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فيها الصحّة، وعدم الانتقاض بمجرّد الدخول في الصلاة؛ بناءً على استصحاب </w:t>
      </w:r>
    </w:p>
    <w:p>
      <w:pPr>
        <w:pStyle w:val="BookText"/>
        <w:rPr/>
      </w:pPr>
      <w:r>
        <w:rPr>
          <w:rFonts w:ascii="Amiri" w:hAnsi="Amiri" w:eastAsia="Amiri" w:cs="Amiri"/>
          <w:color w:val="111111"/>
          <w:sz w:val="28"/>
          <w:sz w:val="28"/>
          <w:szCs w:val="28"/>
          <w:rtl w:val="true"/>
          <w:lang w:bidi="ar-SA"/>
        </w:rPr>
        <w:t>الصحّة ، وأنّ الصلاة على ما افتتحت به ،وأنّهم لم يعدّوا من قواطعها برء المريض أو أمان الخائف المتيمّمين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إلحاقهما بالفاقد للماء؛ تسويةً بينهما في الحكم، وإلغاء للفارق؛ لاستوائهما العلّة ابتداءً فليتساويا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قدّمناه من الحكم بين النافلة والفريضة؛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العدول بعد وجدان الماء بعد الركوع إلى فريضةٍ أُخرى،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انتقض بالنسبة إلى غيرها من الفرائض أو لم نقل؛ وذلك لوحدة المعدول عنه والمعدول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العدول لواجد الماء قبل الركوع للنافلة، جمعاً بين عدم قطع الصلاة و بين بطلان الفريضة، أم لا؟ وجهان أقواهما الأخير؛ لعدم ثبوت أنّ ذلك من مقامات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أحدث في أثناء صلاته المتيمّم لها ثمّ وجد الماء بطلت صلاته مطلقاً؛ لمكان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كان الحدث أو عمداً، وفاقاً لفتوى الأصحاب، وللإجماع المنقول على أنّ ناقض الطهارة مبطل للصلاة</w:t>
      </w:r>
      <w:r>
        <w:rPr>
          <w:rStyle w:val="FootnoteAnchor"/>
          <w:rtl w:val="true"/>
        </w:rPr>
        <w:footnoteReference w:id="2700"/>
      </w:r>
      <w:r>
        <w:rPr>
          <w:rFonts w:ascii="Amiri" w:hAnsi="Amiri" w:eastAsia="Amiri" w:cs="Amiri"/>
          <w:color w:val="111111"/>
          <w:sz w:val="28"/>
          <w:sz w:val="28"/>
          <w:szCs w:val="28"/>
          <w:rtl w:val="true"/>
          <w:lang w:bidi="ar-SA"/>
        </w:rPr>
        <w:t>، والمنقول على أنّ الفعل الكثير مبطل لها</w:t>
      </w:r>
      <w:r>
        <w:rPr>
          <w:rStyle w:val="FootnoteAnchor"/>
          <w:rtl w:val="true"/>
        </w:rPr>
        <w:footnoteReference w:id="2701"/>
      </w:r>
      <w:r>
        <w:rPr>
          <w:rFonts w:ascii="Amiri" w:hAnsi="Amiri" w:eastAsia="Amiri" w:cs="Amiri"/>
          <w:color w:val="111111"/>
          <w:sz w:val="28"/>
          <w:sz w:val="28"/>
          <w:szCs w:val="28"/>
          <w:rtl w:val="true"/>
          <w:lang w:bidi="ar-SA"/>
        </w:rPr>
        <w:t>، فلا يمكنه البناء، ولا يمكنه التطهير في الأثناء، وللأخبار الدالّة على أنّ الحدث ناقض ومبطل للصلاة</w:t>
      </w:r>
      <w:r>
        <w:rPr>
          <w:rStyle w:val="FootnoteAnchor"/>
          <w:rtl w:val="true"/>
        </w:rPr>
        <w:footnoteReference w:id="2702"/>
      </w:r>
      <w:r>
        <w:rPr>
          <w:rFonts w:ascii="Amiri" w:hAnsi="Amiri" w:eastAsia="Amiri" w:cs="Amiri"/>
          <w:color w:val="111111"/>
          <w:sz w:val="28"/>
          <w:sz w:val="28"/>
          <w:szCs w:val="28"/>
          <w:rtl w:val="true"/>
          <w:lang w:bidi="ar-SA"/>
        </w:rPr>
        <w:t>، الموافقة لفتوى الأصحاب، البعيدة عن فتاوي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للشيخين القول بأنّ من أحدث سهواً ووجد الماء يخرج ويتوضّأ في أثناء صلاته ويبني على ما فعله بالتيمّم</w:t>
      </w:r>
      <w:r>
        <w:rPr>
          <w:rStyle w:val="FootnoteAnchor"/>
          <w:rtl w:val="true"/>
        </w:rPr>
        <w:footnoteReference w:id="2703"/>
      </w:r>
      <w:r>
        <w:rPr>
          <w:rFonts w:ascii="Amiri" w:hAnsi="Amiri" w:eastAsia="Amiri" w:cs="Amiri"/>
          <w:color w:val="111111"/>
          <w:sz w:val="28"/>
          <w:sz w:val="28"/>
          <w:szCs w:val="28"/>
          <w:rtl w:val="true"/>
          <w:lang w:bidi="ar-SA"/>
        </w:rPr>
        <w:t>؛ لورود روايات</w:t>
      </w:r>
      <w:r>
        <w:rPr>
          <w:rStyle w:val="FootnoteAnchor"/>
          <w:rtl w:val="true"/>
        </w:rPr>
        <w:footnoteReference w:id="2704"/>
      </w:r>
      <w:r>
        <w:rPr>
          <w:rFonts w:ascii="Amiri" w:hAnsi="Amiri" w:eastAsia="Amiri" w:cs="Amiri"/>
          <w:color w:val="111111"/>
          <w:sz w:val="28"/>
          <w:sz w:val="28"/>
          <w:szCs w:val="28"/>
          <w:rtl w:val="true"/>
          <w:lang w:bidi="ar-SA"/>
        </w:rPr>
        <w:t>صحيحة بذلك، وهي وإن كانت مطلقةً في حالتي العمد والسهو إلّا أنّ الإجماع المحقّق الدالّ على بطلان الصلاة بالحدث عمداً مخصّص لها في حالة العمد، وتبقى حجة في حالة السهو فقط</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ضعيف جدّاً، مخالف لفتوى الأصحاب والأخبار المتكثّرة في الباب، والروايات الدالّة عليه مطّرحة متروكة موافقة للتقيّة، أو محمولة على صحّة ما صلّاه بالتيمّم من الصلوات </w:t>
      </w:r>
    </w:p>
    <w:p>
      <w:pPr>
        <w:pStyle w:val="BookText"/>
        <w:rPr/>
      </w:pPr>
      <w:r>
        <w:rPr>
          <w:rFonts w:ascii="Amiri" w:hAnsi="Amiri" w:eastAsia="Amiri" w:cs="Amiri"/>
          <w:color w:val="111111"/>
          <w:sz w:val="28"/>
          <w:sz w:val="28"/>
          <w:szCs w:val="28"/>
          <w:rtl w:val="true"/>
          <w:lang w:bidi="ar-SA"/>
        </w:rPr>
        <w:t>التامّة الماضية، لا صحّة ما صلّى من الصلاة التي أحدث فيها، وهو حمل ظاهر من الأخبار لمن تأمّل فيها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البحث تأييد لجواز التيمّم في السعة مع اليأس</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وللأصحاب أقوال في المتيمّم إذا صلّى ووجد الماء في الأثناء لا حاجة للتعرّض لذكرها</w:t>
      </w:r>
      <w:r>
        <w:rPr>
          <w:rFonts w:eastAsia="Amiri" w:cs="Amiri" w:ascii="Amiri" w:hAnsi="Amiri"/>
          <w:color w:val="111111"/>
          <w:sz w:val="28"/>
          <w:szCs w:val="28"/>
          <w:rtl w:val="true"/>
          <w:lang w:bidi="ar-SA"/>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18988_203655"/>
      <w:bookmarkStart w:id="1269" w:name="pg18988_203655"/>
      <w:bookmarkEnd w:id="1269"/>
    </w:p>
    <w:p>
      <w:pPr>
        <w:pStyle w:val="Heading3"/>
        <w:numPr>
          <w:ilvl w:val="2"/>
          <w:numId w:val="1"/>
        </w:numPr>
        <w:rPr/>
      </w:pPr>
      <w:bookmarkStart w:id="1270" w:name="pg18988_203655"/>
      <w:bookmarkStart w:id="1271" w:name="__RefHeading___Toc13198327_1280447820"/>
      <w:bookmarkStart w:id="1272" w:name="_Toc490"/>
      <w:bookmarkEnd w:id="1270"/>
      <w:bookmarkEnd w:id="1271"/>
      <w:r>
        <w:rPr>
          <w:rtl w:val="true"/>
        </w:rPr>
        <w:t>القول في النجاسات</w:t>
      </w:r>
      <w:bookmarkEnd w:id="1272"/>
    </w:p>
    <w:p>
      <w:pPr>
        <w:pStyle w:val="Heading4"/>
        <w:numPr>
          <w:ilvl w:val="3"/>
          <w:numId w:val="1"/>
        </w:numPr>
        <w:rPr/>
      </w:pPr>
      <w:bookmarkStart w:id="1273" w:name="__RefHeading___Toc13198329_1280447820"/>
      <w:bookmarkStart w:id="1274" w:name="_Toc491"/>
      <w:bookmarkEnd w:id="1273"/>
      <w:r>
        <w:rPr>
          <w:rtl w:val="true"/>
        </w:rPr>
        <w:t>وفيها مباحث</w:t>
      </w:r>
      <w:bookmarkEnd w:id="1274"/>
    </w:p>
    <w:p>
      <w:pPr>
        <w:pStyle w:val="Heading4"/>
        <w:numPr>
          <w:ilvl w:val="3"/>
          <w:numId w:val="1"/>
        </w:numPr>
        <w:rPr/>
      </w:pPr>
      <w:bookmarkStart w:id="1275" w:name="__RefHeading___Toc13198331_1280447820"/>
      <w:bookmarkStart w:id="1276" w:name="_Toc492"/>
      <w:bookmarkEnd w:id="1275"/>
      <w:r>
        <w:rPr>
          <w:rtl w:val="true"/>
        </w:rPr>
        <w:t>أحدها</w:t>
      </w:r>
      <w:r>
        <w:rPr>
          <w:rtl w:val="true"/>
        </w:rPr>
        <w:t xml:space="preserve">: </w:t>
      </w:r>
      <w:r>
        <w:rPr>
          <w:rtl w:val="true"/>
        </w:rPr>
        <w:t>بول وخرء ذی النفس السائلۀ ممّا لایؤکل لحمه</w:t>
      </w:r>
      <w:bookmarkEnd w:id="1276"/>
    </w:p>
    <w:p>
      <w:pPr>
        <w:pStyle w:val="BookText"/>
        <w:rPr/>
      </w:pPr>
      <w:r>
        <w:rPr>
          <w:rFonts w:ascii="Amiri" w:hAnsi="Amiri" w:eastAsia="Amiri" w:cs="Amiri"/>
          <w:color w:val="111111"/>
          <w:sz w:val="28"/>
          <w:sz w:val="28"/>
          <w:szCs w:val="28"/>
          <w:rtl w:val="true"/>
          <w:lang w:bidi="ar-SA"/>
        </w:rPr>
        <w:t>كلّ ما لا نفس له سائلة فبوله وخرؤه طاهران؛ لطهارة ميتته، وللسيرة القاضية بذلك، وللزوم العسر والحرج لولاه، وللأصل المحكّم، وانصراف ما دلّ على النجاسة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لا يؤكل لحمه من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يخرج دمها من العروق بقوّة ودفع، وغير ذي النفس السائلة ما خرج برشح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فبوله وخرؤه نجس؛ للإجماع بقسميه</w:t>
      </w:r>
      <w:r>
        <w:rPr>
          <w:rStyle w:val="FootnoteAnchor"/>
          <w:rtl w:val="true"/>
        </w:rPr>
        <w:footnoteReference w:id="2705"/>
      </w:r>
      <w:r>
        <w:rPr>
          <w:rFonts w:ascii="Amiri" w:hAnsi="Amiri" w:eastAsia="Amiri" w:cs="Amiri"/>
          <w:color w:val="111111"/>
          <w:sz w:val="28"/>
          <w:sz w:val="28"/>
          <w:szCs w:val="28"/>
          <w:rtl w:val="true"/>
          <w:lang w:bidi="ar-SA"/>
        </w:rPr>
        <w:t>، ما عدا ما وقع الخلاف فيه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على الظاهر بين خروجه من المحلّ المعتاد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يؤكل لحمه فبوله وخرؤه طاهران؛ للأصل، والإجماع بقسميه</w:t>
      </w:r>
      <w:r>
        <w:rPr>
          <w:rStyle w:val="FootnoteAnchor"/>
          <w:rtl w:val="true"/>
        </w:rPr>
        <w:footnoteReference w:id="2706"/>
      </w:r>
      <w:r>
        <w:rPr>
          <w:rFonts w:ascii="Amiri" w:hAnsi="Amiri" w:eastAsia="Amiri" w:cs="Amiri"/>
          <w:color w:val="111111"/>
          <w:sz w:val="28"/>
          <w:sz w:val="28"/>
          <w:szCs w:val="28"/>
          <w:rtl w:val="true"/>
          <w:lang w:bidi="ar-SA"/>
        </w:rPr>
        <w:t>، عدا ما وقع الخلاف فيه من بعض الموارد،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بول الإنسان فقط</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البول</w:t>
      </w:r>
      <w:r>
        <w:rPr>
          <w:rStyle w:val="FootnoteAnchor"/>
          <w:rtl w:val="true"/>
        </w:rPr>
        <w:footnoteReference w:id="2708"/>
      </w:r>
      <w:r>
        <w:rPr>
          <w:rFonts w:ascii="Amiri" w:hAnsi="Amiri" w:eastAsia="Amiri" w:cs="Amiri"/>
          <w:color w:val="111111"/>
          <w:sz w:val="28"/>
          <w:sz w:val="28"/>
          <w:szCs w:val="28"/>
          <w:rtl w:val="true"/>
          <w:lang w:bidi="ar-SA"/>
        </w:rPr>
        <w:t>مطلقاً، وترك الاستفصال فيها دليل العموم، وأكثريّة دوران بول الإنسان في سائر الأزمان لا يصرف إليه الإطلاق، بحيث يكون غيره نادراً لا ينصرف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طهارة بول ما يؤكل لحمه منطوقاً، ونجاسة بول ما لا يؤكل مفهوماً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عذرة الإنسان</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العذرة</w:t>
      </w:r>
      <w:r>
        <w:rPr>
          <w:rStyle w:val="FootnoteAnchor"/>
          <w:rtl w:val="true"/>
        </w:rPr>
        <w:footnoteReference w:id="2711"/>
      </w:r>
      <w:r>
        <w:rPr>
          <w:rFonts w:ascii="Amiri" w:hAnsi="Amiri" w:eastAsia="Amiri" w:cs="Amiri"/>
          <w:color w:val="111111"/>
          <w:sz w:val="28"/>
          <w:sz w:val="28"/>
          <w:szCs w:val="28"/>
          <w:rtl w:val="true"/>
          <w:lang w:bidi="ar-SA"/>
        </w:rPr>
        <w:t>مطلقاً، فيفيد العموم بترك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طهارة كلّ ما يخرج ممّا يؤكل لحمه </w:t>
      </w:r>
      <w:r>
        <w:rPr>
          <w:rStyle w:val="FootnoteAnchor"/>
          <w:rtl w:val="true"/>
        </w:rPr>
        <w:footnoteReference w:id="2712"/>
      </w:r>
      <w:r>
        <w:rPr>
          <w:rFonts w:ascii="Amiri" w:hAnsi="Amiri" w:eastAsia="Amiri" w:cs="Amiri"/>
          <w:color w:val="111111"/>
          <w:sz w:val="28"/>
          <w:sz w:val="28"/>
          <w:szCs w:val="28"/>
          <w:rtl w:val="true"/>
          <w:lang w:bidi="ar-SA"/>
        </w:rPr>
        <w:t>منطوقاً، فيدل على نجاسة ما يخرج ممّا لا يؤكل لحمه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عذرة الكلب والسنّور والفأرة</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بول السنّور</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المتفرّقة في المقامات المتعدّدة، المستفاد منها على سبيل القطع نجاسة ما ذكرناه من البول والغائط والنجاسة، و إن لم تذكر في أكثر الأخبار بلفظها، ولكن لها لوازم شرعيّة يفهم من الأمر بها تحقّق حصولها، وفهم الفقهاء ذلك منها ممّا يعيّن إرادة النجاسة منها؛ لأنّ فهمهم في مثل هذه المقامات هو المعتبر وعليه المعوّل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بغسل الثوب أو البدن أو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بالنزح للبئر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بإهراق الماء وطرح الطعام الملاقي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استعمال الماء الملاقي له في وضوء وغسل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وإن كان كلّ واحد لازماً أعمّ، إلّا أنّ منها ظاهراً في الملازمة والمساواة كالغسل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يعضد دلالته الإجماع</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يعضد دلالته اجتماع أمرين أو أكثر، أو اجتماع أُمور يقطع باجتماعها بحصول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يتفاوت الحال من غير ما يؤكل لحمه أصالةٍ أو عارضاً كالجلّال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نجاسة بول كلّ ما لا يؤكل لحمه وخرئه من ذي النفس السائلة مطلقاً؛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لجمعٍ من أصحابنا</w:t>
      </w:r>
      <w:r>
        <w:rPr>
          <w:rStyle w:val="FootnoteAnchor"/>
          <w:rtl w:val="true"/>
        </w:rPr>
        <w:footnoteReference w:id="2715"/>
      </w:r>
      <w:r>
        <w:rPr>
          <w:rFonts w:ascii="Amiri" w:hAnsi="Amiri" w:eastAsia="Amiri" w:cs="Amiri"/>
          <w:color w:val="111111"/>
          <w:sz w:val="28"/>
          <w:sz w:val="28"/>
          <w:szCs w:val="28"/>
          <w:rtl w:val="true"/>
          <w:lang w:bidi="ar-SA"/>
        </w:rPr>
        <w:t>فحكموا بطهارة رجيع الطير مطلقاً؛ للأصل،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يطير فلا بأس بخرئه وبوله</w:t>
      </w:r>
      <w:r>
        <w:rPr>
          <w:rFonts w:eastAsia="Amiri" w:cs="Amiri" w:ascii="Amiri" w:hAnsi="Amiri"/>
          <w:color w:val="111111"/>
          <w:sz w:val="28"/>
          <w:szCs w:val="28"/>
          <w:rtl w:val="true"/>
          <w:lang w:bidi="ar-SA"/>
        </w:rPr>
        <w:t>»</w:t>
      </w:r>
      <w:r>
        <w:rPr>
          <w:rStyle w:val="FootnoteAnchor"/>
          <w:rtl w:val="true"/>
        </w:rPr>
        <w:footnoteReference w:id="2716"/>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في ثوبه خرء الطير وغيره، هل يحكّه وهو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لانقطاع الأصل بما ذكرناه، ولمعارضة الموثّق بالإجماعات المنقولة</w:t>
      </w:r>
      <w:r>
        <w:rPr>
          <w:rStyle w:val="FootnoteAnchor"/>
          <w:rtl w:val="true"/>
        </w:rPr>
        <w:footnoteReference w:id="2718"/>
      </w:r>
      <w:r>
        <w:rPr>
          <w:rFonts w:ascii="Amiri" w:hAnsi="Amiri" w:eastAsia="Amiri" w:cs="Amiri"/>
          <w:color w:val="111111"/>
          <w:sz w:val="28"/>
          <w:sz w:val="28"/>
          <w:szCs w:val="28"/>
          <w:rtl w:val="true"/>
          <w:lang w:bidi="ar-SA"/>
        </w:rPr>
        <w:t xml:space="preserve">، والعمومات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لفتوى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نجاسة بول ما لا يؤكل لحمه مطلقاً</w:t>
      </w:r>
      <w:r>
        <w:rPr>
          <w:rStyle w:val="FootnoteAnchor"/>
          <w:rtl w:val="true"/>
        </w:rPr>
        <w:footnoteReference w:id="2719"/>
      </w:r>
      <w:r>
        <w:rPr>
          <w:rFonts w:ascii="Amiri" w:hAnsi="Amiri" w:eastAsia="Amiri" w:cs="Amiri"/>
          <w:color w:val="111111"/>
          <w:sz w:val="28"/>
          <w:sz w:val="28"/>
          <w:szCs w:val="28"/>
          <w:rtl w:val="true"/>
          <w:lang w:bidi="ar-SA"/>
        </w:rPr>
        <w:t>، المنضمّ إليها الإجماع على عدم الفرق بينه وبين الخرء، والأدلّة الدالّة على نجاسة العذرة الشاملة لخرء الطير كما نصّ عليه اللغويّون والفقهاء، ويجب اتّباعهم في بيان الموضوعات الظنّيّة، فإنكار شمول العذرة لغير عذرة الإنسان لا يُسمع في مقابلة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فبين العمومات والصحيح المتقدّم عموم من وجه، والترجيح لجانبها؛ لشذوذه و قلّة العامل به وموافقته لفتوى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أيضاً ما ورد في طهارة خرء الخطاطيف من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يؤكل لحمه</w:t>
      </w:r>
      <w:r>
        <w:rPr>
          <w:rFonts w:eastAsia="Amiri" w:cs="Amiri" w:ascii="Amiri" w:hAnsi="Amiri"/>
          <w:color w:val="111111"/>
          <w:sz w:val="28"/>
          <w:szCs w:val="28"/>
          <w:rtl w:val="true"/>
          <w:lang w:bidi="ar-SA"/>
        </w:rPr>
        <w:t>»</w:t>
      </w:r>
      <w:r>
        <w:rPr>
          <w:rStyle w:val="FootnoteAnchor"/>
          <w:rtl w:val="true"/>
        </w:rPr>
        <w:footnoteReference w:id="2720"/>
      </w:r>
      <w:r>
        <w:rPr>
          <w:rFonts w:ascii="Amiri" w:hAnsi="Amiri" w:eastAsia="Amiri" w:cs="Amiri"/>
          <w:color w:val="111111"/>
          <w:sz w:val="28"/>
          <w:sz w:val="28"/>
          <w:szCs w:val="28"/>
          <w:rtl w:val="true"/>
          <w:lang w:bidi="ar-SA"/>
        </w:rPr>
        <w:t>ولو كانّ كلّ الطير كذلك لما كان للتعليل معنى</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وافقنا في نجاسة بول الخشاشيف</w:t>
      </w:r>
      <w:r>
        <w:rPr>
          <w:rStyle w:val="FootnoteAnchor"/>
          <w:rtl w:val="true"/>
        </w:rPr>
        <w:footnoteReference w:id="2721"/>
      </w:r>
      <w:r>
        <w:rPr>
          <w:rFonts w:ascii="Amiri" w:hAnsi="Amiri" w:eastAsia="Amiri" w:cs="Amiri"/>
          <w:color w:val="111111"/>
          <w:sz w:val="28"/>
          <w:sz w:val="28"/>
          <w:szCs w:val="28"/>
          <w:rtl w:val="true"/>
          <w:lang w:bidi="ar-SA"/>
        </w:rPr>
        <w:t>للأمر بغسل الثوب منه في رواية داوُد الرقّي</w:t>
      </w:r>
      <w:r>
        <w:rPr>
          <w:rStyle w:val="FootnoteAnchor"/>
          <w:rtl w:val="true"/>
        </w:rPr>
        <w:footnoteReference w:id="2722"/>
      </w:r>
      <w:r>
        <w:rPr>
          <w:rFonts w:ascii="Amiri" w:hAnsi="Amiri" w:eastAsia="Amiri" w:cs="Amiri"/>
          <w:color w:val="111111"/>
          <w:sz w:val="28"/>
          <w:sz w:val="28"/>
          <w:szCs w:val="28"/>
          <w:rtl w:val="true"/>
          <w:lang w:bidi="ar-SA"/>
        </w:rPr>
        <w:t>، مع أنّه قد ورد في روايتين</w:t>
      </w:r>
      <w:r>
        <w:rPr>
          <w:rStyle w:val="FootnoteAnchor"/>
          <w:rtl w:val="true"/>
        </w:rPr>
        <w:footnoteReference w:id="2723"/>
      </w:r>
      <w:r>
        <w:rPr>
          <w:rFonts w:ascii="Amiri" w:hAnsi="Amiri" w:eastAsia="Amiri" w:cs="Amiri"/>
          <w:color w:val="111111"/>
          <w:sz w:val="28"/>
          <w:sz w:val="28"/>
          <w:szCs w:val="28"/>
          <w:rtl w:val="true"/>
          <w:lang w:bidi="ar-SA"/>
        </w:rPr>
        <w:t xml:space="preserve">ما يؤذن بطهارته، ولكنّه عمل بما دلّ على النجاسة؛ </w:t>
      </w:r>
    </w:p>
    <w:p>
      <w:pPr>
        <w:pStyle w:val="BookText"/>
        <w:rPr/>
      </w:pPr>
      <w:r>
        <w:rPr>
          <w:rFonts w:ascii="Amiri" w:hAnsi="Amiri" w:eastAsia="Amiri" w:cs="Amiri"/>
          <w:color w:val="111111"/>
          <w:sz w:val="28"/>
          <w:sz w:val="28"/>
          <w:szCs w:val="28"/>
          <w:rtl w:val="true"/>
          <w:lang w:bidi="ar-SA"/>
        </w:rPr>
        <w:t>لقوته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الراجح ما استندنا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فلا دلالة فيه على طهارة الخرء، و إلّا لكان فيه دلالة على طهارة غيره من كلّ شيء، بل هو مسوق للسؤال عن جواز مثل هذا الفعل في الصلاة وعدمه، بقرينة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يرفع طرفه إلى السماء</w:t>
      </w:r>
      <w:r>
        <w:rPr>
          <w:rFonts w:eastAsia="Amiri" w:cs="Amiri" w:ascii="Amiri" w:hAnsi="Amiri"/>
          <w:color w:val="111111"/>
          <w:sz w:val="28"/>
          <w:szCs w:val="28"/>
          <w:rtl w:val="true"/>
          <w:lang w:bidi="ar-SA"/>
        </w:rPr>
        <w:t>»</w:t>
      </w:r>
      <w:r>
        <w:rPr>
          <w:rStyle w:val="FootnoteAnchor"/>
          <w:rtl w:val="true"/>
        </w:rPr>
        <w:footnoteReference w:id="2724"/>
      </w:r>
      <w:r>
        <w:rPr>
          <w:rFonts w:ascii="Amiri" w:hAnsi="Amiri" w:eastAsia="Amiri" w:cs="Amiri"/>
          <w:color w:val="111111"/>
          <w:sz w:val="28"/>
          <w:sz w:val="28"/>
          <w:szCs w:val="28"/>
          <w:rtl w:val="true"/>
          <w:lang w:bidi="ar-SA"/>
        </w:rPr>
        <w:t>ولئن سلّمنا فلا بد من إرادة مأكول اللحم من الطير؛ لأنّ غيره لا تجوز الصلاة بفضلاته حتّى نسياناً على الأظهر، فالأولى في الجواب بيان بطلان الصلاة به لا 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أصحابنا إلى طهارة بول الصبيّ الرضيع</w:t>
      </w:r>
      <w:r>
        <w:rPr>
          <w:rStyle w:val="FootnoteAnchor"/>
          <w:rtl w:val="true"/>
        </w:rPr>
        <w:footnoteReference w:id="2725"/>
      </w:r>
      <w:r>
        <w:rPr>
          <w:rFonts w:ascii="Amiri" w:hAnsi="Amiri" w:eastAsia="Amiri" w:cs="Amiri"/>
          <w:color w:val="111111"/>
          <w:sz w:val="28"/>
          <w:sz w:val="28"/>
          <w:szCs w:val="28"/>
          <w:rtl w:val="true"/>
          <w:lang w:bidi="ar-SA"/>
        </w:rPr>
        <w:t>، استناداً لرواية نافية لغسل الثوب منه</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سنداً ودلالة؛ لأنّ نفي الغسل لا يدلّ على الطهارة؛ لثبوت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الحلبي</w:t>
      </w:r>
      <w:r>
        <w:rPr>
          <w:rStyle w:val="FootnoteAnchor"/>
          <w:rtl w:val="true"/>
        </w:rPr>
        <w:footnoteReference w:id="2727"/>
      </w:r>
      <w:r>
        <w:rPr>
          <w:rFonts w:ascii="Amiri" w:hAnsi="Amiri" w:eastAsia="Amiri" w:cs="Amiri"/>
          <w:color w:val="111111"/>
          <w:sz w:val="28"/>
          <w:sz w:val="28"/>
          <w:szCs w:val="28"/>
          <w:rtl w:val="true"/>
          <w:lang w:bidi="ar-SA"/>
        </w:rPr>
        <w:t>، المؤذنة بالنجاسة المؤيّدة بما قدّمنا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الشيخان إلى نجاسة خرء الدجاج إذا لم يكن جلّالاً</w:t>
      </w:r>
      <w:r>
        <w:rPr>
          <w:rStyle w:val="FootnoteAnchor"/>
          <w:rtl w:val="true"/>
        </w:rPr>
        <w:footnoteReference w:id="2728"/>
      </w:r>
      <w:r>
        <w:rPr>
          <w:rFonts w:ascii="Amiri" w:hAnsi="Amiri" w:eastAsia="Amiri" w:cs="Amiri"/>
          <w:color w:val="111111"/>
          <w:sz w:val="28"/>
          <w:sz w:val="28"/>
          <w:szCs w:val="28"/>
          <w:rtl w:val="true"/>
          <w:lang w:bidi="ar-SA"/>
        </w:rPr>
        <w:t>استناداً لرواية فارس الناهية عن الصلاة به</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سنداً وعدداً، مطرحة، أو محمولة على الجلّال، أو على ذرق لا يستحيل عن النجاسة، فلا تعارض الأُصول والعمومات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 أصحابنا</w:t>
      </w:r>
      <w:r>
        <w:rPr>
          <w:rStyle w:val="FootnoteAnchor"/>
          <w:rtl w:val="true"/>
        </w:rPr>
        <w:footnoteReference w:id="2730"/>
      </w:r>
      <w:r>
        <w:rPr>
          <w:rFonts w:ascii="Amiri" w:hAnsi="Amiri" w:eastAsia="Amiri" w:cs="Amiri"/>
          <w:color w:val="111111"/>
          <w:sz w:val="28"/>
          <w:sz w:val="28"/>
          <w:szCs w:val="28"/>
          <w:rtl w:val="true"/>
          <w:lang w:bidi="ar-SA"/>
        </w:rPr>
        <w:t>إلى نجاسة أبوال الخيل والبغال والحمير؛ للأمر بالغسل من أبوال الدوابّ والبغال والحمير في الحسن</w:t>
      </w:r>
      <w:r>
        <w:rPr>
          <w:rStyle w:val="FootnoteAnchor"/>
          <w:rtl w:val="true"/>
        </w:rPr>
        <w:footnoteReference w:id="2731"/>
      </w:r>
      <w:r>
        <w:rPr>
          <w:rFonts w:ascii="Amiri" w:hAnsi="Amiri" w:eastAsia="Amiri" w:cs="Amiri"/>
          <w:color w:val="111111"/>
          <w:sz w:val="28"/>
          <w:sz w:val="28"/>
          <w:szCs w:val="28"/>
          <w:rtl w:val="true"/>
          <w:lang w:bidi="ar-SA"/>
        </w:rPr>
        <w:t>، والأمر بغسل ما أصابه أبوال الخيل والبغال</w:t>
      </w:r>
      <w:r>
        <w:rPr>
          <w:rStyle w:val="FootnoteAnchor"/>
          <w:rtl w:val="true"/>
        </w:rPr>
        <w:footnoteReference w:id="2732"/>
      </w:r>
      <w:r>
        <w:rPr>
          <w:rFonts w:ascii="IRNazanin" w:hAnsi="IRNazanin" w:eastAsia="IRNazanin"/>
          <w:color w:val="111111"/>
          <w:sz w:val="28"/>
          <w:sz w:val="28"/>
          <w:szCs w:val="28"/>
          <w:rtl w:val="true"/>
          <w:lang w:bidi="fa-IR"/>
        </w:rPr>
        <w:t>، والأمر بالغسل عن بول الحمار والبغل والفرس</w:t>
      </w:r>
      <w:r>
        <w:rPr>
          <w:rStyle w:val="FootnoteAnchor"/>
          <w:rtl w:val="true"/>
        </w:rPr>
        <w:footnoteReference w:id="273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لمعارضة هذه الأخبار للأُصول والقواعد، وعموم طهارة أبوال ما يؤكل </w:t>
      </w:r>
      <w:bookmarkStart w:id="1277" w:name="pg18988_203659"/>
    </w:p>
    <w:p>
      <w:pPr>
        <w:pStyle w:val="BookText"/>
        <w:rPr/>
      </w:pPr>
      <w:bookmarkEnd w:id="1277"/>
      <w:r>
        <w:rPr>
          <w:rFonts w:ascii="Amiri" w:hAnsi="Amiri" w:eastAsia="Amiri" w:cs="Amiri"/>
          <w:color w:val="111111"/>
          <w:sz w:val="28"/>
          <w:sz w:val="28"/>
          <w:szCs w:val="28"/>
          <w:rtl w:val="true"/>
          <w:lang w:bidi="ar-SA"/>
        </w:rPr>
        <w:t>لحمه وطهارة ما يخرج منه</w:t>
      </w:r>
      <w:r>
        <w:rPr>
          <w:rStyle w:val="FootnoteAnchor"/>
          <w:rtl w:val="true"/>
        </w:rPr>
        <w:footnoteReference w:id="2734"/>
      </w:r>
      <w:r>
        <w:rPr>
          <w:rFonts w:ascii="Amiri" w:hAnsi="Amiri" w:eastAsia="Amiri" w:cs="Amiri"/>
          <w:color w:val="111111"/>
          <w:sz w:val="28"/>
          <w:sz w:val="28"/>
          <w:szCs w:val="28"/>
          <w:rtl w:val="true"/>
          <w:lang w:bidi="ar-SA"/>
        </w:rPr>
        <w:t>إذ الظاهر من أكل اللحم وعدمه ما ساغ شرعاً أكله وما لم يسغ، لا ما اعتيد أكله وما لم يعتد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نفي العسر والحرج لملازمة الناس لمباشرتها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السيرة المستقيمة بمباشرتهنّ وعدم التوقّي عنهنّ، ولتوفّر الدواعي لاشتهار حكمهنّ وعدم 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طهارة أبو الهنّ وأرواثهنّ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صفوان في الدوابّ وقد بالت وراثت فيصبح فيرى أثرها؟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و رواية معلّى بن خنيس في بول الحمار الواقع على الوجه والثياب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شيء</w:t>
      </w:r>
      <w:r>
        <w:rPr>
          <w:rFonts w:eastAsia="Amiri" w:cs="Amiri" w:ascii="Amiri" w:hAnsi="Amiri"/>
          <w:color w:val="111111"/>
          <w:sz w:val="28"/>
          <w:szCs w:val="28"/>
          <w:rtl w:val="true"/>
          <w:lang w:bidi="ar-SA"/>
        </w:rPr>
        <w:t>»</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بروث الحمير، واغسل أبوالها</w:t>
      </w:r>
      <w:r>
        <w:rPr>
          <w:rFonts w:eastAsia="Amiri" w:cs="Amiri" w:ascii="Amiri" w:hAnsi="Amiri"/>
          <w:color w:val="111111"/>
          <w:sz w:val="28"/>
          <w:szCs w:val="28"/>
          <w:rtl w:val="true"/>
          <w:lang w:bidi="ar-SA"/>
        </w:rPr>
        <w:t>»</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مضمون روايات أُخَر دالّة على طهارة الروث</w:t>
      </w:r>
      <w:r>
        <w:rPr>
          <w:rStyle w:val="FootnoteAnchor"/>
          <w:rtl w:val="true"/>
        </w:rPr>
        <w:footnoteReference w:id="2738"/>
      </w:r>
      <w:r>
        <w:rPr>
          <w:rFonts w:ascii="Amiri" w:hAnsi="Amiri" w:eastAsia="Amiri" w:cs="Amiri"/>
          <w:color w:val="111111"/>
          <w:sz w:val="28"/>
          <w:sz w:val="28"/>
          <w:szCs w:val="28"/>
          <w:rtl w:val="true"/>
          <w:lang w:bidi="ar-SA"/>
        </w:rPr>
        <w:t>دون البول، فما دلّ على طهارة الروث يدلّ على طهارة البول بضميمة الإجماع المركّب، ويُطرح ما دلّ على نجاسة البول فقط، فالقول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 المتأخّرين</w:t>
      </w:r>
      <w:r>
        <w:rPr>
          <w:rStyle w:val="FootnoteAnchor"/>
          <w:rtl w:val="true"/>
        </w:rPr>
        <w:footnoteReference w:id="2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الطهارة أيضاً ما ورد بجواز الصلاة بروث وبول وكلّ شيء من مأكول اللحم</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13198333_1280447820"/>
      <w:bookmarkStart w:id="1279" w:name="_Toc493"/>
      <w:bookmarkEnd w:id="1278"/>
      <w:r>
        <w:rPr>
          <w:rtl w:val="true"/>
        </w:rPr>
        <w:t>ثانيها</w:t>
      </w:r>
      <w:r>
        <w:rPr>
          <w:rtl w:val="true"/>
        </w:rPr>
        <w:t xml:space="preserve">: </w:t>
      </w:r>
      <w:r>
        <w:rPr>
          <w:rtl w:val="true"/>
        </w:rPr>
        <w:t>المنيّ من كلّ ذي نفس سائلة</w:t>
      </w:r>
      <w:bookmarkEnd w:id="1279"/>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 من كلّ ذي نفس سائلة نجس؛ للإجماع المنقول</w:t>
      </w:r>
      <w:r>
        <w:rPr>
          <w:rStyle w:val="FootnoteAnchor"/>
          <w:rtl w:val="true"/>
        </w:rPr>
        <w:footnoteReference w:id="2741"/>
      </w:r>
      <w:r>
        <w:rPr>
          <w:rFonts w:ascii="IRNazanin" w:hAnsi="IRNazanin" w:eastAsia="IRNazanin"/>
          <w:color w:val="111111"/>
          <w:sz w:val="28"/>
          <w:sz w:val="28"/>
          <w:szCs w:val="28"/>
          <w:rtl w:val="true"/>
          <w:lang w:bidi="fa-IR"/>
        </w:rPr>
        <w:t>وفتوى الأصحاب، و الأخبار</w:t>
      </w:r>
      <w:r>
        <w:rPr>
          <w:rStyle w:val="FootnoteAnchor"/>
          <w:rtl w:val="true"/>
        </w:rPr>
        <w:footnoteReference w:id="2742"/>
      </w:r>
      <w:r>
        <w:rPr>
          <w:rFonts w:ascii="Amiri" w:hAnsi="Amiri" w:eastAsia="Amiri" w:cs="Amiri"/>
          <w:color w:val="111111"/>
          <w:sz w:val="28"/>
          <w:sz w:val="28"/>
          <w:szCs w:val="28"/>
          <w:rtl w:val="true"/>
          <w:lang w:bidi="ar-SA"/>
        </w:rPr>
        <w:t>الدالّة على نجاسته، وأنّه أشدّ من البول، فمنيّ كلّ ذي نفس أشدّ من بوله</w:t>
      </w:r>
      <w:r>
        <w:rPr>
          <w:rFonts w:eastAsia="Amiri" w:cs="Amiri" w:ascii="Amiri" w:hAnsi="Amiri"/>
          <w:color w:val="111111"/>
          <w:sz w:val="28"/>
          <w:szCs w:val="28"/>
          <w:rtl w:val="true"/>
          <w:lang w:bidi="ar-SA"/>
        </w:rPr>
        <w:t xml:space="preserve">. </w:t>
      </w:r>
      <w:bookmarkStart w:id="1280" w:name="pg18988_203660"/>
    </w:p>
    <w:p>
      <w:pPr>
        <w:pStyle w:val="BookText"/>
        <w:rPr/>
      </w:pPr>
      <w:bookmarkEnd w:id="1280"/>
      <w:r>
        <w:rPr>
          <w:rFonts w:ascii="Amiri" w:hAnsi="Amiri" w:eastAsia="Amiri" w:cs="Amiri"/>
          <w:color w:val="111111"/>
          <w:sz w:val="28"/>
          <w:sz w:val="28"/>
          <w:szCs w:val="28"/>
          <w:rtl w:val="true"/>
          <w:lang w:bidi="ar-SA"/>
        </w:rPr>
        <w:t>فظهر ضعف قول مَنْ خصّ نجاسة المني بالإنسان أو بما لا يؤكل من الحيوان؛ لانصراف الإطلاق إلى منيّ الإنسان؛ إذ لا وجه للانصراف بعد حكاية الإجماع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منيّ غير ذي النفس السائلة حكمه حكم بوله ودمه وميّته ؛ للأصل ، وانصراف الإطلاق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 المنيّ والبول والغائط ممّا يخرج من المخرجين، فإنّه طاهر؛ للأصل، وفتوى الأصحاب والأخبار</w:t>
      </w:r>
      <w:r>
        <w:rPr>
          <w:rStyle w:val="FootnoteAnchor"/>
          <w:rtl w:val="true"/>
        </w:rPr>
        <w:footnoteReference w:id="2743"/>
      </w:r>
      <w:r>
        <w:rPr>
          <w:rFonts w:ascii="Amiri" w:hAnsi="Amiri" w:eastAsia="Amiri" w:cs="Amiri"/>
          <w:color w:val="111111"/>
          <w:sz w:val="28"/>
          <w:sz w:val="28"/>
          <w:szCs w:val="28"/>
          <w:rtl w:val="true"/>
          <w:lang w:bidi="ar-SA"/>
        </w:rPr>
        <w:t>المتكثّرة في الباب، فما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كأخبار نجاسة أبوال الدوابّ</w:t>
      </w:r>
      <w:r>
        <w:rPr>
          <w:rStyle w:val="FootnoteAnchor"/>
          <w:rtl w:val="true"/>
        </w:rPr>
        <w:footnoteReference w:id="2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أو الاستحباب</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13198335_1280447820"/>
      <w:bookmarkStart w:id="1282" w:name="_Toc494"/>
      <w:bookmarkEnd w:id="1281"/>
      <w:r>
        <w:rPr>
          <w:rtl w:val="true"/>
        </w:rPr>
        <w:t>ثالثها</w:t>
      </w:r>
      <w:r>
        <w:rPr>
          <w:rtl w:val="true"/>
        </w:rPr>
        <w:t xml:space="preserve">: </w:t>
      </w:r>
      <w:r>
        <w:rPr>
          <w:rtl w:val="true"/>
        </w:rPr>
        <w:t>فی أقسام الدم والنجس منها</w:t>
      </w:r>
      <w:bookmarkEnd w:id="1282"/>
    </w:p>
    <w:p>
      <w:pPr>
        <w:pStyle w:val="BookText"/>
        <w:rPr/>
      </w:pPr>
      <w:r>
        <w:rPr>
          <w:rFonts w:ascii="Amiri" w:hAnsi="Amiri" w:eastAsia="Amiri" w:cs="Amiri"/>
          <w:color w:val="111111"/>
          <w:sz w:val="28"/>
          <w:sz w:val="28"/>
          <w:szCs w:val="28"/>
          <w:rtl w:val="true"/>
          <w:lang w:bidi="ar-SA"/>
        </w:rPr>
        <w:t>الدم نجس في الجملة، إجماعاً محصّلاً ومنقولاً</w:t>
      </w:r>
      <w:r>
        <w:rPr>
          <w:rStyle w:val="FootnoteAnchor"/>
          <w:rtl w:val="true"/>
        </w:rPr>
        <w:footnoteReference w:id="2745"/>
      </w:r>
      <w:r>
        <w:rPr>
          <w:rFonts w:ascii="IRNazanin" w:hAnsi="IRNazanin" w:eastAsia="IRNazanin"/>
          <w:color w:val="111111"/>
          <w:sz w:val="28"/>
          <w:sz w:val="28"/>
          <w:szCs w:val="28"/>
          <w:rtl w:val="true"/>
          <w:lang w:bidi="fa-IR"/>
        </w:rPr>
        <w:t>، والأخبار</w:t>
      </w:r>
      <w:r>
        <w:rPr>
          <w:rStyle w:val="FootnoteAnchor"/>
          <w:rtl w:val="true"/>
        </w:rPr>
        <w:footnoteReference w:id="2746"/>
      </w:r>
      <w:r>
        <w:rPr>
          <w:rFonts w:ascii="Amiri" w:hAnsi="Amiri" w:eastAsia="Amiri" w:cs="Amiri"/>
          <w:color w:val="111111"/>
          <w:sz w:val="28"/>
          <w:sz w:val="28"/>
          <w:szCs w:val="28"/>
          <w:rtl w:val="true"/>
          <w:lang w:bidi="ar-SA"/>
        </w:rPr>
        <w:t>متظافرة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أقسام؛ لأنّه إمّا أن يكون مشتبهاً أو معلوماً ، والمعلوم إمّا أن يكون خلقيّاً من غير الحيوان كالدم المخلوق في السماء أو الأرض، كما ورد بنزوله عند قتل سيّد الشهداء</w:t>
      </w:r>
      <w:r>
        <w:rPr>
          <w:rStyle w:val="FootnoteAnchor"/>
          <w:rtl w:val="true"/>
        </w:rPr>
        <w:footnoteReference w:id="2747"/>
      </w:r>
      <w:r>
        <w:rPr>
          <w:rFonts w:ascii="Amiri" w:hAnsi="Amiri" w:eastAsia="Amiri" w:cs="Amiri"/>
          <w:color w:val="111111"/>
          <w:sz w:val="28"/>
          <w:sz w:val="28"/>
          <w:szCs w:val="28"/>
          <w:rtl w:val="true"/>
          <w:lang w:bidi="ar-SA"/>
        </w:rPr>
        <w:t>، واستحالة بعض الأشياء</w:t>
      </w:r>
      <w:r>
        <w:rPr>
          <w:rStyle w:val="FootnoteAnchor"/>
          <w:rtl w:val="true"/>
        </w:rPr>
        <w:footnoteReference w:id="2748"/>
      </w:r>
      <w:r>
        <w:rPr>
          <w:rFonts w:ascii="Amiri" w:hAnsi="Amiri" w:eastAsia="Amiri" w:cs="Amiri"/>
          <w:color w:val="111111"/>
          <w:sz w:val="28"/>
          <w:sz w:val="28"/>
          <w:szCs w:val="28"/>
          <w:rtl w:val="true"/>
          <w:lang w:bidi="ar-SA"/>
        </w:rPr>
        <w:t>، و إمّا أن يكون من حيوان غير ذي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حيوان ذي نفس سائلة، وهو إمّا مأكول اللحم أو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 الخارج منه إمّا مسفوح وهو المنصبّ من عرق من عروق الحيوان، أو غير مسفوح، وغير المسفوح إمّا أن يكون متخلّفاً بعد الذبح الشرعي لمأكول اللحم، أو بعده لغير مأكول اللحم، أو متخلّفاً بعد الذبح الغير مشروع لمأكول اللحم، أو لغيره، أو غير متخلّف بعد الذبح كالخارج من الجلد بجرح أو قرح أو رعاف وشبهها، أو يكون مبدأ لحيوان، فهذه أقسام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المشتبه بين الطاهر والنجس فإن كان من المشتبه المحصور، وجب اجتنابه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غير المحصور، فالظاهر طهارته؛ للأصل، ونقل عليه الإجماع</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 أنّ الأصل في الدماء النجاسة إلّا ما خرج بالدليل؛ للأخبار الآمرة بغسله وإعادة الصلاة منه</w:t>
      </w:r>
      <w:r>
        <w:rPr>
          <w:rStyle w:val="FootnoteAnchor"/>
          <w:rtl w:val="true"/>
        </w:rPr>
        <w:footnoteReference w:id="2750"/>
      </w:r>
      <w:r>
        <w:rPr>
          <w:rFonts w:ascii="Amiri" w:hAnsi="Amiri" w:eastAsia="Amiri" w:cs="Amiri"/>
          <w:color w:val="111111"/>
          <w:sz w:val="28"/>
          <w:sz w:val="28"/>
          <w:szCs w:val="28"/>
          <w:rtl w:val="true"/>
          <w:lang w:bidi="ar-SA"/>
        </w:rPr>
        <w:t>من دون استفصال عن حاله في العلم والجهل، بل الظاهر من بعض الأخبار أنّه مجهول</w:t>
      </w:r>
      <w:r>
        <w:rPr>
          <w:rStyle w:val="FootnoteAnchor"/>
          <w:rtl w:val="true"/>
        </w:rPr>
        <w:footnoteReference w:id="2751"/>
      </w:r>
      <w:r>
        <w:rPr>
          <w:rFonts w:ascii="Amiri" w:hAnsi="Amiri" w:eastAsia="Amiri" w:cs="Amiri"/>
          <w:color w:val="111111"/>
          <w:sz w:val="28"/>
          <w:sz w:val="28"/>
          <w:szCs w:val="28"/>
          <w:rtl w:val="true"/>
          <w:lang w:bidi="ar-SA"/>
        </w:rPr>
        <w:t>، كما ورد في الأخبار من نجاسة ما في منقار الطير من الدم</w:t>
      </w:r>
      <w:r>
        <w:rPr>
          <w:rStyle w:val="FootnoteAnchor"/>
          <w:rtl w:val="true"/>
        </w:rPr>
        <w:footnoteReference w:id="2752"/>
      </w:r>
      <w:r>
        <w:rPr>
          <w:rFonts w:ascii="Amiri" w:hAnsi="Amiri" w:eastAsia="Amiri" w:cs="Amiri"/>
          <w:color w:val="111111"/>
          <w:sz w:val="28"/>
          <w:sz w:val="28"/>
          <w:szCs w:val="28"/>
          <w:rtl w:val="true"/>
          <w:lang w:bidi="ar-SA"/>
        </w:rPr>
        <w:t>مع عدم العلم بأنّه من الطاهر أو من النجس، لأنّه يفترس ما كان دمه طاهراً ونجساً، دعوى غير مسموعة في معارضة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في الأخبار وكذا ترك التفصيل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ترى في منقاره دماً</w:t>
      </w:r>
      <w:r>
        <w:rPr>
          <w:rFonts w:eastAsia="Amiri" w:cs="Amiri" w:ascii="Amiri" w:hAnsi="Amiri"/>
          <w:color w:val="111111"/>
          <w:sz w:val="28"/>
          <w:szCs w:val="28"/>
          <w:rtl w:val="true"/>
          <w:lang w:bidi="ar-SA"/>
        </w:rPr>
        <w:t>»</w:t>
      </w:r>
      <w:r>
        <w:rPr>
          <w:rStyle w:val="FootnoteAnchor"/>
          <w:rtl w:val="true"/>
        </w:rPr>
        <w:footnoteReference w:id="2753"/>
      </w:r>
      <w:r>
        <w:rPr>
          <w:rFonts w:ascii="Amiri" w:hAnsi="Amiri" w:eastAsia="Amiri" w:cs="Amiri"/>
          <w:color w:val="111111"/>
          <w:sz w:val="28"/>
          <w:sz w:val="28"/>
          <w:szCs w:val="28"/>
          <w:rtl w:val="true"/>
          <w:lang w:bidi="ar-SA"/>
        </w:rPr>
        <w:t>لا يدلّ على العموم بالنسبة إلى مجهول الحال؛ لانصراف الدم في السؤال والجواب إلى الفرد المتكرّر والمتكثّر الخارج من الإنسان أو من الحيوان ذي النفس المحكوم بنجاسته، كما هو الظاهر اليوم في السؤال والجواب، فالمراد بما يقع في السؤال والجواب هو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غير ذي النفس السائلة ولا شكّ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والإجماع بقسميه</w:t>
      </w:r>
      <w:r>
        <w:rPr>
          <w:rStyle w:val="FootnoteAnchor"/>
          <w:rtl w:val="true"/>
        </w:rPr>
        <w:footnoteReference w:id="2754"/>
      </w:r>
      <w:r>
        <w:rPr>
          <w:rFonts w:ascii="Amiri" w:hAnsi="Amiri" w:eastAsia="Amiri" w:cs="Amiri"/>
          <w:color w:val="111111"/>
          <w:sz w:val="28"/>
          <w:sz w:val="28"/>
          <w:szCs w:val="28"/>
          <w:rtl w:val="true"/>
          <w:lang w:bidi="ar-SA"/>
        </w:rPr>
        <w:t>، ولزوم العسر والحرج في مثل البقّ والبرغوث والدود، ولا قائل بالفصل، وللأخبار الواردة في طهارة دم البراغيث وإن تفاحش، وكذا البقّ</w:t>
      </w:r>
      <w:r>
        <w:rPr>
          <w:rStyle w:val="FootnoteAnchor"/>
          <w:rtl w:val="true"/>
        </w:rPr>
        <w:footnoteReference w:id="2755"/>
      </w:r>
      <w:r>
        <w:rPr>
          <w:rFonts w:ascii="Amiri" w:hAnsi="Amiri" w:eastAsia="Amiri" w:cs="Amiri"/>
          <w:color w:val="111111"/>
          <w:sz w:val="28"/>
          <w:sz w:val="28"/>
          <w:szCs w:val="28"/>
          <w:rtl w:val="true"/>
          <w:lang w:bidi="ar-SA"/>
        </w:rPr>
        <w:t>، ولا فارق بينهما وبين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المخلوق لنفسه ولم يخرج من حيوان والظاهر الحكم بطهارته</w:t>
      </w:r>
    </w:p>
    <w:p>
      <w:pPr>
        <w:pStyle w:val="BookText"/>
        <w:rPr/>
      </w:pPr>
      <w:r>
        <w:rPr>
          <w:rFonts w:ascii="Amiri" w:hAnsi="Amiri" w:eastAsia="Amiri" w:cs="Amiri"/>
          <w:color w:val="111111"/>
          <w:sz w:val="28"/>
          <w:sz w:val="28"/>
          <w:szCs w:val="28"/>
          <w:rtl w:val="true"/>
          <w:lang w:bidi="ar-SA"/>
        </w:rPr>
        <w:t>للأصل، وعدم انصراف أدلّة نجاسة الدم إلى مثله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السمك وهو طاهر؛ للأصل والإجماع المنقول</w:t>
      </w:r>
      <w:r>
        <w:rPr>
          <w:rStyle w:val="FootnoteAnchor"/>
          <w:rtl w:val="true"/>
        </w:rPr>
        <w:footnoteReference w:id="2756"/>
      </w:r>
      <w:r>
        <w:rPr>
          <w:rFonts w:ascii="IRNazanin" w:hAnsi="IRNazanin" w:eastAsia="IRNazanin"/>
          <w:color w:val="111111"/>
          <w:sz w:val="28"/>
          <w:sz w:val="28"/>
          <w:szCs w:val="28"/>
          <w:rtl w:val="true"/>
          <w:lang w:bidi="fa-IR"/>
        </w:rPr>
        <w:t>والخبر</w:t>
      </w:r>
      <w:r>
        <w:rPr>
          <w:rStyle w:val="FootnoteAnchor"/>
          <w:rtl w:val="true"/>
        </w:rPr>
        <w:footnoteReference w:id="2757"/>
      </w:r>
      <w:r>
        <w:rPr>
          <w:rFonts w:ascii="IRNazanin" w:hAnsi="IRNazanin" w:eastAsia="IRNazanin"/>
          <w:color w:val="111111"/>
          <w:sz w:val="28"/>
          <w:sz w:val="28"/>
          <w:szCs w:val="28"/>
          <w:rtl w:val="true"/>
          <w:lang w:bidi="fa-IR"/>
        </w:rPr>
        <w:t>، وظاهر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أُحِلَّ لَكُمْ صَيْدُ البَحْرِ</w:t>
      </w:r>
      <w:r>
        <w:rPr>
          <w:rStyle w:val="FootnoteAnchor"/>
          <w:rtl w:val="true"/>
        </w:rPr>
        <w:footnoteReference w:id="2758"/>
      </w:r>
      <w:r>
        <w:rPr>
          <w:rFonts w:ascii="Amiri" w:hAnsi="Amiri" w:eastAsia="Amiri" w:cs="Amiri"/>
          <w:color w:val="111111"/>
          <w:sz w:val="28"/>
          <w:sz w:val="28"/>
          <w:szCs w:val="28"/>
          <w:rtl w:val="true"/>
          <w:lang w:bidi="ar-SA"/>
        </w:rPr>
        <w:t>لاستلزام التحليل الطهارة، وظاهر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دَماً مَسْفُوحاً</w:t>
      </w:r>
      <w:r>
        <w:rPr>
          <w:rStyle w:val="FootnoteAnchor"/>
          <w:rtl w:val="true"/>
        </w:rPr>
        <w:footnoteReference w:id="2759"/>
      </w:r>
      <w:r>
        <w:rPr>
          <w:rFonts w:ascii="Amiri" w:hAnsi="Amiri" w:eastAsia="Amiri" w:cs="Amiri"/>
          <w:color w:val="111111"/>
          <w:sz w:val="28"/>
          <w:sz w:val="28"/>
          <w:szCs w:val="28"/>
          <w:rtl w:val="true"/>
          <w:lang w:bidi="ar-SA"/>
        </w:rPr>
        <w:t>ودم السمك ليس بمسفوح</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حلال أيضاً؛ لعدم ثبوت استخبائه</w:t>
      </w:r>
      <w:r>
        <w:rPr>
          <w:rFonts w:eastAsia="Amiri" w:cs="Amiri" w:ascii="Amiri" w:hAnsi="Amiri"/>
          <w:color w:val="111111"/>
          <w:sz w:val="28"/>
          <w:szCs w:val="28"/>
          <w:rtl w:val="true"/>
          <w:lang w:bidi="ar-SA"/>
        </w:rPr>
        <w:t xml:space="preserve">. </w:t>
      </w:r>
      <w:bookmarkStart w:id="1283" w:name="pg18988_203662"/>
    </w:p>
    <w:p>
      <w:pPr>
        <w:pStyle w:val="BookText"/>
        <w:rPr/>
      </w:pPr>
      <w:bookmarkEnd w:id="1283"/>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المتخلّف في الذبيحة بعد التذكية الشرعيّة ممّا يؤكل لحمه، وهو طاهر حلال؛ للإجماع المنقول</w:t>
      </w:r>
      <w:r>
        <w:rPr>
          <w:rStyle w:val="FootnoteAnchor"/>
          <w:rtl w:val="true"/>
        </w:rPr>
        <w:footnoteReference w:id="2760"/>
      </w:r>
      <w:r>
        <w:rPr>
          <w:rFonts w:ascii="Amiri" w:hAnsi="Amiri" w:eastAsia="Amiri" w:cs="Amiri"/>
          <w:color w:val="111111"/>
          <w:sz w:val="28"/>
          <w:sz w:val="28"/>
          <w:szCs w:val="28"/>
          <w:rtl w:val="true"/>
          <w:lang w:bidi="ar-SA"/>
        </w:rPr>
        <w:t>، وفتوى الفحول، ولعدم عدّه من محرّمات الذبيحة، ولجريان السيرة على أكله تبعاً 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من الحيوان ذي النفس السائلة نجس فتوىً ونصّاً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في الذبيحة بعد التذكية الغير مشروعة ، وهو نجس إجماعاً ؛ لأنّه دم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في الذبيحة بعد التذكية الشرعيّة ممّا لا يؤكل لحمه، وهو نجس؛ للإطلاق، والإجماع المنقول على نجاسة الدم</w:t>
      </w:r>
      <w:r>
        <w:rPr>
          <w:rStyle w:val="FootnoteAnchor"/>
          <w:rtl w:val="true"/>
        </w:rPr>
        <w:footnoteReference w:id="2761"/>
      </w:r>
      <w:r>
        <w:rPr>
          <w:rFonts w:ascii="Amiri" w:hAnsi="Amiri" w:eastAsia="Amiri" w:cs="Amiri"/>
          <w:color w:val="111111"/>
          <w:sz w:val="28"/>
          <w:sz w:val="28"/>
          <w:szCs w:val="28"/>
          <w:rtl w:val="true"/>
          <w:lang w:bidi="ar-SA"/>
        </w:rPr>
        <w:t>، وإطلاق كثير من الأخبار بذلك، فالأصل نجاسة كلّ دم من الحيوان،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الحيوان ولم يكن مسفوحاً بل خرج برعاف أو غيره من جرح وشبهه، والظاهر نجاسته؛ للإجماع المنقول</w:t>
      </w:r>
      <w:r>
        <w:rPr>
          <w:rStyle w:val="FootnoteAnchor"/>
          <w:rtl w:val="true"/>
        </w:rPr>
        <w:footnoteReference w:id="2762"/>
      </w:r>
      <w:r>
        <w:rPr>
          <w:rFonts w:ascii="IRNazanin" w:hAnsi="IRNazanin" w:eastAsia="IRNazanin"/>
          <w:color w:val="111111"/>
          <w:sz w:val="28"/>
          <w:sz w:val="28"/>
          <w:szCs w:val="28"/>
          <w:rtl w:val="true"/>
          <w:lang w:bidi="fa-IR"/>
        </w:rPr>
        <w:t>، وفتوى الفحول، وظاهر الأخبار</w:t>
      </w:r>
      <w:r>
        <w:rPr>
          <w:rStyle w:val="FootnoteAnchor"/>
          <w:rtl w:val="true"/>
        </w:rPr>
        <w:footnoteReference w:id="276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المتكوّن من الحيوان وليس خارجاً منه كالعلقة، والظاهر نجاستها؛ للإجماع المنقول على نجاسة الدم مطلقاً</w:t>
      </w:r>
      <w:r>
        <w:rPr>
          <w:rStyle w:val="FootnoteAnchor"/>
          <w:rtl w:val="true"/>
        </w:rPr>
        <w:footnoteReference w:id="2764"/>
      </w:r>
      <w:r>
        <w:rPr>
          <w:rFonts w:ascii="Amiri" w:hAnsi="Amiri" w:eastAsia="Amiri" w:cs="Amiri"/>
          <w:color w:val="111111"/>
          <w:sz w:val="28"/>
          <w:sz w:val="28"/>
          <w:szCs w:val="28"/>
          <w:rtl w:val="true"/>
          <w:lang w:bidi="ar-SA"/>
        </w:rPr>
        <w:t>، وعلى نجاسة العلقة خصوصاً</w:t>
      </w:r>
      <w:r>
        <w:rPr>
          <w:rStyle w:val="FootnoteAnchor"/>
          <w:rtl w:val="true"/>
        </w:rPr>
        <w:footnoteReference w:id="2765"/>
      </w:r>
      <w:r>
        <w:rPr>
          <w:rFonts w:ascii="Amiri" w:hAnsi="Amiri" w:eastAsia="Amiri" w:cs="Amiri"/>
          <w:color w:val="111111"/>
          <w:sz w:val="28"/>
          <w:sz w:val="28"/>
          <w:szCs w:val="28"/>
          <w:rtl w:val="true"/>
          <w:lang w:bidi="ar-SA"/>
        </w:rPr>
        <w:t>، ولأنّ مبدأه أقوى ممّا يخرج منه، ولظاهر إطلاق جملة من الأخبار</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العلقة ما يوجد في البيضة من الدم المتكوّن فيها بعد العلم بأنّه مبدأ نشوء حيوان، ومع عدم العلم فلا يبعد القول بالطهارة، إلّا أنّ الأخذ بظاهر إطلاق الإجماع وجملة من الأخبار هو الأحوط</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3198337_1280447820"/>
      <w:bookmarkStart w:id="1285" w:name="_Toc495"/>
      <w:bookmarkEnd w:id="1284"/>
      <w:r>
        <w:rPr>
          <w:rtl w:val="true"/>
        </w:rPr>
        <w:t>رابعها</w:t>
      </w:r>
      <w:r>
        <w:rPr>
          <w:rtl w:val="true"/>
        </w:rPr>
        <w:t xml:space="preserve">: </w:t>
      </w:r>
      <w:r>
        <w:rPr>
          <w:rtl w:val="true"/>
        </w:rPr>
        <w:t>ميتة ذي النفس السائلة</w:t>
      </w:r>
      <w:bookmarkEnd w:id="1285"/>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الميتة نجسة إجماعاً، ما عدا ميتة غير ذي النفس السائلة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يقع فيها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ميتة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نجسة إجماعاً منقولاً على لسان جماعةٍ من أصحابنا</w:t>
      </w:r>
      <w:r>
        <w:rPr>
          <w:rStyle w:val="FootnoteAnchor"/>
          <w:rtl w:val="true"/>
        </w:rPr>
        <w:footnoteReference w:id="2767"/>
      </w:r>
      <w:r>
        <w:rPr>
          <w:rFonts w:ascii="Amiri" w:hAnsi="Amiri" w:eastAsia="Amiri" w:cs="Amiri"/>
          <w:color w:val="111111"/>
          <w:sz w:val="28"/>
          <w:sz w:val="28"/>
          <w:szCs w:val="28"/>
          <w:rtl w:val="true"/>
          <w:lang w:bidi="ar-SA"/>
        </w:rPr>
        <w:t>، وأفتى به أصحابنا أيضاً، و دلّت عليه 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الخبر الأمر بغسل الثوب الذي أصاب الميّت قبل غسله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الأمر بغسل اليد إذا أصابت جسد الميّت قبل أن يغسّل</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الأمر بغسل ما أصاب ثوب الميّت</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في الأخبار</w:t>
      </w:r>
      <w:r>
        <w:rPr>
          <w:rStyle w:val="FootnoteAnchor"/>
          <w:rtl w:val="true"/>
        </w:rPr>
        <w:footnoteReference w:id="2771"/>
      </w:r>
      <w:r>
        <w:rPr>
          <w:rFonts w:ascii="IRNazanin" w:hAnsi="IRNazanin" w:eastAsia="IRNazanin"/>
          <w:color w:val="111111"/>
          <w:sz w:val="28"/>
          <w:sz w:val="28"/>
          <w:szCs w:val="28"/>
          <w:rtl w:val="true"/>
          <w:lang w:bidi="fa-IR"/>
        </w:rPr>
        <w:t>وصرّحت به الأصحاب هو طهارته بعد غسله، و أنّ نجاسته قبل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في نجاسته برد جسده؛ لاستصحاب الحياة، وللمنع من غسله مع الحرارة، والظاهر أنّ الغسل للنجاسة، فلا نجاسة مع الحرارة، ولاستصحاب الطهارة، ولظاهر الأخبار النافية للبأس عن مسّه بحرارته وتقبيله في تلك الحال، كما ورد من تقبيل أبي عبد الله لابنه إسماعيل، ونفي البأس عن مسّ الميّت بحرارته</w:t>
      </w:r>
      <w:r>
        <w:rPr>
          <w:rStyle w:val="FootnoteAnchor"/>
          <w:rtl w:val="true"/>
        </w:rPr>
        <w:footnoteReference w:id="2772"/>
      </w:r>
      <w:r>
        <w:rPr>
          <w:rFonts w:ascii="Amiri" w:hAnsi="Amiri" w:eastAsia="Amiri" w:cs="Amiri"/>
          <w:color w:val="111111"/>
          <w:sz w:val="28"/>
          <w:sz w:val="28"/>
          <w:szCs w:val="28"/>
          <w:rtl w:val="true"/>
          <w:lang w:bidi="ar-SA"/>
        </w:rPr>
        <w:t>، أو لا يشترط؛ لإطلاق الأخبار، وصدق الموت عليه، والإجماع المنقول</w:t>
      </w:r>
      <w:r>
        <w:rPr>
          <w:rStyle w:val="FootnoteAnchor"/>
          <w:rtl w:val="true"/>
        </w:rPr>
        <w:footnoteReference w:id="2773"/>
      </w:r>
      <w:r>
        <w:rPr>
          <w:rFonts w:ascii="Amiri" w:hAnsi="Amiri" w:eastAsia="Amiri" w:cs="Amiri"/>
          <w:color w:val="111111"/>
          <w:sz w:val="28"/>
          <w:sz w:val="28"/>
          <w:szCs w:val="28"/>
          <w:rtl w:val="true"/>
          <w:lang w:bidi="ar-SA"/>
        </w:rPr>
        <w:t>، والتوقيع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ميّتاً بحرارته لم يكن عليه إلّا غسل يده</w:t>
      </w:r>
      <w:r>
        <w:rPr>
          <w:rFonts w:eastAsia="Amiri" w:cs="Amiri" w:ascii="Amiri" w:hAnsi="Amiri"/>
          <w:color w:val="111111"/>
          <w:sz w:val="28"/>
          <w:szCs w:val="28"/>
          <w:rtl w:val="true"/>
          <w:lang w:bidi="ar-SA"/>
        </w:rPr>
        <w:t>»</w:t>
      </w:r>
      <w:r>
        <w:rPr>
          <w:rStyle w:val="FootnoteAnchor"/>
          <w:rtl w:val="true"/>
        </w:rPr>
        <w:footnoteReference w:id="2774"/>
      </w:r>
      <w:r>
        <w:rPr>
          <w:rFonts w:ascii="Amiri" w:hAnsi="Amiri" w:eastAsia="Amiri" w:cs="Amiri"/>
          <w:color w:val="111111"/>
          <w:sz w:val="28"/>
          <w:sz w:val="28"/>
          <w:szCs w:val="28"/>
          <w:rtl w:val="true"/>
          <w:lang w:bidi="ar-SA"/>
        </w:rPr>
        <w:t>والثاني أقوى،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القطعة المبانة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نجاستها، سواء قُطعت من حيّ أو ميّت، وسواء قُطعت من إنسان أو غيره، وسواء قُطعت بعد أن كانت ميتةً حال اتّصالها أو قُطعت حيّةً فماتت</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لاستصحاب نجاستها لو قُطعت من ميّتٍ مع عدم تبدّل الموضوع، وللإجماع </w:t>
      </w:r>
    </w:p>
    <w:p>
      <w:pPr>
        <w:pStyle w:val="BookText"/>
        <w:rPr/>
      </w:pPr>
      <w:r>
        <w:rPr>
          <w:rFonts w:ascii="IRNazanin" w:hAnsi="IRNazanin" w:eastAsia="IRNazanin"/>
          <w:color w:val="111111"/>
          <w:sz w:val="28"/>
          <w:sz w:val="28"/>
          <w:szCs w:val="28"/>
          <w:rtl w:val="true"/>
          <w:lang w:bidi="fa-IR"/>
        </w:rPr>
        <w:t>المنقول على نجاستها</w:t>
      </w:r>
      <w:r>
        <w:rPr>
          <w:rStyle w:val="FootnoteAnchor"/>
          <w:rtl w:val="true"/>
        </w:rPr>
        <w:footnoteReference w:id="2775"/>
      </w:r>
      <w:r>
        <w:rPr>
          <w:rFonts w:ascii="Amiri" w:hAnsi="Amiri" w:eastAsia="Amiri" w:cs="Amiri"/>
          <w:color w:val="111111"/>
          <w:sz w:val="28"/>
          <w:sz w:val="28"/>
          <w:szCs w:val="28"/>
          <w:rtl w:val="true"/>
          <w:lang w:bidi="ar-SA"/>
        </w:rPr>
        <w:t>مطلقاً، ولفتوى المشهور بل المجمع عليه، وللأخبار الدالّة على أنّه إذا قُطعت من الرجل قطعة فهي ميتة ، وأنّ ما أخذت الحبالة من الحيوان فقطعته فهو ميتة</w:t>
      </w:r>
      <w:r>
        <w:rPr>
          <w:rStyle w:val="FootnoteAnchor"/>
          <w:rtl w:val="true"/>
        </w:rPr>
        <w:footnoteReference w:id="2776"/>
      </w:r>
      <w:r>
        <w:rPr>
          <w:rFonts w:ascii="Amiri" w:hAnsi="Amiri" w:eastAsia="Amiri" w:cs="Amiri"/>
          <w:color w:val="111111"/>
          <w:sz w:val="28"/>
          <w:sz w:val="28"/>
          <w:szCs w:val="28"/>
          <w:rtl w:val="true"/>
          <w:lang w:bidi="ar-SA"/>
        </w:rPr>
        <w:t>، وأنّ أليات الغنم المقطوعة ميتة</w:t>
      </w:r>
      <w:r>
        <w:rPr>
          <w:rStyle w:val="FootnoteAnchor"/>
          <w:rtl w:val="true"/>
        </w:rPr>
        <w:footnoteReference w:id="2777"/>
      </w:r>
      <w:r>
        <w:rPr>
          <w:rFonts w:ascii="Amiri" w:hAnsi="Amiri" w:eastAsia="Amiri" w:cs="Amiri"/>
          <w:color w:val="111111"/>
          <w:sz w:val="28"/>
          <w:sz w:val="28"/>
          <w:szCs w:val="28"/>
          <w:rtl w:val="true"/>
          <w:lang w:bidi="ar-SA"/>
        </w:rPr>
        <w:t>، وأنّه لا ينتفع به</w:t>
      </w:r>
      <w:r>
        <w:rPr>
          <w:rStyle w:val="FootnoteAnchor"/>
          <w:rtl w:val="true"/>
        </w:rPr>
        <w:footnoteReference w:id="2778"/>
      </w:r>
      <w:r>
        <w:rPr>
          <w:rFonts w:ascii="Amiri" w:hAnsi="Amiri" w:eastAsia="Amiri" w:cs="Amiri"/>
          <w:color w:val="111111"/>
          <w:sz w:val="28"/>
          <w:sz w:val="28"/>
          <w:szCs w:val="28"/>
          <w:rtl w:val="true"/>
          <w:lang w:bidi="ar-SA"/>
        </w:rPr>
        <w:t>، ولا قائل بالفرق بين المنصوص عليه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 يصيب اليد والثوب وهو حرام</w:t>
      </w:r>
      <w:r>
        <w:rPr>
          <w:rFonts w:eastAsia="Amiri" w:cs="Amiri" w:ascii="Amiri" w:hAnsi="Amiri"/>
          <w:color w:val="111111"/>
          <w:sz w:val="28"/>
          <w:szCs w:val="28"/>
          <w:rtl w:val="true"/>
          <w:lang w:bidi="ar-SA"/>
        </w:rPr>
        <w:t>»</w:t>
      </w:r>
      <w:r>
        <w:rPr>
          <w:rStyle w:val="FootnoteAnchor"/>
          <w:rtl w:val="true"/>
        </w:rPr>
        <w:footnoteReference w:id="2779"/>
      </w:r>
      <w:r>
        <w:rPr>
          <w:rFonts w:ascii="Amiri" w:hAnsi="Amiri" w:eastAsia="Amiri" w:cs="Amiri"/>
          <w:color w:val="111111"/>
          <w:sz w:val="28"/>
          <w:sz w:val="28"/>
          <w:szCs w:val="28"/>
          <w:rtl w:val="true"/>
          <w:lang w:bidi="ar-SA"/>
        </w:rPr>
        <w:t>إلى غير ذلك من الأخبار، فإذا صدق عليها لفظ الميتة حقيقةً أو استعارةً جرى عليها أحكام الميتة التي أظهرها الحرمة والنجاسة،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المتضمّن للتفريع في إصابة البدن والثوب</w:t>
      </w:r>
      <w:r>
        <w:rPr>
          <w:rStyle w:val="FootnoteAnchor"/>
          <w:rtl w:val="true"/>
        </w:rPr>
        <w:footnoteReference w:id="2780"/>
      </w:r>
      <w:r>
        <w:rPr>
          <w:rFonts w:ascii="Amiri" w:hAnsi="Amiri" w:eastAsia="Amiri" w:cs="Amiri"/>
          <w:color w:val="111111"/>
          <w:sz w:val="28"/>
          <w:sz w:val="28"/>
          <w:szCs w:val="28"/>
          <w:rtl w:val="true"/>
          <w:lang w:bidi="ar-SA"/>
        </w:rPr>
        <w:t>أيضاً دليل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أنّ نجاسة الميتة لم يقم عليها شاهد من عموم أو إطلاق سوى الإجماع المشكوك في شموله لمحلّ النزاع، ضعيفة؛ لما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على نجاسة القطعة بأنّ المفهوم من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الصوف ليس فيه روح</w:t>
      </w:r>
      <w:r>
        <w:rPr>
          <w:rFonts w:eastAsia="Amiri" w:cs="Amiri" w:ascii="Amiri" w:hAnsi="Amiri"/>
          <w:color w:val="111111"/>
          <w:sz w:val="28"/>
          <w:szCs w:val="28"/>
          <w:rtl w:val="true"/>
          <w:lang w:bidi="ar-SA"/>
        </w:rPr>
        <w:t>»</w:t>
      </w:r>
      <w:r>
        <w:rPr>
          <w:rStyle w:val="FootnoteAnchor"/>
          <w:rtl w:val="true"/>
        </w:rPr>
        <w:footnoteReference w:id="2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هو السبب لنجاسة المحلّ، فلا فرق بين حلوله في الجميع أو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ممّا ذكرنا الأجزاء المتساقطة من الحيوان عادة، من الأجزاء الصغار كالثآليل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الساقطة من الرِّجل أو اليد عند غسلهما، أو الملاصقة للشعر أو الظفر، سواء سقطت فماتت أو ماتت فسقطت، فإنّها طاهرة؛ لعدم شمول دليل النجاسة لها من النصّ والإجماع، وللزوم العسر والحرج في الحكم بنجاستها، ولجريان السيرة على معاملتها معاملة الطاهر؛ لعدم انفكاك الناس عنها غالباً في أوقات الصيف والعرق والحمّامات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بفحوى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يقطع الثالول أو ينتف بعض لحمه وهو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يتخوّف أن يسيل الدم فلا بأس</w:t>
      </w:r>
      <w:r>
        <w:rPr>
          <w:rFonts w:eastAsia="Amiri" w:cs="Amiri" w:ascii="Amiri" w:hAnsi="Amiri"/>
          <w:color w:val="111111"/>
          <w:sz w:val="28"/>
          <w:szCs w:val="28"/>
          <w:rtl w:val="true"/>
          <w:lang w:bidi="ar-SA"/>
        </w:rPr>
        <w:t>»</w:t>
      </w:r>
      <w:r>
        <w:rPr>
          <w:rStyle w:val="FootnoteAnchor"/>
          <w:rtl w:val="true"/>
        </w:rPr>
        <w:footnoteReference w:id="2782"/>
      </w:r>
      <w:r>
        <w:rPr>
          <w:rFonts w:ascii="IRNazanin" w:hAnsi="IRNazanin" w:eastAsia="IRNazanin"/>
          <w:color w:val="111111"/>
          <w:sz w:val="28"/>
          <w:sz w:val="28"/>
          <w:szCs w:val="28"/>
          <w:rtl w:val="true"/>
          <w:lang w:bidi="fa-IR"/>
        </w:rPr>
        <w:t xml:space="preserve">، وهو وإن كان ظاهره یعلّق السؤال بجواز الفعل </w:t>
      </w:r>
    </w:p>
    <w:p>
      <w:pPr>
        <w:pStyle w:val="BookText"/>
        <w:rPr/>
      </w:pPr>
      <w:r>
        <w:rPr>
          <w:rFonts w:ascii="Amiri" w:hAnsi="Amiri" w:eastAsia="Amiri" w:cs="Amiri"/>
          <w:color w:val="111111"/>
          <w:sz w:val="28"/>
          <w:sz w:val="28"/>
          <w:szCs w:val="28"/>
          <w:rtl w:val="true"/>
          <w:lang w:bidi="ar-SA"/>
        </w:rPr>
        <w:t>وعدمه لا طهارة المقطوع وعدمها، ولكن قوله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يتخوّف أن يسيل الدم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يتنجس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الغالب مسّه برطوبة والتنجّس به لو كان نجساً دليل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الحيوان غير الإنسان إذا كانت له نفس سائلة، نجسة إجماعاً منقولاً </w:t>
      </w:r>
      <w:r>
        <w:rPr>
          <w:rStyle w:val="FootnoteAnchor"/>
          <w:rtl w:val="true"/>
        </w:rPr>
        <w:footnoteReference w:id="2783"/>
      </w:r>
      <w:r>
        <w:rPr>
          <w:rFonts w:ascii="Amiri" w:hAnsi="Amiri" w:eastAsia="Amiri" w:cs="Amiri"/>
          <w:color w:val="111111"/>
          <w:sz w:val="28"/>
          <w:sz w:val="28"/>
          <w:szCs w:val="28"/>
          <w:rtl w:val="true"/>
          <w:lang w:bidi="ar-SA"/>
        </w:rPr>
        <w:t>بل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الأخبار الدالّة على المنع من استعمال الماء الواقعة فيه ميتة سيّما إذا تغيّر و أنتن</w:t>
      </w:r>
      <w:r>
        <w:rPr>
          <w:rStyle w:val="FootnoteAnchor"/>
          <w:rtl w:val="true"/>
        </w:rPr>
        <w:footnoteReference w:id="2784"/>
      </w:r>
      <w:r>
        <w:rPr>
          <w:rFonts w:ascii="Amiri" w:hAnsi="Amiri" w:eastAsia="Amiri" w:cs="Amiri"/>
          <w:color w:val="111111"/>
          <w:sz w:val="28"/>
          <w:sz w:val="28"/>
          <w:szCs w:val="28"/>
          <w:rtl w:val="true"/>
          <w:lang w:bidi="ar-SA"/>
        </w:rPr>
        <w:t>، والدالّة على أنّ كلّ شيء ينفصل من الشاة فهو ذكيّ، وإن أخذته بعد أن يموت فاغسله</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الدالّة على لزوم نزح البئر من ميتة الإنسان والدابّة والفأرة والطير والحمار والبقرة والجمل والسنّور والحمامة والدجاجة وغير ذلك</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الناهية عن أكل السمن والزيت والعسل إذا وقعت فيها فأرة أو جرذ أو دابّة فتموت فيها، و أنّ الزيت يستصبح به</w:t>
      </w:r>
      <w:r>
        <w:rPr>
          <w:rStyle w:val="FootnoteAnchor"/>
          <w:rtl w:val="true"/>
        </w:rPr>
        <w:footnoteReference w:id="2787"/>
      </w:r>
      <w:r>
        <w:rPr>
          <w:rFonts w:ascii="Amiri" w:hAnsi="Amiri" w:eastAsia="Amiri" w:cs="Amiri"/>
          <w:color w:val="111111"/>
          <w:sz w:val="28"/>
          <w:sz w:val="28"/>
          <w:szCs w:val="28"/>
          <w:rtl w:val="true"/>
          <w:lang w:bidi="ar-SA"/>
        </w:rPr>
        <w:t>، وهي أخبار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الآمرة بإهراق المرق وغسل اللحم إذا وقعت في القدر فأرة</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الناهية عن الأكل في أواني أهل الذمّة لأنّهم يأكلون فيها الميتة والدم ولحم الخنزير</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الناهية عن استعمال أليات الغنم المقطوعة، و أنّه يحرم إصابتها للثوب والبدن</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الدالّة على عدم نجاسة الماء إذا كان أكثر من راوية إلّا أن يجيء ريح يغلب على ريح الماء</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الآمرة بغسل الثياب وما أصابه الماء الذي تفسّخت فيه الفأرة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الناهية عن الوضوء والشرب من ماء قد وقعت فيه دابّة ميّتة وقد تغيّر ريحه أو طعمه</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الدالّة على أنّ الماء لا يفسده إلّا ما كان له نفس سائلة، وأنّ ما ليس له نفس فلا بأس به</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الناهية عن استعمال جلد الميتة والانتفاع بها</w:t>
      </w:r>
      <w:r>
        <w:rPr>
          <w:rStyle w:val="FootnoteAnchor"/>
          <w:rtl w:val="true"/>
        </w:rPr>
        <w:footnoteReference w:id="2795"/>
      </w:r>
      <w:r>
        <w:rPr>
          <w:rFonts w:ascii="Amiri" w:hAnsi="Amiri" w:eastAsia="Amiri" w:cs="Amiri"/>
          <w:color w:val="111111"/>
          <w:sz w:val="28"/>
          <w:sz w:val="28"/>
          <w:szCs w:val="28"/>
          <w:rtl w:val="true"/>
          <w:lang w:bidi="ar-SA"/>
        </w:rPr>
        <w:t>، إلى غير ذلك، فإنّ المفهوم من استقراء جميع الجزئيات الواردة في الأخبار المثبت للحكم الكلّي في سائر أفراد ما له نفس سائلة، المقترن بعدم القول بالفصل ممّن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ميتة ذي النفس السائلة نجسة، ولفظ النجاسة وإن لم يذكر بصريحه ولكنّها ثبتت من المفهوم في بعضٍ، ومن إثبات اللوازم في بعضٍ آخَر، ومن مجموع اللوازم يثبت التواتر المعنوي أيضاً، فإذا انضمّ إلى ذلك فهم ا الأصحاب والإجماع المنقول وفتوى الفحول كان إرادة النجاسة منها أمراً مقطوعاً به لا يعتريه تشكيك 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غير ذي النفس السائلة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طهارتها مطلقاً ؛ للأصل، وعدم شمول ما دلّ على نجاسة الميتة لها، وعدم انصراف الإطلاق إليها، وللإجماع المنقول</w:t>
      </w:r>
      <w:r>
        <w:rPr>
          <w:rStyle w:val="FootnoteAnchor"/>
          <w:rtl w:val="true"/>
        </w:rPr>
        <w:footnoteReference w:id="2796"/>
      </w:r>
      <w:r>
        <w:rPr>
          <w:rFonts w:ascii="Amiri" w:hAnsi="Amiri" w:eastAsia="Amiri" w:cs="Amiri"/>
          <w:color w:val="111111"/>
          <w:sz w:val="28"/>
          <w:sz w:val="28"/>
          <w:szCs w:val="28"/>
          <w:rtl w:val="true"/>
          <w:lang w:bidi="ar-SA"/>
        </w:rPr>
        <w:t>، وفتوى الفحول وللأخبار النافية للبأس عن ميتتها وعدم إفساد الماء بها</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إراقة ما وقع فيه بعض الحيوان من عقرب وشبهه</w:t>
      </w:r>
      <w:r>
        <w:rPr>
          <w:rStyle w:val="FootnoteAnchor"/>
          <w:rtl w:val="true"/>
        </w:rPr>
        <w:footnoteReference w:id="2798"/>
      </w:r>
      <w:r>
        <w:rPr>
          <w:rFonts w:ascii="IRNazanin" w:hAnsi="IRNazanin" w:eastAsia="IRNazanin"/>
          <w:color w:val="111111"/>
          <w:sz w:val="28"/>
          <w:sz w:val="28"/>
          <w:szCs w:val="28"/>
          <w:rtl w:val="true"/>
          <w:lang w:bidi="fa-IR"/>
        </w:rPr>
        <w:t>محمول على الندب و الإرشاد إلى عدم التضرّر بسؤره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الميتة والميّت كسائر النجاسات تنجّس ما تلاقيه برطوبة، وينجّس الملاقي غيره مع الملاقاة برطوبةٍ أيضاً، ولا تنجّس ما تلاقيه بيبوسة؛ لإطلاق الفتوى والنصّ بنجاستهما منطوقاً ومفهوماً، ولا نعقل من النجاسة إلّا ما نجّست المباشر مع الرطوبة سيّما فيما دلّ على نجاسة الميتة، فإنّ أكثرها واردة في الملاقي للمائع أو الرطب دون الجافّ واليابس، بل عدم تنجّس اليابس بالمباشرة أمر معلوم في ذلك اليوم في جميع النجاسات لا يحتاج له إلى بيان فأدلّة التنجيس خاصّة بالملاقاة برطوبةٍ ومنصرفة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ورد من الأمر بغسل الثوب أو اليد بملاقاة الميّت مطلقاً</w:t>
      </w:r>
      <w:r>
        <w:rPr>
          <w:rStyle w:val="FootnoteAnchor"/>
          <w:rtl w:val="true"/>
        </w:rPr>
        <w:footnoteReference w:id="2799"/>
      </w:r>
      <w:r>
        <w:rPr>
          <w:rFonts w:ascii="Amiri" w:hAnsi="Amiri" w:eastAsia="Amiri" w:cs="Amiri"/>
          <w:color w:val="111111"/>
          <w:sz w:val="28"/>
          <w:sz w:val="28"/>
          <w:szCs w:val="28"/>
          <w:rtl w:val="true"/>
          <w:lang w:bidi="ar-SA"/>
        </w:rPr>
        <w:t>، منصرف إلى ذلك، والأصل الطهارة، على أنّ ما ورد من أنّ كلّ يابس ذكيّ</w:t>
      </w:r>
      <w:r>
        <w:rPr>
          <w:rStyle w:val="FootnoteAnchor"/>
          <w:rtl w:val="true"/>
        </w:rPr>
        <w:footnoteReference w:id="2800"/>
      </w:r>
      <w:r>
        <w:rPr>
          <w:rFonts w:ascii="Amiri" w:hAnsi="Amiri" w:eastAsia="Amiri" w:cs="Amiri"/>
          <w:color w:val="111111"/>
          <w:sz w:val="28"/>
          <w:sz w:val="28"/>
          <w:szCs w:val="28"/>
          <w:rtl w:val="true"/>
          <w:lang w:bidi="ar-SA"/>
        </w:rPr>
        <w:t>،مخصّص لذلك الإطلاق و مقدّم عليه؛ لأنّه معتبر معمول عليه بين الأصحاب، بل متّفق على 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ذكرنا ظهر ضعف القول بأنّ نجاسة الميّت معنويّة لا وجب غسل الملاقي كما سبق إلى بعض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ضعف القول بأنّ نجاسة الميّت یؤثّر مع الرطوبة واليبوسة عند ملاقاتها لجسمٍ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ذلك الملاقي لا يؤثّر إلّا مع الرطوبة فيه أو في ملاقيه؛ استناداً لقوله فيمن مسّ ثعلباً أو أرنباً أو شيئاً من السباع حيّاً أو ميّتاً،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 ولكن يغسل يده</w:t>
      </w:r>
      <w:r>
        <w:rPr>
          <w:rFonts w:eastAsia="IRNazanin" w:cs="IRNazanin"/>
          <w:color w:val="111111"/>
          <w:sz w:val="28"/>
          <w:szCs w:val="28"/>
          <w:rtl w:val="true"/>
          <w:lang w:bidi="fa-IR"/>
        </w:rPr>
        <w:t>»</w:t>
      </w:r>
      <w:r>
        <w:rPr>
          <w:rStyle w:val="FootnoteAnchor"/>
          <w:rtl w:val="true"/>
        </w:rPr>
        <w:footnoteReference w:id="2801"/>
      </w:r>
      <w:r>
        <w:rPr>
          <w:rFonts w:ascii="IRNazanin" w:hAnsi="IRNazanin" w:eastAsia="IRNazanin"/>
          <w:color w:val="111111"/>
          <w:sz w:val="28"/>
          <w:sz w:val="28"/>
          <w:szCs w:val="28"/>
          <w:rtl w:val="true"/>
          <w:lang w:bidi="fa-IR"/>
        </w:rPr>
        <w:t>لضعف الرواية سنداً، ولاشتمالها على ما لا نقول به ولظهور السؤال عن المسّ برطوبةٍ؛ لأنّه محلّ الشكّ يومئذٍ، وكذا ضعف القول بأنّ نجاسته یؤثّر مع الرطوبة واليبوسة في الملاقي فقط، وأمّا الملاقي فلا يؤثّر في ملاقيه شيئاً إلّا إذا أصابه الميّت برطوبةٍ وأصاب الملاقي له برطوبةٍ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أصابه الميّت بيبوسةٍ لم يؤثّر في الملاقي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ضعف القول بوجوب الغسل لملاقي الميّت تعبّداً من دون حصول النجاسة وثبوت آثارها؛ لخروج هذه الأقوال عن ظواهر النصوص والفتاوى من إثبات النجاسة للميتة والميّت، اللازمة لغير هذه الأحكام المذكورة في هذه الأقوال الضعيفة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تحلّه الحياة من الميتة من الأجزاء المتّصلة بها حال حياتها من إنسان أو غيره طاهر، سواء انفصل عنها حال الحياة أو انفصل عنها بعد الموت أو بقي متّصلاً بها؛ للإجماع المنقول</w:t>
      </w:r>
      <w:r>
        <w:rPr>
          <w:rStyle w:val="FootnoteAnchor"/>
          <w:rtl w:val="true"/>
        </w:rPr>
        <w:footnoteReference w:id="2802"/>
      </w:r>
      <w:r>
        <w:rPr>
          <w:rFonts w:ascii="Amiri" w:hAnsi="Amiri" w:eastAsia="Amiri" w:cs="Amiri"/>
          <w:color w:val="111111"/>
          <w:sz w:val="28"/>
          <w:sz w:val="28"/>
          <w:szCs w:val="28"/>
          <w:rtl w:val="true"/>
          <w:lang w:bidi="ar-SA"/>
        </w:rPr>
        <w:t>، وفتوى الفحول، وللأصل في محلّ الشكّ في شمول ما دلّ على نجاسة الميتة لها، وللأخبار الدالّة على ذلك مفهوماً ومنطوقاً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النافي للبأس عن الصلاة في صوف الميتة؛ لأنّ الصوف لا روح فيه</w:t>
      </w:r>
      <w:r>
        <w:rPr>
          <w:rStyle w:val="FootnoteAnchor"/>
          <w:rtl w:val="true"/>
        </w:rPr>
        <w:footnoteReference w:id="2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نفي البأس ومن التعليل نفي النجاسة وشمولها لجميع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 النافي للبأس عن اللبن والصوف والشعر وعظام الفيل والبيض</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الدالّ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واللِّبَأ والبيضة والشعر والصوف والقرن والناب والحافر، وكلّ ما فصل من الشاة والدابّة فهو ذكيّ، وإن أخذته منه بعد أن يموت فاغسله</w:t>
      </w:r>
      <w:r>
        <w:rPr>
          <w:rFonts w:eastAsia="Amiri" w:cs="Amiri" w:ascii="Amiri" w:hAnsi="Amiri"/>
          <w:color w:val="111111"/>
          <w:sz w:val="28"/>
          <w:szCs w:val="28"/>
          <w:rtl w:val="true"/>
          <w:lang w:bidi="ar-SA"/>
        </w:rPr>
        <w:t>»</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 والبيض، والصوف، والشعر، والوبر</w:t>
      </w:r>
      <w:r>
        <w:rPr>
          <w:rFonts w:eastAsia="Amiri" w:cs="Amiri" w:ascii="Amiri" w:hAnsi="Amiri"/>
          <w:color w:val="111111"/>
          <w:sz w:val="28"/>
          <w:szCs w:val="28"/>
          <w:rtl w:val="true"/>
          <w:lang w:bidi="ar-SA"/>
        </w:rPr>
        <w:t>»</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 واللبن والبيضة والإنفحة من الميتة والشعر والصوف؟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ذكيّ</w:t>
      </w:r>
      <w:r>
        <w:rPr>
          <w:rFonts w:eastAsia="Amiri" w:cs="Amiri" w:ascii="Amiri" w:hAnsi="Amiri"/>
          <w:color w:val="111111"/>
          <w:sz w:val="28"/>
          <w:szCs w:val="28"/>
          <w:rtl w:val="true"/>
          <w:lang w:bidi="ar-SA"/>
        </w:rPr>
        <w:t>»</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والصوف والوبر والريش وكلّ نابت لا يكون ميّتاً</w:t>
      </w:r>
      <w:r>
        <w:rPr>
          <w:rFonts w:eastAsia="Amiri" w:cs="Amiri" w:ascii="Amiri" w:hAnsi="Amiri"/>
          <w:color w:val="111111"/>
          <w:sz w:val="28"/>
          <w:szCs w:val="28"/>
          <w:rtl w:val="true"/>
          <w:lang w:bidi="ar-SA"/>
        </w:rPr>
        <w:t>»</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البيضة من بطن الميتة،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تأكَلها</w:t>
      </w:r>
      <w:r>
        <w:rPr>
          <w:rFonts w:eastAsia="Amiri" w:cs="Amiri" w:ascii="Amiri" w:hAnsi="Amiri"/>
          <w:color w:val="111111"/>
          <w:sz w:val="28"/>
          <w:szCs w:val="28"/>
          <w:rtl w:val="true"/>
          <w:lang w:bidi="ar-SA"/>
        </w:rPr>
        <w:t>»</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 إنّ الإنفحة ليس فيها عروق، ولا فيها دم، ولا لها عظم</w:t>
      </w:r>
      <w:r>
        <w:rPr>
          <w:rFonts w:eastAsia="Amiri" w:cs="Amiri" w:ascii="Amiri" w:hAnsi="Amiri"/>
          <w:color w:val="111111"/>
          <w:sz w:val="28"/>
          <w:szCs w:val="28"/>
          <w:rtl w:val="true"/>
          <w:lang w:bidi="ar-SA"/>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من اِسْت دجاجة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اكتست البيضة الجلد الغليظ فلا بأس بها</w:t>
      </w:r>
      <w:r>
        <w:rPr>
          <w:rFonts w:eastAsia="Amiri" w:cs="Amiri" w:ascii="Amiri" w:hAnsi="Amiri"/>
          <w:color w:val="111111"/>
          <w:sz w:val="28"/>
          <w:szCs w:val="28"/>
          <w:rtl w:val="true"/>
          <w:lang w:bidi="ar-SA"/>
        </w:rPr>
        <w:t>»</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والحافر، والعظم، والسنّ، والإنفحة، و اللبن، والشعر، والصوف، والريش، والبيض</w:t>
      </w:r>
      <w:r>
        <w:rPr>
          <w:rFonts w:eastAsia="Amiri" w:cs="Amiri" w:ascii="Amiri" w:hAnsi="Amiri"/>
          <w:color w:val="111111"/>
          <w:sz w:val="28"/>
          <w:szCs w:val="28"/>
          <w:rtl w:val="true"/>
          <w:lang w:bidi="ar-SA"/>
        </w:rPr>
        <w:t>»</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هذا الحكم في الجملة، إنّما الإشكال في أنّ البيضة هل يشترط في طهارتها اكتساؤها الجلد الغليظ، كما في الرواية</w:t>
      </w:r>
      <w:r>
        <w:rPr>
          <w:rStyle w:val="FootnoteAnchor"/>
          <w:rtl w:val="true"/>
        </w:rPr>
        <w:footnoteReference w:id="2813"/>
      </w:r>
      <w:r>
        <w:rPr>
          <w:rFonts w:ascii="Amiri" w:hAnsi="Amiri" w:eastAsia="Amiri" w:cs="Amiri"/>
          <w:color w:val="111111"/>
          <w:sz w:val="28"/>
          <w:sz w:val="28"/>
          <w:szCs w:val="28"/>
          <w:rtl w:val="true"/>
          <w:lang w:bidi="ar-SA"/>
        </w:rPr>
        <w:t>وفتوى جملة من الأصحاب؟</w:t>
      </w:r>
      <w:r>
        <w:rPr>
          <w:rStyle w:val="FootnoteAnchor"/>
          <w:rtl w:val="true"/>
        </w:rPr>
        <w:footnoteReference w:id="2814"/>
      </w:r>
      <w:r>
        <w:rPr>
          <w:rFonts w:ascii="IRNazanin" w:hAnsi="IRNazanin" w:eastAsia="IRNazanin"/>
          <w:color w:val="111111"/>
          <w:sz w:val="28"/>
          <w:sz w:val="28"/>
          <w:szCs w:val="28"/>
          <w:rtl w:val="true"/>
          <w:lang w:bidi="fa-IR"/>
        </w:rPr>
        <w:t xml:space="preserve">أو الأعلى؟ </w:t>
      </w:r>
    </w:p>
    <w:p>
      <w:pPr>
        <w:pStyle w:val="BookText"/>
        <w:rPr/>
      </w:pPr>
      <w:r>
        <w:rPr>
          <w:rFonts w:ascii="Amiri" w:hAnsi="Amiri" w:eastAsia="Amiri" w:cs="Amiri"/>
          <w:color w:val="111111"/>
          <w:sz w:val="28"/>
          <w:sz w:val="28"/>
          <w:szCs w:val="28"/>
          <w:rtl w:val="true"/>
          <w:lang w:bidi="ar-SA"/>
        </w:rPr>
        <w:t>كما في فتوى جملة آخَرين</w:t>
      </w:r>
      <w:r>
        <w:rPr>
          <w:rStyle w:val="FootnoteAnchor"/>
          <w:rtl w:val="true"/>
        </w:rPr>
        <w:footnoteReference w:id="2815"/>
      </w:r>
      <w:r>
        <w:rPr>
          <w:rFonts w:ascii="Amiri" w:hAnsi="Amiri" w:eastAsia="Amiri" w:cs="Amiri"/>
          <w:color w:val="111111"/>
          <w:sz w:val="28"/>
          <w:sz w:val="28"/>
          <w:szCs w:val="28"/>
          <w:rtl w:val="true"/>
          <w:lang w:bidi="ar-SA"/>
        </w:rPr>
        <w:t>، أو الصلب؟ كما في فتوى غيرهم</w:t>
      </w:r>
      <w:r>
        <w:rPr>
          <w:rStyle w:val="FootnoteAnchor"/>
          <w:rtl w:val="true"/>
        </w:rPr>
        <w:footnoteReference w:id="2816"/>
      </w:r>
      <w:r>
        <w:rPr>
          <w:rFonts w:ascii="Amiri" w:hAnsi="Amiri" w:eastAsia="Amiri" w:cs="Amiri"/>
          <w:color w:val="111111"/>
          <w:sz w:val="28"/>
          <w:sz w:val="28"/>
          <w:szCs w:val="28"/>
          <w:rtl w:val="true"/>
          <w:lang w:bidi="ar-SA"/>
        </w:rPr>
        <w:t>، والظاهر أنّ المراد واحد وهو القشر الأبيض الذي إذا خرج جمد وإن لم يكن جامداً ما دام فيها على ما يقال، مع احتمال الفرق بين الغليظ والأعلى بأن يكون لها قشر رقيق تحتاني جدّاً ثمّ يكون فوقه آخَر غير غليظ ابتداءً ثمّ يغلظ بعد ذلك فيكون غليظاً، أو لا يشترط اكتساء الجلد الغليظ ؟ لأصل الطهارة، و عدم شمول ما دلّ على نجاسة الميتة لها، وحيلولة الجلد بينها وبين نجاسة الميتة فلا تنفعل وإن كان رقيقاً، ولإطلاق الأخبار</w:t>
      </w:r>
      <w:r>
        <w:rPr>
          <w:rStyle w:val="FootnoteAnchor"/>
          <w:rtl w:val="true"/>
        </w:rPr>
        <w:footnoteReference w:id="2817"/>
      </w:r>
      <w:r>
        <w:rPr>
          <w:rFonts w:ascii="Amiri" w:hAnsi="Amiri" w:eastAsia="Amiri" w:cs="Amiri"/>
          <w:color w:val="111111"/>
          <w:sz w:val="28"/>
          <w:sz w:val="28"/>
          <w:szCs w:val="28"/>
          <w:rtl w:val="true"/>
          <w:lang w:bidi="ar-SA"/>
        </w:rPr>
        <w:t>بطهارة البيضة مطلقاً، وضعف الرواية المتقدّمة</w:t>
      </w:r>
      <w:r>
        <w:rPr>
          <w:rStyle w:val="FootnoteAnchor"/>
          <w:rtl w:val="true"/>
        </w:rPr>
        <w:footnoteReference w:id="2818"/>
      </w:r>
      <w:r>
        <w:rPr>
          <w:rFonts w:ascii="Amiri" w:hAnsi="Amiri" w:eastAsia="Amiri" w:cs="Amiri"/>
          <w:color w:val="111111"/>
          <w:sz w:val="28"/>
          <w:sz w:val="28"/>
          <w:szCs w:val="28"/>
          <w:rtl w:val="true"/>
          <w:lang w:bidi="ar-SA"/>
        </w:rPr>
        <w:t>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الاشتراط؛ للرواية</w:t>
      </w:r>
      <w:r>
        <w:rPr>
          <w:rStyle w:val="FootnoteAnchor"/>
          <w:rtl w:val="true"/>
        </w:rPr>
        <w:footnoteReference w:id="2819"/>
      </w:r>
      <w:r>
        <w:rPr>
          <w:rFonts w:ascii="Amiri" w:hAnsi="Amiri" w:eastAsia="Amiri" w:cs="Amiri"/>
          <w:color w:val="111111"/>
          <w:sz w:val="28"/>
          <w:sz w:val="28"/>
          <w:szCs w:val="28"/>
          <w:rtl w:val="true"/>
          <w:lang w:bidi="ar-SA"/>
        </w:rPr>
        <w:t>المنجبرة بالفتوى والاحتياط، الموافقة لما دلّ على نجاسة الميتة، وللشكّ في مانعيّة الجلد الرقيق عن وصول النجاسة، فيقيّد بها إطلاق الأخبار الدالّة على نفي البأس عنها</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يبقى الإشكال أيضاً في أنّه هل يجب غَسْلها عند أخذها، أو لا؟ وينشأ الإشكال من إطلاق الفتوى والنصوص بحلّيّة البيضة ونفي البأس عنها وطهارتها، ومن أنّ الحلّية والطهارة الذاتيّة لا تنافي النجاسة العارضيّة من ملاقاة الميتة برطوبةٍ الثابتة بالقاعدة المسلّمة عند الأصحاب من أنّ النجس ينجّس مع الملاقاة برطوبةٍ، الموافقة للاحتياط، المؤيّدة بحسنة حريز المتقدّمة</w:t>
      </w:r>
      <w:r>
        <w:rPr>
          <w:rStyle w:val="FootnoteAnchor"/>
          <w:rtl w:val="true"/>
        </w:rPr>
        <w:footnoteReference w:id="2821"/>
      </w:r>
      <w:r>
        <w:rPr>
          <w:rFonts w:ascii="Amiri" w:hAnsi="Amiri" w:eastAsia="Amiri" w:cs="Amiri"/>
          <w:color w:val="111111"/>
          <w:sz w:val="28"/>
          <w:sz w:val="28"/>
          <w:szCs w:val="28"/>
          <w:rtl w:val="true"/>
          <w:lang w:bidi="ar-SA"/>
        </w:rPr>
        <w:t>الدالّة على الأمر بغَسْل ما يؤخذ من الشاة بعد أن تموت، فيُحمل ما دلّ على أنّ المأخوذ ذكيّ</w:t>
      </w:r>
      <w:r>
        <w:rPr>
          <w:rStyle w:val="FootnoteAnchor"/>
          <w:rtl w:val="true"/>
        </w:rPr>
        <w:footnoteReference w:id="2822"/>
      </w:r>
      <w:r>
        <w:rPr>
          <w:rFonts w:ascii="Amiri" w:hAnsi="Amiri" w:eastAsia="Amiri" w:cs="Amiri"/>
          <w:color w:val="111111"/>
          <w:sz w:val="28"/>
          <w:sz w:val="28"/>
          <w:szCs w:val="28"/>
          <w:rtl w:val="true"/>
          <w:lang w:bidi="ar-SA"/>
        </w:rPr>
        <w:t>على طهارته في نفسه، كما هو ظاهر، فالحكم بنجاستها بالملاقاة هو الأقوى</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الإشكال أيضاً في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طهارته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طاهر غير منفعل بملاقاة الميتة؛ لإطلاق الأخبار بحلّيّته وأنّه ذكيّ</w:t>
      </w:r>
      <w:r>
        <w:rPr>
          <w:rStyle w:val="FootnoteAnchor"/>
          <w:rtl w:val="true"/>
        </w:rPr>
        <w:footnoteReference w:id="2823"/>
      </w:r>
      <w:r>
        <w:rPr>
          <w:rFonts w:ascii="IRNazanin" w:hAnsi="IRNazanin" w:eastAsia="IRNazanin"/>
          <w:color w:val="111111"/>
          <w:sz w:val="28"/>
          <w:sz w:val="28"/>
          <w:szCs w:val="28"/>
          <w:rtl w:val="true"/>
          <w:lang w:bidi="fa-IR"/>
        </w:rPr>
        <w:t>، وللإجماع المنقول على طهارته</w:t>
      </w:r>
      <w:r>
        <w:rPr>
          <w:rStyle w:val="FootnoteAnchor"/>
          <w:rtl w:val="true"/>
        </w:rPr>
        <w:footnoteReference w:id="2824"/>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أنّه نجس ؟ للقاعدة المسلّمة بين الأصحاب من انفعال الرطب بالنجاسة، ومن نجاسة الميتة، الموافقة للاحتياط والمفهومة من الأخبار والمؤيّدة بالاعتبار، والدالّ عليها فحوى الأمر بغسل ما يؤخذ من الميتة</w:t>
      </w:r>
      <w:r>
        <w:rPr>
          <w:rStyle w:val="FootnoteAnchor"/>
          <w:rtl w:val="true"/>
        </w:rPr>
        <w:footnoteReference w:id="2825"/>
      </w:r>
      <w:r>
        <w:rPr>
          <w:rFonts w:ascii="Amiri" w:hAnsi="Amiri" w:eastAsia="Amiri" w:cs="Amiri"/>
          <w:color w:val="111111"/>
          <w:sz w:val="28"/>
          <w:sz w:val="28"/>
          <w:szCs w:val="28"/>
          <w:rtl w:val="true"/>
          <w:lang w:bidi="ar-SA"/>
        </w:rPr>
        <w:t>، والمشعر بها ما ورد في الخبر عن لبن شاة 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الحرام محضاً </w:t>
      </w:r>
      <w:r>
        <w:rPr>
          <w:rFonts w:eastAsia="Amiri" w:cs="Amiri" w:ascii="Amiri" w:hAnsi="Amiri"/>
          <w:color w:val="111111"/>
          <w:sz w:val="28"/>
          <w:szCs w:val="28"/>
          <w:rtl w:val="true"/>
          <w:lang w:bidi="ar-SA"/>
        </w:rPr>
        <w:t>»</w:t>
      </w:r>
      <w:r>
        <w:rPr>
          <w:rStyle w:val="FootnoteAnchor"/>
          <w:rtl w:val="true"/>
        </w:rPr>
        <w:footnoteReference w:id="2826"/>
      </w:r>
      <w:r>
        <w:rPr>
          <w:rFonts w:ascii="Amiri" w:hAnsi="Amiri" w:eastAsia="Amiri" w:cs="Amiri"/>
          <w:color w:val="111111"/>
          <w:sz w:val="28"/>
          <w:sz w:val="28"/>
          <w:szCs w:val="28"/>
          <w:rtl w:val="true"/>
          <w:lang w:bidi="ar-SA"/>
        </w:rPr>
        <w:t>و الخبر الذاكر لجواز الانتفاع بالشعر والوبر والإنفحة والقرن،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يتعدّى إلى غيرها</w:t>
      </w:r>
      <w:r>
        <w:rPr>
          <w:rFonts w:eastAsia="Amiri" w:cs="Amiri" w:ascii="Amiri" w:hAnsi="Amiri"/>
          <w:color w:val="111111"/>
          <w:sz w:val="28"/>
          <w:szCs w:val="28"/>
          <w:rtl w:val="true"/>
          <w:lang w:bidi="ar-SA"/>
        </w:rPr>
        <w:t>»</w:t>
      </w:r>
      <w:r>
        <w:rPr>
          <w:rStyle w:val="FootnoteAnchor"/>
          <w:rtl w:val="true"/>
        </w:rPr>
        <w:footnoteReference w:id="2827"/>
      </w:r>
      <w:r>
        <w:rPr>
          <w:rFonts w:ascii="Amiri" w:hAnsi="Amiri" w:eastAsia="Amiri" w:cs="Amiri"/>
          <w:color w:val="111111"/>
          <w:sz w:val="28"/>
          <w:sz w:val="28"/>
          <w:szCs w:val="28"/>
          <w:rtl w:val="true"/>
          <w:lang w:bidi="ar-SA"/>
        </w:rPr>
        <w:t>والعاضد لها إجماع ابن إدريس المنقول على النجاسة</w:t>
      </w:r>
      <w:r>
        <w:rPr>
          <w:rStyle w:val="FootnoteAnchor"/>
          <w:rtl w:val="true"/>
        </w:rPr>
        <w:footnoteReference w:id="2828"/>
      </w:r>
      <w:r>
        <w:rPr>
          <w:rFonts w:ascii="Amiri" w:hAnsi="Amiri" w:eastAsia="Amiri" w:cs="Amiri"/>
          <w:color w:val="111111"/>
          <w:sz w:val="28"/>
          <w:sz w:val="28"/>
          <w:szCs w:val="28"/>
          <w:rtl w:val="true"/>
          <w:lang w:bidi="ar-SA"/>
        </w:rPr>
        <w:t>، فالنجاسة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الأخبار الدالّة على الطهارة على إرادة الطهارة الذاتيّة، ويكون ترك التعرّض للنجاسة العارضيّة لظهوره ومعلوميّة حاله، أو تُطرح الأخبار الدالّة على طهارته مطلقاً؛ لمعارضتها لما هو أقوى منها، أو تُحمل على إرادة المشارفة على الموت من لفظ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الإشكال أيضاً في أنّه هل يشترط في طهارة المأخوذ من الميتة من الشعر والصوف والوبر الجزّ، أو يكفي القلع ؟ ومنشأ الإشكال من إطلاق النصّ والفتوى بالطهارة من دون استفصالٍ، ومن أنّه يلتحق به أجزاء غير مستحيلة من أجزاء الميتة، فلا يصحّ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مع الشكّ في الالتحاق؛ لأصالة عدمه، ولصدق الشعر ونحوه عليه عرفاً، فيدخل تحت ما دلّ على الطهارة لهذه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بالتحاق غير المستحيل من الأجزاء الميتة فإنّه يجب اجتنابها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الإشكال أيضاً في أنّ ما يؤخذ هل يجب غسله مطلقاً؛ للرواية الآمرة بغسله</w:t>
      </w:r>
      <w:r>
        <w:rPr>
          <w:rStyle w:val="FootnoteAnchor"/>
          <w:rtl w:val="true"/>
        </w:rPr>
        <w:footnoteReference w:id="2829"/>
      </w:r>
      <w:r>
        <w:rPr>
          <w:rFonts w:ascii="Amiri" w:hAnsi="Amiri" w:eastAsia="Amiri" w:cs="Amiri"/>
          <w:color w:val="111111"/>
          <w:sz w:val="28"/>
          <w:sz w:val="28"/>
          <w:szCs w:val="28"/>
          <w:rtl w:val="true"/>
          <w:lang w:bidi="ar-SA"/>
        </w:rPr>
        <w:t>، ولا تّصاله بالنجس فينفعل بملاقاته، أو لايجب مطلقاً؛ للأصل، وحمل الرواية على الندب أو على ما مسّ الميتة برطوبةٍ كالبيضة وشبهها، أو على ما أُخذ قلعاً؛ لمباشرة أُصوله لجلد الميتة برطوبةٍ، أو يجب غسل ما أُخذ قلعاً؛ لمباشرته الميتة دون ما أُخذ جزّاً؛ للأصل؟</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الوسط؛ لأصل الطهارة، وعدم تسليم مباشرة أُصولها لجلد الميتة برطوبةٍ، والرواية محمولة على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ويبقى الإشكال في أنّ طهارة هذه الأشياء شاملة لما يؤخذ من ميتة ما لا يؤكل لحمه؛ لإطلاق جملة من الأخبار</w:t>
      </w:r>
      <w:r>
        <w:rPr>
          <w:rStyle w:val="FootnoteAnchor"/>
          <w:rtl w:val="true"/>
        </w:rPr>
        <w:footnoteReference w:id="2830"/>
      </w:r>
      <w:r>
        <w:rPr>
          <w:rFonts w:ascii="Amiri" w:hAnsi="Amiri" w:eastAsia="Amiri" w:cs="Amiri"/>
          <w:color w:val="111111"/>
          <w:sz w:val="28"/>
          <w:sz w:val="28"/>
          <w:szCs w:val="28"/>
          <w:rtl w:val="true"/>
          <w:lang w:bidi="ar-SA"/>
        </w:rPr>
        <w:t>، أو خاصّة بميتة ما يؤكل لحمه؛ لاختصاص مورد الروايات بها، ولأنّها المتيقّن من الخروج عن القاعدة؟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لإطلاق الفتوى وجملة من النصوص</w:t>
      </w:r>
      <w:r>
        <w:rPr>
          <w:rStyle w:val="FootnoteAnchor"/>
          <w:rtl w:val="true"/>
        </w:rPr>
        <w:footnoteReference w:id="2831"/>
      </w:r>
      <w:r>
        <w:rPr>
          <w:rFonts w:ascii="Amiri" w:hAnsi="Amiri" w:eastAsia="Amiri" w:cs="Amiri"/>
          <w:color w:val="111111"/>
          <w:sz w:val="28"/>
          <w:sz w:val="28"/>
          <w:szCs w:val="28"/>
          <w:rtl w:val="true"/>
          <w:lang w:bidi="ar-SA"/>
        </w:rPr>
        <w:t>، ويشعر به عموم التعليل الوارد في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الإشكال أيضاً في تحقيق 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دلّ على طهارتها الإجماع والأخبار</w:t>
      </w:r>
      <w:r>
        <w:rPr>
          <w:rStyle w:val="FootnoteAnchor"/>
          <w:rtl w:val="true"/>
        </w:rPr>
        <w:footnoteReference w:id="2832"/>
      </w:r>
      <w:r>
        <w:rPr>
          <w:rFonts w:ascii="Amiri" w:hAnsi="Amiri" w:eastAsia="Amiri" w:cs="Amiri"/>
          <w:color w:val="111111"/>
          <w:sz w:val="28"/>
          <w:sz w:val="28"/>
          <w:szCs w:val="28"/>
          <w:rtl w:val="true"/>
          <w:lang w:bidi="ar-SA"/>
        </w:rPr>
        <w:t xml:space="preserve">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هي كرش الحمل والجدي ما لم يأكل، كما نطقت به كلمات جملة من أهل اللغة</w:t>
      </w:r>
      <w:r>
        <w:rPr>
          <w:rStyle w:val="FootnoteAnchor"/>
          <w:rtl w:val="true"/>
        </w:rPr>
        <w:footnoteReference w:id="2833"/>
      </w:r>
      <w:r>
        <w:rPr>
          <w:rFonts w:ascii="Amiri" w:hAnsi="Amiri" w:eastAsia="Amiri" w:cs="Amiri"/>
          <w:color w:val="111111"/>
          <w:sz w:val="28"/>
          <w:sz w:val="28"/>
          <w:szCs w:val="28"/>
          <w:rtl w:val="true"/>
          <w:lang w:bidi="ar-SA"/>
        </w:rPr>
        <w:t>، ويساعده الاعتبار أيضاً؛ لأنّه لو كان من المائعات لتنجّس نجاسة لا تقبل التطهير؟ أو أنّها شيء يخرج من بطن الجدي أصفر يعصر في صوفةٍ مبتلّة في اللبن فيغلظ كالجبن، كما ذكره جملة من أهل اللغة أيضاً</w:t>
      </w:r>
      <w:r>
        <w:rPr>
          <w:rStyle w:val="FootnoteAnchor"/>
          <w:rtl w:val="true"/>
        </w:rPr>
        <w:footnoteReference w:id="2834"/>
      </w:r>
      <w:r>
        <w:rPr>
          <w:rFonts w:ascii="Amiri" w:hAnsi="Amiri" w:eastAsia="Amiri" w:cs="Amiri"/>
          <w:color w:val="111111"/>
          <w:sz w:val="28"/>
          <w:sz w:val="28"/>
          <w:szCs w:val="28"/>
          <w:rtl w:val="true"/>
          <w:lang w:bidi="ar-SA"/>
        </w:rPr>
        <w:t>، وربما كان في بعض الروايات دليل عليه، حيث إنّ فيها أنّها تخرج من بين فرث ودم، و أنّه يُعمل منها الجبن</w:t>
      </w:r>
      <w:r>
        <w:rPr>
          <w:rStyle w:val="FootnoteAnchor"/>
          <w:rtl w:val="true"/>
        </w:rPr>
        <w:footnoteReference w:id="2835"/>
      </w:r>
      <w:r>
        <w:rPr>
          <w:rFonts w:ascii="Amiri" w:hAnsi="Amiri" w:eastAsia="Amiri" w:cs="Amiri"/>
          <w:color w:val="111111"/>
          <w:sz w:val="28"/>
          <w:sz w:val="28"/>
          <w:szCs w:val="28"/>
          <w:rtl w:val="true"/>
          <w:lang w:bidi="ar-SA"/>
        </w:rPr>
        <w:t>، والظاهر أنّه يُعمل من هذا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الركون إلى الثاني والحكم بالطهارة ممّا ينافي القواعد المتقدّمة المسلمة التي لا يعارضها النصّ فضلاً عن المجمل المشتبه، والأخذ بالأوّل لا يخلو أيضاً من إشكالٍ؛ لمكان الإجمال إلّا أنّ الأحوط الأخذ بالأوّل مع لزوم غسلها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المقطوع به في كلام الأصحاب فتوىً والمنقول عليه الإجماع</w:t>
      </w:r>
      <w:r>
        <w:rPr>
          <w:rStyle w:val="FootnoteAnchor"/>
          <w:rtl w:val="true"/>
        </w:rPr>
        <w:footnoteReference w:id="2836"/>
      </w:r>
      <w:r>
        <w:rPr>
          <w:rFonts w:ascii="Amiri" w:hAnsi="Amiri" w:eastAsia="Amiri" w:cs="Amiri"/>
          <w:color w:val="111111"/>
          <w:sz w:val="28"/>
          <w:sz w:val="28"/>
          <w:szCs w:val="28"/>
          <w:rtl w:val="true"/>
          <w:lang w:bidi="ar-SA"/>
        </w:rPr>
        <w:t>، والموافق للاستصحاب، والمنصوص عليه في الأخبار الحاكمة بنجاسة الميتة مطلقاً</w:t>
      </w:r>
      <w:r>
        <w:rPr>
          <w:rStyle w:val="FootnoteAnchor"/>
          <w:rtl w:val="true"/>
        </w:rPr>
        <w:footnoteReference w:id="2837"/>
      </w:r>
      <w:r>
        <w:rPr>
          <w:rFonts w:ascii="Amiri" w:hAnsi="Amiri" w:eastAsia="Amiri" w:cs="Amiri"/>
          <w:color w:val="111111"/>
          <w:sz w:val="28"/>
          <w:sz w:val="28"/>
          <w:szCs w:val="28"/>
          <w:rtl w:val="true"/>
          <w:lang w:bidi="ar-SA"/>
        </w:rPr>
        <w:t>، والحاكمة بعدم الانتفاع بالميتة مطلقاً</w:t>
      </w:r>
      <w:r>
        <w:rPr>
          <w:rStyle w:val="FootnoteAnchor"/>
          <w:rtl w:val="true"/>
        </w:rPr>
        <w:footnoteReference w:id="2838"/>
      </w:r>
      <w:r>
        <w:rPr>
          <w:rFonts w:ascii="Amiri" w:hAnsi="Amiri" w:eastAsia="Amiri" w:cs="Amiri"/>
          <w:color w:val="111111"/>
          <w:sz w:val="28"/>
          <w:sz w:val="28"/>
          <w:szCs w:val="28"/>
          <w:rtl w:val="true"/>
          <w:lang w:bidi="ar-SA"/>
        </w:rPr>
        <w:t>، والحاكمة بعدم جواز الصلاة بجلد الميتة ولو دبغ سبعين مرّة</w:t>
      </w:r>
      <w:r>
        <w:rPr>
          <w:rStyle w:val="FootnoteAnchor"/>
          <w:rtl w:val="true"/>
        </w:rPr>
        <w:footnoteReference w:id="2839"/>
      </w:r>
      <w:r>
        <w:rPr>
          <w:rFonts w:ascii="Amiri" w:hAnsi="Amiri" w:eastAsia="Amiri" w:cs="Amiri"/>
          <w:color w:val="111111"/>
          <w:sz w:val="28"/>
          <w:sz w:val="28"/>
          <w:szCs w:val="28"/>
          <w:rtl w:val="true"/>
          <w:lang w:bidi="ar-SA"/>
        </w:rPr>
        <w:t>، إلى غير ذلك</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عن ابن الجنيد القول بطهارة جلد الميتة إذا دبغ</w:t>
      </w:r>
      <w:r>
        <w:rPr>
          <w:rStyle w:val="FootnoteAnchor"/>
          <w:rtl w:val="true"/>
        </w:rPr>
        <w:footnoteReference w:id="2841"/>
      </w:r>
      <w:r>
        <w:rPr>
          <w:rFonts w:ascii="Amiri" w:hAnsi="Amiri" w:eastAsia="Amiri" w:cs="Amiri"/>
          <w:color w:val="111111"/>
          <w:sz w:val="28"/>
          <w:sz w:val="28"/>
          <w:szCs w:val="28"/>
          <w:rtl w:val="true"/>
          <w:lang w:bidi="ar-SA"/>
        </w:rPr>
        <w:t xml:space="preserve">استناداً لبعض الروايات </w:t>
      </w:r>
      <w:r>
        <w:rPr>
          <w:rStyle w:val="FootnoteAnchor"/>
          <w:rtl w:val="true"/>
        </w:rPr>
        <w:footnoteReference w:id="2842"/>
      </w:r>
      <w:r>
        <w:rPr>
          <w:rFonts w:ascii="Amiri" w:hAnsi="Amiri" w:eastAsia="Amiri" w:cs="Amiri"/>
          <w:color w:val="111111"/>
          <w:sz w:val="28"/>
          <w:sz w:val="28"/>
          <w:szCs w:val="28"/>
          <w:rtl w:val="true"/>
          <w:lang w:bidi="ar-SA"/>
        </w:rPr>
        <w:t>الشاذّة روايةً وفتوىً وعملاً</w:t>
      </w:r>
      <w:r>
        <w:rPr>
          <w:rStyle w:val="FootnoteAnchor"/>
          <w:rtl w:val="true"/>
        </w:rPr>
        <w:footnoteReference w:id="2843"/>
      </w:r>
      <w:r>
        <w:rPr>
          <w:rFonts w:ascii="Amiri" w:hAnsi="Amiri" w:eastAsia="Amiri" w:cs="Amiri"/>
          <w:color w:val="111111"/>
          <w:sz w:val="28"/>
          <w:sz w:val="28"/>
          <w:szCs w:val="28"/>
          <w:rtl w:val="true"/>
          <w:lang w:bidi="ar-SA"/>
        </w:rPr>
        <w:t>، الموافقة للعامّة ، فلا تصلح لأن تكون معارضةً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طهارة فأرة المسك بعد القطع بطهارة المسك فتوىً و نصّاً</w:t>
      </w:r>
      <w:r>
        <w:rPr>
          <w:rStyle w:val="FootnoteAnchor"/>
          <w:rtl w:val="true"/>
        </w:rPr>
        <w:footnoteReference w:id="2844"/>
      </w:r>
      <w:r>
        <w:rPr>
          <w:rFonts w:ascii="Amiri" w:hAnsi="Amiri" w:eastAsia="Amiri" w:cs="Amiri"/>
          <w:color w:val="111111"/>
          <w:sz w:val="28"/>
          <w:sz w:val="28"/>
          <w:szCs w:val="28"/>
          <w:rtl w:val="true"/>
          <w:lang w:bidi="ar-SA"/>
        </w:rPr>
        <w:t>، سواء أُخذ من حيّ أو من ميّت، مذكّى أو غير مذكّى، فقيل بطهارتها مطلقاً وإن أُخذت من ميتة أو قطعت من حيّ</w:t>
      </w:r>
      <w:r>
        <w:rPr>
          <w:rStyle w:val="FootnoteAnchor"/>
          <w:rtl w:val="true"/>
        </w:rPr>
        <w:footnoteReference w:id="2845"/>
      </w:r>
      <w:r>
        <w:rPr>
          <w:rFonts w:ascii="Amiri" w:hAnsi="Amiri" w:eastAsia="Amiri" w:cs="Amiri"/>
          <w:color w:val="111111"/>
          <w:sz w:val="28"/>
          <w:sz w:val="28"/>
          <w:szCs w:val="28"/>
          <w:rtl w:val="true"/>
          <w:lang w:bidi="ar-SA"/>
        </w:rPr>
        <w:t>، وربما نقل عليه الإجماع، و دلّ عليه الصحيح النافي للبأس عن الصلاة وفي الثياب فأرة مسك</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بنجاستها إن انفصلت بعد الموت، و إلّا فطاهرة</w:t>
      </w:r>
      <w:r>
        <w:rPr>
          <w:rStyle w:val="FootnoteAnchor"/>
          <w:rtl w:val="true"/>
        </w:rPr>
        <w:footnoteReference w:id="2847"/>
      </w:r>
      <w:r>
        <w:rPr>
          <w:rFonts w:ascii="Amiri" w:hAnsi="Amiri" w:eastAsia="Amiri" w:cs="Amiri"/>
          <w:color w:val="111111"/>
          <w:sz w:val="28"/>
          <w:sz w:val="28"/>
          <w:szCs w:val="28"/>
          <w:rtl w:val="true"/>
          <w:lang w:bidi="ar-SA"/>
        </w:rPr>
        <w:t>، استناداً إلى أنّها جزء من الميتة، و كلّ جزء نجس، 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يصلّي و معه فأرة 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كان ذكيّاً</w:t>
      </w:r>
      <w:r>
        <w:rPr>
          <w:rFonts w:eastAsia="Amiri" w:cs="Amiri" w:ascii="Amiri" w:hAnsi="Amiri"/>
          <w:color w:val="111111"/>
          <w:sz w:val="28"/>
          <w:szCs w:val="28"/>
          <w:rtl w:val="true"/>
          <w:lang w:bidi="ar-SA"/>
        </w:rPr>
        <w:t>»</w:t>
      </w:r>
      <w:r>
        <w:rPr>
          <w:rStyle w:val="FootnoteAnchor"/>
          <w:rtl w:val="true"/>
        </w:rPr>
        <w:footnoteReference w:id="2848"/>
      </w:r>
      <w:r>
        <w:rPr>
          <w:rFonts w:ascii="Amiri" w:hAnsi="Amiri" w:eastAsia="Amiri" w:cs="Amiri"/>
          <w:color w:val="111111"/>
          <w:sz w:val="28"/>
          <w:sz w:val="28"/>
          <w:szCs w:val="28"/>
          <w:rtl w:val="true"/>
          <w:lang w:bidi="ar-SA"/>
        </w:rPr>
        <w:t>فإنّ الظاهر منه إرادة أنّه مذكىّ، لا أنّه لم صبه نجاسة من خارجٍ؛ لأنّ النجاسة الخارجيّة لا تمنع الصلاة في المحمول، و إنّما تمنعها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موافقاً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الفأرة إن كانت ممّا تحلّها الحياة فهي نجسة عيناً لا تقبل التطهير سواء أُخذت من حيّ أو ميّت ما لم تؤخذ من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جواز الصلاة بها مطلقاً</w:t>
      </w:r>
      <w:r>
        <w:rPr>
          <w:rStyle w:val="FootnoteAnchor"/>
          <w:rtl w:val="true"/>
        </w:rPr>
        <w:footnoteReference w:id="2849"/>
      </w:r>
      <w:r>
        <w:rPr>
          <w:rFonts w:ascii="Amiri" w:hAnsi="Amiri" w:eastAsia="Amiri" w:cs="Amiri"/>
          <w:color w:val="111111"/>
          <w:sz w:val="28"/>
          <w:sz w:val="28"/>
          <w:szCs w:val="28"/>
          <w:rtl w:val="true"/>
          <w:lang w:bidi="ar-SA"/>
        </w:rPr>
        <w:t>إمّا مقيد بما إذا كانت من مذكّى، كما دلّت عليه الرواية الثانية</w:t>
      </w:r>
      <w:r>
        <w:rPr>
          <w:rStyle w:val="FootnoteAnchor"/>
          <w:rtl w:val="true"/>
        </w:rPr>
        <w:footnoteReference w:id="2850"/>
      </w:r>
      <w:r>
        <w:rPr>
          <w:rFonts w:ascii="Amiri" w:hAnsi="Amiri" w:eastAsia="Amiri" w:cs="Amiri"/>
          <w:color w:val="111111"/>
          <w:sz w:val="28"/>
          <w:sz w:val="28"/>
          <w:szCs w:val="28"/>
          <w:rtl w:val="true"/>
          <w:lang w:bidi="ar-SA"/>
        </w:rPr>
        <w:t>، أو أنّه مستثنى من حكم المحمول من الميتة في الصلاة، وعلى أيّ تقدير فجواز الصلاة بها لا يدلّ على طهارتها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ممّا لا تحلّها الحياة، فهي طاهرة ذاتاً وإن وجب غَسْلها إذا أُخذت من ميتة، و جازت الصلاة بها مطلقاً غُسلت أم لم تُغسل</w:t>
      </w:r>
      <w:r>
        <w:rPr>
          <w:rFonts w:eastAsia="Amiri" w:cs="Amiri" w:ascii="Amiri" w:hAnsi="Amiri"/>
          <w:color w:val="111111"/>
          <w:sz w:val="28"/>
          <w:szCs w:val="28"/>
          <w:rtl w:val="true"/>
          <w:lang w:bidi="ar-SA"/>
        </w:rPr>
        <w:t xml:space="preserve">. </w:t>
      </w:r>
      <w:bookmarkStart w:id="1286" w:name="pg18988_203673"/>
    </w:p>
    <w:p>
      <w:pPr>
        <w:pStyle w:val="BookText"/>
        <w:rPr/>
      </w:pPr>
      <w:bookmarkEnd w:id="1286"/>
      <w:r>
        <w:rPr>
          <w:rFonts w:ascii="Amiri" w:hAnsi="Amiri" w:eastAsia="Amiri" w:cs="Amiri"/>
          <w:color w:val="111111"/>
          <w:sz w:val="28"/>
          <w:sz w:val="28"/>
          <w:szCs w:val="28"/>
          <w:rtl w:val="true"/>
          <w:lang w:bidi="ar-SA"/>
        </w:rPr>
        <w:t>والظاهر أنّ فأرة المسك ممّا تحلّها الحياة فهي نجسة ذاتاً مع الموت، ولم يثبت إجماع أو دليل صالح على طهارتها بحيث يخصّص عموم أدلّة نجاسة الميتة</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13198339_1280447820"/>
      <w:bookmarkStart w:id="1288" w:name="_Toc496"/>
      <w:bookmarkEnd w:id="1287"/>
      <w:r>
        <w:rPr>
          <w:rtl w:val="true"/>
        </w:rPr>
        <w:t>خامسها</w:t>
      </w:r>
      <w:r>
        <w:rPr>
          <w:rtl w:val="true"/>
        </w:rPr>
        <w:t xml:space="preserve">: </w:t>
      </w:r>
      <w:r>
        <w:rPr>
          <w:rtl w:val="true"/>
        </w:rPr>
        <w:t>الكلب والخنزير البرّيّان</w:t>
      </w:r>
      <w:bookmarkEnd w:id="1288"/>
    </w:p>
    <w:p>
      <w:pPr>
        <w:pStyle w:val="BookText"/>
        <w:rPr/>
      </w:pPr>
      <w:r>
        <w:rPr>
          <w:rFonts w:ascii="Amiri" w:hAnsi="Amiri" w:eastAsia="Amiri" w:cs="Amiri"/>
          <w:color w:val="111111"/>
          <w:sz w:val="28"/>
          <w:sz w:val="28"/>
          <w:szCs w:val="28"/>
          <w:rtl w:val="true"/>
          <w:lang w:bidi="ar-SA"/>
        </w:rPr>
        <w:t>نجسان؛ للإجماع بل الضرورة، وللأخبار الدالّة على ذلك صريحاً بلفظ النجاسة</w:t>
      </w:r>
      <w:r>
        <w:rPr>
          <w:rStyle w:val="FootnoteAnchor"/>
          <w:rtl w:val="true"/>
        </w:rPr>
        <w:footnoteReference w:id="2851"/>
      </w:r>
      <w:r>
        <w:rPr>
          <w:rFonts w:ascii="IRNazanin" w:hAnsi="IRNazanin" w:eastAsia="IRNazanin"/>
          <w:color w:val="111111"/>
          <w:sz w:val="28"/>
          <w:sz w:val="28"/>
          <w:szCs w:val="28"/>
          <w:rtl w:val="true"/>
          <w:lang w:bidi="fa-IR"/>
        </w:rPr>
        <w:t>، ولازماً من الأمر بغسل ما لاقاهما</w:t>
      </w:r>
      <w:r>
        <w:rPr>
          <w:rStyle w:val="FootnoteAnchor"/>
          <w:rtl w:val="true"/>
        </w:rPr>
        <w:footnoteReference w:id="2852"/>
      </w:r>
      <w:r>
        <w:rPr>
          <w:rFonts w:ascii="Amiri" w:hAnsi="Amiri" w:eastAsia="Amiri" w:cs="Amiri"/>
          <w:color w:val="111111"/>
          <w:sz w:val="28"/>
          <w:sz w:val="28"/>
          <w:szCs w:val="28"/>
          <w:rtl w:val="true"/>
          <w:lang w:bidi="ar-SA"/>
        </w:rPr>
        <w:t>، فلا إشكال في نجاستهما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النصّ والفتوى والإجماع المنقول</w:t>
      </w:r>
      <w:r>
        <w:rPr>
          <w:rStyle w:val="FootnoteAnchor"/>
          <w:rtl w:val="true"/>
        </w:rPr>
        <w:footnoteReference w:id="2853"/>
      </w:r>
      <w:r>
        <w:rPr>
          <w:rFonts w:ascii="Amiri" w:hAnsi="Amiri" w:eastAsia="Amiri" w:cs="Amiri"/>
          <w:color w:val="111111"/>
          <w:sz w:val="28"/>
          <w:sz w:val="28"/>
          <w:szCs w:val="28"/>
          <w:rtl w:val="true"/>
          <w:lang w:bidi="ar-SA"/>
        </w:rPr>
        <w:t>نجاستهما بجميع أجزائهما؛ لتعليق الحكم على الاسم الشامل لجميع أجزائهما ممّا فيه روح وممّا لا روح فيه؛ لأنّهما مركّبان من الجزءين معاً وإن صدق الاسم مع انتفاء أحد الأجزاء؛ إذ لا يشترط في الجزء انتفاء الكلّ بانتفائه، فلا شكّ أنّ الشعر من الكلب وإن لم يكن من البدن بل من النابت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للأخبار</w:t>
      </w:r>
      <w:r>
        <w:rPr>
          <w:rStyle w:val="FootnoteAnchor"/>
          <w:rtl w:val="true"/>
        </w:rPr>
        <w:footnoteReference w:id="2854"/>
      </w:r>
      <w:r>
        <w:rPr>
          <w:rFonts w:ascii="Amiri" w:hAnsi="Amiri" w:eastAsia="Amiri" w:cs="Amiri"/>
          <w:color w:val="111111"/>
          <w:sz w:val="28"/>
          <w:sz w:val="28"/>
          <w:szCs w:val="28"/>
          <w:rtl w:val="true"/>
          <w:lang w:bidi="ar-SA"/>
        </w:rPr>
        <w:t>الآمرة بغسل اليد من شعر الخنزير إذا أراد الصلاة أو مطلقاً، وهي معتبرة مستفيضة منجبرة بفتوى الأصحاب وعملهم، بعيدة عن مذهب العامّة، ظاهرة الدلالة في النجاسة؛ لمكان الأمر بالغسل الظاهر فيها باتّفاق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ما ذهب إليه المرتضى من طهارة ما لا تحلّه الحياة منهما ؛ للأصل، و دعوى الإجماع، وأنّ ما لا تحلّه الحياة لا يدخل في الكلب، وأنّ حكمه حكم ما لا تحلّه الحياة من الميتة</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الجميع كما ترى لا يخفى ضعفه بعد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الحبال من شعر الخنزير يستقى به الماء من البئر، أيتوضّأ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 موافقتهما للتقيّة صالحان لإرادة نفي البأس عن ماء البئر لا عن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عن المأخوذ ولكنّه لا ينفعل؛ لكثرته، أو لعدم ملاقاته للماء</w:t>
      </w:r>
      <w:r>
        <w:rPr>
          <w:rFonts w:eastAsia="Amiri" w:cs="Amiri" w:ascii="Amiri" w:hAnsi="Amiri"/>
          <w:color w:val="111111"/>
          <w:sz w:val="28"/>
          <w:szCs w:val="28"/>
          <w:rtl w:val="true"/>
          <w:lang w:bidi="ar-SA"/>
        </w:rPr>
        <w:t xml:space="preserve">. </w:t>
      </w:r>
      <w:bookmarkStart w:id="1289" w:name="pg18988_203674"/>
    </w:p>
    <w:p>
      <w:pPr>
        <w:pStyle w:val="BookText"/>
        <w:rPr/>
      </w:pPr>
      <w:bookmarkEnd w:id="1289"/>
      <w:r>
        <w:rPr>
          <w:rFonts w:ascii="Amiri" w:hAnsi="Amiri" w:eastAsia="Amiri" w:cs="Amiri"/>
          <w:color w:val="111111"/>
          <w:sz w:val="28"/>
          <w:sz w:val="28"/>
          <w:szCs w:val="28"/>
          <w:rtl w:val="true"/>
          <w:lang w:bidi="ar-SA"/>
        </w:rPr>
        <w:t>ثمّ إنّ الظاهر اختصاص الحكم بالبرّيّين كما قدّمنا، و أمّا البحريّان فلا يبعد طهارتهما؛ للأصل، وعدم انصراف إطلاق اللفظ إليهما لو كان اللفظ حقيقةً فيهما على سبيل التواطؤ أو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بمجازيّة اللفظ بالنسبة إليهما، فلا إشكال في عدم شمول الحكم؛ لتقدّم إرادة الحقيقة على إرادة المجاز، وعدم جواز استعمال اللفظ في معنييه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تجنّبهما؛ لشبهة صدق الاسم، وفتوى بعض الأصحاب</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0" w:name="__RefHeading___Toc13198341_1280447820"/>
      <w:bookmarkStart w:id="1291" w:name="_Toc497"/>
      <w:bookmarkEnd w:id="1290"/>
      <w:r>
        <w:rPr>
          <w:rtl w:val="true"/>
        </w:rPr>
        <w:t>سادسها</w:t>
      </w:r>
      <w:r>
        <w:rPr>
          <w:rtl w:val="true"/>
        </w:rPr>
        <w:t xml:space="preserve">: </w:t>
      </w:r>
      <w:r>
        <w:rPr>
          <w:rtl w:val="true"/>
        </w:rPr>
        <w:t>عرق الجنب من الحرام</w:t>
      </w:r>
      <w:bookmarkEnd w:id="1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أجنب فعرق أو عرق بعد أن أجنب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على الأشهر، سواء كان من زنى أو لواط أو سحق، بإدخالٍ أو 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الإمناء بالنظر أو اللمس أو التذكّر إشكال، والظاهر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أصل الحكم الأخبار</w:t>
      </w:r>
      <w:r>
        <w:rPr>
          <w:rStyle w:val="FootnoteAnchor"/>
          <w:rtl w:val="true"/>
        </w:rPr>
        <w:footnoteReference w:id="285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الناهية عن الصلاة به حتّى يغسل، والناهية عن الصلاة مطلقاً، وهُما من لوازم النجاسة في هذا المقام بقرينة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سند الروايات مجبور بشهرة الفتوى، كضعف الدلالة في بعضها، وبالإجماع المنقول على النجاسة</w:t>
      </w:r>
      <w:r>
        <w:rPr>
          <w:rStyle w:val="FootnoteAnchor"/>
          <w:rtl w:val="true"/>
        </w:rPr>
        <w:footnoteReference w:id="2859"/>
      </w:r>
      <w:r>
        <w:rPr>
          <w:rFonts w:ascii="Amiri" w:hAnsi="Amiri" w:eastAsia="Amiri" w:cs="Amiri"/>
          <w:color w:val="111111"/>
          <w:sz w:val="28"/>
          <w:sz w:val="28"/>
          <w:szCs w:val="28"/>
          <w:rtl w:val="true"/>
          <w:lang w:bidi="ar-SA"/>
        </w:rPr>
        <w:t>، بل هو الحجّة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النجاسة أيضاً ما ورد من النهي عن غسالة ماء الحمّام معلّلاً باغتسال الزاني فيها و المجنب من حرام</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فالقول بالطهارة أيضاً لا يخلو من قوّة؛ للأصل، وضعف الأخبار، وانهدام قوّة الانجبار بعدم شيوع حكم النجاسة وانتشارها بين الخاصّ والعامّ، وكان ينبغي لتوفّر الدواعي إلى حكمها أن تكون من ضروريّات الإسلام، 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فيها خبر صحيح ولا لفظ صريح، على أنّه يلزم الحرج على المباشرين للعصاة من الزنية، وهم لا ينفكّ عن مباشرتهم أحد في أغلب الأوقات</w:t>
      </w:r>
      <w:r>
        <w:rPr>
          <w:rFonts w:eastAsia="Amiri" w:cs="Amiri" w:ascii="Amiri" w:hAnsi="Amiri"/>
          <w:color w:val="111111"/>
          <w:sz w:val="28"/>
          <w:szCs w:val="28"/>
          <w:rtl w:val="true"/>
          <w:lang w:bidi="ar-SA"/>
        </w:rPr>
        <w:t xml:space="preserve">. </w:t>
      </w:r>
      <w:bookmarkStart w:id="1292" w:name="pg18988_203675"/>
    </w:p>
    <w:p>
      <w:pPr>
        <w:pStyle w:val="BookText"/>
        <w:rPr/>
      </w:pPr>
      <w:bookmarkEnd w:id="1292"/>
      <w:r>
        <w:rPr>
          <w:rFonts w:ascii="Amiri" w:hAnsi="Amiri" w:eastAsia="Amiri" w:cs="Amiri"/>
          <w:color w:val="111111"/>
          <w:sz w:val="28"/>
          <w:sz w:val="28"/>
          <w:szCs w:val="28"/>
          <w:rtl w:val="true"/>
          <w:lang w:bidi="ar-SA"/>
        </w:rPr>
        <w:t>ويؤيّده أيضاً ما ورد من نفي البأس عن القميص يعرق به الجنب</w:t>
      </w:r>
      <w:r>
        <w:rPr>
          <w:rStyle w:val="FootnoteAnchor"/>
          <w:rtl w:val="true"/>
        </w:rPr>
        <w:footnoteReference w:id="2861"/>
      </w:r>
      <w:r>
        <w:rPr>
          <w:rFonts w:ascii="Amiri" w:hAnsi="Amiri" w:eastAsia="Amiri" w:cs="Amiri"/>
          <w:color w:val="111111"/>
          <w:sz w:val="28"/>
          <w:sz w:val="28"/>
          <w:szCs w:val="28"/>
          <w:rtl w:val="true"/>
          <w:lang w:bidi="ar-SA"/>
        </w:rPr>
        <w:t>، ومن أنّ العرق بالثوب من المجنب ليس بشيء</w:t>
      </w:r>
      <w:r>
        <w:rPr>
          <w:rStyle w:val="FootnoteAnchor"/>
          <w:rtl w:val="true"/>
        </w:rPr>
        <w:footnoteReference w:id="2862"/>
      </w:r>
      <w:r>
        <w:rPr>
          <w:rFonts w:ascii="Amiri" w:hAnsi="Amiri" w:eastAsia="Amiri" w:cs="Amiri"/>
          <w:color w:val="111111"/>
          <w:sz w:val="28"/>
          <w:sz w:val="28"/>
          <w:szCs w:val="28"/>
          <w:rtl w:val="true"/>
          <w:lang w:bidi="ar-SA"/>
        </w:rPr>
        <w:t>، فإنّه بإطلاقه شامل للحرام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يلحق بعرق الجنب مَنْ عرق فأجنب، ولا يلحق به على الأظهر وطء الحائض أو الوطء في الصوم؛ لانصراف الأدلّة المانعة لغيرهما، ولا وطء الصبيّ بالنسبة إليه</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3198343_1280447820"/>
      <w:bookmarkStart w:id="1294" w:name="_Toc498"/>
      <w:bookmarkEnd w:id="1293"/>
      <w:r>
        <w:rPr>
          <w:rtl w:val="true"/>
        </w:rPr>
        <w:t>سابعها</w:t>
      </w:r>
      <w:r>
        <w:rPr>
          <w:rtl w:val="true"/>
        </w:rPr>
        <w:t xml:space="preserve">: </w:t>
      </w:r>
      <w:r>
        <w:rPr>
          <w:rtl w:val="true"/>
        </w:rPr>
        <w:t>عرق الإبل الجلّالة</w:t>
      </w:r>
      <w:bookmarkEnd w:id="1294"/>
    </w:p>
    <w:p>
      <w:pPr>
        <w:pStyle w:val="BookText"/>
        <w:rPr/>
      </w:pPr>
      <w:r>
        <w:rPr>
          <w:rFonts w:ascii="Amiri" w:hAnsi="Amiri" w:eastAsia="Amiri" w:cs="Amiri"/>
          <w:color w:val="111111"/>
          <w:sz w:val="28"/>
          <w:sz w:val="28"/>
          <w:szCs w:val="28"/>
          <w:rtl w:val="true"/>
          <w:lang w:bidi="ar-SA"/>
        </w:rPr>
        <w:t>عرق الإبل الجلّالة نجس لفتوى مشهور المتقدّمين</w:t>
      </w:r>
      <w:r>
        <w:rPr>
          <w:rStyle w:val="FootnoteAnchor"/>
          <w:rtl w:val="true"/>
        </w:rPr>
        <w:footnoteReference w:id="2863"/>
      </w:r>
      <w:r>
        <w:rPr>
          <w:rFonts w:ascii="Amiri" w:hAnsi="Amiri" w:eastAsia="Amiri" w:cs="Amiri"/>
          <w:color w:val="111111"/>
          <w:sz w:val="28"/>
          <w:sz w:val="28"/>
          <w:szCs w:val="28"/>
          <w:rtl w:val="true"/>
          <w:lang w:bidi="ar-SA"/>
        </w:rPr>
        <w:t>، و ربما يظهر من بعضهم دعوى الإجماع عليه</w:t>
      </w:r>
      <w:r>
        <w:rPr>
          <w:rStyle w:val="FootnoteAnchor"/>
          <w:rtl w:val="true"/>
        </w:rPr>
        <w:footnoteReference w:id="2864"/>
      </w:r>
      <w:r>
        <w:rPr>
          <w:rFonts w:ascii="Amiri" w:hAnsi="Amiri" w:eastAsia="Amiri" w:cs="Amiri"/>
          <w:color w:val="111111"/>
          <w:sz w:val="28"/>
          <w:sz w:val="28"/>
          <w:szCs w:val="28"/>
          <w:rtl w:val="true"/>
          <w:lang w:bidi="ar-SA"/>
        </w:rPr>
        <w:t>، وللصحيحين الأمرين بغسل ما أصاب من عرقها</w:t>
      </w:r>
      <w:r>
        <w:rPr>
          <w:rStyle w:val="FootnoteAnchor"/>
          <w:rtl w:val="true"/>
        </w:rPr>
        <w:footnoteReference w:id="2865"/>
      </w:r>
      <w:r>
        <w:rPr>
          <w:rFonts w:ascii="Amiri" w:hAnsi="Amiri" w:eastAsia="Amiri" w:cs="Amiri"/>
          <w:color w:val="111111"/>
          <w:sz w:val="28"/>
          <w:sz w:val="28"/>
          <w:szCs w:val="28"/>
          <w:rtl w:val="true"/>
          <w:lang w:bidi="ar-SA"/>
        </w:rPr>
        <w:t>، وفي أحدهما الإبل، والآخر مطلق الجلّالة، وأفتى به بعض الأصحاب</w:t>
      </w:r>
      <w:r>
        <w:rPr>
          <w:rStyle w:val="FootnoteAnchor"/>
          <w:rtl w:val="true"/>
        </w:rPr>
        <w:footnoteReference w:id="2866"/>
      </w:r>
      <w:r>
        <w:rPr>
          <w:rFonts w:ascii="Amiri" w:hAnsi="Amiri" w:eastAsia="Amiri" w:cs="Amiri"/>
          <w:color w:val="111111"/>
          <w:sz w:val="28"/>
          <w:sz w:val="28"/>
          <w:szCs w:val="28"/>
          <w:rtl w:val="true"/>
          <w:lang w:bidi="ar-SA"/>
        </w:rPr>
        <w:t>، إلّا أنّ المشهور تخصيص الحكم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فالأخذ بالصحيحين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المؤيّدين بما ذكرنا، وبالبُعْد عن العامّة، وبالاحتياط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وإن كان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وفتوى المشهور بين المتأخّرين، وحمل الأمر بالغسل على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13198345_1280447820"/>
      <w:bookmarkStart w:id="1296" w:name="_Toc499"/>
      <w:bookmarkEnd w:id="1295"/>
      <w:r>
        <w:rPr>
          <w:rtl w:val="true"/>
        </w:rPr>
        <w:t>ثامنها</w:t>
      </w:r>
      <w:r>
        <w:rPr>
          <w:rtl w:val="true"/>
        </w:rPr>
        <w:t xml:space="preserve">: </w:t>
      </w:r>
      <w:r>
        <w:rPr>
          <w:rtl w:val="true"/>
        </w:rPr>
        <w:t>عدم نجاسۀ غير الكلب والخنزير من أنواع الحيوان غير الإنسان</w:t>
      </w:r>
      <w:bookmarkEnd w:id="1296"/>
    </w:p>
    <w:p>
      <w:pPr>
        <w:pStyle w:val="BookText"/>
        <w:rPr/>
      </w:pPr>
      <w:r>
        <w:rPr>
          <w:rFonts w:ascii="Amiri" w:hAnsi="Amiri" w:eastAsia="Amiri" w:cs="Amiri"/>
          <w:color w:val="111111"/>
          <w:sz w:val="28"/>
          <w:sz w:val="28"/>
          <w:szCs w:val="28"/>
          <w:rtl w:val="true"/>
          <w:lang w:bidi="ar-SA"/>
        </w:rPr>
        <w:t>غير الكلب والخنزير من أنواع الحيوان غير الإنسان ليس بنجس؛ لفتوى الأصحاب والأخبار</w:t>
      </w:r>
      <w:r>
        <w:rPr>
          <w:rStyle w:val="FootnoteAnchor"/>
          <w:rtl w:val="true"/>
        </w:rPr>
        <w:footnoteReference w:id="2867"/>
      </w:r>
      <w:r>
        <w:rPr>
          <w:rFonts w:ascii="Amiri" w:hAnsi="Amiri" w:eastAsia="Amiri" w:cs="Amiri"/>
          <w:color w:val="111111"/>
          <w:sz w:val="28"/>
          <w:sz w:val="28"/>
          <w:szCs w:val="28"/>
          <w:rtl w:val="true"/>
          <w:lang w:bidi="ar-SA"/>
        </w:rPr>
        <w:t>، والأُصول العقليّة والنقليّة، كما أنّ ما يخرج من الحيوان غير البول والغائط والدم والمنيّ أيضاً طاهر؛ للأخبار</w:t>
      </w:r>
      <w:r>
        <w:rPr>
          <w:rStyle w:val="FootnoteAnchor"/>
          <w:rtl w:val="true"/>
        </w:rPr>
        <w:footnoteReference w:id="2868"/>
      </w:r>
      <w:r>
        <w:rPr>
          <w:rFonts w:ascii="Amiri" w:hAnsi="Amiri" w:eastAsia="Amiri" w:cs="Amiri"/>
          <w:color w:val="111111"/>
          <w:sz w:val="28"/>
          <w:sz w:val="28"/>
          <w:szCs w:val="28"/>
          <w:rtl w:val="true"/>
          <w:lang w:bidi="ar-SA"/>
        </w:rPr>
        <w:t>، وفتوى الأصحاب، والأصول العقليّة والنقليّة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حكم بنجاسة المسوخ استناداً لما لا يصلح سنداً، أو بنجاسة الثعلب والأرنب والفأرة والوزغة؛ استناداً لبعض أخبار آمرة بغسل اليد والثوب إذا مسّا بعضها</w:t>
      </w:r>
      <w:r>
        <w:rPr>
          <w:rStyle w:val="FootnoteAnchor"/>
          <w:rtl w:val="true"/>
        </w:rPr>
        <w:footnoteReference w:id="2869"/>
      </w:r>
      <w:r>
        <w:rPr>
          <w:rFonts w:ascii="IRNazanin" w:hAnsi="IRNazanin" w:eastAsia="IRNazanin"/>
          <w:color w:val="111111"/>
          <w:sz w:val="28"/>
          <w:sz w:val="28"/>
          <w:szCs w:val="28"/>
          <w:rtl w:val="true"/>
          <w:lang w:bidi="fa-IR"/>
        </w:rPr>
        <w:t xml:space="preserve">، وبطرح </w:t>
      </w:r>
      <w:bookmarkStart w:id="1297" w:name="pg18988_203676"/>
    </w:p>
    <w:p>
      <w:pPr>
        <w:pStyle w:val="BookText"/>
        <w:rPr/>
      </w:pPr>
      <w:bookmarkEnd w:id="1297"/>
      <w:r>
        <w:rPr>
          <w:rFonts w:ascii="Amiri" w:hAnsi="Amiri" w:eastAsia="Amiri" w:cs="Amiri"/>
          <w:color w:val="111111"/>
          <w:sz w:val="28"/>
          <w:sz w:val="28"/>
          <w:szCs w:val="28"/>
          <w:rtl w:val="true"/>
          <w:lang w:bidi="ar-SA"/>
        </w:rPr>
        <w:t>الخبز الذي تضمّن حكم ما أكلت منه بعضها</w:t>
      </w:r>
      <w:r>
        <w:rPr>
          <w:rStyle w:val="FootnoteAnchor"/>
          <w:rtl w:val="true"/>
        </w:rPr>
        <w:footnoteReference w:id="2870"/>
      </w:r>
      <w:r>
        <w:rPr>
          <w:rFonts w:ascii="Amiri" w:hAnsi="Amiri" w:eastAsia="Amiri" w:cs="Amiri"/>
          <w:color w:val="111111"/>
          <w:sz w:val="28"/>
          <w:sz w:val="28"/>
          <w:szCs w:val="28"/>
          <w:rtl w:val="true"/>
          <w:lang w:bidi="ar-SA"/>
        </w:rPr>
        <w:t>، وبإهراق الماء الواقع فيه بعضها</w:t>
      </w:r>
      <w:r>
        <w:rPr>
          <w:rStyle w:val="FootnoteAnchor"/>
          <w:rtl w:val="true"/>
        </w:rPr>
        <w:footnoteReference w:id="2871"/>
      </w:r>
      <w:r>
        <w:rPr>
          <w:rFonts w:ascii="Amiri" w:hAnsi="Amiri" w:eastAsia="Amiri" w:cs="Amiri"/>
          <w:color w:val="111111"/>
          <w:sz w:val="28"/>
          <w:sz w:val="28"/>
          <w:szCs w:val="28"/>
          <w:rtl w:val="true"/>
          <w:lang w:bidi="ar-SA"/>
        </w:rPr>
        <w:t>، و بنزح ثلاث دلاء من البئر الواقع فيه بعضها</w:t>
      </w:r>
      <w:r>
        <w:rPr>
          <w:rStyle w:val="FootnoteAnchor"/>
          <w:rtl w:val="true"/>
        </w:rPr>
        <w:footnoteReference w:id="2872"/>
      </w:r>
      <w:r>
        <w:rPr>
          <w:rFonts w:ascii="Amiri" w:hAnsi="Amiri" w:eastAsia="Amiri" w:cs="Amiri"/>
          <w:color w:val="111111"/>
          <w:sz w:val="28"/>
          <w:sz w:val="28"/>
          <w:szCs w:val="28"/>
          <w:rtl w:val="true"/>
          <w:lang w:bidi="ar-SA"/>
        </w:rPr>
        <w:t>، كلّها ضعيفة عن مقاومة القول بالطهارة المفتى بها في المشهور، والموافقة للأُصول العقليّة والنقليّة، فليُحمل بعضها على الندب، وبعضها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بنجاسة لبن الجارية؛ استناداً لرواية سكونيّة</w:t>
      </w:r>
      <w:r>
        <w:rPr>
          <w:rStyle w:val="FootnoteAnchor"/>
          <w:rtl w:val="true"/>
        </w:rPr>
        <w:footnoteReference w:id="2873"/>
      </w:r>
      <w:r>
        <w:rPr>
          <w:rFonts w:ascii="Amiri" w:hAnsi="Amiri" w:eastAsia="Amiri" w:cs="Amiri"/>
          <w:color w:val="111111"/>
          <w:sz w:val="28"/>
          <w:sz w:val="28"/>
          <w:szCs w:val="28"/>
          <w:rtl w:val="true"/>
          <w:lang w:bidi="ar-SA"/>
        </w:rPr>
        <w:t>لا يسكن إليها ولا يعتمد في مقابلة ما قدّمنا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بنجاسة بعض ما يخرج من الذكر من مذي أو وذي؛ لأخبار</w:t>
      </w:r>
      <w:r>
        <w:rPr>
          <w:rStyle w:val="FootnoteAnchor"/>
          <w:rtl w:val="true"/>
        </w:rPr>
        <w:footnoteReference w:id="2874"/>
      </w:r>
      <w:r>
        <w:rPr>
          <w:rFonts w:ascii="Amiri" w:hAnsi="Amiri" w:eastAsia="Amiri" w:cs="Amiri"/>
          <w:color w:val="111111"/>
          <w:sz w:val="28"/>
          <w:sz w:val="28"/>
          <w:szCs w:val="28"/>
          <w:rtl w:val="true"/>
          <w:lang w:bidi="ar-SA"/>
        </w:rPr>
        <w:t>لا يصلح لمعارضة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فيها</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يبعد القول بنجاسة الحيوان المتولّد من نجسين إذا لم يصدق عليه اسم حيوان طاهر؛ لحصول التبعيّة من غير معارضٍ، وللاستقراء الدالّ على أنّ التبعيّة في الحيوان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الطهارة؛ للأصل، وعدم صدق اسم نجس العين، ومدار النجاسة على حصول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المتولّد من طاهر ونجس فلا شكّ فى طهارته ما لم يدخل تحت اسم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المتولّد من نجسين وقد دخل تحت اسم حيوان طاهر فالأقوى طهارته، كما أنّ المتولّد من طاهرين أو طاهر ونجس وقد دخل تحت اسم نجس العين نجس على الأظهر</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3198347_1280447820"/>
      <w:bookmarkStart w:id="1299" w:name="_Toc500"/>
      <w:bookmarkEnd w:id="1298"/>
      <w:r>
        <w:rPr>
          <w:rtl w:val="true"/>
        </w:rPr>
        <w:t xml:space="preserve">تاسعها </w:t>
      </w:r>
      <w:r>
        <w:rPr>
          <w:rtl w:val="true"/>
        </w:rPr>
        <w:t xml:space="preserve">: </w:t>
      </w:r>
      <w:r>
        <w:rPr>
          <w:rtl w:val="true"/>
        </w:rPr>
        <w:t>نجاسۀ الكافر نجس بجميع أجزائه</w:t>
      </w:r>
      <w:bookmarkEnd w:id="1299"/>
    </w:p>
    <w:p>
      <w:pPr>
        <w:pStyle w:val="BookText"/>
        <w:rPr/>
      </w:pPr>
      <w:r>
        <w:rPr>
          <w:rFonts w:ascii="Amiri" w:hAnsi="Amiri" w:eastAsia="Amiri" w:cs="Amiri"/>
          <w:color w:val="111111"/>
          <w:sz w:val="28"/>
          <w:sz w:val="28"/>
          <w:szCs w:val="28"/>
          <w:rtl w:val="true"/>
          <w:lang w:bidi="ar-SA"/>
        </w:rPr>
        <w:t>الكافر نجس بجميع أجزائه ممّا تحلّه الحياة وممّا لا تحلّه؛ لصدق اسم الكافر على جميع أجزائه وإن بقي الصدق عند انتفاء بعضها، ومعنى الكفر قائم بالموصوف به جملة، ولا خصوصيّة لحلول الحياة في بعضٍ دون آخَر كما نُسب للمرتضى</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الكافر بين الحربي والذمّي والمعاهد، وبين الكتابي وغيره، وبين الأصلي </w:t>
      </w:r>
    </w:p>
    <w:p>
      <w:pPr>
        <w:pStyle w:val="BookText"/>
        <w:rPr/>
      </w:pPr>
      <w:r>
        <w:rPr>
          <w:rFonts w:ascii="Amiri" w:hAnsi="Amiri" w:eastAsia="Amiri" w:cs="Amiri"/>
          <w:color w:val="111111"/>
          <w:sz w:val="28"/>
          <w:sz w:val="28"/>
          <w:szCs w:val="28"/>
          <w:rtl w:val="true"/>
          <w:lang w:bidi="ar-SA"/>
        </w:rPr>
        <w:t>والمرتدّ، وبين الفطري والملّي، وبين مَنْ كان كفره لجحودٍ أو شكٍّ متعلّقين بالربوبيّة أو الرسالة أو بلوازمهما المعلومة من الدين ضرورة أو متعلّقين بما علم من الدين ضرورة من غيرهما من أحوال المعاد أو الفروع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ثبوت الحكم في الجملة إطلاق فتاوى الأصحاب والإجماعات المتكثّرة المنقولة</w:t>
      </w:r>
      <w:r>
        <w:rPr>
          <w:rStyle w:val="FootnoteAnchor"/>
          <w:rtl w:val="true"/>
        </w:rPr>
        <w:footnoteReference w:id="2877"/>
      </w:r>
      <w:r>
        <w:rPr>
          <w:rFonts w:ascii="Amiri" w:hAnsi="Amiri" w:eastAsia="Amiri" w:cs="Amiri"/>
          <w:color w:val="111111"/>
          <w:sz w:val="28"/>
          <w:sz w:val="28"/>
          <w:szCs w:val="28"/>
          <w:rtl w:val="true"/>
          <w:lang w:bidi="ar-SA"/>
        </w:rPr>
        <w:t>في الباب، و عموم الكتاب،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Style w:val="FootnoteAnchor"/>
          <w:rtl w:val="true"/>
        </w:rPr>
        <w:footnoteReference w:id="2878"/>
      </w:r>
      <w:r>
        <w:rPr>
          <w:rFonts w:ascii="Amiri" w:hAnsi="Amiri" w:eastAsia="Amiri" w:cs="Amiri"/>
          <w:color w:val="111111"/>
          <w:sz w:val="28"/>
          <w:sz w:val="28"/>
          <w:szCs w:val="28"/>
          <w:rtl w:val="true"/>
          <w:lang w:bidi="ar-SA"/>
        </w:rPr>
        <w:t>الدالّة على نجاسة المشرك ، ويتمّ في غيره بعدم القول بالفصل بينه وبين غيره، وإن قيل بالفصل بالنسبة إلى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بالنجاسة المعنى الشرعي ؛ لظهور اللفظ الصادر من الشارع بإرادته، ولدلالة تفريعفَلا يَقْرَبُوا المَسْجِدَ الحَرَامَ</w:t>
      </w:r>
      <w:r>
        <w:rPr>
          <w:rStyle w:val="FootnoteAnchor"/>
          <w:rtl w:val="true"/>
        </w:rPr>
        <w:footnoteReference w:id="2879"/>
      </w:r>
      <w:r>
        <w:rPr>
          <w:rFonts w:ascii="Amiri" w:hAnsi="Amiri" w:eastAsia="Amiri" w:cs="Amiri"/>
          <w:color w:val="111111"/>
          <w:sz w:val="28"/>
          <w:sz w:val="28"/>
          <w:szCs w:val="28"/>
          <w:rtl w:val="true"/>
          <w:lang w:bidi="ar-SA"/>
        </w:rPr>
        <w:t>عليه، ولبُعْد إرادة بيان معنى القذارة أو بيان معنى الخبث الباطني عن طريقة الحكمة الشرعية والأحكام القرآنية في الأوّل، وعن استعمال لفظ النجاسة الوارد في الكتاب والسنة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بالمشرك من جعل الله شريكاً في قِدَمه أو في تصرفه، أو ولداً ونحوه، وقد أطلق الله تعالى لفظ الإشراك على اليهود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w:t>
      </w:r>
      <w:r>
        <w:rPr>
          <w:rStyle w:val="FootnoteAnchor"/>
          <w:rtl w:val="true"/>
        </w:rPr>
        <w:footnoteReference w:id="2880"/>
      </w:r>
      <w:r>
        <w:rPr>
          <w:rFonts w:ascii="Amiri" w:hAnsi="Amiri" w:eastAsia="Amiri" w:cs="Amiri"/>
          <w:color w:val="111111"/>
          <w:sz w:val="28"/>
          <w:sz w:val="28"/>
          <w:szCs w:val="28"/>
          <w:rtl w:val="true"/>
          <w:lang w:bidi="ar-SA"/>
        </w:rPr>
        <w:t>، وعلى النصارى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w:t>
      </w:r>
      <w:r>
        <w:rPr>
          <w:rStyle w:val="FootnoteAnchor"/>
          <w:rtl w:val="true"/>
        </w:rPr>
        <w:footnoteReference w:id="2881"/>
      </w:r>
      <w:r>
        <w:rPr>
          <w:rFonts w:ascii="IRNazanin" w:hAnsi="IRNazanin" w:eastAsia="IRNazanin"/>
          <w:color w:val="111111"/>
          <w:sz w:val="28"/>
          <w:sz w:val="28"/>
          <w:szCs w:val="28"/>
          <w:rtl w:val="true"/>
          <w:lang w:bidi="fa-IR"/>
        </w:rPr>
        <w:t>،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عَمَّا يُشْرِكُونَ</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أيضاً الأخبار الناطقة صريحاً وفحوى بنجاسة جملة من أصناف الكفار</w:t>
      </w:r>
    </w:p>
    <w:p>
      <w:pPr>
        <w:pStyle w:val="BookText"/>
        <w:rPr/>
      </w:pPr>
      <w:r>
        <w:rPr>
          <w:rFonts w:ascii="Amiri" w:hAnsi="Amiri" w:eastAsia="Amiri" w:cs="Amiri"/>
          <w:color w:val="111111"/>
          <w:sz w:val="28"/>
          <w:sz w:val="28"/>
          <w:szCs w:val="28"/>
          <w:rtl w:val="true"/>
          <w:lang w:bidi="ar-SA"/>
        </w:rPr>
        <w:t>اللازم من القول بنجاستهم نجاسة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 عن سؤر اليهودي والنصراني يؤكل ويشرب؟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فيمن صافح مجوسيّاً؟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الأكل من الطعام الذي يطبخون</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الصلاة في ثياب اليهودي والنصراني، والنهي عن أكل المسلم مع المجوس في قَصْعَةٍ واحدة، وعن الصلاة في الثوب الذي اشتري من النصراني حتّى يغسله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مؤاكلة المجوسي وأن يرقد معه وأن يصافحه</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مخالطة المجوس والأكل من طعامهم</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الوضوء بماء يدخل فيه النصراني أو اليهودي يده إلّا أن يضطرّ، وعن اغتسال المسلم مع النصراني في الحمّام</w:t>
      </w:r>
      <w:r>
        <w:rPr>
          <w:rStyle w:val="FootnoteAnchor"/>
          <w:rtl w:val="true"/>
        </w:rPr>
        <w:footnoteReference w:id="288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فبمجموع ما ذكرناه وما لم نذكره من الأخبار يستفاد القطع بنجاسة اليهود والنصارى؛ لأنّ إثبات هذه اللوازم بقرينة ما قدّمناه تدلّ على ثبوت ملزومها قطعاً، وإذا ثبت نجاسة هذين الصنفين ثبت في غيرهما بطريق أولى لعدم القائل بنجاستهما وطهارة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نجاسة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الناصب وكفره</w:t>
      </w:r>
      <w:r>
        <w:rPr>
          <w:rStyle w:val="FootnoteAnchor"/>
          <w:rtl w:val="true"/>
        </w:rPr>
        <w:footnoteReference w:id="2890"/>
      </w:r>
      <w:r>
        <w:rPr>
          <w:rFonts w:ascii="Amiri" w:hAnsi="Amiri" w:eastAsia="Amiri" w:cs="Amiri"/>
          <w:color w:val="111111"/>
          <w:sz w:val="28"/>
          <w:sz w:val="28"/>
          <w:szCs w:val="28"/>
          <w:rtl w:val="true"/>
          <w:lang w:bidi="ar-SA"/>
        </w:rPr>
        <w:t>، والنهي عن الاغتسال بغسالة الناصب</w:t>
      </w:r>
      <w:r>
        <w:rPr>
          <w:rStyle w:val="FootnoteAnchor"/>
          <w:rtl w:val="true"/>
        </w:rPr>
        <w:footnoteReference w:id="2891"/>
      </w:r>
      <w:r>
        <w:rPr>
          <w:rFonts w:ascii="Amiri" w:hAnsi="Amiri" w:eastAsia="Amiri" w:cs="Amiri"/>
          <w:color w:val="111111"/>
          <w:sz w:val="28"/>
          <w:sz w:val="28"/>
          <w:szCs w:val="28"/>
          <w:rtl w:val="true"/>
          <w:lang w:bidi="ar-SA"/>
        </w:rPr>
        <w:t>، والأمر بغسل اليد عند مصافحته</w:t>
      </w:r>
      <w:r>
        <w:rPr>
          <w:rStyle w:val="FootnoteAnchor"/>
          <w:rtl w:val="true"/>
        </w:rPr>
        <w:footnoteReference w:id="2892"/>
      </w:r>
      <w:r>
        <w:rPr>
          <w:rFonts w:ascii="Amiri" w:hAnsi="Amiri" w:eastAsia="Amiri" w:cs="Amiri"/>
          <w:color w:val="111111"/>
          <w:sz w:val="28"/>
          <w:sz w:val="28"/>
          <w:szCs w:val="28"/>
          <w:rtl w:val="true"/>
          <w:lang w:bidi="ar-SA"/>
        </w:rPr>
        <w:t>، وأنّه شرّ من اليهودي والنصراني والمجوسي، وأنّ الله لم يخلق خلقاً أنجس من الكلب، وأنّ الناصب أنجس منه</w:t>
      </w:r>
      <w:r>
        <w:rPr>
          <w:rStyle w:val="FootnoteAnchor"/>
          <w:rtl w:val="true"/>
        </w:rPr>
        <w:footnoteReference w:id="2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الإجماعات المنقولة</w:t>
      </w:r>
      <w:r>
        <w:rPr>
          <w:rStyle w:val="FootnoteAnchor"/>
          <w:rtl w:val="true"/>
        </w:rPr>
        <w:footnoteReference w:id="2894"/>
      </w:r>
      <w:r>
        <w:rPr>
          <w:rFonts w:ascii="Amiri" w:hAnsi="Amiri" w:eastAsia="Amiri" w:cs="Amiri"/>
          <w:color w:val="111111"/>
          <w:sz w:val="28"/>
          <w:sz w:val="28"/>
          <w:szCs w:val="28"/>
          <w:rtl w:val="true"/>
          <w:lang w:bidi="ar-SA"/>
        </w:rPr>
        <w:t xml:space="preserve">الدالّة على نجاسة الكافر مطلقاً ، 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يَجْعَلُ اللهُ الرِّجْسَ عَلَى الَّذِينَ لا يُؤْمِنُونَ</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جمع من أصحابنا</w:t>
      </w:r>
      <w:r>
        <w:rPr>
          <w:rStyle w:val="FootnoteAnchor"/>
          <w:rtl w:val="true"/>
        </w:rPr>
        <w:footnoteReference w:id="2896"/>
      </w:r>
      <w:r>
        <w:rPr>
          <w:rFonts w:ascii="Amiri" w:hAnsi="Amiri" w:eastAsia="Amiri" w:cs="Amiri"/>
          <w:color w:val="111111"/>
          <w:sz w:val="28"/>
          <w:sz w:val="28"/>
          <w:szCs w:val="28"/>
          <w:rtl w:val="true"/>
          <w:lang w:bidi="ar-SA"/>
        </w:rPr>
        <w:t>إلى طهارة أهل الكتاب؛ استناداً للأصل،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w:t>
      </w:r>
    </w:p>
    <w:p>
      <w:pPr>
        <w:pStyle w:val="BookText"/>
        <w:rPr/>
      </w:pPr>
      <w:r>
        <w:rPr>
          <w:rFonts w:ascii="Amiri" w:hAnsi="Amiri" w:eastAsia="Amiri" w:cs="Amiri"/>
          <w:color w:val="111111"/>
          <w:sz w:val="28"/>
          <w:sz w:val="28"/>
          <w:szCs w:val="28"/>
          <w:rtl w:val="true"/>
          <w:lang w:bidi="ar-SA"/>
        </w:rPr>
        <w:t>الَّذِينَ أُوتُوا الكِتَابَ حِلٌّ لَكُمْ</w:t>
      </w:r>
      <w:r>
        <w:rPr>
          <w:rStyle w:val="FootnoteAnchor"/>
          <w:rtl w:val="true"/>
        </w:rPr>
        <w:footnoteReference w:id="2897"/>
      </w:r>
      <w:r>
        <w:rPr>
          <w:rFonts w:ascii="Amiri" w:hAnsi="Amiri" w:eastAsia="Amiri" w:cs="Amiri"/>
          <w:color w:val="111111"/>
          <w:sz w:val="28"/>
          <w:sz w:val="28"/>
          <w:szCs w:val="28"/>
          <w:rtl w:val="true"/>
          <w:lang w:bidi="ar-SA"/>
        </w:rPr>
        <w:t>فإنّ الظاهر من تخصيصهم بالذكر طهارة سؤرهم، و إلّا لم يكن للتخصيص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نفي البأس عن مؤاكلة اليهودي والنصراني إذا كان من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مؤاكلة المجوسي إذا توضّأ</w:t>
      </w:r>
      <w:r>
        <w:rPr>
          <w:rStyle w:val="FootnoteAnchor"/>
          <w:rtl w:val="true"/>
        </w:rPr>
        <w:footnoteReference w:id="2898"/>
      </w:r>
      <w:r>
        <w:rPr>
          <w:rFonts w:ascii="Amiri" w:hAnsi="Amiri" w:eastAsia="Amiri" w:cs="Amiri"/>
          <w:color w:val="111111"/>
          <w:sz w:val="28"/>
          <w:sz w:val="28"/>
          <w:szCs w:val="28"/>
          <w:rtl w:val="true"/>
          <w:lang w:bidi="ar-SA"/>
        </w:rPr>
        <w:t>، وعن النصرانيّة تخدمك وهي لا تتوضّأ ولا تغتسل من جنابة إذا غسلت يديها</w:t>
      </w:r>
      <w:r>
        <w:rPr>
          <w:rStyle w:val="FootnoteAnchor"/>
          <w:rtl w:val="true"/>
        </w:rPr>
        <w:footnoteReference w:id="2899"/>
      </w:r>
      <w:r>
        <w:rPr>
          <w:rFonts w:ascii="Amiri" w:hAnsi="Amiri" w:eastAsia="Amiri" w:cs="Amiri"/>
          <w:color w:val="111111"/>
          <w:sz w:val="28"/>
          <w:sz w:val="28"/>
          <w:szCs w:val="28"/>
          <w:rtl w:val="true"/>
          <w:lang w:bidi="ar-SA"/>
        </w:rPr>
        <w:t>، وعن عمل اليهودي والنصراني خياطةً وصفارةً</w:t>
      </w:r>
      <w:r>
        <w:rPr>
          <w:rStyle w:val="FootnoteAnchor"/>
          <w:rtl w:val="true"/>
        </w:rPr>
        <w:footnoteReference w:id="2900"/>
      </w:r>
      <w:r>
        <w:rPr>
          <w:rFonts w:ascii="Amiri" w:hAnsi="Amiri" w:eastAsia="Amiri" w:cs="Amiri"/>
          <w:color w:val="111111"/>
          <w:sz w:val="28"/>
          <w:sz w:val="28"/>
          <w:szCs w:val="28"/>
          <w:rtl w:val="true"/>
          <w:lang w:bidi="ar-SA"/>
        </w:rPr>
        <w:t>، والدالّة على جواز الوضوء من إناء شرب فيه يهودي</w:t>
      </w:r>
      <w:r>
        <w:rPr>
          <w:rStyle w:val="FootnoteAnchor"/>
          <w:rtl w:val="true"/>
        </w:rPr>
        <w:footnoteReference w:id="2901"/>
      </w:r>
      <w:r>
        <w:rPr>
          <w:rFonts w:ascii="Amiri" w:hAnsi="Amiri" w:eastAsia="Amiri" w:cs="Amiri"/>
          <w:color w:val="111111"/>
          <w:sz w:val="28"/>
          <w:sz w:val="28"/>
          <w:szCs w:val="28"/>
          <w:rtl w:val="true"/>
          <w:lang w:bidi="ar-SA"/>
        </w:rPr>
        <w:t>، وعلى جواز الأكل والشرب مع أهله النصارى</w:t>
      </w:r>
      <w:r>
        <w:rPr>
          <w:rStyle w:val="FootnoteAnchor"/>
          <w:rtl w:val="true"/>
        </w:rPr>
        <w:footnoteReference w:id="2902"/>
      </w:r>
      <w:r>
        <w:rPr>
          <w:rFonts w:ascii="Amiri" w:hAnsi="Amiri" w:eastAsia="Amiri" w:cs="Amiri"/>
          <w:color w:val="111111"/>
          <w:sz w:val="28"/>
          <w:sz w:val="28"/>
          <w:szCs w:val="28"/>
          <w:rtl w:val="true"/>
          <w:lang w:bidi="ar-SA"/>
        </w:rPr>
        <w:t>، وعلى أنّ طعام أهل الكتاب 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إنّ في آنيتهم الخمر ولحم الخنزير</w:t>
      </w:r>
      <w:r>
        <w:rPr>
          <w:rStyle w:val="FootnoteAnchor"/>
          <w:rtl w:val="true"/>
        </w:rPr>
        <w:footnoteReference w:id="290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ضعيف؛ لانقطاع الأصل، ولعدم دلالة الآية على الطهارة؛ لأنّ المراد بالحلّ الحلّ الذاتيّ، وهو لا ينافي النجاسة العارضة، وتخصيص أهل الكتاب بالذكر لكونهم الموجودين في زمن النزول والمخالطين للمسلمين يومئذٍ، أو يراد بطعام أهل الكتاب الحبوب إمّا لكونه حقيقةً فيه بالغلبة بعد أن كان لكلّ ما يُطعم، كما نبّه عليه جملة من أهل اللغة</w:t>
      </w:r>
      <w:r>
        <w:rPr>
          <w:rStyle w:val="FootnoteAnchor"/>
          <w:rtl w:val="true"/>
        </w:rPr>
        <w:footnoteReference w:id="2904"/>
      </w:r>
      <w:r>
        <w:rPr>
          <w:rFonts w:ascii="Amiri" w:hAnsi="Amiri" w:eastAsia="Amiri" w:cs="Amiri"/>
          <w:color w:val="111111"/>
          <w:sz w:val="28"/>
          <w:sz w:val="28"/>
          <w:szCs w:val="28"/>
          <w:rtl w:val="true"/>
          <w:lang w:bidi="ar-SA"/>
        </w:rPr>
        <w:t>، وإمّا لكونه المراد هاهنا مجازاً بقرينة الأخبار المفسّرة له بالحبوب</w:t>
      </w:r>
      <w:r>
        <w:rPr>
          <w:rStyle w:val="FootnoteAnchor"/>
          <w:rtl w:val="true"/>
        </w:rPr>
        <w:footnoteReference w:id="2905"/>
      </w:r>
      <w:r>
        <w:rPr>
          <w:rFonts w:ascii="IRNazanin" w:hAnsi="IRNazanin" w:eastAsia="IRNazanin"/>
          <w:color w:val="111111"/>
          <w:sz w:val="28"/>
          <w:sz w:val="28"/>
          <w:szCs w:val="28"/>
          <w:rtl w:val="true"/>
          <w:lang w:bidi="fa-IR"/>
        </w:rPr>
        <w:t>، أو الحبوب وأشباهها</w:t>
      </w:r>
      <w:r>
        <w:rPr>
          <w:rStyle w:val="FootnoteAnchor"/>
          <w:rtl w:val="true"/>
        </w:rPr>
        <w:footnoteReference w:id="2906"/>
      </w:r>
      <w:r>
        <w:rPr>
          <w:rFonts w:ascii="IRNazanin" w:hAnsi="IRNazanin" w:eastAsia="IRNazanin"/>
          <w:color w:val="111111"/>
          <w:sz w:val="28"/>
          <w:sz w:val="28"/>
          <w:szCs w:val="28"/>
          <w:rtl w:val="true"/>
          <w:lang w:bidi="fa-IR"/>
        </w:rPr>
        <w:t>، أو الحبوب والبقول</w:t>
      </w:r>
      <w:r>
        <w:rPr>
          <w:rStyle w:val="FootnoteAnchor"/>
          <w:rtl w:val="true"/>
        </w:rPr>
        <w:footnoteReference w:id="2907"/>
      </w:r>
      <w:r>
        <w:rPr>
          <w:rFonts w:ascii="Amiri" w:hAnsi="Amiri" w:eastAsia="Amiri" w:cs="Amiri"/>
          <w:color w:val="111111"/>
          <w:sz w:val="28"/>
          <w:sz w:val="28"/>
          <w:szCs w:val="28"/>
          <w:rtl w:val="true"/>
          <w:lang w:bidi="ar-SA"/>
        </w:rPr>
        <w:t>، أو العدس والحمّص و غير ذلك</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لمعارضة الأخبار بالأخبار المتقدّمة الموافقة للكتاب</w:t>
      </w:r>
      <w:r>
        <w:rPr>
          <w:rStyle w:val="FootnoteAnchor"/>
          <w:rtl w:val="true"/>
        </w:rPr>
        <w:footnoteReference w:id="2909"/>
      </w:r>
      <w:r>
        <w:rPr>
          <w:rFonts w:ascii="Amiri" w:hAnsi="Amiri" w:eastAsia="Amiri" w:cs="Amiri"/>
          <w:color w:val="111111"/>
          <w:sz w:val="28"/>
          <w:sz w:val="28"/>
          <w:szCs w:val="28"/>
          <w:rtl w:val="true"/>
          <w:lang w:bidi="ar-SA"/>
        </w:rPr>
        <w:t xml:space="preserve">الدالّ على نجاسة أهل الكتاب </w:t>
      </w:r>
    </w:p>
    <w:p>
      <w:pPr>
        <w:pStyle w:val="BookText"/>
        <w:rPr/>
      </w:pPr>
      <w:r>
        <w:rPr>
          <w:rFonts w:ascii="Amiri" w:hAnsi="Amiri" w:eastAsia="Amiri" w:cs="Amiri"/>
          <w:color w:val="111111"/>
          <w:sz w:val="28"/>
          <w:sz w:val="28"/>
          <w:szCs w:val="28"/>
          <w:rtl w:val="true"/>
          <w:lang w:bidi="ar-SA"/>
        </w:rPr>
        <w:t>والمخالفة للعامّة؛ لأنّهم يذهبون إلى الطهارة</w:t>
      </w:r>
      <w:r>
        <w:rPr>
          <w:rStyle w:val="FootnoteAnchor"/>
          <w:rtl w:val="true"/>
        </w:rPr>
        <w:footnoteReference w:id="2910"/>
      </w:r>
      <w:r>
        <w:rPr>
          <w:rFonts w:ascii="Amiri" w:hAnsi="Amiri" w:eastAsia="Amiri" w:cs="Amiri"/>
          <w:color w:val="111111"/>
          <w:sz w:val="28"/>
          <w:sz w:val="28"/>
          <w:szCs w:val="28"/>
          <w:rtl w:val="true"/>
          <w:lang w:bidi="ar-SA"/>
        </w:rPr>
        <w:t>، والموافقة لفتوى الأصحاب بل الإجماع المحصّل بل ضرورة الشيعة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فلا أدعوه ولا أُواكله، و إنّي لأكره أن أُحرّم عليكم شيئاً تصنعونه في بلادكم</w:t>
      </w:r>
      <w:r>
        <w:rPr>
          <w:rFonts w:eastAsia="Amiri" w:cs="Amiri" w:ascii="Amiri" w:hAnsi="Amiri"/>
          <w:color w:val="111111"/>
          <w:sz w:val="28"/>
          <w:szCs w:val="28"/>
          <w:rtl w:val="true"/>
          <w:lang w:bidi="ar-SA"/>
        </w:rPr>
        <w:t>»</w:t>
      </w:r>
      <w:r>
        <w:rPr>
          <w:rStyle w:val="FootnoteAnchor"/>
          <w:rtl w:val="true"/>
        </w:rPr>
        <w:footnoteReference w:id="2911"/>
      </w:r>
      <w:r>
        <w:rPr>
          <w:rFonts w:ascii="Amiri" w:hAnsi="Amiri" w:eastAsia="Amiri" w:cs="Amiri"/>
          <w:color w:val="111111"/>
          <w:sz w:val="28"/>
          <w:sz w:val="28"/>
          <w:szCs w:val="28"/>
          <w:rtl w:val="true"/>
          <w:lang w:bidi="ar-SA"/>
        </w:rPr>
        <w:t>ما يشعر بصدور هذه الأخبار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أكثر أخبار الطهارة ضعيفة الدلالة قابلة للتأويل والحمل على المباشرة من غير رطوبةٍ أو برطوبةٍ في غير مأكول أو مشروب أو ملبوس، فليس لها قابليّة المعارضة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غير مَنْ جحد ضروريّاً من ضروريّات الدين من فِرَق المسلمين طاهر، سواء كان ممّن جحد النصّ على خلافة سيّد الوصيّين أو جحد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لأصالة الطهارة، من غير معارضٍ من إجماعٍ منقول أو شهرة محصّلة أو أولويّة؛ إذ ليسوا لشرف الإسلام أمرَ من أهل الذمّة، وللزوم الحرج والعسر في الحكم بنجاستهم، ولعدم التجنّب عنهم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وأصحابهم في سائر الأعصار والأمصار على وجه يظهر أنّه ليس لمكان التقيّة والاضطرار، وللآثار المنقولة من مباشرة سيّد المرسلين لجملة ممّن جحد النصّ وطائفة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للأخبار المتكثّرة الحاكمة بحلّ ما يوجد في أسواق المسلمين وطهارته</w:t>
      </w:r>
      <w:r>
        <w:rPr>
          <w:rStyle w:val="FootnoteAnchor"/>
          <w:rtl w:val="true"/>
        </w:rPr>
        <w:footnoteReference w:id="2912"/>
      </w:r>
      <w:r>
        <w:rPr>
          <w:rFonts w:ascii="Amiri" w:hAnsi="Amiri" w:eastAsia="Amiri" w:cs="Amiri"/>
          <w:color w:val="111111"/>
          <w:sz w:val="28"/>
          <w:sz w:val="28"/>
          <w:szCs w:val="28"/>
          <w:rtl w:val="true"/>
          <w:lang w:bidi="ar-SA"/>
        </w:rPr>
        <w:t>مع القطع بندرة الإماميّة في تلك الأزمان والأصقاع</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وللمعتبرة الدالّة على إسلامهم من حيث الشهادتين، الدالّة على أنّ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محمّد رسول الله، وأنّه به حقنت الدماء وعليه جرت المناكح والمواريث وعلى ظاهره عامّة الناس</w:t>
      </w:r>
      <w:r>
        <w:rPr>
          <w:rStyle w:val="FootnoteAnchor"/>
          <w:rtl w:val="true"/>
        </w:rPr>
        <w:footnoteReference w:id="2913"/>
      </w:r>
      <w:r>
        <w:rPr>
          <w:rFonts w:ascii="Amiri" w:hAnsi="Amiri" w:eastAsia="Amiri" w:cs="Amiri"/>
          <w:color w:val="111111"/>
          <w:sz w:val="28"/>
          <w:sz w:val="28"/>
          <w:szCs w:val="28"/>
          <w:rtl w:val="true"/>
          <w:lang w:bidi="ar-SA"/>
        </w:rPr>
        <w:t>، وهي متكثّرة بأسانيد مختلفة وتعابير متقاربة، مؤيّدة بفتوى المشهور وعمل الجمهور، فإذا ثبت إسلامهم ثبتت طهارتهم؛ للأصل، والأخبار الدالّة على طهارة سؤر المسلم وأنّه أحبّ من الوضوء من ركو أبيض مخمّر</w:t>
      </w:r>
      <w:r>
        <w:rPr>
          <w:rStyle w:val="FootnoteAnchor"/>
          <w:rtl w:val="true"/>
        </w:rPr>
        <w:footnoteReference w:id="2914"/>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بهذا ظهر ضعف قول مَنْ حكم بنجاسة المجبّرة ، ومَنْ حكم بنجاسة المخالفين الذين جحدوا النصّ، و مَنْ حكم بنجاسة مَنْ جحد أيَّ إمامٍ كان؛ للروايات المتكثّرة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عليّاً كان مؤمناً ، و مَنْ أنكره كان كافراً، و مَنْ جهله كان ضالاً</w:t>
      </w:r>
      <w:r>
        <w:rPr>
          <w:rFonts w:eastAsia="Amiri" w:cs="Amiri" w:ascii="Amiri" w:hAnsi="Amiri"/>
          <w:color w:val="111111"/>
          <w:sz w:val="28"/>
          <w:szCs w:val="28"/>
          <w:rtl w:val="true"/>
          <w:lang w:bidi="ar-SA"/>
        </w:rPr>
        <w:t>»</w:t>
      </w:r>
      <w:r>
        <w:rPr>
          <w:rStyle w:val="FootnoteAnchor"/>
          <w:rtl w:val="true"/>
        </w:rPr>
        <w:footnoteReference w:id="2915"/>
      </w:r>
      <w:r>
        <w:rPr>
          <w:rFonts w:ascii="Amiri" w:hAnsi="Amiri" w:eastAsia="Amiri" w:cs="Amiri"/>
          <w:color w:val="111111"/>
          <w:sz w:val="28"/>
          <w:sz w:val="28"/>
          <w:szCs w:val="28"/>
          <w:rtl w:val="true"/>
          <w:lang w:bidi="ar-SA"/>
        </w:rPr>
        <w:t>و على أنّه باب من أبواب الجنّة مَنْ دخله كان مؤمناً، وَ مَنْ خرج من بابه كان كافراً</w:t>
      </w:r>
      <w:r>
        <w:rPr>
          <w:rStyle w:val="FootnoteAnchor"/>
          <w:rtl w:val="true"/>
        </w:rPr>
        <w:footnoteReference w:id="2916"/>
      </w:r>
      <w:r>
        <w:rPr>
          <w:rFonts w:ascii="Amiri" w:hAnsi="Amiri" w:eastAsia="Amiri" w:cs="Amiri"/>
          <w:color w:val="111111"/>
          <w:sz w:val="28"/>
          <w:sz w:val="28"/>
          <w:szCs w:val="28"/>
          <w:rtl w:val="true"/>
          <w:lang w:bidi="ar-SA"/>
        </w:rPr>
        <w:t xml:space="preserve">، و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عرفنا كان مؤمناً، ومَنْ أنكرنا كان كافراً</w:t>
      </w:r>
      <w:r>
        <w:rPr>
          <w:rFonts w:eastAsia="Amiri" w:cs="Amiri" w:ascii="Amiri" w:hAnsi="Amiri"/>
          <w:color w:val="111111"/>
          <w:sz w:val="28"/>
          <w:szCs w:val="28"/>
          <w:rtl w:val="true"/>
          <w:lang w:bidi="ar-SA"/>
        </w:rPr>
        <w:t>»</w:t>
      </w:r>
      <w:r>
        <w:rPr>
          <w:rStyle w:val="FootnoteAnchor"/>
          <w:rtl w:val="true"/>
        </w:rPr>
        <w:footnoteReference w:id="2917"/>
      </w:r>
      <w:r>
        <w:rPr>
          <w:rFonts w:ascii="Amiri" w:hAnsi="Amiri" w:eastAsia="Amiri" w:cs="Amiri"/>
          <w:color w:val="111111"/>
          <w:sz w:val="28"/>
          <w:sz w:val="28"/>
          <w:szCs w:val="28"/>
          <w:rtl w:val="true"/>
          <w:lang w:bidi="ar-SA"/>
        </w:rPr>
        <w:t>وعلى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عليّاً كان مؤمناً، ومَنْ جحده كان كافراً، ومَنْ شكّ فيه كان مشركاً</w:t>
      </w:r>
      <w:r>
        <w:rPr>
          <w:rFonts w:eastAsia="Amiri" w:cs="Amiri" w:ascii="Amiri" w:hAnsi="Amiri"/>
          <w:color w:val="111111"/>
          <w:sz w:val="28"/>
          <w:szCs w:val="28"/>
          <w:rtl w:val="true"/>
          <w:lang w:bidi="ar-SA"/>
        </w:rPr>
        <w:t>»</w:t>
      </w:r>
      <w:r>
        <w:rPr>
          <w:rStyle w:val="FootnoteAnchor"/>
          <w:rtl w:val="true"/>
        </w:rPr>
        <w:footnoteReference w:id="2918"/>
      </w:r>
      <w:r>
        <w:rPr>
          <w:rFonts w:ascii="Amiri" w:hAnsi="Amiri" w:eastAsia="Amiri" w:cs="Amiri"/>
          <w:color w:val="111111"/>
          <w:sz w:val="28"/>
          <w:sz w:val="28"/>
          <w:szCs w:val="28"/>
          <w:rtl w:val="true"/>
          <w:lang w:bidi="ar-SA"/>
        </w:rPr>
        <w:t>، وعلى أنّه باب الهدى مَنْ خالفه كان كافراً ، و مَنْ أنكره دخل النار</w:t>
      </w:r>
      <w:r>
        <w:rPr>
          <w:rStyle w:val="FootnoteAnchor"/>
          <w:rtl w:val="true"/>
        </w:rPr>
        <w:footnoteReference w:id="2919"/>
      </w:r>
      <w:r>
        <w:rPr>
          <w:rFonts w:ascii="Amiri" w:hAnsi="Amiri" w:eastAsia="Amiri" w:cs="Amiri"/>
          <w:color w:val="111111"/>
          <w:sz w:val="28"/>
          <w:sz w:val="28"/>
          <w:szCs w:val="28"/>
          <w:rtl w:val="true"/>
          <w:lang w:bidi="ar-SA"/>
        </w:rPr>
        <w:t xml:space="preserve">، و على أنّ الكفر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والشرك به شرك بالله، والشكّ فيه شك في الله، و الإلحاد فيه إلحاد في الله ، و الإنكار له إنكار الله</w:t>
      </w:r>
      <w:r>
        <w:rPr>
          <w:rStyle w:val="FootnoteAnchor"/>
          <w:rtl w:val="true"/>
        </w:rPr>
        <w:footnoteReference w:id="2920"/>
      </w:r>
      <w:r>
        <w:rPr>
          <w:rFonts w:ascii="Amiri" w:hAnsi="Amiri" w:eastAsia="Amiri" w:cs="Amiri"/>
          <w:color w:val="111111"/>
          <w:sz w:val="28"/>
          <w:sz w:val="28"/>
          <w:szCs w:val="28"/>
          <w:rtl w:val="true"/>
          <w:lang w:bidi="ar-SA"/>
        </w:rPr>
        <w:t>، وعلى أنّ الله تعالى عرف إيمانهم بموالاتنا وكفرهم بها إذ أخذ عليهم الميثاق في عالم الذرّ</w:t>
      </w:r>
      <w:r>
        <w:rPr>
          <w:rStyle w:val="FootnoteAnchor"/>
          <w:rtl w:val="true"/>
        </w:rPr>
        <w:footnoteReference w:id="2921"/>
      </w:r>
      <w:r>
        <w:rPr>
          <w:rFonts w:ascii="Amiri" w:hAnsi="Amiri" w:eastAsia="Amiri" w:cs="Amiri"/>
          <w:color w:val="111111"/>
          <w:sz w:val="28"/>
          <w:sz w:val="28"/>
          <w:szCs w:val="28"/>
          <w:rtl w:val="true"/>
          <w:lang w:bidi="ar-SA"/>
        </w:rPr>
        <w:t>، إلى غير ذلك من الأخبار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للأخبار الدالّة أنّ مَنْ جحد النصّ وقدّم الجبت والطاغوت أو بغض الشيعة فهو ناصب، وأنّ الناصبي لا يحتاج إلى امتحان أكثر من تقديمه الجبت والطاغوت واعتقاده بإمامتهما</w:t>
      </w:r>
      <w:r>
        <w:rPr>
          <w:rStyle w:val="FootnoteAnchor"/>
          <w:rtl w:val="true"/>
        </w:rPr>
        <w:footnoteReference w:id="2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الناصبي مَنْ نصب لكم وهو يعلم أنكم تتولّونا وتتبرّؤون من أعدائنا</w:t>
      </w:r>
      <w:r>
        <w:rPr>
          <w:rStyle w:val="FootnoteAnchor"/>
          <w:rtl w:val="true"/>
        </w:rPr>
        <w:footnoteReference w:id="2923"/>
      </w:r>
      <w:r>
        <w:rPr>
          <w:rFonts w:ascii="Amiri" w:hAnsi="Amiri" w:eastAsia="Amiri" w:cs="Amiri"/>
          <w:color w:val="111111"/>
          <w:sz w:val="28"/>
          <w:sz w:val="28"/>
          <w:szCs w:val="28"/>
          <w:rtl w:val="true"/>
          <w:lang w:bidi="ar-SA"/>
        </w:rPr>
        <w:t>، والدالّة على أنّ كلّ ناصب كافر وأنّه نجس و أنّه أنجس من الكلب</w:t>
      </w:r>
      <w:r>
        <w:rPr>
          <w:rStyle w:val="FootnoteAnchor"/>
          <w:rtl w:val="true"/>
        </w:rPr>
        <w:footnoteReference w:id="2924"/>
      </w:r>
      <w:r>
        <w:rPr>
          <w:rFonts w:ascii="Amiri" w:hAnsi="Amiri" w:eastAsia="Amiri" w:cs="Amiri"/>
          <w:color w:val="111111"/>
          <w:sz w:val="28"/>
          <w:sz w:val="28"/>
          <w:szCs w:val="28"/>
          <w:rtl w:val="true"/>
          <w:lang w:bidi="ar-SA"/>
        </w:rPr>
        <w:t xml:space="preserve">، وأن الناصبي يمنع لطف الإمامة وهو عامّ، واليهودي يمنع لطف النبوّة وهو خاصّ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بذلك أنّ كلّ مخالف ناصبيّ ما عدا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على خروجه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ناصبيّ نجس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يدلّ على مساواة باقي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ممّا تقدّم وجملة من الأخبار الأُخَر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الجاحد أمر آخرنا جاحد أمر أوّلنا</w:t>
      </w:r>
      <w:r>
        <w:rPr>
          <w:rFonts w:eastAsia="Amiri" w:cs="Amiri" w:ascii="Amiri" w:hAnsi="Amiri"/>
          <w:color w:val="111111"/>
          <w:sz w:val="28"/>
          <w:szCs w:val="28"/>
          <w:rtl w:val="true"/>
          <w:lang w:bidi="ar-SA"/>
        </w:rPr>
        <w:t>»</w:t>
      </w:r>
      <w:r>
        <w:rPr>
          <w:rStyle w:val="FootnoteAnchor"/>
          <w:rtl w:val="true"/>
        </w:rPr>
        <w:footnoteReference w:id="2926"/>
      </w:r>
      <w:r>
        <w:rPr>
          <w:rFonts w:ascii="Amiri" w:hAnsi="Amiri" w:eastAsia="Amiri" w:cs="Amiri"/>
          <w:color w:val="111111"/>
          <w:sz w:val="28"/>
          <w:sz w:val="28"/>
          <w:szCs w:val="28"/>
          <w:rtl w:val="true"/>
          <w:lang w:bidi="ar-SA"/>
        </w:rPr>
        <w:t>وأنّ قوماً يفتنون بموسى أشرّ من النصّاب</w:t>
      </w:r>
      <w:r>
        <w:rPr>
          <w:rStyle w:val="FootnoteAnchor"/>
          <w:rtl w:val="true"/>
        </w:rPr>
        <w:footnoteReference w:id="2927"/>
      </w:r>
      <w:r>
        <w:rPr>
          <w:rFonts w:ascii="Amiri" w:hAnsi="Amiri" w:eastAsia="Amiri" w:cs="Amiri"/>
          <w:color w:val="111111"/>
          <w:sz w:val="28"/>
          <w:sz w:val="28"/>
          <w:szCs w:val="28"/>
          <w:rtl w:val="true"/>
          <w:lang w:bidi="ar-SA"/>
        </w:rPr>
        <w:t>، وأنّ الزيديّة والواقفيّة والنصّاب بمنزلة واحدة</w:t>
      </w:r>
      <w:r>
        <w:rPr>
          <w:rStyle w:val="FootnoteAnchor"/>
          <w:rtl w:val="true"/>
        </w:rPr>
        <w:footnoteReference w:id="292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الجميع أنّ إطلاق الكافر والناصب على من جحد النصّ أو جحد إماماً مجاز للمبالغة في عنادهم وفسقهم وقبح مالهم وسوء مصيرهم؛ لأنّ الحقّ أنّهم مخلّدون في النار في الآخرة، بل تجري عليهم أحكام الكفر بعد انقطاعهم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إطلاق الكافر على تارك الصلاة أو الزكاة أو الحجّ في الأخبار</w:t>
      </w:r>
      <w:r>
        <w:rPr>
          <w:rStyle w:val="FootnoteAnchor"/>
          <w:rtl w:val="true"/>
        </w:rPr>
        <w:footnoteReference w:id="2929"/>
      </w:r>
      <w:r>
        <w:rPr>
          <w:rFonts w:ascii="Amiri" w:hAnsi="Amiri" w:eastAsia="Amiri" w:cs="Amiri"/>
          <w:color w:val="111111"/>
          <w:sz w:val="28"/>
          <w:sz w:val="28"/>
          <w:szCs w:val="28"/>
          <w:rtl w:val="true"/>
          <w:lang w:bidi="ar-SA"/>
        </w:rPr>
        <w:t>المتكثّرة من غير قرينة، ولكن فتوى الأصحاب والأدلّة المتقدّمة قرينة التجوّز، كما أنّها قرينة على صرفها في الأخبار الأُخَر أيضاً، وإلّا فالمتبادر من الكافر والمنصرف إليه الإطلاق هو ما ضادّ الإسلام وباينه، حتّى أنّ مَنْ أنكر ضروريّاً من ضروريّات الدين إنّما جاء كفره من جهة كشفه عن إنكار الدين اللازم منه إنكار صاحبه الذي جاء به، فالكافر المطلق هو مَنْ لم يتسمَّ بالإسلام، وغيره ممّن أُطلق عليه الكافر إمّا كافر مضاف أو أنّه أُطلق عليه اللفظ مجازاً، وكذا لفظ الناصب فإنّه حقيقة في العدوّ لأهل البيت؛ لأنّ النصب هو العداوة، فإطلاقه على غيرهم من باب المجاز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المطلق لا يجامعه وصف الإسلام، والكافر المضاف يجامعه، والمتيقّن من دليل نجاسة الكافر هو الكافر المطلق الذي لا يجامعه وصف الإسلام، و أمّا مَنْ جامعه وصف الإسلام فهو طاهر؛ للأصل، وعدم شمول دليل النجاسة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فالمقطوع به الآن طهارة المخالفين إمّا لكونهم مسلمين، أو للشكّ في شمول دليل الكفّار لهم، أو لأنّ الضرورة والتقيّة أجرت عليهم أحكام الإسلام من الطهارة والميراث وحقن الدم وعصمة المال، كما التزمه جماعة ممّن حكم بكفرهم</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المجبّرة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الشيخ بكفرهم</w:t>
      </w:r>
      <w:r>
        <w:rPr>
          <w:rStyle w:val="FootnoteAnchor"/>
          <w:rtl w:val="true"/>
        </w:rPr>
        <w:footnoteReference w:id="2931"/>
      </w:r>
      <w:r>
        <w:rPr>
          <w:rFonts w:ascii="Amiri" w:hAnsi="Amiri" w:eastAsia="Amiri" w:cs="Amiri"/>
          <w:color w:val="111111"/>
          <w:sz w:val="28"/>
          <w:sz w:val="28"/>
          <w:szCs w:val="28"/>
          <w:rtl w:val="true"/>
          <w:lang w:bidi="ar-SA"/>
        </w:rPr>
        <w:t xml:space="preserve">لنسبتهم القبيح إليه سبحانه </w:t>
      </w:r>
    </w:p>
    <w:p>
      <w:pPr>
        <w:pStyle w:val="BookText"/>
        <w:rPr/>
      </w:pPr>
      <w:r>
        <w:rPr>
          <w:rFonts w:ascii="Amiri" w:hAnsi="Amiri" w:eastAsia="Amiri" w:cs="Amiri"/>
          <w:color w:val="111111"/>
          <w:sz w:val="28"/>
          <w:sz w:val="28"/>
          <w:szCs w:val="28"/>
          <w:rtl w:val="true"/>
          <w:lang w:bidi="ar-SA"/>
        </w:rPr>
        <w:t>وتعالى من إيجاد المعاصي والقبائح والكفر بمشيئته وإرادته، وهو منافٍ لضرورة العقل والنقل، ولقوله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 كَذَلِكَ كَذَّبَ الَّذِينَ مِنْ قَبْلِهِمْ</w:t>
      </w:r>
      <w:r>
        <w:rPr>
          <w:rStyle w:val="FootnoteAnchor"/>
          <w:rtl w:val="true"/>
        </w:rPr>
        <w:footnoteReference w:id="2932"/>
      </w:r>
      <w:r>
        <w:rPr>
          <w:rFonts w:ascii="Amiri" w:hAnsi="Amiri" w:eastAsia="Amiri" w:cs="Amiri"/>
          <w:color w:val="111111"/>
          <w:sz w:val="28"/>
          <w:sz w:val="28"/>
          <w:szCs w:val="28"/>
          <w:rtl w:val="true"/>
          <w:lang w:bidi="ar-SA"/>
        </w:rPr>
        <w:t>، فإنّه سبحانه وتعالى جعل تكذيبهم كتكذيب الذين من قبلهم، وهو التكذيب المطلق المتعلّق بالعقل والنقل من الرسل والكتب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القول بالجبر ضروريّ الفساد بين المسلمين بحيث لا يتناكرونه بينهم، بل هو من المسائل النظريّة بين المعتزلة والإماميّة و الأشاعرة وإن كان فساده قطعيّاً، على أنّ القول بالجبر من المتشابه في كلامهم وممّا اختلف فيه تفاسيرهم، فالحكم بكفرهم بمجرّد دعواهم الجبر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منهم بأنّه جسم لا كالأجسام مخالفون للدليل القطعي قطعاً، وأمّا كونهم مخالفين لضرورة المسلمين بحيث يُحكم بكفرهم فلا يخلو من إشكال، وأمّا القائلون منهم بأنّه جسم كالأجسام وكذا المشبّهة له سبحانه فالظاهر أنّهم كالغلاة يُحكم بكفرهم؛ لإنكارهم ما عُلم من الدين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 المعاد الجسماني أو الجنّة والنار الجسمانيّين فقد أنكر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جعل المعاد الجسماني على غير النحو المعروف بين العلماء بأن ادّعى أنّ المعاد جسم خالص عن الأخلاط والمركبّات بل والعناصر أو ادّعى أنّ الجنّة و النار أجسام على غير طريقة الأجسام، وكذا الصراط والميزان والصحف وماء الكوثر، وكذا قِدَم العالم على نحوٍ آخَر، وكذا الكلام النفسي، وكذا الرؤية الغير البصريّة، وكذا الحلول والاتّحاد لا على النحو المعلوم عند عامّة الناس، بل ادّعى معانٍ أُخَر لا يصل إليها النظر ونحو ذلك، فالظاهر</w:t>
      </w:r>
    </w:p>
    <w:p>
      <w:pPr>
        <w:pStyle w:val="BookText"/>
        <w:rPr/>
      </w:pPr>
      <w:r>
        <w:rPr>
          <w:rFonts w:ascii="Amiri" w:hAnsi="Amiri" w:eastAsia="Amiri" w:cs="Amiri"/>
          <w:color w:val="111111"/>
          <w:sz w:val="28"/>
          <w:sz w:val="28"/>
          <w:szCs w:val="28"/>
          <w:rtl w:val="true"/>
          <w:lang w:bidi="ar-SA"/>
        </w:rPr>
        <w:t>أنّه على الإسلام ليس منكر الضروريّ من 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ادّعى أنّ الأُمور الأوّلية أمور معنويّة وليس لها في المحسوسات والمشاهدات مدخليّة، و جعلها عبارة عن معان خفيّة وأوَّلَ ما جاء السمع به إلى ما لا يقبله السمع، وكذا من ادّعى أنّ الأُمور الأخيرة حقيقيّة فإنّه يُحكم بكفره ونجاسته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المدار في كفر الإنكار لضروريٍّ من ضروريّات الدين هو الكشف عن إنكار </w:t>
      </w:r>
    </w:p>
    <w:p>
      <w:pPr>
        <w:pStyle w:val="BookText"/>
        <w:rPr/>
      </w:pPr>
      <w:r>
        <w:rPr>
          <w:rFonts w:ascii="Amiri" w:hAnsi="Amiri" w:eastAsia="Amiri" w:cs="Amiri"/>
          <w:color w:val="111111"/>
          <w:sz w:val="28"/>
          <w:sz w:val="28"/>
          <w:szCs w:val="28"/>
          <w:rtl w:val="true"/>
          <w:lang w:bidi="ar-SA"/>
        </w:rPr>
        <w:t>سيّد المرسلين إمّا قطعاً أو عملاً بالظاهر مع مَنْ لم يعلم حاله؛ لأنّ الأصل الطهارة وبقاء صفة الإسلام، ولا نخرج عن ذلك إلّا مع القطع بطروء صفة الكفر، ولم يعلم طروؤها من الإجماع وكلام الأصحاب إلّا فيما هو المتيقّن، والمتيقّن من الخروج عن صفة الإسلام إلى صفة الكفر هو مَنْ كان إنكاره كاشفاً قطعاً أو كان على ظاهر الكشف ممّن لا يعلم حاله، وحينئذٍ فمَنْ علمنا أنّ إنكاره لشبهةٍ تمكّنت منه أو كان شكّه لذلك سيّما فيمن يتطلّب الحقّ وهو في طريق النظر كان مسلماً طاهراً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في طريق النظر غير معتقدٍ لأحد الأُصول الدينيّة الإسلاميّة كان نجساً محكوماً بكفره وإن قلنا بعذره، و مَنْ أنكر قطعيّاً لا يُحكم بكفره، إلّا إذا علم أنّ إنكاره بعد قطعيّته فيكشف عن إنكار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يلحق بالناصب السابّ الله تعالى بلفظ صريح في السبّ بعيد عن احتمال التأويل، أو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إهانة أحدهم أو الاستخفاف به بقولٍ أو فعلٍ، وربما يلحق بهم باقي الأنبياء والملائكة المقرّبين وكذا الهاتك لحرمة الدين بقول أو فعل کالبيت أو القرآن وشبههما، من سبٍّ أو وضع في القاذورات وشبهها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في الجملة ما ورد أنّ الكفر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w:t>
      </w:r>
      <w:r>
        <w:rPr>
          <w:rStyle w:val="FootnoteAnchor"/>
          <w:rtl w:val="true"/>
        </w:rPr>
        <w:footnoteReference w:id="2933"/>
      </w:r>
      <w:r>
        <w:rPr>
          <w:rFonts w:ascii="IRNazanin" w:hAnsi="IRNazanin" w:eastAsia="IRNazanin"/>
          <w:color w:val="111111"/>
          <w:sz w:val="28"/>
          <w:sz w:val="28"/>
          <w:szCs w:val="28"/>
          <w:rtl w:val="true"/>
          <w:lang w:bidi="fa-IR"/>
        </w:rPr>
        <w:t>، وأنّ السابّ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الله تعالى</w:t>
      </w:r>
      <w:r>
        <w:rPr>
          <w:rStyle w:val="FootnoteAnchor"/>
          <w:rtl w:val="true"/>
        </w:rPr>
        <w:footnoteReference w:id="2934"/>
      </w:r>
      <w:r>
        <w:rPr>
          <w:rFonts w:ascii="Amiri" w:hAnsi="Amiri" w:eastAsia="Amiri" w:cs="Amiri"/>
          <w:color w:val="111111"/>
          <w:sz w:val="28"/>
          <w:sz w:val="28"/>
          <w:szCs w:val="28"/>
          <w:rtl w:val="true"/>
          <w:lang w:bidi="ar-SA"/>
        </w:rPr>
        <w:t>، ويضمّ إلى ذلك أنّهم طينة واحدة وأنّ آخرهم كأوّلهم، ومن أنّ الظاهر أنّ السبّ نصب من السابّ أيضاً فيدخل في حكم النواصب، وهم كفّار نجسون، وربما كان في سبّهم هتك حرمةٍ للدين، ومَنْ هتك الحرمة فقد كفر؛ للخبر</w:t>
      </w:r>
      <w:r>
        <w:rPr>
          <w:rStyle w:val="FootnoteAnchor"/>
          <w:rtl w:val="true"/>
        </w:rPr>
        <w:footnoteReference w:id="2935"/>
      </w:r>
      <w:r>
        <w:rPr>
          <w:rFonts w:ascii="Amiri" w:hAnsi="Amiri" w:eastAsia="Amiri" w:cs="Amiri"/>
          <w:color w:val="111111"/>
          <w:sz w:val="28"/>
          <w:sz w:val="28"/>
          <w:szCs w:val="28"/>
          <w:rtl w:val="true"/>
          <w:lang w:bidi="ar-SA"/>
        </w:rPr>
        <w:t>، وقد يؤيّد الحكم بكفرهم الحكم بقتل السابّ، فإنّ الظاهر منه أنّه لمكان الكفر والارتداد ، لا لكونه حدّاً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الحكم بنجاسة السابّ لباقي الأنبياء والملائكة المقرّبين، وكذا الهاتك لحرمة النعمة من وضعها فى القذارة وسحقها بالنعال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اسم الكفر عليه، ومن أصالة الطهارة</w:t>
      </w:r>
      <w:r>
        <w:rPr>
          <w:rFonts w:eastAsia="Amiri" w:cs="Amiri" w:ascii="Amiri" w:hAnsi="Amiri"/>
          <w:color w:val="111111"/>
          <w:sz w:val="28"/>
          <w:szCs w:val="28"/>
          <w:rtl w:val="true"/>
          <w:lang w:bidi="ar-SA"/>
        </w:rPr>
        <w:t xml:space="preserve">. </w:t>
      </w:r>
      <w:bookmarkStart w:id="1300" w:name="pg18988_203685"/>
    </w:p>
    <w:p>
      <w:pPr>
        <w:pStyle w:val="BookText"/>
        <w:rPr/>
      </w:pPr>
      <w:bookmarkEnd w:id="1300"/>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الكفّار الغير بالغين ومجانينهم كالكفّار في الأحكام وإن لم يتّصفوا بصفة الكفر، وكان حكم النجاسة دائراً مدارها في الكافر؛ لاتّفاق الأصحاب على تبعيّتهم لهم من غير مخالفٍ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للأخبار الدالّة على التبعيّة لآبائهم وأنّهم كفّار و أنّهم يدخلون مدخل آبائهم وأنّ أولاد المشركين مع آبائهم في النار، وأنّ أولاد المؤمنين يلحقون بآبائهم، وأولاد المشركين بآبائهم</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وللسيرة المعلومة من معاملتهم في الأحكام معاملة آبائهم في سائر الأعصار والأمصار، فلا وجه للإشكال في نجاستهم حينئذٍ؛ استناداً لأصل الطهارة، ودوران النجاسة مدار صفة الكفر، وليس فليس؛ لما قدّمناه من الأدلّة الدالّة على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يؤيّده أنّ أطفالهم من الحيوان المتولّد بين نجسين فيتبعه في الحكم إذا لم يصدق عليه وصفٌ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سبي ولد الكافر فالظاهر لحوقه بالمسبيّ في الطهارة؛ لرفع العسر والحرج، وللسيرة القاضية بمساورتهم من غير نكيرٍ، وللشكّ في شمول دليل التبعيّة لمثلهم، ولانقطاعه عن أبويه فلا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أطفال المؤمنين فالمقطوع به تبعيّتهم لآبائهم في جميع الأحكام في الدنيا والآخرة، إلّا أنّه قد ورد في جملة من الأخبار</w:t>
      </w:r>
      <w:r>
        <w:rPr>
          <w:rStyle w:val="FootnoteAnchor"/>
          <w:rtl w:val="true"/>
        </w:rPr>
        <w:footnoteReference w:id="2937"/>
      </w:r>
      <w:r>
        <w:rPr>
          <w:rFonts w:ascii="Amiri" w:hAnsi="Amiri" w:eastAsia="Amiri" w:cs="Amiri"/>
          <w:color w:val="111111"/>
          <w:sz w:val="28"/>
          <w:sz w:val="28"/>
          <w:szCs w:val="28"/>
          <w:rtl w:val="true"/>
          <w:lang w:bidi="ar-SA"/>
        </w:rPr>
        <w:t>أنّ الأطفال تؤجّج لهم نار، فمن دخلها كان من أهل الجنّة، و مَنْ امتنع كان من أهل النار، محمول على أولاد الكفّار فقط، أو على أولاد المسلمين الذين خرجوا عن الإيمان ولم يتّصفوا بالكفر، أو على جميع الأطفال ولكن أولاد المؤمنين يدخلون النار وأولاد الكفّار يمتنعون</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3198349_1280447820"/>
      <w:bookmarkStart w:id="1302" w:name="_Toc501"/>
      <w:bookmarkEnd w:id="1301"/>
      <w:r>
        <w:rPr>
          <w:rtl w:val="true"/>
        </w:rPr>
        <w:t>عاشرها</w:t>
      </w:r>
      <w:r>
        <w:rPr>
          <w:rtl w:val="true"/>
        </w:rPr>
        <w:t xml:space="preserve">: </w:t>
      </w:r>
      <w:r>
        <w:rPr>
          <w:rtl w:val="true"/>
        </w:rPr>
        <w:t>هل ولد الزنی نجس؟</w:t>
      </w:r>
      <w:bookmarkEnd w:id="130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بعض الأخبار</w:t>
      </w:r>
      <w:r>
        <w:rPr>
          <w:rStyle w:val="FootnoteAnchor"/>
          <w:rtl w:val="true"/>
        </w:rPr>
        <w:footnoteReference w:id="2938"/>
      </w:r>
      <w:r>
        <w:rPr>
          <w:rFonts w:ascii="Amiri" w:hAnsi="Amiri" w:eastAsia="Amiri" w:cs="Amiri"/>
          <w:color w:val="111111"/>
          <w:sz w:val="28"/>
          <w:sz w:val="28"/>
          <w:szCs w:val="28"/>
          <w:rtl w:val="true"/>
          <w:lang w:bidi="ar-SA"/>
        </w:rPr>
        <w:t>وكلام جملةٍ من الأخيار</w:t>
      </w:r>
      <w:r>
        <w:rPr>
          <w:rStyle w:val="FootnoteAnchor"/>
          <w:rtl w:val="true"/>
        </w:rPr>
        <w:footnoteReference w:id="2939"/>
      </w:r>
      <w:r>
        <w:rPr>
          <w:rFonts w:ascii="Amiri" w:hAnsi="Amiri" w:eastAsia="Amiri" w:cs="Amiri"/>
          <w:color w:val="111111"/>
          <w:sz w:val="28"/>
          <w:sz w:val="28"/>
          <w:szCs w:val="28"/>
          <w:rtl w:val="true"/>
          <w:lang w:bidi="ar-SA"/>
        </w:rPr>
        <w:t xml:space="preserve">، أنّ ولد الزنى نجس، وأنّه كافر، وأنّ سؤره ،نجس، وظاهرها أنّه لا يختار الإسلام باختياره، فتكون الأخبار كاشفةً عن </w:t>
      </w:r>
      <w:bookmarkStart w:id="1303" w:name="pg18988_203686"/>
    </w:p>
    <w:p>
      <w:pPr>
        <w:pStyle w:val="BookText"/>
        <w:rPr/>
      </w:pPr>
      <w:bookmarkEnd w:id="1303"/>
      <w:r>
        <w:rPr>
          <w:rFonts w:ascii="Amiri" w:hAnsi="Amiri" w:eastAsia="Amiri" w:cs="Amiri"/>
          <w:color w:val="111111"/>
          <w:sz w:val="28"/>
          <w:sz w:val="28"/>
          <w:szCs w:val="28"/>
          <w:rtl w:val="true"/>
          <w:lang w:bidi="ar-SA"/>
        </w:rPr>
        <w:t>ذلك، وإلّا فالقول بكفره ودخوله النار مع كونه مسلماً مؤمناً ظاهر البطلان عقلاً ونقلاً، كالقول بأنّه مجبور على الكفر ذاتاً وطبعاً، ومع ذلك يعاقب،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حمل الأخبار على الكراهة؛ لمعارضتها عموم الكتاب والسنّة، وفتوى الأصحاب وسيرة المسلمين، وعدم اشتهار الحكم بالنجاسة مع توفّر الدواعي إلى اشتهاره، أو على ولد الزني من الكفّار والنصّاب، وحمل ما جاء من عدم دخوله الجنّة أنّه يثاب بثوابٍ آخَر غير الجنّة، لا أنّه يدخل النار</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3198351_1280447820"/>
      <w:bookmarkStart w:id="1305" w:name="_Toc502"/>
      <w:bookmarkEnd w:id="1304"/>
      <w:r>
        <w:rPr>
          <w:rtl w:val="true"/>
        </w:rPr>
        <w:t>حادي عشرها</w:t>
      </w:r>
      <w:r>
        <w:rPr>
          <w:rtl w:val="true"/>
        </w:rPr>
        <w:t xml:space="preserve">: </w:t>
      </w:r>
      <w:r>
        <w:rPr>
          <w:rtl w:val="true"/>
        </w:rPr>
        <w:t>الخمر</w:t>
      </w:r>
      <w:bookmarkEnd w:id="1305"/>
    </w:p>
    <w:p>
      <w:pPr>
        <w:pStyle w:val="BookText"/>
        <w:rPr/>
      </w:pPr>
      <w:r>
        <w:rPr>
          <w:rFonts w:ascii="IRNazanin" w:hAnsi="IRNazanin" w:eastAsia="IRNazanin"/>
          <w:color w:val="111111"/>
          <w:sz w:val="28"/>
          <w:sz w:val="28"/>
          <w:szCs w:val="28"/>
          <w:rtl w:val="true"/>
          <w:lang w:bidi="fa-IR"/>
        </w:rPr>
        <w:t>الخمر نجس؛ للإجماع المنقول</w:t>
      </w:r>
      <w:r>
        <w:rPr>
          <w:rStyle w:val="FootnoteAnchor"/>
          <w:rtl w:val="true"/>
        </w:rPr>
        <w:footnoteReference w:id="2940"/>
      </w:r>
      <w:r>
        <w:rPr>
          <w:rFonts w:ascii="Amiri" w:hAnsi="Amiri" w:eastAsia="Amiri" w:cs="Amiri"/>
          <w:color w:val="111111"/>
          <w:sz w:val="28"/>
          <w:sz w:val="28"/>
          <w:szCs w:val="28"/>
          <w:rtl w:val="true"/>
          <w:lang w:bidi="ar-SA"/>
        </w:rPr>
        <w:t>وفتوى الفحول، ولوصفه في الكتاب بالرجس</w:t>
      </w:r>
      <w:r>
        <w:rPr>
          <w:rStyle w:val="FootnoteAnchor"/>
          <w:rtl w:val="true"/>
        </w:rPr>
        <w:footnoteReference w:id="2941"/>
      </w:r>
      <w:r>
        <w:rPr>
          <w:rFonts w:ascii="Amiri" w:hAnsi="Amiri" w:eastAsia="Amiri" w:cs="Amiri"/>
          <w:color w:val="111111"/>
          <w:sz w:val="28"/>
          <w:sz w:val="28"/>
          <w:szCs w:val="28"/>
          <w:rtl w:val="true"/>
          <w:lang w:bidi="ar-SA"/>
        </w:rPr>
        <w:t>الذي إذا تعلّق بالأعيان كان الظاهر منه النجاسة الحسّيّة، وفي الخبر النهي عن الصلاة فيه معلّلاً بأنّه رجس</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للأخبار الدالّة على غسل الثوب منه ومن النبيذ والمسكر إذا عرف موضعه، و إلّا غسل الثوب كلّه، وإن صلّى فيه أعاد الصلاة </w:t>
      </w:r>
      <w:r>
        <w:rPr>
          <w:rStyle w:val="FootnoteAnchor"/>
          <w:rtl w:val="true"/>
        </w:rPr>
        <w:footnoteReference w:id="2943"/>
      </w:r>
      <w:r>
        <w:rPr>
          <w:rFonts w:ascii="Amiri" w:hAnsi="Amiri" w:eastAsia="Amiri" w:cs="Amiri"/>
          <w:color w:val="111111"/>
          <w:sz w:val="28"/>
          <w:sz w:val="28"/>
          <w:szCs w:val="28"/>
          <w:rtl w:val="true"/>
          <w:lang w:bidi="ar-SA"/>
        </w:rPr>
        <w:t>، وعلى النهي عن الصلاة في ثوب أصابه خمر أو مسكر حتّى يغسل، كما في الموثّق</w:t>
      </w:r>
      <w:r>
        <w:rPr>
          <w:rStyle w:val="FootnoteAnchor"/>
          <w:rtl w:val="true"/>
        </w:rPr>
        <w:footnoteReference w:id="2944"/>
      </w:r>
      <w:r>
        <w:rPr>
          <w:rFonts w:ascii="Amiri" w:hAnsi="Amiri" w:eastAsia="Amiri" w:cs="Amiri"/>
          <w:color w:val="111111"/>
          <w:sz w:val="28"/>
          <w:sz w:val="28"/>
          <w:szCs w:val="28"/>
          <w:rtl w:val="true"/>
          <w:lang w:bidi="ar-SA"/>
        </w:rPr>
        <w:t>، وعلى أنّه بمنزلة شحم الخنزير أو لحم الخنزير، كما في الصحيح</w:t>
      </w:r>
      <w:r>
        <w:rPr>
          <w:rStyle w:val="FootnoteAnchor"/>
          <w:rtl w:val="true"/>
        </w:rPr>
        <w:footnoteReference w:id="2945"/>
      </w:r>
      <w:r>
        <w:rPr>
          <w:rFonts w:ascii="Amiri" w:hAnsi="Amiri" w:eastAsia="Amiri" w:cs="Amiri"/>
          <w:color w:val="111111"/>
          <w:sz w:val="28"/>
          <w:sz w:val="28"/>
          <w:szCs w:val="28"/>
          <w:rtl w:val="true"/>
          <w:lang w:bidi="ar-SA"/>
        </w:rPr>
        <w:t>، وعلى أنّه بمنزلة الميتة، كما في آخَر</w:t>
      </w:r>
      <w:r>
        <w:rPr>
          <w:rStyle w:val="FootnoteAnchor"/>
          <w:rtl w:val="true"/>
        </w:rPr>
        <w:footnoteReference w:id="2946"/>
      </w:r>
      <w:r>
        <w:rPr>
          <w:rFonts w:ascii="Amiri" w:hAnsi="Amiri" w:eastAsia="Amiri" w:cs="Amiri"/>
          <w:color w:val="111111"/>
          <w:sz w:val="28"/>
          <w:sz w:val="28"/>
          <w:szCs w:val="28"/>
          <w:rtl w:val="true"/>
          <w:lang w:bidi="ar-SA"/>
        </w:rPr>
        <w:t>، وعلى الأمر بغسل الإناء منه، كما في آخَر</w:t>
      </w:r>
      <w:r>
        <w:rPr>
          <w:rStyle w:val="FootnoteAnchor"/>
          <w:rtl w:val="true"/>
        </w:rPr>
        <w:footnoteReference w:id="2947"/>
      </w:r>
      <w:r>
        <w:rPr>
          <w:rFonts w:ascii="Amiri" w:hAnsi="Amiri" w:eastAsia="Amiri" w:cs="Amiri"/>
          <w:color w:val="111111"/>
          <w:sz w:val="28"/>
          <w:sz w:val="28"/>
          <w:szCs w:val="28"/>
          <w:rtl w:val="true"/>
          <w:lang w:bidi="ar-SA"/>
        </w:rPr>
        <w:t>، وعلى الأمر بغسل الثوب المعار لمن يشرب الخمر قبل الصلاة فيه، كما في الصحيح</w:t>
      </w:r>
      <w:r>
        <w:rPr>
          <w:rStyle w:val="FootnoteAnchor"/>
          <w:rtl w:val="true"/>
        </w:rPr>
        <w:footnoteReference w:id="2948"/>
      </w:r>
      <w:r>
        <w:rPr>
          <w:rFonts w:ascii="Amiri" w:hAnsi="Amiri" w:eastAsia="Amiri" w:cs="Amiri"/>
          <w:color w:val="111111"/>
          <w:sz w:val="28"/>
          <w:sz w:val="28"/>
          <w:szCs w:val="28"/>
          <w:rtl w:val="true"/>
          <w:lang w:bidi="ar-SA"/>
        </w:rPr>
        <w:t>، وعلى النهي عن من الشرب بأواني الخمر، كما في صحيح آخَر</w:t>
      </w:r>
      <w:r>
        <w:rPr>
          <w:rStyle w:val="FootnoteAnchor"/>
          <w:rtl w:val="true"/>
        </w:rPr>
        <w:footnoteReference w:id="2949"/>
      </w:r>
      <w:r>
        <w:rPr>
          <w:rFonts w:ascii="Amiri" w:hAnsi="Amiri" w:eastAsia="Amiri" w:cs="Amiri"/>
          <w:color w:val="111111"/>
          <w:sz w:val="28"/>
          <w:sz w:val="28"/>
          <w:szCs w:val="28"/>
          <w:rtl w:val="true"/>
          <w:lang w:bidi="ar-SA"/>
        </w:rPr>
        <w:t>، وعلى نزح البئر من صبّ الخمر فيها، كما فى أخبار أُخَر</w:t>
      </w:r>
      <w:r>
        <w:rPr>
          <w:rStyle w:val="FootnoteAnchor"/>
          <w:rtl w:val="true"/>
        </w:rPr>
        <w:footnoteReference w:id="2950"/>
      </w:r>
      <w:r>
        <w:rPr>
          <w:rFonts w:ascii="Amiri" w:hAnsi="Amiri" w:eastAsia="Amiri" w:cs="Amiri"/>
          <w:color w:val="111111"/>
          <w:sz w:val="28"/>
          <w:sz w:val="28"/>
          <w:szCs w:val="28"/>
          <w:rtl w:val="true"/>
          <w:lang w:bidi="ar-SA"/>
        </w:rPr>
        <w:t xml:space="preserve">، إلى غير ذلك من الأخبار المتكثّرة الدالّة على النجاسة، الموافقة لفتوى </w:t>
      </w:r>
    </w:p>
    <w:p>
      <w:pPr>
        <w:pStyle w:val="BookText"/>
        <w:rPr/>
      </w:pPr>
      <w:r>
        <w:rPr>
          <w:rFonts w:ascii="Amiri" w:hAnsi="Amiri" w:eastAsia="Amiri" w:cs="Amiri"/>
          <w:color w:val="111111"/>
          <w:sz w:val="28"/>
          <w:sz w:val="28"/>
          <w:szCs w:val="28"/>
          <w:rtl w:val="true"/>
          <w:lang w:bidi="ar-SA"/>
        </w:rPr>
        <w:t>المشهور وعملهم ودليل الاحتياط، والمخالفة لمذهب رؤساء العامّة وكبارهم وعملهم، وإن كانت المسألة فيما بينهم محلّ خلاف</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يعارض ذلك ما ورد في عدّة أخبار من الحكم بالطهارة، وأفتى بمضمونها طائفة من أصحابنا</w:t>
      </w:r>
      <w:r>
        <w:rPr>
          <w:rStyle w:val="FootnoteAnchor"/>
          <w:rtl w:val="true"/>
        </w:rPr>
        <w:footnoteReference w:id="2951"/>
      </w:r>
      <w:r>
        <w:rPr>
          <w:rFonts w:ascii="Amiri" w:hAnsi="Amiri" w:eastAsia="Amiri" w:cs="Amiri"/>
          <w:color w:val="111111"/>
          <w:sz w:val="28"/>
          <w:sz w:val="28"/>
          <w:szCs w:val="28"/>
          <w:rtl w:val="true"/>
          <w:lang w:bidi="ar-SA"/>
        </w:rPr>
        <w:t xml:space="preserve">، كالصحيح النافي للبأس عن الصلاة في ثوب أصابه خمر قبل غسله لأنّ الثوب لايسكر </w:t>
      </w:r>
      <w:r>
        <w:rPr>
          <w:rStyle w:val="FootnoteAnchor"/>
          <w:rtl w:val="true"/>
        </w:rPr>
        <w:footnoteReference w:id="2952"/>
      </w:r>
      <w:r>
        <w:rPr>
          <w:rFonts w:ascii="Amiri" w:hAnsi="Amiri" w:eastAsia="Amiri" w:cs="Amiri"/>
          <w:color w:val="111111"/>
          <w:sz w:val="28"/>
          <w:sz w:val="28"/>
          <w:szCs w:val="28"/>
          <w:rtl w:val="true"/>
          <w:lang w:bidi="ar-SA"/>
        </w:rPr>
        <w:t>، و الموثّق النافي للبأس عن الثوب الذي يصيبه المسكر والنبيذ</w:t>
      </w:r>
      <w:r>
        <w:rPr>
          <w:rStyle w:val="FootnoteAnchor"/>
          <w:rtl w:val="true"/>
        </w:rPr>
        <w:footnoteReference w:id="2953"/>
      </w:r>
      <w:r>
        <w:rPr>
          <w:rFonts w:ascii="Amiri" w:hAnsi="Amiri" w:eastAsia="Amiri" w:cs="Amiri"/>
          <w:color w:val="111111"/>
          <w:sz w:val="28"/>
          <w:sz w:val="28"/>
          <w:szCs w:val="28"/>
          <w:rtl w:val="true"/>
          <w:lang w:bidi="ar-SA"/>
        </w:rPr>
        <w:t>، والصحيح الأمر بالصلاة في الثوب الذي يصيبه الخمر والمسكر إلّا أن تقذره فتغسل منه موضع الأثر</w:t>
      </w:r>
      <w:r>
        <w:rPr>
          <w:rStyle w:val="FootnoteAnchor"/>
          <w:rtl w:val="true"/>
        </w:rPr>
        <w:footnoteReference w:id="2954"/>
      </w:r>
      <w:r>
        <w:rPr>
          <w:rFonts w:ascii="Amiri" w:hAnsi="Amiri" w:eastAsia="Amiri" w:cs="Amiri"/>
          <w:color w:val="111111"/>
          <w:sz w:val="28"/>
          <w:sz w:val="28"/>
          <w:szCs w:val="28"/>
          <w:rtl w:val="true"/>
          <w:lang w:bidi="ar-SA"/>
        </w:rPr>
        <w:t>، والصحيح النافي للبأس عن الثوب يصبّ عليه الخمر إلا أن تشتهي أن تغسله</w:t>
      </w:r>
      <w:r>
        <w:rPr>
          <w:rStyle w:val="FootnoteAnchor"/>
          <w:rtl w:val="true"/>
        </w:rPr>
        <w:footnoteReference w:id="2955"/>
      </w:r>
      <w:r>
        <w:rPr>
          <w:rFonts w:ascii="Amiri" w:hAnsi="Amiri" w:eastAsia="Amiri" w:cs="Amiri"/>
          <w:color w:val="111111"/>
          <w:sz w:val="28"/>
          <w:sz w:val="28"/>
          <w:szCs w:val="28"/>
          <w:rtl w:val="true"/>
          <w:lang w:bidi="ar-SA"/>
        </w:rPr>
        <w:t>، والخبر النافي للبأس عن الصلاة في الثوب يصيبه الخمر وودك الخنزير قبل غسله</w:t>
      </w:r>
      <w:r>
        <w:rPr>
          <w:rStyle w:val="FootnoteAnchor"/>
          <w:rtl w:val="true"/>
        </w:rPr>
        <w:footnoteReference w:id="2956"/>
      </w:r>
      <w:r>
        <w:rPr>
          <w:rFonts w:ascii="Amiri" w:hAnsi="Amiri" w:eastAsia="Amiri" w:cs="Amiri"/>
          <w:color w:val="111111"/>
          <w:sz w:val="28"/>
          <w:sz w:val="28"/>
          <w:szCs w:val="28"/>
          <w:rtl w:val="true"/>
          <w:lang w:bidi="ar-SA"/>
        </w:rPr>
        <w:t>، والصحيح النافي للبأس عن الصلاة في ثوب قد أصابه أو أصاب الرجل ماء المطر يصبّ فيه الخمر قبل غسله</w:t>
      </w:r>
      <w:r>
        <w:rPr>
          <w:rStyle w:val="FootnoteAnchor"/>
          <w:rtl w:val="true"/>
        </w:rPr>
        <w:footnoteReference w:id="2957"/>
      </w:r>
      <w:r>
        <w:rPr>
          <w:rFonts w:ascii="Amiri" w:hAnsi="Amiri" w:eastAsia="Amiri" w:cs="Amiri"/>
          <w:color w:val="111111"/>
          <w:sz w:val="28"/>
          <w:sz w:val="28"/>
          <w:szCs w:val="28"/>
          <w:rtl w:val="true"/>
          <w:lang w:bidi="ar-SA"/>
        </w:rPr>
        <w:t>، والخبر النافي للبأس عن الامتشاط في الخمر</w:t>
      </w:r>
      <w:r>
        <w:rPr>
          <w:rStyle w:val="FootnoteAnchor"/>
          <w:rtl w:val="true"/>
        </w:rPr>
        <w:footnoteReference w:id="2958"/>
      </w:r>
      <w:r>
        <w:rPr>
          <w:rFonts w:ascii="Amiri" w:hAnsi="Amiri" w:eastAsia="Amiri" w:cs="Amiri"/>
          <w:color w:val="111111"/>
          <w:sz w:val="28"/>
          <w:sz w:val="28"/>
          <w:szCs w:val="28"/>
          <w:rtl w:val="true"/>
          <w:lang w:bidi="ar-SA"/>
        </w:rPr>
        <w:t>، إلى غير ذلك؛ لضعف هذه الأخبار سنداً ودلالةً وفتوىً وعملاً عن مقاومة الأخبار الأوليّة، سيّما وفي الأخبار الأوّليّة ما يدلّ على حصول الاختلاف بين الأصحاب في حكم الخمر في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الاختلاف في الروايات أيضاً كصحيحة ابن مهزيار وخيران الخادم وأنّهم سألوا إمام العصر، فأفتى لهم بالأخذ بأخبار النجاسة وطرح أخبار الطهارة</w:t>
      </w:r>
      <w:r>
        <w:rPr>
          <w:rStyle w:val="FootnoteAnchor"/>
          <w:rtl w:val="true"/>
        </w:rPr>
        <w:footnoteReference w:id="2959"/>
      </w:r>
      <w:r>
        <w:rPr>
          <w:rFonts w:ascii="Amiri" w:hAnsi="Amiri" w:eastAsia="Amiri" w:cs="Amiri"/>
          <w:color w:val="111111"/>
          <w:sz w:val="28"/>
          <w:sz w:val="28"/>
          <w:szCs w:val="28"/>
          <w:rtl w:val="true"/>
          <w:lang w:bidi="ar-SA"/>
        </w:rPr>
        <w:t>، ومن اللازم عندنا مع عدم المعارض الأخذ بقول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المتأخّر، سيّما إذا كان قوله نصّاً في اطّراح بعض الأخبار دون بعض، وحينئذٍ فحمل أخبار الطهارة على التقيّة لكون عمل الرؤساء والحكّام من الأُمويّين والعبّاسيّين عليه أولى، بل لولا ضرورة الدين القاضية بحرمتها لأحلّها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bookmarkStart w:id="1306" w:name="pg18988_203688"/>
    </w:p>
    <w:p>
      <w:pPr>
        <w:pStyle w:val="BookText"/>
        <w:rPr/>
      </w:pPr>
      <w:bookmarkEnd w:id="1306"/>
      <w:r>
        <w:rPr>
          <w:rFonts w:ascii="Amiri" w:hAnsi="Amiri" w:eastAsia="Amiri" w:cs="Amiri"/>
          <w:color w:val="111111"/>
          <w:sz w:val="28"/>
          <w:sz w:val="28"/>
          <w:szCs w:val="28"/>
          <w:rtl w:val="true"/>
          <w:lang w:bidi="ar-SA"/>
        </w:rPr>
        <w:t>وما مال إليه بعض أصحابنا</w:t>
      </w:r>
      <w:r>
        <w:rPr>
          <w:rStyle w:val="FootnoteAnchor"/>
          <w:rtl w:val="true"/>
        </w:rPr>
        <w:footnoteReference w:id="2960"/>
      </w:r>
      <w:r>
        <w:rPr>
          <w:rFonts w:ascii="Amiri" w:hAnsi="Amiri" w:eastAsia="Amiri" w:cs="Amiri"/>
          <w:color w:val="111111"/>
          <w:sz w:val="28"/>
          <w:sz w:val="28"/>
          <w:szCs w:val="28"/>
          <w:rtl w:val="true"/>
          <w:lang w:bidi="ar-SA"/>
        </w:rPr>
        <w:t>من حمل أخبار النجاسة على الندب، جمعاً بين الأخبار، ضعيف لا يُلتفت إليه؛ لأنّ الجمع فرع المقاومة ولا مقاومة بينهما، ولأنّ من أخبار النجاسة ما لا يقبل الحمل؛ لاشتماله على تشديد ومبالغة،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w:t>
      </w:r>
      <w:r>
        <w:rPr>
          <w:rStyle w:val="FootnoteAnchor"/>
          <w:rtl w:val="true"/>
        </w:rPr>
        <w:footnoteReference w:id="2961"/>
      </w:r>
      <w:r>
        <w:rPr>
          <w:rFonts w:ascii="Amiri" w:hAnsi="Amiri" w:eastAsia="Amiri" w:cs="Amiri"/>
          <w:color w:val="111111"/>
          <w:sz w:val="28"/>
          <w:sz w:val="28"/>
          <w:szCs w:val="28"/>
          <w:rtl w:val="true"/>
          <w:lang w:bidi="ar-SA"/>
        </w:rPr>
        <w:t>ولا قائل بنجاسته وطهارة الخمر، ولكان ينبغي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الرجوع إليهم في مقام اختلاف الأخبار الجواب بإظهار الاستحباب، لا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ورد عن يونس من الاغتمام وتأخير الصلاة حين أصاب ثوبه فقّاع إلى أن يغسله، واستناده في نجاسته إلى روايته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الفقّاع خمر مجهول</w:t>
      </w:r>
      <w:r>
        <w:rPr>
          <w:rFonts w:eastAsia="Amiri" w:cs="Amiri" w:ascii="Amiri" w:hAnsi="Amiri"/>
          <w:color w:val="111111"/>
          <w:sz w:val="28"/>
          <w:szCs w:val="28"/>
          <w:rtl w:val="true"/>
          <w:lang w:bidi="ar-SA"/>
        </w:rPr>
        <w:t>»</w:t>
      </w:r>
      <w:r>
        <w:rPr>
          <w:rStyle w:val="FootnoteAnchor"/>
          <w:rtl w:val="true"/>
        </w:rPr>
        <w:footnoteReference w:id="2962"/>
      </w:r>
      <w:r>
        <w:rPr>
          <w:rFonts w:ascii="Amiri" w:hAnsi="Amiri" w:eastAsia="Amiri" w:cs="Amiri"/>
          <w:color w:val="111111"/>
          <w:sz w:val="28"/>
          <w:sz w:val="28"/>
          <w:szCs w:val="28"/>
          <w:rtl w:val="true"/>
          <w:lang w:bidi="ar-SA"/>
        </w:rPr>
        <w:t>ما يدلّ على معروفيّة نجاسة الخمر ومسلّميّته</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3198353_1280447820"/>
      <w:bookmarkStart w:id="1308" w:name="_Toc503"/>
      <w:bookmarkEnd w:id="1307"/>
      <w:r>
        <w:rPr>
          <w:rtl w:val="true"/>
        </w:rPr>
        <w:t>ثاني عشرها</w:t>
      </w:r>
      <w:r>
        <w:rPr>
          <w:rtl w:val="true"/>
        </w:rPr>
        <w:t xml:space="preserve">: </w:t>
      </w:r>
      <w:r>
        <w:rPr>
          <w:rtl w:val="true"/>
        </w:rPr>
        <w:t>المسكر مائع بالأصالة</w:t>
      </w:r>
      <w:bookmarkEnd w:id="1308"/>
    </w:p>
    <w:p>
      <w:pPr>
        <w:pStyle w:val="BookText"/>
        <w:rPr/>
      </w:pPr>
      <w:r>
        <w:rPr>
          <w:rFonts w:ascii="Amiri" w:hAnsi="Amiri" w:eastAsia="Amiri" w:cs="Amiri"/>
          <w:color w:val="111111"/>
          <w:sz w:val="28"/>
          <w:sz w:val="28"/>
          <w:szCs w:val="28"/>
          <w:rtl w:val="true"/>
          <w:lang w:bidi="ar-SA"/>
        </w:rPr>
        <w:t>كلّ مسكر مائع بالأصالة نجس؛ للإجماع المنقول</w:t>
      </w:r>
      <w:r>
        <w:rPr>
          <w:rStyle w:val="FootnoteAnchor"/>
          <w:rtl w:val="true"/>
        </w:rPr>
        <w:footnoteReference w:id="2963"/>
      </w:r>
      <w:r>
        <w:rPr>
          <w:rFonts w:ascii="Amiri" w:hAnsi="Amiri" w:eastAsia="Amiri" w:cs="Amiri"/>
          <w:color w:val="111111"/>
          <w:sz w:val="28"/>
          <w:sz w:val="28"/>
          <w:szCs w:val="28"/>
          <w:rtl w:val="true"/>
          <w:lang w:bidi="ar-SA"/>
        </w:rPr>
        <w:t>، وفتوى الفحول، وللأخبار الدالّة على وجوب غسل الثوب من النبيذ المسكر، كما في بعضٍ</w:t>
      </w:r>
      <w:r>
        <w:rPr>
          <w:rStyle w:val="FootnoteAnchor"/>
          <w:rtl w:val="true"/>
        </w:rPr>
        <w:footnoteReference w:id="2964"/>
      </w:r>
      <w:r>
        <w:rPr>
          <w:rFonts w:ascii="Amiri" w:hAnsi="Amiri" w:eastAsia="Amiri" w:cs="Amiri"/>
          <w:color w:val="111111"/>
          <w:sz w:val="28"/>
          <w:sz w:val="28"/>
          <w:szCs w:val="28"/>
          <w:rtl w:val="true"/>
          <w:lang w:bidi="ar-SA"/>
        </w:rPr>
        <w:t>، ولا قائل بالفرق، أو من النبيذ يعني المسكر، كما في بعضٍ آخَر</w:t>
      </w:r>
      <w:r>
        <w:rPr>
          <w:rStyle w:val="FootnoteAnchor"/>
          <w:rtl w:val="true"/>
        </w:rPr>
        <w:footnoteReference w:id="2965"/>
      </w:r>
      <w:r>
        <w:rPr>
          <w:rFonts w:ascii="Amiri" w:hAnsi="Amiri" w:eastAsia="Amiri" w:cs="Amiri"/>
          <w:color w:val="111111"/>
          <w:sz w:val="28"/>
          <w:sz w:val="28"/>
          <w:szCs w:val="28"/>
          <w:rtl w:val="true"/>
          <w:lang w:bidi="ar-SA"/>
        </w:rPr>
        <w:t>، وعلى النهي عن الصلاة في ثوبٍ أصابه خمر أو مسكر، كما في ثالثٍ</w:t>
      </w:r>
      <w:r>
        <w:rPr>
          <w:rStyle w:val="FootnoteAnchor"/>
          <w:rtl w:val="true"/>
        </w:rPr>
        <w:footnoteReference w:id="2966"/>
      </w:r>
      <w:r>
        <w:rPr>
          <w:rFonts w:ascii="Amiri" w:hAnsi="Amiri" w:eastAsia="Amiri" w:cs="Amiri"/>
          <w:color w:val="111111"/>
          <w:sz w:val="28"/>
          <w:sz w:val="28"/>
          <w:szCs w:val="28"/>
          <w:rtl w:val="true"/>
          <w:lang w:bidi="ar-SA"/>
        </w:rPr>
        <w:t>، وعلى أنّ القطرة من المسكر لو قطرت على حبّ لأُهريق، كما في رابعٍ</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لإطلاق لفظ الخمر على المسكر المائع إطلاقاً متعارفاً شائعاً نصّ عليه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فيما اشتهر بينهم كلّ شراب مسكر</w:t>
      </w:r>
      <w:r>
        <w:rPr>
          <w:rStyle w:val="FootnoteAnchor"/>
          <w:rtl w:val="true"/>
        </w:rPr>
        <w:footnoteReference w:id="2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أنّه مشهور</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الخمر لأنّها تُركت واختمرت</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ما خامر العقل</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ما أسكر من عصير العنب، أو عامّ كالخمرة، والعموم أصحّ؛ لأنّها حُرّمت، و ما بالمدينة خمر عنب، وما كان شرابهم إلّا البسر و التمر، سُمّيت لأنّها تخمر العقل وتستّره، أو لأنّها تُركت حتّى أدركت واختمرت، أو لأنّها تُخامِر العقل أي تخالطه</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أيضاً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w:t>
      </w:r>
      <w:r>
        <w:rPr>
          <w:rStyle w:val="FootnoteAnchor"/>
          <w:rtl w:val="true"/>
        </w:rPr>
        <w:footnoteReference w:id="2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الخمر فكلّ مسكر من الشراب إذا اخمرّ فهو خمر، وإنّما كانت الخمر يوم حُرّمت بالمدينة فضيخ البسر والتمر</w:t>
      </w:r>
      <w:r>
        <w:rPr>
          <w:rFonts w:eastAsia="Amiri" w:cs="Amiri" w:ascii="Amiri" w:hAnsi="Amiri"/>
          <w:color w:val="111111"/>
          <w:sz w:val="28"/>
          <w:szCs w:val="28"/>
          <w:rtl w:val="true"/>
          <w:lang w:bidi="ar-SA"/>
        </w:rPr>
        <w:t>»</w:t>
      </w:r>
      <w:r>
        <w:rPr>
          <w:rStyle w:val="FootnoteAnchor"/>
          <w:rtl w:val="true"/>
        </w:rPr>
        <w:footnoteReference w:id="2975"/>
      </w:r>
      <w:r>
        <w:rPr>
          <w:rFonts w:ascii="Amiri" w:hAnsi="Amiri" w:eastAsia="Amiri" w:cs="Amiri"/>
          <w:color w:val="111111"/>
          <w:sz w:val="28"/>
          <w:sz w:val="28"/>
          <w:szCs w:val="28"/>
          <w:rtl w:val="true"/>
          <w:lang w:bidi="ar-SA"/>
        </w:rPr>
        <w:t>إلى آخر الحديث، وفيه مواضع من الدلالة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بالخمر جميع الأشربة التي تسكر</w:t>
      </w:r>
      <w:r>
        <w:rPr>
          <w:rFonts w:eastAsia="Amiri" w:cs="Amiri" w:ascii="Amiri" w:hAnsi="Amiri"/>
          <w:color w:val="111111"/>
          <w:sz w:val="28"/>
          <w:szCs w:val="28"/>
          <w:rtl w:val="true"/>
          <w:lang w:bidi="ar-SA"/>
        </w:rPr>
        <w:t>»</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العصير من الكرم، والنقيع من الزبيب، والبتع من العسل والمرز من الشعير، والنبيذ من التمر</w:t>
      </w:r>
      <w:r>
        <w:rPr>
          <w:rFonts w:eastAsia="IRNazanin" w:cs="IRNazanin"/>
          <w:color w:val="111111"/>
          <w:sz w:val="28"/>
          <w:szCs w:val="28"/>
          <w:rtl w:val="true"/>
          <w:lang w:bidi="fa-IR"/>
        </w:rPr>
        <w:t>»</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العنب خمراً، وإنّ من الزبيب خمراً، و إنّ من التمر خمراً، و إنّ من الشعير خمراً</w:t>
      </w:r>
      <w:r>
        <w:rPr>
          <w:rFonts w:eastAsia="IRNazanin" w:cs="IRNazanin"/>
          <w:color w:val="111111"/>
          <w:sz w:val="28"/>
          <w:szCs w:val="28"/>
          <w:rtl w:val="true"/>
          <w:lang w:bidi="fa-IR"/>
        </w:rPr>
        <w:t>»</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والزبيب، و الحنطة، والشعير، و العسل</w:t>
      </w:r>
      <w:r>
        <w:rPr>
          <w:rFonts w:eastAsia="Amiri" w:cs="Amiri" w:ascii="Amiri" w:hAnsi="Amiri"/>
          <w:color w:val="111111"/>
          <w:sz w:val="28"/>
          <w:szCs w:val="28"/>
          <w:rtl w:val="true"/>
          <w:lang w:bidi="ar-SA"/>
        </w:rPr>
        <w:t>»</w:t>
      </w:r>
      <w:r>
        <w:rPr>
          <w:rStyle w:val="FootnoteAnchor"/>
          <w:rtl w:val="true"/>
        </w:rPr>
        <w:footnoteReference w:id="2979"/>
      </w:r>
      <w:r>
        <w:rPr>
          <w:rFonts w:ascii="Amiri" w:hAnsi="Amiri" w:eastAsia="Amiri" w:cs="Amiri"/>
          <w:color w:val="111111"/>
          <w:sz w:val="28"/>
          <w:sz w:val="28"/>
          <w:szCs w:val="28"/>
          <w:rtl w:val="true"/>
          <w:lang w:bidi="ar-SA"/>
        </w:rPr>
        <w:t>وزاد في روايةٍ 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إبليس بعد وفاة آدم ذهب فبال في أصل الكرمة والنخلة، فجرى الماء في عودهما ببول عدوّ الله ، فمن ثَمَّ يختمر العنب والتمر، فحرّم الله على ذرّيّة آدم كلّ مسكر؛ لأنّ الماء جرى ببول عدوّ الله في النخلة والعنب وصار كلّ مختمر خمراً</w:t>
      </w:r>
      <w:r>
        <w:rPr>
          <w:rFonts w:eastAsia="Amiri" w:cs="Amiri" w:ascii="Amiri" w:hAnsi="Amiri"/>
          <w:color w:val="111111"/>
          <w:sz w:val="28"/>
          <w:szCs w:val="28"/>
          <w:rtl w:val="true"/>
          <w:lang w:bidi="ar-SA"/>
        </w:rPr>
        <w:t>»</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فالمفهوم من كلام جملة من أهل اللغة ومن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حقيقة في كلّ مسكر، فلا يعارضه ما نُقل عن جملةٍ أُخرى من اللغويّين</w:t>
      </w:r>
      <w:r>
        <w:rPr>
          <w:rStyle w:val="FootnoteAnchor"/>
          <w:rtl w:val="true"/>
        </w:rPr>
        <w:footnoteReference w:id="2982"/>
      </w:r>
      <w:r>
        <w:rPr>
          <w:rFonts w:ascii="Amiri" w:hAnsi="Amiri" w:eastAsia="Amiri" w:cs="Amiri"/>
          <w:color w:val="111111"/>
          <w:sz w:val="28"/>
          <w:sz w:val="28"/>
          <w:szCs w:val="28"/>
          <w:rtl w:val="true"/>
          <w:lang w:bidi="ar-SA"/>
        </w:rPr>
        <w:t>وما يظهر من بعض الأخبار من عطف المسكر عليها</w:t>
      </w:r>
      <w:r>
        <w:rPr>
          <w:rStyle w:val="FootnoteAnchor"/>
          <w:rtl w:val="true"/>
        </w:rPr>
        <w:footnoteReference w:id="2983"/>
      </w:r>
      <w:r>
        <w:rPr>
          <w:rFonts w:ascii="Amiri" w:hAnsi="Amiri" w:eastAsia="Amiri" w:cs="Amiri"/>
          <w:color w:val="111111"/>
          <w:sz w:val="28"/>
          <w:sz w:val="28"/>
          <w:szCs w:val="28"/>
          <w:rtl w:val="true"/>
          <w:lang w:bidi="ar-SA"/>
        </w:rPr>
        <w:t>أنّها هي المتّخذة من عصير العنب لا غير، كما ذهب إليه بعض الأصحاب</w:t>
      </w:r>
      <w:r>
        <w:rPr>
          <w:rStyle w:val="FootnoteAnchor"/>
          <w:rtl w:val="true"/>
        </w:rPr>
        <w:footnoteReference w:id="2984"/>
      </w:r>
      <w:r>
        <w:rPr>
          <w:rFonts w:ascii="Amiri" w:hAnsi="Amiri" w:eastAsia="Amiri" w:cs="Amiri"/>
          <w:color w:val="111111"/>
          <w:sz w:val="28"/>
          <w:sz w:val="28"/>
          <w:szCs w:val="28"/>
          <w:rtl w:val="true"/>
          <w:lang w:bidi="ar-SA"/>
        </w:rPr>
        <w:t>، وادعي أنّ العرف يساعده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فسّرها بكلّ مسكر مثبت، ومَنْ فسّرها بالأخصّ كالنافي، والمثبت مقدّم على النافي في نقله، ولا أقلّ من حصول التعارض، فيرجّح الوضع للعموم بما جاء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كونها حقيقةً في الأخصّ، ولكن لا نسلّم كونها مجازاً في غيره،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مشتركة بينهما لفظاً؛ جمعاً بين كلامهم، ولكنّه يراد في الأخبار عند إطلاق الخمر هو المعنى العامّ بقرينة الأخبار الأُخَر المبيّنة لإرادة كلّ مسكر من لفظها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مجاز،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مشهور ينصرف إليه إطلاق اللفظ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غير مشهور أو مشهور لا ينصرف إليه الإطلاق، لكن لا نسلم أنّه لم يصر حقيقة شرعيّة؛ لكثرة استعماله في الكتاب والسنّة في المعنى الأعمّ، ولا نعني بالحقيقة الشرعيّة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لم يصر حقيقة شرعيّة وأنّه باقٍ على مجازيّته، ولكن لا نسلّم أنّه لا يراد هذا المجاز من لفظ الخمر في الأخبار الدالّة على نجاستها، بل الظاهر إرادته بقرينة الأخبار الأُخَر وكلام الأصحاب</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عدم إرادة العموم من لفظ الخمر ، لكن لا نسلّم أنّ حكمه غير حكم الخمر من النجاسة؛ لإطلاق لفظ الخمر عليه في الأخبار قطعاً، فإمّا أن يراد بيان وضع لفظ الخمر له أو بيان مشابهته </w:t>
      </w:r>
      <w:bookmarkStart w:id="1309" w:name="pg18988_203691"/>
    </w:p>
    <w:p>
      <w:pPr>
        <w:pStyle w:val="BookText"/>
        <w:rPr/>
      </w:pPr>
      <w:bookmarkEnd w:id="1309"/>
      <w:r>
        <w:rPr>
          <w:rFonts w:ascii="Amiri" w:hAnsi="Amiri" w:eastAsia="Amiri" w:cs="Amiri"/>
          <w:color w:val="111111"/>
          <w:sz w:val="28"/>
          <w:sz w:val="28"/>
          <w:szCs w:val="28"/>
          <w:rtl w:val="true"/>
          <w:lang w:bidi="ar-SA"/>
        </w:rPr>
        <w:t>لها واستعارتها له، فعلى الأوّل لا إشكال في النجاسة، وعلى الثاني فالظاهر مساواة المشبه للمشبّه به و مساواة المستعار له والمستعار منه في جميع الأوصاف أو في الأوصاف الظاهرة، ولا شكّ أنّ النجاسة من الأوصاف الظاهرة المنصرف إليها إطلاق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المسكر الجامد بالأصالة فلا شكّ في طهارته؛ للأصل، وعدم انصراف أدلّة التحريم إليه، ولفتوى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ماع بالعرض، فالأحوط تجنّبه تخلّصاً من شبهة عموم الحكم له</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13198355_1280447820"/>
      <w:bookmarkStart w:id="1311" w:name="_Toc504"/>
      <w:bookmarkEnd w:id="1310"/>
      <w:r>
        <w:rPr>
          <w:rtl w:val="true"/>
        </w:rPr>
        <w:t>ثالث عشرها</w:t>
      </w:r>
      <w:r>
        <w:rPr>
          <w:rtl w:val="true"/>
        </w:rPr>
        <w:t xml:space="preserve">: </w:t>
      </w:r>
      <w:r>
        <w:rPr>
          <w:rtl w:val="true"/>
        </w:rPr>
        <w:t>الفقّاع</w:t>
      </w:r>
      <w:bookmarkEnd w:id="1311"/>
    </w:p>
    <w:p>
      <w:pPr>
        <w:pStyle w:val="BookText"/>
        <w:rPr/>
      </w:pPr>
      <w:r>
        <w:rPr>
          <w:rFonts w:ascii="Amiri" w:hAnsi="Amiri" w:eastAsia="Amiri" w:cs="Amiri"/>
          <w:color w:val="111111"/>
          <w:sz w:val="28"/>
          <w:sz w:val="28"/>
          <w:szCs w:val="28"/>
          <w:rtl w:val="true"/>
          <w:lang w:bidi="ar-SA"/>
        </w:rPr>
        <w:t>الفقّاع نجس؛ للإجماع، وفتوى الأصحاب، والأخبار الدالّة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w:t>
      </w:r>
      <w:r>
        <w:rPr>
          <w:rStyle w:val="FootnoteAnchor"/>
          <w:rtl w:val="true"/>
        </w:rPr>
        <w:footnoteReference w:id="2985"/>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ثانيةٍ</w:t>
      </w:r>
      <w:r>
        <w:rPr>
          <w:rStyle w:val="FootnoteAnchor"/>
          <w:rtl w:val="true"/>
        </w:rPr>
        <w:footnoteReference w:id="29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خمرة استصغرها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ثالثةٍ</w:t>
      </w:r>
      <w:r>
        <w:rPr>
          <w:rStyle w:val="FootnoteAnchor"/>
          <w:rtl w:val="true"/>
        </w:rPr>
        <w:footnoteReference w:id="2987"/>
      </w:r>
      <w:r>
        <w:rPr>
          <w:rFonts w:ascii="Amiri" w:hAnsi="Amiri" w:eastAsia="Amiri" w:cs="Amiri"/>
          <w:color w:val="111111"/>
          <w:sz w:val="28"/>
          <w:sz w:val="28"/>
          <w:szCs w:val="28"/>
          <w:rtl w:val="true"/>
          <w:lang w:bidi="ar-SA"/>
        </w:rPr>
        <w:t>، وهو الخمر وفيه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رابعةٍ</w:t>
      </w:r>
      <w:r>
        <w:rPr>
          <w:rStyle w:val="FootnoteAnchor"/>
          <w:rtl w:val="true"/>
        </w:rPr>
        <w:footnoteReference w:id="29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خامسةٍ</w:t>
      </w:r>
      <w:r>
        <w:rPr>
          <w:rStyle w:val="FootnoteAnchor"/>
          <w:rtl w:val="true"/>
        </w:rPr>
        <w:footnoteReference w:id="29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سادسةٍ</w:t>
      </w:r>
      <w:r>
        <w:rPr>
          <w:rStyle w:val="FootnoteAnchor"/>
          <w:rtl w:val="true"/>
        </w:rPr>
        <w:footnoteReference w:id="29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خمر مجهول وفيه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سابعةٍ</w:t>
      </w:r>
      <w:r>
        <w:rPr>
          <w:rStyle w:val="FootnoteAnchor"/>
          <w:rtl w:val="true"/>
        </w:rPr>
        <w:footnoteReference w:id="29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سلطاناً على أسواق المسلمين لرفعت عنهم هذه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ثامنةٍ</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 من غير طرقنا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هي الغبيراء التي نهى النبيّ عنها، وأنّ الغبيراء هي الاسكركة، وأنّ الاسكركة هي الخمر، وأنّ الفقّاع نبيذ الشعير، فإذا نشّ فهو خمر</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إنّه صدق عليها لفظ الخمر كانت إمّا خمراً حقيقةً أو مجازاً على وجه الاستعارة، وهو قاضٍ بعموم التشبيه، فيثبت له جميع أحكام المشبّه به أو أوصافه الظاهرة، ومن أظهر أوصاف الخمر النجاسة، فلا إشكال في الحكم</w:t>
      </w:r>
      <w:r>
        <w:rPr>
          <w:rFonts w:eastAsia="Amiri" w:cs="Amiri" w:ascii="Amiri" w:hAnsi="Amiri"/>
          <w:color w:val="111111"/>
          <w:sz w:val="28"/>
          <w:szCs w:val="28"/>
          <w:rtl w:val="true"/>
          <w:lang w:bidi="ar-SA"/>
        </w:rPr>
        <w:t xml:space="preserve">. </w:t>
      </w:r>
      <w:bookmarkStart w:id="1312" w:name="pg18988_203692"/>
    </w:p>
    <w:p>
      <w:pPr>
        <w:pStyle w:val="BookText"/>
        <w:rPr/>
      </w:pPr>
      <w:bookmarkEnd w:id="1312"/>
      <w:r>
        <w:rPr>
          <w:rFonts w:ascii="Amiri" w:hAnsi="Amiri" w:eastAsia="Amiri" w:cs="Amiri"/>
          <w:color w:val="111111"/>
          <w:sz w:val="28"/>
          <w:sz w:val="28"/>
          <w:szCs w:val="28"/>
          <w:rtl w:val="true"/>
          <w:lang w:bidi="ar-SA"/>
        </w:rPr>
        <w:t>إنّما الإشكال في أنّ الفقّاع هل يدور الحكم من التحريم والنجاسة عليه من حيث هو، أو إذا اتّصف بالإسكار؟ ظاهر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النشيش والغليان يكون مسكراً، و يستعمل للإسكار عند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يدور تحريمه مدار النشيش والغليان، أو يدور مدار نفس صدق الاسم، أو أنّ ما لم يكن فيه نشيش وغليان ليس بفقّاع؛ لأنّه مأخوذ في مفهومه أن يعلو على رأسه مثل الزبد، كما صرّح به بعضهم</w:t>
      </w:r>
      <w:r>
        <w:rPr>
          <w:rStyle w:val="FootnoteAnchor"/>
          <w:rtl w:val="true"/>
        </w:rPr>
        <w:footnoteReference w:id="2994"/>
      </w:r>
      <w:r>
        <w:rPr>
          <w:rFonts w:ascii="Amiri" w:hAnsi="Amiri" w:eastAsia="Amiri" w:cs="Amiri"/>
          <w:color w:val="111111"/>
          <w:sz w:val="28"/>
          <w:sz w:val="28"/>
          <w:szCs w:val="28"/>
          <w:rtl w:val="true"/>
          <w:lang w:bidi="ar-SA"/>
        </w:rPr>
        <w:t>؟ وجوه، أقواها الأوّل؛ لما ورد في الصحيح إلى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لأبي الحسن فقّاع في منزله،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يغلي</w:t>
      </w:r>
      <w:r>
        <w:rPr>
          <w:rStyle w:val="FootnoteAnchor"/>
          <w:rtl w:val="true"/>
        </w:rPr>
        <w:footnoteReference w:id="2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 الفقّاع إلّا ما لم يضرّ آنيته أو كان جديداً</w:t>
      </w:r>
      <w:r>
        <w:rPr>
          <w:rFonts w:eastAsia="Amiri" w:cs="Amiri" w:ascii="Amiri" w:hAnsi="Amiri"/>
          <w:color w:val="111111"/>
          <w:sz w:val="28"/>
          <w:szCs w:val="28"/>
          <w:rtl w:val="true"/>
          <w:lang w:bidi="ar-SA"/>
        </w:rPr>
        <w:t>»</w:t>
      </w:r>
      <w:r>
        <w:rPr>
          <w:rStyle w:val="FootnoteAnchor"/>
          <w:rtl w:val="true"/>
        </w:rPr>
        <w:footnoteReference w:id="2996"/>
      </w:r>
      <w:r>
        <w:rPr>
          <w:rFonts w:ascii="Amiri" w:hAnsi="Amiri" w:eastAsia="Amiri" w:cs="Amiri"/>
          <w:color w:val="111111"/>
          <w:sz w:val="28"/>
          <w:sz w:val="28"/>
          <w:szCs w:val="28"/>
          <w:rtl w:val="true"/>
          <w:lang w:bidi="ar-SA"/>
        </w:rPr>
        <w:t>و الظاهر أنّه لخوف نشيشه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إطلاق الفتوى والرواية يقضيان بحرمته مطلقاً، فعلى هذا يشكل ما يصنعه الأطبّاء من ماء الشعير،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عملاً آخَر به يُسمّى فُقّاعاً، ومع الشكّ فالأصل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إشكالٌ آخَر، وهو أنّه هل يختصّ بالمتّخذ من الشعير، أو أنّه لا يختصّ بذلك، بل يدور مدار الاسم كالمتّخذ من الحنطة وغيرها؟</w:t>
      </w:r>
    </w:p>
    <w:p>
      <w:pPr>
        <w:pStyle w:val="BookText"/>
        <w:rPr/>
      </w:pPr>
      <w:r>
        <w:rPr>
          <w:rFonts w:ascii="Amiri" w:hAnsi="Amiri" w:eastAsia="Amiri" w:cs="Amiri"/>
          <w:color w:val="111111"/>
          <w:sz w:val="28"/>
          <w:sz w:val="28"/>
          <w:szCs w:val="28"/>
          <w:rtl w:val="true"/>
          <w:lang w:bidi="ar-SA"/>
        </w:rPr>
        <w:t>ثمّ إذا جعلناه دائراً مدار الاسم فهل نحكم على ما يُسمّى اليوم فقّاعاً في الأسواق أنّه هو الفقّاع المحرّم؛ لأصالة عدم النقل، أو نجري الأصل فيما علمنا أنّه من الشعير أو ما لم نعلم حاله، و أمّا ما علمنا أنّه من غير الشعير فلم يثبت أنّه فقّاع، فالأصل الطهارة؟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3198357_1280447820"/>
      <w:bookmarkStart w:id="1314" w:name="_Toc505"/>
      <w:bookmarkEnd w:id="1313"/>
      <w:r>
        <w:rPr>
          <w:rtl w:val="true"/>
        </w:rPr>
        <w:t>رابع عشرها</w:t>
      </w:r>
      <w:r>
        <w:rPr>
          <w:rtl w:val="true"/>
        </w:rPr>
        <w:t xml:space="preserve">: </w:t>
      </w:r>
      <w:r>
        <w:rPr>
          <w:rtl w:val="true"/>
        </w:rPr>
        <w:t>عصیر العنب إذا غلی واشتدّ</w:t>
      </w:r>
      <w:bookmarkEnd w:id="1314"/>
    </w:p>
    <w:p>
      <w:pPr>
        <w:pStyle w:val="BookText"/>
        <w:rPr/>
      </w:pPr>
      <w:r>
        <w:rPr>
          <w:rFonts w:ascii="Amiri" w:hAnsi="Amiri" w:eastAsia="Amiri" w:cs="Amiri"/>
          <w:color w:val="111111"/>
          <w:sz w:val="28"/>
          <w:sz w:val="28"/>
          <w:szCs w:val="28"/>
          <w:rtl w:val="true"/>
          <w:lang w:bidi="ar-SA"/>
        </w:rPr>
        <w:t>عصير العنب نجس إذا غلى و اشتدّ، أي ثخن بعد غليانه وصار له قوام؛ لفتوى مشهور الأصحاب، وللإجماع المنقول</w:t>
      </w:r>
      <w:r>
        <w:rPr>
          <w:rStyle w:val="FootnoteAnchor"/>
          <w:rtl w:val="true"/>
        </w:rPr>
        <w:footnoteReference w:id="2997"/>
      </w:r>
      <w:r>
        <w:rPr>
          <w:rFonts w:ascii="Amiri" w:hAnsi="Amiri" w:eastAsia="Amiri" w:cs="Amiri"/>
          <w:color w:val="111111"/>
          <w:sz w:val="28"/>
          <w:sz w:val="28"/>
          <w:szCs w:val="28"/>
          <w:rtl w:val="true"/>
          <w:lang w:bidi="ar-SA"/>
        </w:rPr>
        <w:t>في الباب، ولملازمته الإسكار عند الاشتداد غالباً على الظاهر فيدخل في المسكر؛ لأنّ المراد بالمسكر المنشأيّة للإسكار وإن لم يكن مسكراً في جميع الأطوار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من أهل المعرفة يأتيني بالبختج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طبخ على الثلث، وأنا أعرف أنّه يشربه على النصف؟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r>
        <w:rPr>
          <w:rStyle w:val="FootnoteAnchor"/>
          <w:rtl w:val="true"/>
        </w:rPr>
        <w:footnoteReference w:id="2998"/>
      </w:r>
      <w:r>
        <w:rPr>
          <w:rFonts w:ascii="Amiri" w:hAnsi="Amiri" w:eastAsia="Amiri" w:cs="Amiri"/>
          <w:color w:val="111111"/>
          <w:sz w:val="28"/>
          <w:sz w:val="28"/>
          <w:szCs w:val="28"/>
          <w:rtl w:val="true"/>
          <w:lang w:bidi="ar-SA"/>
        </w:rPr>
        <w:t>والبختج هو عصير العنب المطبوخ على ما حكي</w:t>
      </w:r>
      <w:r>
        <w:rPr>
          <w:rStyle w:val="FootnoteAnchor"/>
          <w:rtl w:val="true"/>
        </w:rPr>
        <w:footnoteReference w:id="2999"/>
      </w:r>
      <w:r>
        <w:rPr>
          <w:rFonts w:ascii="Amiri" w:hAnsi="Amiri" w:eastAsia="Amiri" w:cs="Amiri"/>
          <w:color w:val="111111"/>
          <w:sz w:val="28"/>
          <w:sz w:val="28"/>
          <w:szCs w:val="28"/>
          <w:rtl w:val="true"/>
          <w:lang w:bidi="ar-SA"/>
        </w:rPr>
        <w:t>، فإطلاق الخمر عليه يقضي بثبوت أحكامها له مطلقاً أو الظاهرة فقط، ومن الظاهرة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نقصان لفظ الخمر من الرواية في نسخة الكافي</w:t>
      </w:r>
      <w:r>
        <w:rPr>
          <w:rStyle w:val="FootnoteAnchor"/>
          <w:rtl w:val="true"/>
        </w:rPr>
        <w:footnoteReference w:id="3000"/>
      </w:r>
      <w:r>
        <w:rPr>
          <w:rFonts w:ascii="Amiri" w:hAnsi="Amiri" w:eastAsia="Amiri" w:cs="Amiri"/>
          <w:color w:val="111111"/>
          <w:sz w:val="28"/>
          <w:sz w:val="28"/>
          <w:szCs w:val="28"/>
          <w:rtl w:val="true"/>
          <w:lang w:bidi="ar-SA"/>
        </w:rPr>
        <w:t>لترجيح المثبت على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ذهب منه اثنان وبقي واحد فهو حلال، وما كان دون ذلك فليس فيه خير</w:t>
      </w:r>
      <w:r>
        <w:rPr>
          <w:rFonts w:eastAsia="Amiri" w:cs="Amiri" w:ascii="Amiri" w:hAnsi="Amiri"/>
          <w:color w:val="111111"/>
          <w:sz w:val="28"/>
          <w:szCs w:val="28"/>
          <w:rtl w:val="true"/>
          <w:lang w:bidi="ar-SA"/>
        </w:rPr>
        <w:t>»</w:t>
      </w:r>
      <w:r>
        <w:rPr>
          <w:rStyle w:val="FootnoteAnchor"/>
          <w:rtl w:val="true"/>
        </w:rPr>
        <w:footnoteReference w:id="3001"/>
      </w:r>
      <w:r>
        <w:rPr>
          <w:rFonts w:ascii="Amiri" w:hAnsi="Amiri" w:eastAsia="Amiri" w:cs="Amiri"/>
          <w:color w:val="111111"/>
          <w:sz w:val="28"/>
          <w:sz w:val="28"/>
          <w:szCs w:val="28"/>
          <w:rtl w:val="true"/>
          <w:lang w:bidi="ar-SA"/>
        </w:rPr>
        <w:t>، والطلا هو المطبوخ من عصير العنب على ما حكي</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للأخبار الدالّة على أنّ الخمر من خمسة، وعدّ منها العصير من العنب</w:t>
      </w:r>
      <w:r>
        <w:rPr>
          <w:rStyle w:val="FootnoteAnchor"/>
          <w:rtl w:val="true"/>
        </w:rPr>
        <w:footnoteReference w:id="3003"/>
      </w:r>
      <w:r>
        <w:rPr>
          <w:rFonts w:ascii="Amiri" w:hAnsi="Amiri" w:eastAsia="Amiri" w:cs="Amiri"/>
          <w:color w:val="111111"/>
          <w:sz w:val="28"/>
          <w:sz w:val="28"/>
          <w:szCs w:val="28"/>
          <w:rtl w:val="true"/>
          <w:lang w:bidi="ar-SA"/>
        </w:rPr>
        <w:t>، خرج ما قبل غليانه واشتداده فيبقى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يناقش في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الظنّ بعدم تحقّقه، لإنكار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بنجاسة العصير غير المسكر عن غير ابن حمزة والمحقّق</w:t>
      </w:r>
      <w:r>
        <w:rPr>
          <w:rStyle w:val="FootnoteAnchor"/>
          <w:rtl w:val="true"/>
        </w:rPr>
        <w:footnoteReference w:id="3004"/>
      </w:r>
      <w:r>
        <w:rPr>
          <w:rFonts w:ascii="Amiri" w:hAnsi="Amiri" w:eastAsia="Amiri" w:cs="Amiri"/>
          <w:color w:val="111111"/>
          <w:sz w:val="28"/>
          <w:sz w:val="28"/>
          <w:szCs w:val="28"/>
          <w:rtl w:val="true"/>
          <w:lang w:bidi="ar-SA"/>
        </w:rPr>
        <w:t>، وفي الخبر</w:t>
      </w:r>
      <w:r>
        <w:rPr>
          <w:rStyle w:val="FootnoteAnchor"/>
          <w:rtl w:val="true"/>
        </w:rPr>
        <w:footnoteReference w:id="3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الظنّ بما في نسخة التهذيب مع عدم وجودها في الكافي الذي هو أضبط، على أنّ التشبيه يكفي فيه أظهر الأفراد الذي هو الحرمة ، وفي الخبر</w:t>
      </w:r>
      <w:r>
        <w:rPr>
          <w:rStyle w:val="FootnoteAnchor"/>
          <w:rtl w:val="true"/>
        </w:rPr>
        <w:footnoteReference w:id="3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الدلالة؛ لأنّه مع حرمته لا خير فيه، وفي الأخبار الدالّة على أنّ 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حالة الإسكار والتخمير كما هو المفهوم من لفظ الخمر، لا مطلقاً كما هو الحال في بقيّة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النقيع، والبتع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العصير جملة مبتدأة،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من الخمس فلا دليل فيها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هذه المناقشة فالأقوى الحكم بالنجاسة، لأنّ التخطّي عمّا نُسب</w:t>
      </w:r>
      <w:r>
        <w:rPr>
          <w:rStyle w:val="FootnoteAnchor"/>
          <w:rtl w:val="true"/>
        </w:rPr>
        <w:footnoteReference w:id="3007"/>
      </w:r>
      <w:r>
        <w:rPr>
          <w:rFonts w:ascii="Amiri" w:hAnsi="Amiri" w:eastAsia="Amiri" w:cs="Amiri"/>
          <w:color w:val="111111"/>
          <w:sz w:val="28"/>
          <w:sz w:val="28"/>
          <w:szCs w:val="28"/>
          <w:rtl w:val="true"/>
          <w:lang w:bidi="ar-SA"/>
        </w:rPr>
        <w:t>للمشهور وأشعرت به الروايات و نُقل عليه الإجماع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الغليان والاشتداد وأمّا لو غلى ولم يشتدّ و قلنا بعدم التلازم بين الغليان والاشتداد كما تخيّله بعضهم</w:t>
      </w:r>
      <w:r>
        <w:rPr>
          <w:rStyle w:val="FootnoteAnchor"/>
          <w:rtl w:val="true"/>
        </w:rPr>
        <w:footnoteReference w:id="3008"/>
      </w:r>
      <w:r>
        <w:rPr>
          <w:rFonts w:ascii="Amiri" w:hAnsi="Amiri" w:eastAsia="Amiri" w:cs="Amiri"/>
          <w:color w:val="111111"/>
          <w:sz w:val="28"/>
          <w:sz w:val="28"/>
          <w:szCs w:val="28"/>
          <w:rtl w:val="true"/>
          <w:lang w:bidi="ar-SA"/>
        </w:rPr>
        <w:t>، فالظاهر بقاؤه على الطهارة؛ لعدم دليلٍ يُركن إليه على نجاسته، بل الظاهر من لفظ الطلا والبختج هو ما كان له نوع اشتداد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طهارة ما عدا العصير العنبي من الحٍصْرمي و الزبيبي و التمري ونحو ذلك؛ للأصل، وعدم المخرج عنه من فتوى أو رواية، مضافاً إلى أنّه يظهر من بعضهم</w:t>
      </w:r>
      <w:r>
        <w:rPr>
          <w:rStyle w:val="FootnoteAnchor"/>
          <w:rtl w:val="true"/>
        </w:rPr>
        <w:footnoteReference w:id="3009"/>
      </w:r>
      <w:r>
        <w:rPr>
          <w:rFonts w:ascii="IRNazanin" w:hAnsi="IRNazanin" w:eastAsia="IRNazanin"/>
          <w:color w:val="111111"/>
          <w:sz w:val="28"/>
          <w:sz w:val="28"/>
          <w:szCs w:val="28"/>
          <w:rtl w:val="true"/>
          <w:lang w:bidi="fa-IR"/>
        </w:rPr>
        <w:t xml:space="preserve">الإجماع على طهارة ما عدا العنبي وسيّما التمري، وفي الخبر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التمر المطبوخ في الماء؟ فأجابهم بأنّه يسكر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أنّ العصير الزبيبي بل التمري نجس؛ لما ورد من بول إبليس في شجرتهما</w:t>
      </w:r>
      <w:r>
        <w:rPr>
          <w:rStyle w:val="FootnoteAnchor"/>
          <w:rtl w:val="true"/>
        </w:rPr>
        <w:footnoteReference w:id="3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باطلة؛ لأنّ ذلك البول ليس بنجس، بل هو من المعاني الخفيّة، ولأنّ البول إنّما يظهر أثره بعد التخمير كما دلّت عليه الروايات</w:t>
      </w:r>
      <w:r>
        <w:rPr>
          <w:rStyle w:val="FootnoteAnchor"/>
          <w:rtl w:val="true"/>
        </w:rPr>
        <w:footnoteReference w:id="3012"/>
      </w:r>
      <w:r>
        <w:rPr>
          <w:rFonts w:ascii="Amiri" w:hAnsi="Amiri" w:eastAsia="Amiri" w:cs="Amiri"/>
          <w:color w:val="111111"/>
          <w:sz w:val="28"/>
          <w:sz w:val="28"/>
          <w:szCs w:val="28"/>
          <w:rtl w:val="true"/>
          <w:lang w:bidi="ar-SA"/>
        </w:rPr>
        <w:t>، ولأنّ البول استحال إلى الطاهر، فالأصل الطهارة حتّى يقوم شاهد على النجاسة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بالعصير العنبي المحرّم شربه إجماعاً والمحكوم بنجاسته على الأقوى هو ما يُسمّى عصيراً عرفاً، وهو الماء المستخرج من العنب بعصرٍ أو دقٍّ أو غمزٍ أو تنقيلٍ، أو بتنقيعٍ له بعد يبسه فيستخرج ماؤه، أو بوضعه على نار فيخرج منه، والعصير وإن كان هو المعصور لغةً </w:t>
      </w:r>
      <w:r>
        <w:rPr>
          <w:rStyle w:val="FootnoteAnchor"/>
          <w:rtl w:val="true"/>
        </w:rPr>
        <w:footnoteReference w:id="3013"/>
      </w:r>
      <w:r>
        <w:rPr>
          <w:rFonts w:ascii="Amiri" w:hAnsi="Amiri" w:eastAsia="Amiri" w:cs="Amiri"/>
          <w:color w:val="111111"/>
          <w:sz w:val="28"/>
          <w:sz w:val="28"/>
          <w:szCs w:val="28"/>
          <w:rtl w:val="true"/>
          <w:lang w:bidi="ar-SA"/>
        </w:rPr>
        <w:t xml:space="preserve">إلّا أنّ الباقي يشاركه في الاسم عرفاً أو في الحكم قطعاً من غير عثور على خلافٍ فيه، فعلى ذلك لا يُحكم بنجاسة الماء الملقى فيه بعض حبّات لم تخرج اسم الماء عن إطلاقه وإن غلى الماء واشتدّ، ولا بماء أُلقيت فيه حبّات أحالته خلّاً قبل صدق العصير عليه لقلّة ممازجة ماء العنب للماء، ولا بمائعٍ آخَر من دبس أو دهن أُلقي فيه عنب يابس فغلى من دون غليان مائه أو ماء مطلق قد مازجه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بعض الصور لا ينبغي أن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بالغليان أن يصير أعلاه أسفله وبالعكس، والنشيش أن يصير أسفله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مقارب للغليان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كونه يغلي لنفسه أو بنار أو بشمس أو غير ذلك</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يختصّ الغليان حرمةً و نجاسةً بما استُخرج من العنب ولو بممازجة الماء المطلق، فلا يسري إلى العنب نفسه لو غلى ماؤه الذي هو فيه من دون خروج أجزاء من مائه إلى خارجٍ</w:t>
      </w:r>
      <w:r>
        <w:rPr>
          <w:rFonts w:eastAsia="Amiri" w:cs="Amiri" w:ascii="Amiri" w:hAnsi="Amiri"/>
          <w:color w:val="111111"/>
          <w:sz w:val="28"/>
          <w:szCs w:val="28"/>
          <w:rtl w:val="true"/>
          <w:lang w:bidi="ar-SA"/>
        </w:rPr>
        <w:t xml:space="preserve">. </w:t>
      </w:r>
      <w:bookmarkStart w:id="1315" w:name="pg18988_203696"/>
    </w:p>
    <w:p>
      <w:pPr>
        <w:pStyle w:val="Heading3"/>
        <w:numPr>
          <w:ilvl w:val="2"/>
          <w:numId w:val="1"/>
        </w:numPr>
        <w:rPr/>
      </w:pPr>
      <w:bookmarkStart w:id="1316" w:name="__RefHeading___Toc13198359_1280447820"/>
      <w:bookmarkStart w:id="1317" w:name="_Toc506"/>
      <w:bookmarkEnd w:id="1315"/>
      <w:bookmarkEnd w:id="1316"/>
      <w:r>
        <w:rPr>
          <w:rtl w:val="true"/>
        </w:rPr>
        <w:t xml:space="preserve">القول في المطهرات </w:t>
      </w:r>
      <w:r>
        <w:rPr>
          <w:rtl w:val="true"/>
        </w:rPr>
        <w:t>:</w:t>
      </w:r>
      <w:r>
        <w:rPr>
          <w:rtl w:val="true"/>
        </w:rPr>
        <w:t>وهی أنواع</w:t>
      </w:r>
      <w:bookmarkEnd w:id="1317"/>
    </w:p>
    <w:p>
      <w:pPr>
        <w:pStyle w:val="Heading4"/>
        <w:numPr>
          <w:ilvl w:val="3"/>
          <w:numId w:val="1"/>
        </w:numPr>
        <w:rPr/>
      </w:pPr>
      <w:bookmarkStart w:id="1318" w:name="__RefHeading___Toc13198361_1280447820"/>
      <w:bookmarkStart w:id="1319" w:name="_Toc507"/>
      <w:bookmarkEnd w:id="1318"/>
      <w:r>
        <w:rPr>
          <w:rtl w:val="true"/>
        </w:rPr>
        <w:t>أحدها</w:t>
      </w:r>
      <w:r>
        <w:rPr>
          <w:rtl w:val="true"/>
        </w:rPr>
        <w:t xml:space="preserve">: </w:t>
      </w:r>
      <w:r>
        <w:rPr>
          <w:rtl w:val="true"/>
        </w:rPr>
        <w:t>الماء المطلق</w:t>
      </w:r>
      <w:bookmarkEnd w:id="1319"/>
    </w:p>
    <w:p>
      <w:pPr>
        <w:pStyle w:val="BookText"/>
        <w:rPr/>
      </w:pPr>
      <w:r>
        <w:rPr>
          <w:rFonts w:ascii="Amiri" w:hAnsi="Amiri" w:eastAsia="Amiri" w:cs="Amiri"/>
          <w:color w:val="111111"/>
          <w:sz w:val="28"/>
          <w:sz w:val="28"/>
          <w:szCs w:val="28"/>
          <w:rtl w:val="true"/>
          <w:lang w:bidi="ar-SA"/>
        </w:rPr>
        <w:t>الماء المطلق العاري عن ممازجة ما يسلبه الإطلاق عرفاً، وهو رأس المطهّرات و أكملها، و به امتنّ الله تعالى على عباده، ولكنّ المتيقّن من دليل التطهير به هو كونه مطهّراً في الجملة، فهو بالنسبة إلى المطهّر وإلى كيفيّة التطهير مجمل، لا عامّ حتّى يستدلّ به على جواز التطهّر لكلّ شيء بكلّ حال على أيّ نحوٍ، بل يحتاج في مقام الشكّ إلى بيان، إلى بيان، وسيجيء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التطهير بغير الماء المطلق من المياه المضافة والمائعات؛ لاستصحاب النجاسة، إلّا مع يقين المزيل، ولفتوى الأصحاب إلّ ممن لا يعتد به، ولسيرة المسلمين وعملهم، ولاختصاص الأخبار بالماء المطلق</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3198363_1280447820"/>
      <w:bookmarkStart w:id="1321" w:name="_Toc508"/>
      <w:bookmarkEnd w:id="1320"/>
      <w:r>
        <w:rPr>
          <w:rtl w:val="true"/>
        </w:rPr>
        <w:t>ثانيها</w:t>
      </w:r>
      <w:r>
        <w:rPr>
          <w:rtl w:val="true"/>
        </w:rPr>
        <w:t xml:space="preserve">: </w:t>
      </w:r>
      <w:r>
        <w:rPr>
          <w:rtl w:val="true"/>
        </w:rPr>
        <w:t>الشمس</w:t>
      </w:r>
      <w:bookmarkEnd w:id="1321"/>
    </w:p>
    <w:p>
      <w:pPr>
        <w:pStyle w:val="BookText"/>
        <w:rPr/>
      </w:pPr>
      <w:r>
        <w:rPr>
          <w:rFonts w:ascii="Amiri" w:hAnsi="Amiri" w:eastAsia="Amiri" w:cs="Amiri"/>
          <w:color w:val="111111"/>
          <w:sz w:val="28"/>
          <w:sz w:val="28"/>
          <w:szCs w:val="28"/>
          <w:rtl w:val="true"/>
          <w:lang w:bidi="ar-SA"/>
        </w:rPr>
        <w:t>الشمس مطهِّرة في الجملة للنجاسة الخالية عن الجرم المانع عن ذهاب حكمها بإشراق عينها عليها وتجفيفها بها؛ للإجماع المنقول</w:t>
      </w:r>
      <w:r>
        <w:rPr>
          <w:rStyle w:val="FootnoteAnchor"/>
          <w:rtl w:val="true"/>
        </w:rPr>
        <w:footnoteReference w:id="3014"/>
      </w:r>
      <w:r>
        <w:rPr>
          <w:rFonts w:ascii="Amiri" w:hAnsi="Amiri" w:eastAsia="Amiri" w:cs="Amiri"/>
          <w:color w:val="111111"/>
          <w:sz w:val="28"/>
          <w:sz w:val="28"/>
          <w:szCs w:val="28"/>
          <w:rtl w:val="true"/>
          <w:lang w:bidi="ar-SA"/>
        </w:rPr>
        <w:t>، وفتوى الفحول، و الشهرة المحصّلة، ولزوم العسر والحرج لولاه، بل ربما يدّعى أنّ سيرة المسلمين عليه، وللخبر المنجبر بما ذُكر،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أو في المكان الذي يُصلّى فيه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جفّفته الشمس فصلِّ عليه، فهو طاهر</w:t>
      </w:r>
      <w:r>
        <w:rPr>
          <w:rFonts w:eastAsia="Amiri" w:cs="Amiri" w:ascii="Amiri" w:hAnsi="Amiri"/>
          <w:color w:val="111111"/>
          <w:sz w:val="28"/>
          <w:szCs w:val="28"/>
          <w:rtl w:val="true"/>
          <w:lang w:bidi="ar-SA"/>
        </w:rPr>
        <w:t>»</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الشرعي المنصرف إليه الإطلاق دون المعنى اللغوي، كما قد يتخيّل، واختصاصها بالبول يدفعه عدم القول بالفصل وتنقيح المناط، وكذا خصوص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يصيبه البول، أيصلّى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تصيبه الشمس و الريح وكان جافّاً فلا بأس</w:t>
      </w:r>
      <w:r>
        <w:rPr>
          <w:rFonts w:eastAsia="Amiri" w:cs="Amiri" w:ascii="Amiri" w:hAnsi="Amiri"/>
          <w:color w:val="111111"/>
          <w:sz w:val="28"/>
          <w:szCs w:val="28"/>
          <w:rtl w:val="true"/>
          <w:lang w:bidi="ar-SA"/>
        </w:rPr>
        <w:t>»</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ملازمة الصلاة للسجود في زمن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وللموثّق الناهي عن الصلاة في الموضع القذر الذي لا تصيبه الشمس وقد يبس حتّى يغسله،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هل تطهّر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الموضع قذراً من البول أو غير ذلك فأصابته الشمس ثمّ يبس الموضع ، فالصلاة على الموضع جائزة</w:t>
      </w:r>
      <w:r>
        <w:rPr>
          <w:rFonts w:eastAsia="Amiri" w:cs="Amiri" w:ascii="Amiri" w:hAnsi="Amiri"/>
          <w:color w:val="111111"/>
          <w:sz w:val="28"/>
          <w:szCs w:val="28"/>
          <w:rtl w:val="true"/>
          <w:lang w:bidi="ar-SA"/>
        </w:rPr>
        <w:t>»</w:t>
      </w:r>
      <w:r>
        <w:rPr>
          <w:rStyle w:val="FootnoteAnchor"/>
          <w:rtl w:val="true"/>
        </w:rPr>
        <w:footnoteReference w:id="3018"/>
      </w:r>
      <w:r>
        <w:rPr>
          <w:rFonts w:ascii="Amiri" w:hAnsi="Amiri" w:eastAsia="Amiri" w:cs="Amiri"/>
          <w:color w:val="111111"/>
          <w:sz w:val="28"/>
          <w:sz w:val="28"/>
          <w:szCs w:val="28"/>
          <w:rtl w:val="true"/>
          <w:lang w:bidi="ar-SA"/>
        </w:rPr>
        <w:t>فإنّ الحكم بعدم جواز الصلاة أوّلاً إلى حال الغسل والسؤال عن الطهارة ثانياً، والجواب بجواز الصلاة ظاهرٌ في إرادة الطهارة، دون مجرّد جواز الصلاة عفواً وإن كان المحلّ نجساً، أو أنّ السجود على غير تلك الأرض؛ لأنّ الظاهر من الصلاة عليها هو السجود عليها كما هو المعلوم أيّام الصدور، بل يكفي في الاستدلال على الطهارة جواز الصلاة الظاهر في جواز السجود المتفّق على اشتراط طهارة محلّه، و إطلاق جواز الصلاة من دون تفصيلٍ بين مماسّته برطوبةٍ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العدول في الجواب عن سؤال الطهارة إلى جواز الصلاة ممّا يؤذن ببقاء النجاسة، وجواز الصلاة عفواً، غير مسموعة؛ لبُعْدها عن المطابقة للسؤال، ولأنّ المفهوم عرفاً من هذا الجواب أنّه جواب باللازم لإفادة السائل الملزوم، لا أنّه عدول إلى جواب آخَر</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الاستدلال بهذه الرواية ما في ذيلها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الموضع قذراً وأصابته الشمس ولم ييبس فلا تجوز الصلاة فيه، وإن كانت رجلك رطبة أو جبهتك أو غير ذلك منك ما يصيب ذلك الموضع القذر فلا تصلّ عليه وإن كان عين</w:t>
      </w:r>
      <w:r>
        <w:rPr>
          <w:rStyle w:val="FootnoteAnchor"/>
          <w:rtl w:val="true"/>
        </w:rPr>
        <w:footnoteReference w:id="3019"/>
      </w:r>
      <w:r>
        <w:rPr>
          <w:rFonts w:ascii="Amiri" w:hAnsi="Amiri" w:eastAsia="Amiri" w:cs="Amiri"/>
          <w:color w:val="111111"/>
          <w:sz w:val="28"/>
          <w:sz w:val="28"/>
          <w:szCs w:val="28"/>
          <w:rtl w:val="true"/>
          <w:lang w:bidi="ar-SA"/>
        </w:rPr>
        <w:t xml:space="preserve">الشمس أصابته حتّى ييبس فإنّه </w:t>
      </w:r>
    </w:p>
    <w:p>
      <w:pPr>
        <w:pStyle w:val="BookText"/>
        <w:rPr/>
      </w:pP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3020"/>
      </w:r>
      <w:r>
        <w:rPr>
          <w:rFonts w:ascii="Amiri" w:hAnsi="Amiri" w:eastAsia="Amiri" w:cs="Amiri"/>
          <w:color w:val="111111"/>
          <w:sz w:val="28"/>
          <w:sz w:val="28"/>
          <w:szCs w:val="28"/>
          <w:rtl w:val="true"/>
          <w:lang w:bidi="ar-SA"/>
        </w:rPr>
        <w:t xml:space="preserve">لرجوع الإشارة بذلك إلى الموضع القذر الغير اليابس؛ لجواز أنّه غير يابس ولكن لا تتعدّى منه النجاسة، ولكن إذا كانت الجبهة رطبة تعدّت، ولسقوط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عين الشمس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في آخر أبواب الزيادات من التهذيب</w:t>
      </w:r>
      <w:r>
        <w:rPr>
          <w:rStyle w:val="FootnoteAnchor"/>
          <w:rtl w:val="true"/>
        </w:rPr>
        <w:footnoteReference w:id="3021"/>
      </w:r>
      <w:r>
        <w:rPr>
          <w:rFonts w:ascii="Amiri" w:hAnsi="Amiri" w:eastAsia="Amiri" w:cs="Amiri"/>
          <w:color w:val="111111"/>
          <w:sz w:val="28"/>
          <w:sz w:val="28"/>
          <w:szCs w:val="28"/>
          <w:rtl w:val="true"/>
          <w:lang w:bidi="ar-SA"/>
        </w:rPr>
        <w:t xml:space="preserve">، ولتذكير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الظنّ بصحّته، ولتبديل العين بالغير المعجمة العين المهملة الراء في نسخ أُخرى، فلا يصلح أن يكون ذيلها مع ذلك معارضاً لصدرها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هذه الأخبار والإجماعات المحكيّة والشهرة تطهير الشمس بعينها، لا بحرارتها، وأن تكون مستقلّةً، لا منضمّةً إلى ريح أو شبهه، بحيث يستند التجفيف إلى المجموع، وأن تجفّف الرطوبة عرفاً بحيث تذهب عين النجاسة وإن لم تصر يابسةً أصلاً و رأساً، و أن يكون النجس أرضاً من بناء أو غيره، وأن يكون متواصلاً في الأرض والبناء، أو مفصولاً من القطع الكبار التي لا يمكن نقلها وغسلها، وأن يكون مع عدم وجود أجزاء عينيّة من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كون النجس بولاً دون غيره فهو ملغى قطعاً؛ خلافاً للمنقول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اجتماع هذه الأمور لا إشكال في الحكم، إنّما الإشكال في غير الأرض من المثبت فيها من الأخشاب والأبواب أو النابت فيها كالأشجار والنخل والثمرة، أو المفروش عليها من الحصر والبواري مع عسر نقلها عادة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بالتطهير أيضاً؛ لعموم أدلّة نفي العسر والحرج</w:t>
      </w:r>
      <w:r>
        <w:rPr>
          <w:rStyle w:val="FootnoteAnchor"/>
          <w:rtl w:val="true"/>
        </w:rPr>
        <w:footnoteReference w:id="3023"/>
      </w:r>
      <w:r>
        <w:rPr>
          <w:rFonts w:ascii="Amiri" w:hAnsi="Amiri" w:eastAsia="Amiri" w:cs="Amiri"/>
          <w:color w:val="111111"/>
          <w:sz w:val="28"/>
          <w:sz w:val="28"/>
          <w:szCs w:val="28"/>
          <w:rtl w:val="true"/>
          <w:lang w:bidi="ar-SA"/>
        </w:rPr>
        <w:t>، ولملازمة الأرض غالباً لما يثبت فيها من الأشياء الخارجة عنها مع ترك الاستفصال، وللشهرة المحكيّة</w:t>
      </w:r>
      <w:r>
        <w:rPr>
          <w:rStyle w:val="FootnoteAnchor"/>
          <w:rtl w:val="true"/>
        </w:rPr>
        <w:footnoteReference w:id="3024"/>
      </w:r>
      <w:r>
        <w:rPr>
          <w:rFonts w:ascii="Amiri" w:hAnsi="Amiri" w:eastAsia="Amiri" w:cs="Amiri"/>
          <w:color w:val="111111"/>
          <w:sz w:val="28"/>
          <w:sz w:val="28"/>
          <w:szCs w:val="28"/>
          <w:rtl w:val="true"/>
          <w:lang w:bidi="ar-SA"/>
        </w:rPr>
        <w:t>، بل المحصّلة سيّما من المتأخّرين، وللإجماع المنقول على الحصر والبواري المتنجّسة بالبول</w:t>
      </w:r>
      <w:r>
        <w:rPr>
          <w:rStyle w:val="FootnoteAnchor"/>
          <w:rtl w:val="true"/>
        </w:rPr>
        <w:footnoteReference w:id="3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3026"/>
      </w:r>
      <w:r>
        <w:rPr>
          <w:rFonts w:ascii="Amiri" w:hAnsi="Amiri" w:eastAsia="Amiri" w:cs="Amiri"/>
          <w:color w:val="111111"/>
          <w:sz w:val="28"/>
          <w:sz w:val="28"/>
          <w:szCs w:val="28"/>
          <w:rtl w:val="true"/>
          <w:lang w:bidi="ar-SA"/>
        </w:rPr>
        <w:t>المنجبر بما ذكرنا، كالرضوي فيما عدا الثياب</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وكون الخارج أكثر من الداخل لا يقدح في الحجّيّة بعد انجباره بما تقدّم، سيّما وأنّ الظاهر ممّا أشرقت عليه ما كان معدّاً للإشراق كالأرض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وللصحاح النافية للبأس عن الصلاة على البواري يصيبها البول أو يبلّ قصبها بماء قذر إذا جفّت من غير أن تغسل</w:t>
      </w:r>
      <w:r>
        <w:rPr>
          <w:rStyle w:val="FootnoteAnchor"/>
          <w:rtl w:val="true"/>
        </w:rPr>
        <w:footnoteReference w:id="3028"/>
      </w:r>
      <w:r>
        <w:rPr>
          <w:rFonts w:ascii="Amiri" w:hAnsi="Amiri" w:eastAsia="Amiri" w:cs="Amiri"/>
          <w:color w:val="111111"/>
          <w:sz w:val="28"/>
          <w:sz w:val="28"/>
          <w:szCs w:val="28"/>
          <w:rtl w:val="true"/>
          <w:lang w:bidi="ar-SA"/>
        </w:rPr>
        <w:t>، وظاهرها الطهارة؛ لظهور نفي البأس عن الصلاة في نفيه عن السجود؛ لتلازمهما في الزمن الأوّل غالباً، ولترك التفصيل فيها بين كون المباشر رطباً أو لا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السؤال كان لاحتمال اشتراط طهارة مكان المصلّي في غير موضع الجبهة فيكون الجواب على طبقه، بعيدٌ بالنسبة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من هذه الأخبار الجفاف بغير الشمس؛ لشذوذ القول به وضعفه ومتروكيّته، ويبقى حكم الجفاف بالشمس داخلاً فيها، على أنّ هذه كالمطلق، وما دلّ على تطهير الشمس بالجفاف كالمقيّد، فيُحمل ما كان كالمطلق على ما كان كالمقيّد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عموم الحكم للحُصر والبواري والمثبت في الأرض قوله في الصحيح المتقدّم</w:t>
      </w:r>
      <w:r>
        <w:rPr>
          <w:rStyle w:val="FootnoteAnchor"/>
          <w:rtl w:val="true"/>
        </w:rPr>
        <w:footnoteReference w:id="3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المكان الذي يصلّى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استدلّ بعضهم</w:t>
      </w:r>
      <w:r>
        <w:rPr>
          <w:rStyle w:val="FootnoteAnchor"/>
          <w:rtl w:val="true"/>
        </w:rPr>
        <w:footnoteReference w:id="3030"/>
      </w:r>
      <w:r>
        <w:rPr>
          <w:rFonts w:ascii="Amiri" w:hAnsi="Amiri" w:eastAsia="Amiri" w:cs="Amiri"/>
          <w:color w:val="111111"/>
          <w:sz w:val="28"/>
          <w:sz w:val="28"/>
          <w:szCs w:val="28"/>
          <w:rtl w:val="true"/>
          <w:lang w:bidi="ar-SA"/>
        </w:rPr>
        <w:t xml:space="preserve">على طهارة ما جفّفته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ما انعقد الإجماع على بقاء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الطهارة عند الشكّ ببقاء النجاسة وعدمها إمّا لعدم حجّيّة الاستصحاب؛ أو لحجّيّته في نفسه، ولكن لمعارضته باستصحاب طهارة الملاقي لا يثمر تنجيساً فيه، وهذه الثمرة هي العمدة في إثبات الطهارة والنجاسة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لحجّيّة الاستصحاب عندنا، ولجريان أحكام المستصحب على الملاقي وإن كان طهارته مستصحبة؛ لأنّ استصحاب النجاسة وارد والوارد من الاستصحابين يحكّم على المورود، وأكثر لوازم الأصول من هذا القبيل، ولو لم نحكّم الوارد على المورود فيها البطلت ثمرات الأصول أصلاً ورأساً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بمجموع ما ذكرنا بطلان القول بعدم تطهير الشمس لما جفّفته مطلقاً وإن جازت الصلاة عليه؛ استناداً في جواز الصلاة للأخبار المتقدّمة، وفي بقاء النجاسة إلى مضمر ابن بزيع عن الأرض والسطح يصيبه البول وما أشبهه هل تطهّره الشمس من غير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Style w:val="FootnoteAnchor"/>
          <w:rtl w:val="true"/>
        </w:rPr>
        <w:footnoteReference w:id="3031"/>
      </w:r>
      <w:r>
        <w:rPr>
          <w:rFonts w:ascii="Amiri" w:hAnsi="Amiri" w:eastAsia="Amiri" w:cs="Amiri"/>
          <w:color w:val="111111"/>
          <w:sz w:val="28"/>
          <w:sz w:val="28"/>
          <w:szCs w:val="28"/>
          <w:rtl w:val="true"/>
          <w:lang w:bidi="ar-SA"/>
        </w:rPr>
        <w:t xml:space="preserve">ولا دليل فيه على بقاء النجاسة؛ لظهور إرادة أنّ تطهير الشمس لا يكون إلّا لما كان ماء، أو رطباً كالماء فتجفّفه، لا أنّ الماء مطهّر له دون الشمس، و إلّا لكان التعبير بغير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تطهّره الشمس أو يطهّره الماء أو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على أنّه موافق لمذهب جملةٍ من العامة على ما حكي</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بطلان القول باختصاص تطهير الشمس بالتجفيف للبول خاصّة، أو هو مع الماء النجس خاصّة، أو ما عدا الخمر خاصّة، أو اختصاصه بالأرض خاصّة، أو بها وبالحُصر والبواري خاصّة، أو بالاثنين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بطلان القول بتطهيرها لما ينقل من حجر الاستنجاء إذا كانت نجاسته حكميّة، أو لغير القطن والكتّان ممّا عُمل من نبات الأرض من خشب وخوص وليف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بطلان احتمال تطهير الريح المصاحب للشمس وإن أوهمته الرواية المتقدّمة</w:t>
      </w:r>
      <w:r>
        <w:rPr>
          <w:rStyle w:val="FootnoteAnchor"/>
          <w:rtl w:val="true"/>
        </w:rPr>
        <w:footnoteReference w:id="3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الفتوى به</w:t>
      </w:r>
      <w:r>
        <w:rPr>
          <w:rStyle w:val="FootnoteAnchor"/>
          <w:rtl w:val="true"/>
        </w:rPr>
        <w:footnoteReference w:id="3034"/>
      </w:r>
      <w:r>
        <w:rPr>
          <w:rFonts w:ascii="Amiri" w:hAnsi="Amiri" w:eastAsia="Amiri" w:cs="Amiri"/>
          <w:color w:val="111111"/>
          <w:sz w:val="28"/>
          <w:sz w:val="28"/>
          <w:szCs w:val="28"/>
          <w:rtl w:val="true"/>
          <w:lang w:bidi="ar-SA"/>
        </w:rPr>
        <w:t>، ولكنّه شاذّ متروك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الريح التي لا تنفكّ عن الشمس غالباً لا بأس بها؛ لاستناد التجفيف إلى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 أنّ نفس عين الشمس هي المطهّرة، فلو كان دونها حاجب كثيف لم يحصل بها التطهير، ولو كان خفيفاً غير مانع من إشراق الشمس عرفاً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مطهّرة للظاهر والباطن المستند تجفيفه إلى إشراقها على ظاهره، و إلّا لقلّت الثمرة، بل انتفت في أغلب المواضع</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ذو الوجهين كالحائط والحصير لا يطهَّر إلّا وجهه الظاهر إذا وصلت النجاسة إلى الوجه الآخَر، مع احتمال تطهيرها للوجهين في الحصير وشبهه</w:t>
      </w:r>
      <w:r>
        <w:rPr>
          <w:rFonts w:eastAsia="Amiri" w:cs="Amiri" w:ascii="Amiri" w:hAnsi="Amiri"/>
          <w:color w:val="111111"/>
          <w:sz w:val="28"/>
          <w:szCs w:val="28"/>
          <w:rtl w:val="true"/>
          <w:lang w:bidi="ar-SA"/>
        </w:rPr>
        <w:t xml:space="preserve">. </w:t>
      </w:r>
      <w:bookmarkStart w:id="1322" w:name="pg18988_203701"/>
    </w:p>
    <w:p>
      <w:pPr>
        <w:pStyle w:val="BookText"/>
        <w:rPr/>
      </w:pPr>
      <w:bookmarkEnd w:id="1322"/>
      <w:r>
        <w:rPr>
          <w:rFonts w:ascii="Amiri" w:hAnsi="Amiri" w:eastAsia="Amiri" w:cs="Amiri"/>
          <w:color w:val="111111"/>
          <w:sz w:val="28"/>
          <w:sz w:val="28"/>
          <w:szCs w:val="28"/>
          <w:rtl w:val="true"/>
          <w:lang w:bidi="ar-SA"/>
        </w:rPr>
        <w:t>و الظاهر أنّ الأحجار المرميّة في الأرض ما لم تكن من وجه الأرض أو البناء لا تطهّرها الشمس إلّا إذا بنيت وابتلّت وجفّت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بدّ من العلم باستناد التجفيف إلى الشمس، فلو شكّ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بكفاية الظنّ هنا والظاهر ، كان قويّاً؛ لقلّة الفائدة لولا ذلك، ولما تشعر به بعض الأخبار</w:t>
      </w:r>
      <w:r>
        <w:rPr>
          <w:rStyle w:val="FootnoteAnchor"/>
          <w:rtl w:val="true"/>
        </w:rPr>
        <w:footnoteReference w:id="3035"/>
      </w:r>
      <w:r>
        <w:rPr>
          <w:rFonts w:ascii="IRNazanin" w:hAnsi="IRNazanin" w:eastAsia="IRNazanin"/>
          <w:color w:val="111111"/>
          <w:sz w:val="28"/>
          <w:sz w:val="28"/>
          <w:szCs w:val="28"/>
          <w:rtl w:val="true"/>
          <w:lang w:bidi="fa-IR"/>
        </w:rPr>
        <w:t>عند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المثبت في الأرض لفائدة أُخرى من قير، أو آنية لسقي دواب، أو خشب صندوق على ضريح وشبهه حكمه حكم الأرض، والاحتياط لا يخفى</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3198365_1280447820"/>
      <w:bookmarkStart w:id="1324" w:name="_Toc509"/>
      <w:bookmarkEnd w:id="1323"/>
      <w:r>
        <w:rPr>
          <w:rtl w:val="true"/>
        </w:rPr>
        <w:t>ثالثها</w:t>
      </w:r>
      <w:r>
        <w:rPr>
          <w:rtl w:val="true"/>
        </w:rPr>
        <w:t xml:space="preserve">: </w:t>
      </w:r>
      <w:r>
        <w:rPr>
          <w:rtl w:val="true"/>
        </w:rPr>
        <w:t>الأرض</w:t>
      </w:r>
      <w:bookmarkEnd w:id="1324"/>
    </w:p>
    <w:p>
      <w:pPr>
        <w:pStyle w:val="BookText"/>
        <w:rPr/>
      </w:pPr>
      <w:r>
        <w:rPr>
          <w:rFonts w:ascii="Amiri" w:hAnsi="Amiri" w:eastAsia="Amiri" w:cs="Amiri"/>
          <w:color w:val="111111"/>
          <w:sz w:val="28"/>
          <w:sz w:val="28"/>
          <w:szCs w:val="28"/>
          <w:rtl w:val="true"/>
          <w:lang w:bidi="ar-SA"/>
        </w:rPr>
        <w:t xml:space="preserve">الأرض مطهّرة في الجملة، إجماعاً فتوى، ورواية عامّة،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3036"/>
      </w:r>
      <w:r>
        <w:rPr>
          <w:rFonts w:ascii="Amiri" w:hAnsi="Amiri" w:eastAsia="Amiri" w:cs="Amiri"/>
          <w:color w:val="111111"/>
          <w:sz w:val="28"/>
          <w:sz w:val="28"/>
          <w:szCs w:val="28"/>
          <w:rtl w:val="true"/>
          <w:lang w:bidi="ar-SA"/>
        </w:rPr>
        <w:t xml:space="preserve">وخاصّة متضمّنة لأنّ الأرض يطهّر بعضها بعضاً </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معناه إمّا أنّ البعض يطهّر لما تنجّس من البعض منها، فعدل إلى ذلك؛ للاختصار،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البول، أي للمتنجّس منه، وعلى ذلك فيختصّ تطهيرها لما تنجّس، ولكن بإلغاء الفارق وعدم القول بالفرق يتمّ المطلوب، وإمّا أنّ البعض يطهّر بعضاً من الأشياء، فيكون من قبيل المجمل المفتقر إلى بيان، وإمّا لأنّ بعضها يطهّر بعضاً منها، أي من الأجزاء المتعلّقة بما تطهّره الأرض من قدمٍ أو خُفٍّ أو نحوهما، وإمّا أنّ بعضها يطهّر بعضاً منها باعتبار انتقال النجاسة من أرضٍ إلى أُخرى مرّةً بعد مرّة إلى أن تستحيل وتستهلك، وإمّا لأنّ أصل الأشياء هو الأرض، فالمطهِّر والمطهَّر أرض مِنْها خَلَقْنَاكُمْ وَفِيها نُعِيدُكُمْ</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فوجه دلالتها على التطهير بها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مختصّ بما يُسمّى أرضاً من حجر أو تراب أو طين مفخور، ولا يسري للمعادن والنباتات؛ اقتصاراً على المورد المدلول عليه بالدليل</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صحيح زرارة من الأمر بمسح الرِّجْل حتّى يذهب أثرها ويصلّي لمن ساخت </w:t>
      </w:r>
    </w:p>
    <w:p>
      <w:pPr>
        <w:pStyle w:val="BookText"/>
        <w:rPr/>
      </w:pPr>
      <w:r>
        <w:rPr>
          <w:rFonts w:ascii="Amiri" w:hAnsi="Amiri" w:eastAsia="Amiri" w:cs="Amiri"/>
          <w:color w:val="111111"/>
          <w:sz w:val="28"/>
          <w:sz w:val="28"/>
          <w:szCs w:val="28"/>
          <w:rtl w:val="true"/>
          <w:lang w:bidi="ar-SA"/>
        </w:rPr>
        <w:t xml:space="preserve">رِجْله بالعذرة </w:t>
      </w:r>
      <w:r>
        <w:rPr>
          <w:rStyle w:val="FootnoteAnchor"/>
          <w:rtl w:val="true"/>
        </w:rPr>
        <w:footnoteReference w:id="3039"/>
      </w:r>
      <w:r>
        <w:rPr>
          <w:rFonts w:ascii="IRNazanin" w:hAnsi="IRNazanin" w:eastAsia="IRNazanin"/>
          <w:color w:val="111111"/>
          <w:sz w:val="28"/>
          <w:sz w:val="28"/>
          <w:szCs w:val="28"/>
          <w:rtl w:val="true"/>
          <w:lang w:bidi="fa-IR"/>
        </w:rPr>
        <w:t>، محمولٌ على ما هو المتعارف ونطقت به الأخبار</w:t>
      </w:r>
      <w:r>
        <w:rPr>
          <w:rStyle w:val="FootnoteAnchor"/>
          <w:rtl w:val="true"/>
        </w:rPr>
        <w:footnoteReference w:id="3040"/>
      </w:r>
      <w:r>
        <w:rPr>
          <w:rFonts w:ascii="IRNazanin" w:hAnsi="IRNazanin" w:eastAsia="IRNazanin"/>
          <w:color w:val="111111"/>
          <w:sz w:val="28"/>
          <w:sz w:val="28"/>
          <w:szCs w:val="28"/>
          <w:rtl w:val="true"/>
          <w:lang w:bidi="fa-IR"/>
        </w:rPr>
        <w:t>من مسحها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ذكرناه من حصول التطهير بالأرض مجمل بالنسبة إلى الكيفيّة، وإلى نفس ما يطهّر بها، والظاهر في الأوّل من مجموع الأخبار وكلام الأخيار أنّ كيفيّة التطهير بها هو أن يستند إزالة النجاسة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بدلكٍ أو مسحٍ أو مشيٍ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الوارد في الأخبار</w:t>
      </w:r>
      <w:r>
        <w:rPr>
          <w:rStyle w:val="FootnoteAnchor"/>
          <w:rtl w:val="true"/>
        </w:rPr>
        <w:footnoteReference w:id="3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والمشي وشبههما مثلهما ؛ لأنّ المفهوم من النصوص والفتاوى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تقدير في المشي على الأقوى، فما دلّت عليه صحيحة الأحول من اشتراط وطء خمسة عشر ذراعاً </w:t>
      </w:r>
      <w:r>
        <w:rPr>
          <w:rStyle w:val="FootnoteAnchor"/>
          <w:rtl w:val="true"/>
        </w:rPr>
        <w:footnoteReference w:id="3042"/>
      </w:r>
      <w:r>
        <w:rPr>
          <w:rFonts w:ascii="Amiri" w:hAnsi="Amiri" w:eastAsia="Amiri" w:cs="Amiri"/>
          <w:color w:val="111111"/>
          <w:sz w:val="28"/>
          <w:sz w:val="28"/>
          <w:szCs w:val="28"/>
          <w:rtl w:val="true"/>
          <w:lang w:bidi="ar-SA"/>
        </w:rPr>
        <w:t>، ونُسب لابن الجنيد القول به</w:t>
      </w:r>
      <w:r>
        <w:rPr>
          <w:rStyle w:val="FootnoteAnchor"/>
          <w:rtl w:val="true"/>
        </w:rPr>
        <w:footnoteReference w:id="3043"/>
      </w:r>
      <w:r>
        <w:rPr>
          <w:rFonts w:ascii="Amiri" w:hAnsi="Amiri" w:eastAsia="Amiri" w:cs="Amiri"/>
          <w:color w:val="111111"/>
          <w:sz w:val="28"/>
          <w:sz w:val="28"/>
          <w:szCs w:val="28"/>
          <w:rtl w:val="true"/>
          <w:lang w:bidi="ar-SA"/>
        </w:rPr>
        <w:t>، محمولٌ على بيان الإرشاد إلى ما تزول به النجاسة غالباً، أو على الاستحباب؛ لعدم قابليّة الرواية لتقييد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أيضاً أنّه لا يتفاوت في التطهير بها بين النجاسة الحكميّة والنجاسة العينيّة إذا زال أثرها بها، ولا بين كون النجاسة رطبة أو جافّة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بقيت رطوبة النجاسة العينيّة كرطوبة البول أو العذرة، فالأحوط توقّف التطهير على التجفيف، ولو كانت الرطوبة من متنجّس فلا إشكال في حصول الطهارة؛ لإطلاق الأخبار</w:t>
      </w:r>
      <w:r>
        <w:rPr>
          <w:rStyle w:val="FootnoteAnchor"/>
          <w:rtl w:val="true"/>
        </w:rPr>
        <w:footnoteReference w:id="3044"/>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طهارة الأرض المطهّرة ؛ للشكّ في حصول التطهير مع القطع بالنجاسة واستصحابها، ولبُعْد تطهير النجس، ولظهور أنّ الأرض طهور هو الطاهر المطهّر، ولإشعار التشبيه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3045"/>
      </w:r>
      <w:r>
        <w:rPr>
          <w:rFonts w:ascii="Amiri" w:hAnsi="Amiri" w:eastAsia="Amiri" w:cs="Amiri"/>
          <w:color w:val="111111"/>
          <w:sz w:val="28"/>
          <w:sz w:val="28"/>
          <w:szCs w:val="28"/>
          <w:rtl w:val="true"/>
          <w:lang w:bidi="ar-SA"/>
        </w:rPr>
        <w:t>بمساواته للماء، والماء النجس لا يفيد طهارةً إجماعاً،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المرويّ عن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مشى على </w:t>
      </w:r>
    </w:p>
    <w:p>
      <w:pPr>
        <w:pStyle w:val="BookText"/>
        <w:rPr/>
      </w:pPr>
      <w:r>
        <w:rPr>
          <w:rFonts w:ascii="Amiri" w:hAnsi="Amiri" w:eastAsia="Amiri" w:cs="Amiri"/>
          <w:color w:val="111111"/>
          <w:sz w:val="28"/>
          <w:sz w:val="28"/>
          <w:szCs w:val="28"/>
          <w:rtl w:val="true"/>
          <w:lang w:bidi="ar-SA"/>
        </w:rPr>
        <w:t>أرض نجسة ثمّ طاهرة طهرت قدمه</w:t>
      </w:r>
      <w:r>
        <w:rPr>
          <w:rFonts w:eastAsia="Amiri" w:cs="Amiri" w:ascii="Amiri" w:hAnsi="Amiri"/>
          <w:color w:val="111111"/>
          <w:sz w:val="28"/>
          <w:szCs w:val="28"/>
          <w:rtl w:val="true"/>
          <w:lang w:bidi="ar-SA"/>
        </w:rPr>
        <w:t>»</w:t>
      </w:r>
      <w:r>
        <w:rPr>
          <w:rStyle w:val="FootnoteAnchor"/>
          <w:rtl w:val="true"/>
        </w:rPr>
        <w:footnoteReference w:id="3046"/>
      </w:r>
      <w:r>
        <w:rPr>
          <w:rFonts w:ascii="Amiri" w:hAnsi="Amiri" w:eastAsia="Amiri" w:cs="Amiri"/>
          <w:color w:val="111111"/>
          <w:sz w:val="28"/>
          <w:sz w:val="28"/>
          <w:szCs w:val="28"/>
          <w:rtl w:val="true"/>
          <w:lang w:bidi="ar-SA"/>
        </w:rPr>
        <w:t>ولإشعار صحيحة</w:t>
      </w:r>
      <w:r>
        <w:rPr>
          <w:rStyle w:val="FootnoteAnchor"/>
          <w:rtl w:val="true"/>
        </w:rPr>
        <w:footnoteReference w:id="3047"/>
      </w:r>
      <w:r>
        <w:rPr>
          <w:rFonts w:ascii="Amiri" w:hAnsi="Amiri" w:eastAsia="Amiri" w:cs="Amiri"/>
          <w:color w:val="111111"/>
          <w:sz w:val="28"/>
          <w:sz w:val="28"/>
          <w:szCs w:val="28"/>
          <w:rtl w:val="true"/>
          <w:lang w:bidi="ar-SA"/>
        </w:rPr>
        <w:t>الأحول في السؤال عمّن وطأ أرضاً نظيفة بعدما وطأ قذرة بتوقّف التطهير على نظافة الأرض، أو لا يشترط؛ لإطلاق الأخبار</w:t>
      </w:r>
      <w:r>
        <w:rPr>
          <w:rStyle w:val="FootnoteAnchor"/>
          <w:rtl w:val="true"/>
        </w:rPr>
        <w:footnoteReference w:id="3048"/>
      </w:r>
      <w:r>
        <w:rPr>
          <w:rFonts w:ascii="Amiri" w:hAnsi="Amiri" w:eastAsia="Amiri" w:cs="Amiri"/>
          <w:color w:val="111111"/>
          <w:sz w:val="28"/>
          <w:sz w:val="28"/>
          <w:szCs w:val="28"/>
          <w:rtl w:val="true"/>
          <w:lang w:bidi="ar-SA"/>
        </w:rPr>
        <w:t>وكلام جملة من الأخيار</w:t>
      </w:r>
      <w:r>
        <w:rPr>
          <w:rStyle w:val="FootnoteAnchor"/>
          <w:rtl w:val="true"/>
        </w:rPr>
        <w:footnoteReference w:id="3049"/>
      </w:r>
      <w:r>
        <w:rPr>
          <w:rFonts w:ascii="Amiri" w:hAnsi="Amiri" w:eastAsia="Amiri" w:cs="Amiri"/>
          <w:color w:val="111111"/>
          <w:sz w:val="28"/>
          <w:sz w:val="28"/>
          <w:szCs w:val="28"/>
          <w:rtl w:val="true"/>
          <w:lang w:bidi="ar-SA"/>
        </w:rPr>
        <w:t>، وترك الاستفصال فيها في مقام البيان دليلٌ على عدم الاشتراط؟ وجهان، أظهرهما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جفاف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حصول الطهارة في المبتلّة بعد القطع بها،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وراءه شيء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050"/>
      </w:r>
      <w:r>
        <w:rPr>
          <w:rFonts w:ascii="Amiri" w:hAnsi="Amiri" w:eastAsia="Amiri" w:cs="Amiri"/>
          <w:color w:val="111111"/>
          <w:sz w:val="28"/>
          <w:sz w:val="28"/>
          <w:szCs w:val="28"/>
          <w:rtl w:val="true"/>
          <w:lang w:bidi="ar-SA"/>
        </w:rPr>
        <w:t>وقوله في المرويّ في مستطرفات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تمشي بعد ذلك في أرض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الأرض</w:t>
      </w:r>
      <w:r>
        <w:rPr>
          <w:rFonts w:eastAsia="Amiri" w:cs="Amiri" w:ascii="Amiri" w:hAnsi="Amiri"/>
          <w:color w:val="111111"/>
          <w:sz w:val="28"/>
          <w:szCs w:val="28"/>
          <w:rtl w:val="true"/>
          <w:lang w:bidi="ar-SA"/>
        </w:rPr>
        <w:t>»</w:t>
      </w:r>
      <w:r>
        <w:rPr>
          <w:rStyle w:val="FootnoteAnchor"/>
          <w:rtl w:val="true"/>
        </w:rPr>
        <w:footnoteReference w:id="3051"/>
      </w:r>
      <w:r>
        <w:rPr>
          <w:rFonts w:ascii="Amiri" w:hAnsi="Amiri" w:eastAsia="Amiri" w:cs="Amiri"/>
          <w:color w:val="111111"/>
          <w:sz w:val="28"/>
          <w:sz w:val="28"/>
          <w:szCs w:val="28"/>
          <w:rtl w:val="true"/>
          <w:lang w:bidi="ar-SA"/>
        </w:rPr>
        <w:t xml:space="preserve">إلى آخره، ولأنّ الأرض الجافّة أبلغ في حصول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يشترط؛ لإطلاق جملةٍ من الأخبار</w:t>
      </w:r>
      <w:r>
        <w:rPr>
          <w:rStyle w:val="FootnoteAnchor"/>
          <w:rtl w:val="true"/>
        </w:rPr>
        <w:footnoteReference w:id="3052"/>
      </w:r>
      <w:r>
        <w:rPr>
          <w:rFonts w:ascii="Amiri" w:hAnsi="Amiri" w:eastAsia="Amiri" w:cs="Amiri"/>
          <w:color w:val="111111"/>
          <w:sz w:val="28"/>
          <w:sz w:val="28"/>
          <w:szCs w:val="28"/>
          <w:rtl w:val="true"/>
          <w:lang w:bidi="ar-SA"/>
        </w:rPr>
        <w:t>، وفتوى الأكثرين من الأصحاب</w:t>
      </w:r>
      <w:r>
        <w:rPr>
          <w:rStyle w:val="FootnoteAnchor"/>
          <w:rtl w:val="true"/>
        </w:rPr>
        <w:footnoteReference w:id="3053"/>
      </w:r>
      <w:r>
        <w:rPr>
          <w:rFonts w:ascii="IRNazanin" w:hAnsi="IRNazanin" w:eastAsia="IRNazanin"/>
          <w:color w:val="111111"/>
          <w:sz w:val="28"/>
          <w:sz w:val="28"/>
          <w:szCs w:val="28"/>
          <w:rtl w:val="true"/>
          <w:lang w:bidi="fa-IR"/>
        </w:rPr>
        <w:t>، وحمل ما دلّ على الجفاف على الاستحباب والإرشاد؟ وجهان أقواهما وأحوطهما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الأرض وحلاً أو طيناً فلا شك بعدم تطهيرها على كلا القولين، كما أنّ اليبس الكلّي الزائد على مرتبة الجفاف لا يشترط أيضاً على كلا القولين على الأظهر، وأمّا بالنسبة إلى ما يطهر بها فالأصل يقضى بالاقتصار على مورد اليقين من الدليل</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الأدلّة وكلام الأصحاب أنّ الأرض تطهّر ما تمسّه ممّا يطأها، سواء في ذلك القدم والنعل والخُفّ و القبقاب وخشبة الأقطع ونحو ذلك ممّا يوطأ بالقدم أو باليد أو بالركبة أو بالبطن لمن يمشي على يديه أو ركبتيه أو بطنه، ولا يتعدّى إلى ملابس القدم أو </w:t>
      </w:r>
    </w:p>
    <w:p>
      <w:pPr>
        <w:pStyle w:val="BookText"/>
        <w:rPr/>
      </w:pPr>
      <w:r>
        <w:rPr>
          <w:rFonts w:ascii="Amiri" w:hAnsi="Amiri" w:eastAsia="Amiri" w:cs="Amiri"/>
          <w:color w:val="111111"/>
          <w:sz w:val="28"/>
          <w:sz w:val="28"/>
          <w:szCs w:val="28"/>
          <w:rtl w:val="true"/>
          <w:lang w:bidi="ar-SA"/>
        </w:rPr>
        <w:t>عكّاز الشخص أو حديدة الرمح أو غير ذلك، ولا يقتصر على أسفل الخُفّ والنعل كما عن بعضٍ</w:t>
      </w:r>
      <w:r>
        <w:rPr>
          <w:rStyle w:val="FootnoteAnchor"/>
          <w:rtl w:val="true"/>
        </w:rPr>
        <w:footnoteReference w:id="3054"/>
      </w:r>
      <w:r>
        <w:rPr>
          <w:rFonts w:ascii="Amiri" w:hAnsi="Amiri" w:eastAsia="Amiri" w:cs="Amiri"/>
          <w:color w:val="111111"/>
          <w:sz w:val="28"/>
          <w:sz w:val="28"/>
          <w:szCs w:val="28"/>
          <w:rtl w:val="true"/>
          <w:lang w:bidi="ar-SA"/>
        </w:rPr>
        <w:t>، أو على الأوّل كما عن آخَر</w:t>
      </w:r>
      <w:r>
        <w:rPr>
          <w:rStyle w:val="FootnoteAnchor"/>
          <w:rtl w:val="true"/>
        </w:rPr>
        <w:footnoteReference w:id="3055"/>
      </w:r>
      <w:r>
        <w:rPr>
          <w:rFonts w:ascii="Amiri" w:hAnsi="Amiri" w:eastAsia="Amiri" w:cs="Amiri"/>
          <w:color w:val="111111"/>
          <w:sz w:val="28"/>
          <w:sz w:val="28"/>
          <w:szCs w:val="28"/>
          <w:rtl w:val="true"/>
          <w:lang w:bidi="ar-SA"/>
        </w:rPr>
        <w:t>، أو الثاني كما عن ثالث</w:t>
      </w:r>
      <w:r>
        <w:rPr>
          <w:rStyle w:val="FootnoteAnchor"/>
          <w:rtl w:val="true"/>
        </w:rPr>
        <w:footnoteReference w:id="3056"/>
      </w:r>
      <w:r>
        <w:rPr>
          <w:rFonts w:ascii="Amiri" w:hAnsi="Amiri" w:eastAsia="Amiri" w:cs="Amiri"/>
          <w:color w:val="111111"/>
          <w:sz w:val="28"/>
          <w:sz w:val="28"/>
          <w:szCs w:val="28"/>
          <w:rtl w:val="true"/>
          <w:lang w:bidi="ar-SA"/>
        </w:rPr>
        <w:t>، أو إضافة القدم إليهما فقط كما عن رابع</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اقتصر أراد المثال؛ لعموم الدليل لكلّ ما يوطاً من لزوم العسر والحرج 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سيرة المسلمين المستمرّة على الدخول في المساجد والأماكن المشرّفة بما يطؤنه من دون غسل من غير إنكار، ومن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يطأ الموضع الذي ليس بنظيف ثمّ يطأ بعده مكاناً نظيفاً،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المسجد زقاقاً قذراً،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الأرض تطهّر بعضها بعضاً</w:t>
      </w:r>
      <w:r>
        <w:rPr>
          <w:rFonts w:eastAsia="Amiri" w:cs="Amiri" w:ascii="Amiri" w:hAnsi="Amiri"/>
          <w:color w:val="111111"/>
          <w:sz w:val="28"/>
          <w:szCs w:val="28"/>
          <w:rtl w:val="true"/>
          <w:lang w:bidi="ar-SA"/>
        </w:rPr>
        <w:t>»</w:t>
      </w:r>
      <w:r>
        <w:rPr>
          <w:rStyle w:val="FootnoteAnchor"/>
          <w:rtl w:val="true"/>
        </w:rPr>
        <w:footnoteReference w:id="3059"/>
      </w:r>
      <w:r>
        <w:rPr>
          <w:rFonts w:ascii="Amiri" w:hAnsi="Amiri" w:eastAsia="Amiri" w:cs="Amiri"/>
          <w:color w:val="111111"/>
          <w:sz w:val="28"/>
          <w:sz w:val="28"/>
          <w:szCs w:val="28"/>
          <w:rtl w:val="true"/>
          <w:lang w:bidi="ar-SA"/>
        </w:rPr>
        <w:t>، فإنّ ترك الاستفصال في مقام البيان دليل العموم في المقال، على أنّ تنقيح المناط بين أفراد ما يوطأ كأنّه قطعيّ</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نُقل من الإجماع على خصوص القدم والنعل والخُفّ</w:t>
      </w:r>
      <w:r>
        <w:rPr>
          <w:rStyle w:val="FootnoteAnchor"/>
          <w:rtl w:val="true"/>
        </w:rPr>
        <w:footnoteReference w:id="3060"/>
      </w:r>
      <w:r>
        <w:rPr>
          <w:rFonts w:ascii="Amiri" w:hAnsi="Amiri" w:eastAsia="Amiri" w:cs="Amiri"/>
          <w:color w:val="111111"/>
          <w:sz w:val="28"/>
          <w:sz w:val="28"/>
          <w:szCs w:val="28"/>
          <w:rtl w:val="true"/>
          <w:lang w:bidi="ar-SA"/>
        </w:rPr>
        <w:t>، وما دلّ من الأخبار على النعل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فليمسحهما وليصلّ</w:t>
      </w:r>
      <w:r>
        <w:rPr>
          <w:rFonts w:eastAsia="Amiri" w:cs="Amiri" w:ascii="Amiri" w:hAnsi="Amiri"/>
          <w:color w:val="111111"/>
          <w:sz w:val="28"/>
          <w:szCs w:val="28"/>
          <w:rtl w:val="true"/>
          <w:lang w:bidi="ar-SA"/>
        </w:rPr>
        <w:t>»</w:t>
      </w:r>
      <w:r>
        <w:rPr>
          <w:rStyle w:val="FootnoteAnchor"/>
          <w:rtl w:val="true"/>
        </w:rPr>
        <w:footnoteReference w:id="306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أحدكم الأذى بخُفّيه فإنّ التراب له طهور</w:t>
      </w:r>
      <w:r>
        <w:rPr>
          <w:rFonts w:eastAsia="Amiri" w:cs="Amiri" w:ascii="Amiri" w:hAnsi="Amiri"/>
          <w:color w:val="111111"/>
          <w:sz w:val="28"/>
          <w:szCs w:val="28"/>
          <w:rtl w:val="true"/>
          <w:lang w:bidi="ar-SA"/>
        </w:rPr>
        <w:t>»</w:t>
      </w:r>
      <w:r>
        <w:rPr>
          <w:rStyle w:val="FootnoteAnchor"/>
          <w:rtl w:val="true"/>
        </w:rPr>
        <w:footnoteReference w:id="3062"/>
      </w:r>
      <w:r>
        <w:rPr>
          <w:rFonts w:ascii="Amiri" w:hAnsi="Amiri" w:eastAsia="Amiri" w:cs="Amiri"/>
          <w:color w:val="111111"/>
          <w:sz w:val="28"/>
          <w:sz w:val="28"/>
          <w:szCs w:val="28"/>
          <w:rtl w:val="true"/>
          <w:lang w:bidi="ar-SA"/>
        </w:rPr>
        <w:t>وفي الخبر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وطئت عذرة بخُفّي ومسحته حتّى لم أرَ فيه شيئاً، ما تقول في الصلاة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63"/>
      </w:r>
      <w:r>
        <w:rPr>
          <w:rFonts w:ascii="Amiri" w:hAnsi="Amiri" w:eastAsia="Amiri" w:cs="Amiri"/>
          <w:color w:val="111111"/>
          <w:sz w:val="28"/>
          <w:sz w:val="28"/>
          <w:szCs w:val="28"/>
          <w:rtl w:val="true"/>
          <w:lang w:bidi="ar-SA"/>
        </w:rPr>
        <w:t>فإنّ الظاهر من نفى البأس أنّه من حيث النجاسة المنافية للصلاة الكاملة، لا من حيث العفو عن نجاسة ما لا 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دلّ على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مرّ حافياً على ما تقاطر من خنزير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وراءه شيء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الأرض تطهّر بعضها بعضاً </w:t>
      </w:r>
      <w:r>
        <w:rPr>
          <w:rFonts w:eastAsia="Amiri" w:cs="Amiri" w:ascii="Amiri" w:hAnsi="Amiri"/>
          <w:color w:val="111111"/>
          <w:sz w:val="28"/>
          <w:szCs w:val="28"/>
          <w:rtl w:val="true"/>
          <w:lang w:bidi="ar-SA"/>
        </w:rPr>
        <w:t>»</w:t>
      </w:r>
      <w:r>
        <w:rPr>
          <w:rStyle w:val="FootnoteAnchor"/>
          <w:rtl w:val="true"/>
        </w:rPr>
        <w:footnoteReference w:id="3064"/>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مرّ على زقاق يبال فيه </w:t>
      </w:r>
      <w:bookmarkStart w:id="1325" w:name="pg18988_203705"/>
    </w:p>
    <w:p>
      <w:pPr>
        <w:pStyle w:val="BookText"/>
        <w:rPr/>
      </w:pPr>
      <w:bookmarkEnd w:id="1325"/>
      <w:r>
        <w:rPr>
          <w:rFonts w:ascii="Amiri" w:hAnsi="Amiri" w:eastAsia="Amiri" w:cs="Amiri"/>
          <w:color w:val="111111"/>
          <w:sz w:val="28"/>
          <w:sz w:val="28"/>
          <w:szCs w:val="28"/>
          <w:rtl w:val="true"/>
          <w:lang w:bidi="ar-SA"/>
        </w:rPr>
        <w:t>وليس عليه حذاء وهو يريد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تمشي بعد ذلك في أرض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الأرض</w:t>
      </w:r>
      <w:r>
        <w:rPr>
          <w:rFonts w:eastAsia="Amiri" w:cs="Amiri" w:ascii="Amiri" w:hAnsi="Amiri"/>
          <w:color w:val="111111"/>
          <w:sz w:val="28"/>
          <w:szCs w:val="28"/>
          <w:rtl w:val="true"/>
          <w:lang w:bidi="ar-SA"/>
        </w:rPr>
        <w:t>»</w:t>
      </w:r>
      <w:r>
        <w:rPr>
          <w:rStyle w:val="FootnoteAnchor"/>
          <w:rtl w:val="true"/>
        </w:rPr>
        <w:footnoteReference w:id="3065"/>
      </w:r>
      <w:r>
        <w:rPr>
          <w:rFonts w:ascii="Amiri" w:hAnsi="Amiri" w:eastAsia="Amiri" w:cs="Amiri"/>
          <w:color w:val="111111"/>
          <w:sz w:val="28"/>
          <w:sz w:val="28"/>
          <w:szCs w:val="28"/>
          <w:rtl w:val="true"/>
          <w:lang w:bidi="ar-SA"/>
        </w:rPr>
        <w:t>إلى آخره، والآخر فيمن ساخت رجله في العذرة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يمسحها حتى يذهب أثرها ويصلّي</w:t>
      </w:r>
      <w:r>
        <w:rPr>
          <w:rFonts w:eastAsia="Amiri" w:cs="Amiri" w:ascii="Amiri" w:hAnsi="Amiri"/>
          <w:color w:val="111111"/>
          <w:sz w:val="28"/>
          <w:szCs w:val="28"/>
          <w:rtl w:val="true"/>
          <w:lang w:bidi="ar-SA"/>
        </w:rPr>
        <w:t>»</w:t>
      </w:r>
      <w:r>
        <w:rPr>
          <w:rStyle w:val="FootnoteAnchor"/>
          <w:rtl w:val="true"/>
        </w:rPr>
        <w:footnoteReference w:id="3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ذكرناه من العموم؛ لكون أكثرها قضايا واقعيّة واقعة في السؤال، فلا تخصص ما دلّ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نافية للقول بالتخصيص بأحد ما ذكرناه سابقاً</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3198367_1280447820"/>
      <w:bookmarkStart w:id="1327" w:name="_Toc510"/>
      <w:bookmarkEnd w:id="1326"/>
      <w:r>
        <w:rPr>
          <w:rtl w:val="true"/>
        </w:rPr>
        <w:t>رابعها</w:t>
      </w:r>
      <w:r>
        <w:rPr>
          <w:rtl w:val="true"/>
        </w:rPr>
        <w:t xml:space="preserve">: </w:t>
      </w:r>
      <w:r>
        <w:rPr>
          <w:rtl w:val="true"/>
        </w:rPr>
        <w:t>النار</w:t>
      </w:r>
      <w:bookmarkEnd w:id="1327"/>
    </w:p>
    <w:p>
      <w:pPr>
        <w:pStyle w:val="BookText"/>
        <w:rPr/>
      </w:pPr>
      <w:r>
        <w:rPr>
          <w:rFonts w:ascii="Amiri" w:hAnsi="Amiri" w:eastAsia="Amiri" w:cs="Amiri"/>
          <w:color w:val="111111"/>
          <w:sz w:val="28"/>
          <w:sz w:val="28"/>
          <w:szCs w:val="28"/>
          <w:rtl w:val="true"/>
          <w:lang w:bidi="ar-SA"/>
        </w:rPr>
        <w:t>النار مطهّرة لما أحالته رماداً أو دخاناً؛ لفتوى المشهور، والإجماع المنقول</w:t>
      </w:r>
      <w:r>
        <w:rPr>
          <w:rStyle w:val="FootnoteAnchor"/>
          <w:rtl w:val="true"/>
        </w:rPr>
        <w:footnoteReference w:id="3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 عن الجص يوقد عليه العذرة وعظام الموتى يجصص به المسجد، أسجد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عن الجص يطبخ بالعذرة أيصلح أن يجصص به المسجد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تجصيص المسجد به والسجود عليه مع مخالطته لأجزاء رماد النجس من رماد العذرة وعظام الموتى دليل على طهارتهما؛ لأنّ عدم جواز تلويث المسجد بالنجاسة وعدم جواز السجود على النجس أمران معلومان فجواز السجود على الشيء وتلويث المسجد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الطهارة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الاستدلال بهما على طهارة الدخان أيضاً؛ لمروره على الجصّ غالباً، وبقاء أجزاءٍ منه فيه، ولإمكان رطوبة الجصّ عند ملاقاة الدخان فينجس به، مع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الاستفصال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الماء والنار قد طهّراه</w:t>
      </w:r>
      <w:r>
        <w:rPr>
          <w:rFonts w:eastAsia="Amiri" w:cs="Amiri" w:ascii="Amiri" w:hAnsi="Amiri"/>
          <w:color w:val="111111"/>
          <w:sz w:val="28"/>
          <w:szCs w:val="28"/>
          <w:rtl w:val="true"/>
          <w:lang w:bidi="ar-SA"/>
        </w:rPr>
        <w:t>»</w:t>
      </w:r>
      <w:r>
        <w:rPr>
          <w:rStyle w:val="FootnoteAnchor"/>
          <w:rtl w:val="true"/>
        </w:rPr>
        <w:footnoteReference w:id="3070"/>
      </w:r>
      <w:r>
        <w:rPr>
          <w:rFonts w:ascii="Amiri" w:hAnsi="Amiri" w:eastAsia="Amiri" w:cs="Amiri"/>
          <w:color w:val="111111"/>
          <w:sz w:val="28"/>
          <w:sz w:val="28"/>
          <w:szCs w:val="28"/>
          <w:rtl w:val="true"/>
          <w:lang w:bidi="ar-SA"/>
        </w:rPr>
        <w:t>دليل على طهارة الرماد؛ لأنّ الجصّ لم تتحقّق نجاسته سابقاً بغير مخالطة أجزاء الرماد له كي يحسن السؤال عنه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الرواية على تطهير الماء والنار له بالطبخ والحكم بنجاسته سابقاً عدولٌ عن </w:t>
      </w:r>
    </w:p>
    <w:p>
      <w:pPr>
        <w:pStyle w:val="BookText"/>
        <w:rPr/>
      </w:pPr>
      <w:r>
        <w:rPr>
          <w:rFonts w:ascii="Amiri" w:hAnsi="Amiri" w:eastAsia="Amiri" w:cs="Amiri"/>
          <w:color w:val="111111"/>
          <w:sz w:val="28"/>
          <w:sz w:val="28"/>
          <w:szCs w:val="28"/>
          <w:rtl w:val="true"/>
          <w:lang w:bidi="ar-SA"/>
        </w:rPr>
        <w:t>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تطهير 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موهوم، وهو التطهير بالطبخ، كما ذهب إليه بعضهم</w:t>
      </w:r>
      <w:r>
        <w:rPr>
          <w:rStyle w:val="FootnoteAnchor"/>
          <w:rtl w:val="true"/>
        </w:rPr>
        <w:footnoteReference w:id="3071"/>
      </w:r>
      <w:r>
        <w:rPr>
          <w:rFonts w:ascii="Amiri" w:hAnsi="Amiri" w:eastAsia="Amiri" w:cs="Amiri"/>
          <w:color w:val="111111"/>
          <w:sz w:val="28"/>
          <w:sz w:val="28"/>
          <w:szCs w:val="28"/>
          <w:rtl w:val="true"/>
          <w:lang w:bidi="ar-SA"/>
        </w:rPr>
        <w:t>، وإن كان قد يشعر به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استناد التطهير إلى الماء والنار معاً ربما يبعّده على كلا الوجهين؛ لأنّ الماء المتأخّر عن الطبخ لا مدخليّة له في التطهير على كلّ حال، فلا بدّ أن يحمل أنّ استناد التطهير أصالة إلى النار ومجازاً إلى الماء من باب عموم المجاز، ويكون المراد بالتطهير فيه التنظيف ورفع القذارة الحاصلة من الرماد أو الاستعداد للطهارة عند تجفيف الشمس له بعد رطوبته، لاحتمال تخلّف بعض الأجزاء الغير مستحيلة، فيكون المراد باستناد التطهير للماء من جهة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بذلك دخان الدهن النجس، وبخار الماء النجس والعذرة النجسة؛ لأصل الطهارة، وعدم صدق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المعلومة من عدم توقّي الدواخن والأبخرة الحاصلة من الأعيان النجسة أو المياه النجسة في الحمّامات، وعند التخلّي في الشتاء لتصاعد أبخرة النجاسة إلى بدن الإنسان أو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استشكله بعضهم</w:t>
      </w:r>
      <w:r>
        <w:rPr>
          <w:rStyle w:val="FootnoteAnchor"/>
          <w:rtl w:val="true"/>
        </w:rPr>
        <w:footnoteReference w:id="3072"/>
      </w:r>
      <w:r>
        <w:rPr>
          <w:rFonts w:ascii="Amiri" w:hAnsi="Amiri" w:eastAsia="Amiri" w:cs="Amiri"/>
          <w:color w:val="111111"/>
          <w:sz w:val="28"/>
          <w:sz w:val="28"/>
          <w:szCs w:val="28"/>
          <w:rtl w:val="true"/>
          <w:lang w:bidi="ar-SA"/>
        </w:rPr>
        <w:t>من طهارة الدخان المتصاعد من الدهن النجس؛ لتصاعد بعض أجزاء منه قبل الاستحالة بواسطة سخونة النار، وكذا ما استشكله بعض آخَر</w:t>
      </w:r>
      <w:r>
        <w:rPr>
          <w:rStyle w:val="FootnoteAnchor"/>
          <w:rtl w:val="true"/>
        </w:rPr>
        <w:footnoteReference w:id="3073"/>
      </w:r>
      <w:r>
        <w:rPr>
          <w:rFonts w:ascii="Amiri" w:hAnsi="Amiri" w:eastAsia="Amiri" w:cs="Amiri"/>
          <w:color w:val="111111"/>
          <w:sz w:val="28"/>
          <w:sz w:val="28"/>
          <w:szCs w:val="28"/>
          <w:rtl w:val="true"/>
          <w:lang w:bidi="ar-SA"/>
        </w:rPr>
        <w:t>من طهارة الرماد،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هنا للاستصحاب بعيد عن الصواب؛ لتغيير الموضوع، ودوران الحكم مدار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يجيء الإشكال فيما لو صيّرت النار النجاسة فحماً من حصول الاستحالة بتبدّل الاسم والصورة، ومن استصحاب النجاسة والشكّ في تبدّل الموضوع؛ لعدم التلازم بين تبدّل الصورة والاسم وتبدّله؛ لجواز بقاء الذات وتبدّل الصورة فقط، ويكون تبدّل الاسم تابعاً لتبدّلها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والأحوط الأخير</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عين النجاسة، وأمّا المتنجّس فلا إشكال بدخانه وبخاره وطهارتهما؛ لما </w:t>
      </w:r>
    </w:p>
    <w:p>
      <w:pPr>
        <w:pStyle w:val="BookText"/>
        <w:rPr/>
      </w:pPr>
      <w:r>
        <w:rPr>
          <w:rFonts w:ascii="Amiri" w:hAnsi="Amiri" w:eastAsia="Amiri" w:cs="Amiri"/>
          <w:color w:val="111111"/>
          <w:sz w:val="28"/>
          <w:sz w:val="28"/>
          <w:szCs w:val="28"/>
          <w:rtl w:val="true"/>
          <w:lang w:bidi="ar-SA"/>
        </w:rPr>
        <w:t>ذكرناه من إطلاق الفتوى، وقضاء السيرة بطهارتهما، بل ربما كان الحكم بطهارتهما؛ لمكان الأولويّة من دخان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الفحم منه بل الرماد أيضاً فالأقوى نجاستهما؛ للشكّ في تغيير الموضوع أوّلاً ، ولأنّ حكم النجاسة تابع لنفس الجسم المتنجّس فلا تزول لتبدّل الموضوع ثانياً ؛ ضرورة أنّ النجس غير المتنجّس؛ لأنّ النجس نجاسته تابعة لنوعه، والمتنجّس تابعه لشخصه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الآجر والخزف المعمولان من الطين النجس فإنّ الأقوى عدم تطهير النار لهما، سواء قلنا ببقاء اسم الأرضيّة فيهما أو قلنا بخروجهما عن مسمّى الأرض ؛ لأنّ نجاستهما تابعة لنفس الشخص لا للنوع كي ينقطع حكم استصحاب النجاسة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طهارتهما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للإجماع المنقول من الشيخ على الطهارة</w:t>
      </w:r>
      <w:r>
        <w:rPr>
          <w:rStyle w:val="FootnoteAnchor"/>
          <w:rtl w:val="true"/>
        </w:rPr>
        <w:footnoteReference w:id="3074"/>
      </w:r>
      <w:r>
        <w:rPr>
          <w:rFonts w:ascii="Amiri" w:hAnsi="Amiri" w:eastAsia="Amiri" w:cs="Amiri"/>
          <w:color w:val="111111"/>
          <w:sz w:val="28"/>
          <w:sz w:val="28"/>
          <w:szCs w:val="28"/>
          <w:rtl w:val="true"/>
          <w:lang w:bidi="ar-SA"/>
        </w:rPr>
        <w:t>، وللرواية المطهّرة للجصّ بالنار</w:t>
      </w:r>
      <w:r>
        <w:rPr>
          <w:rStyle w:val="FootnoteAnchor"/>
          <w:rtl w:val="true"/>
        </w:rPr>
        <w:footnoteReference w:id="3075"/>
      </w:r>
      <w:r>
        <w:rPr>
          <w:rFonts w:ascii="Amiri" w:hAnsi="Amiri" w:eastAsia="Amiri" w:cs="Amiri"/>
          <w:color w:val="111111"/>
          <w:sz w:val="28"/>
          <w:sz w:val="28"/>
          <w:szCs w:val="28"/>
          <w:rtl w:val="true"/>
          <w:lang w:bidi="ar-SA"/>
        </w:rPr>
        <w:t xml:space="preserve">، ولأصالة الطهارة في مقام الشكّ، ولمعارضة استصحاب نجاسة المحلّ لاستصحاب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لضعف الإجماع المنقول بعد العلم بضعف مستنده وفتوى جمع من الفحول</w:t>
      </w:r>
      <w:r>
        <w:rPr>
          <w:rStyle w:val="FootnoteAnchor"/>
          <w:rtl w:val="true"/>
        </w:rPr>
        <w:footnoteReference w:id="3076"/>
      </w:r>
      <w:r>
        <w:rPr>
          <w:rFonts w:ascii="Amiri" w:hAnsi="Amiri" w:eastAsia="Amiri" w:cs="Amiri"/>
          <w:color w:val="111111"/>
          <w:sz w:val="28"/>
          <w:sz w:val="28"/>
          <w:szCs w:val="28"/>
          <w:rtl w:val="true"/>
          <w:lang w:bidi="ar-SA"/>
        </w:rPr>
        <w:t>بخلافه، وضعف دلالة الرواية على المطلوب بعد ما قدّمنا من بيان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بمجرّد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والنار طهّراه</w:t>
      </w:r>
      <w:r>
        <w:rPr>
          <w:rFonts w:eastAsia="Amiri" w:cs="Amiri" w:ascii="Amiri" w:hAnsi="Amiri"/>
          <w:color w:val="111111"/>
          <w:sz w:val="28"/>
          <w:szCs w:val="28"/>
          <w:rtl w:val="true"/>
          <w:lang w:bidi="ar-SA"/>
        </w:rPr>
        <w:t>»</w:t>
      </w:r>
      <w:r>
        <w:rPr>
          <w:rStyle w:val="FootnoteAnchor"/>
          <w:rtl w:val="true"/>
        </w:rPr>
        <w:footnoteReference w:id="3077"/>
      </w:r>
      <w:r>
        <w:rPr>
          <w:rFonts w:ascii="Amiri" w:hAnsi="Amiri" w:eastAsia="Amiri" w:cs="Amiri"/>
          <w:color w:val="111111"/>
          <w:sz w:val="28"/>
          <w:sz w:val="28"/>
          <w:szCs w:val="28"/>
          <w:rtl w:val="true"/>
          <w:lang w:bidi="ar-SA"/>
        </w:rPr>
        <w:t>، بأن يجعل كلّ ماء ونار مطهّرين ويترك ما يفهم من سياقها ومن السؤال المتضمّنة له بعيدٌ كل البُعْد؛ لصيرورة هذه الفقرة كالمجمل بعد ملاحظة سياقها والسؤال، فلا يصلح التمسّك بها لإثبات طهارة ما نحن فيه أو العجين مثلاً إذا خبز أو غير ذلك</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الطعن في الاستصحاب فهو أضعف شيء في الباب؛ لعموم أدلّته لما ثبت بالإجماع أو بغيره من الأدلّة، ولما كان الشكّ فيه في عروض القادح أو قدح العارض</w:t>
      </w:r>
      <w:r>
        <w:rPr>
          <w:rFonts w:eastAsia="Amiri" w:cs="Amiri" w:ascii="Amiri" w:hAnsi="Amiri"/>
          <w:color w:val="111111"/>
          <w:sz w:val="28"/>
          <w:szCs w:val="28"/>
          <w:rtl w:val="true"/>
          <w:lang w:bidi="ar-SA"/>
        </w:rPr>
        <w:t xml:space="preserve">. </w:t>
      </w:r>
      <w:bookmarkStart w:id="1328" w:name="pg18988_203708"/>
    </w:p>
    <w:p>
      <w:pPr>
        <w:pStyle w:val="BookText"/>
        <w:rPr/>
      </w:pPr>
      <w:bookmarkEnd w:id="1328"/>
      <w:r>
        <w:rPr>
          <w:rFonts w:ascii="Amiri" w:hAnsi="Amiri" w:eastAsia="Amiri" w:cs="Amiri"/>
          <w:color w:val="111111"/>
          <w:sz w:val="28"/>
          <w:sz w:val="28"/>
          <w:szCs w:val="28"/>
          <w:rtl w:val="true"/>
          <w:lang w:bidi="ar-SA"/>
        </w:rPr>
        <w:t>وأمّا استصحاب طهارة الملاقي فاستصحاب نجاسة المحلّ وارد عليه، والوارد حاكم على المورود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العجين النجس، سواء جفّت رطوبته أو بقي رطباً؛ للاستصحاب، وفتوى أكثر الأصحاب</w:t>
      </w:r>
      <w:r>
        <w:rPr>
          <w:rStyle w:val="FootnoteAnchor"/>
          <w:rtl w:val="true"/>
        </w:rPr>
        <w:footnoteReference w:id="3078"/>
      </w:r>
      <w:r>
        <w:rPr>
          <w:rFonts w:ascii="IRNazanin" w:hAnsi="IRNazanin" w:eastAsia="IRNazanin"/>
          <w:color w:val="111111"/>
          <w:sz w:val="28"/>
          <w:sz w:val="28"/>
          <w:szCs w:val="28"/>
          <w:rtl w:val="true"/>
          <w:lang w:bidi="fa-IR"/>
        </w:rPr>
        <w:t>،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كالصحيح الآمر ببيعه ممّن يستحلّ الميتة</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الآمر بدفنه وعدم بيعه</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الدالّ على أنّه فسد وأنّه يباع على اليهود والنصارى بعد ما تبيّن لهم</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الصحيح عن ابن أبي عمير في عجين خبز وعلم أنّ الماء كانت فيه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أصابته النار فلا بأس</w:t>
      </w:r>
      <w:r>
        <w:rPr>
          <w:rFonts w:eastAsia="Amiri" w:cs="Amiri" w:ascii="Amiri" w:hAnsi="Amiri"/>
          <w:color w:val="111111"/>
          <w:sz w:val="28"/>
          <w:szCs w:val="28"/>
          <w:rtl w:val="true"/>
          <w:lang w:bidi="ar-SA"/>
        </w:rPr>
        <w:t>»</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عجين عجن بماء بئر يموت فيها الفأرة أو غيرها من الدوابّ،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لا يقاومان ما قدّمنا ، مضافاً إلى احتمال كون الميتة ميتة ما لا نفس له، وكون البئر غير متغيّرةٍ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بيعه جائز؛ لأنّه ليس من المائعات التي لا تقبل التطهير، بل يمكن تطهيره و انتفاع الدوابّ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ببيعه على اليهود والنصارى بعد إعلامهم محمول على الندب ؛ لأنّ شبيه الشيء منجذب إليه، وكذا الأمر بدفنه؛ لحسن تخليص المسلمين من وقوعهم في استعمال النجس</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3198369_1280447820"/>
      <w:bookmarkStart w:id="1330" w:name="_Toc511"/>
      <w:bookmarkEnd w:id="1329"/>
      <w:r>
        <w:rPr>
          <w:rtl w:val="true"/>
        </w:rPr>
        <w:t>خامسها</w:t>
      </w:r>
      <w:r>
        <w:rPr>
          <w:rtl w:val="true"/>
        </w:rPr>
        <w:t xml:space="preserve">: </w:t>
      </w:r>
      <w:r>
        <w:rPr>
          <w:rtl w:val="true"/>
        </w:rPr>
        <w:t>الاستحالۀ</w:t>
      </w:r>
      <w:bookmarkEnd w:id="1330"/>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الانتقال من حقيقةٍ إلى حقيقةٍ أُخرى، لا مجرّد طريان اسم آخَر، كالحنطة والدقيق والعجين والخبز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مطهّرة في الجملة إجماعاً محصّلاً ومنقولاً</w:t>
      </w:r>
      <w:r>
        <w:rPr>
          <w:rStyle w:val="FootnoteAnchor"/>
          <w:rtl w:val="true"/>
        </w:rPr>
        <w:footnoteReference w:id="3084"/>
      </w:r>
      <w:r>
        <w:rPr>
          <w:rFonts w:ascii="Amiri" w:hAnsi="Amiri" w:eastAsia="Amiri" w:cs="Amiri"/>
          <w:color w:val="111111"/>
          <w:sz w:val="28"/>
          <w:sz w:val="28"/>
          <w:szCs w:val="28"/>
          <w:rtl w:val="true"/>
          <w:lang w:bidi="ar-SA"/>
        </w:rPr>
        <w:t>، بل كلّ ما دلّ على طهارة الأشياء، أو طهارة المستحيل إليه من ملحٍ، كاستحالة الكلب ملحاً، أو حيوانٍ، كاستحالة النطفة حيواناً، أو دوداً، وترابٍ كاستحالة العذرة أو الميتة أو الدم دوداً أو تراباً، أو روث حيوان آخَر أو دمه أو فضلته، كاستحالة الماء النجس بولاً لما يؤكل لحمه، أو الطعام النجس روثاً له، أو الدم النجس دماً لما ليس له نفس سائلة، كالبقّ والبرغوث، أو جزء من البقول والخضروات،كاستحالة الماء النجس جزءاً من ماء الزرع، أو الخضر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وصف النجاسة هاهنا مقطوع أيضاً؛ لتبدّل الموضوع عرفاً، وانقطاع الاستصحاب بتبدّله، ولا يدور الأمر في الاستصحاب مدار تبدّل الموضوع حقيقة واقعيّة؛ لأنه أمر لا يعلمه إلّا علّام الغيوب، ولا مدار تبدل الأسماء فقط؛ لعدم تبدّل الموضوعات العرفيّة بتبدّلها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عين النجاسة الدائر وصف النجاسة مدار نوعها ظاهراً، وأمّا المتنجّس الدائر وصف النجاسة مدار شخصه وذاته، فإنّ استصحاب النجاسة فيه غير منقطع، وتبدّل موضوعه لا يدلّ على تبدّل حكمه اللاحق، لا من حيثيّة نفسه بل من حيثيّة لحوق وصف خارجيّ مشكوك في بقائه في الآن الثاني، بل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فاستحالة المتنجّس لا تقضي بطهارته من جهة الاستصحاب للنجاسة، مع عدم القطع بالمزيل، ولكنّ الإجماع والسيرة القطعيّة قاضيان بطهارة المستحيل من المتنجّس استحالةً لا يبعد عنها الموضوع الأوّل أصلاً ورأساً، كاستحالة الماء النجس بولاً لحيوان أو لبناً، والطعام النجس روثاً، أو الخبز النجس دوداً، والماء النجس جزءاً من زرع أو بقل أو خضر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إشكال فيه، كما لا إشكال في بقاء النجاسة لو استحال الحطب أو الحجر أو اللحم أو الطعام المتنجّسات رماداً أو فحماً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الإشكال في مثل استحالة الحطب النجس دخاناً ، أو الماء النجس بخاراً، أو الدهن النجس دخاناً ، سيّما لو عاد الدخان جرماً والبخار ماءً، وهكذا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هنا الطهارة أيضاً؛ للزوم العسر والحرج لولا ذلك، ولتوفّر الدواعي إلى بيان </w:t>
      </w:r>
      <w:bookmarkStart w:id="1331" w:name="pg18988_203710"/>
    </w:p>
    <w:p>
      <w:pPr>
        <w:pStyle w:val="BookText"/>
        <w:rPr/>
      </w:pPr>
      <w:bookmarkEnd w:id="1331"/>
      <w:r>
        <w:rPr>
          <w:rFonts w:ascii="Amiri" w:hAnsi="Amiri" w:eastAsia="Amiri" w:cs="Amiri"/>
          <w:color w:val="111111"/>
          <w:sz w:val="28"/>
          <w:sz w:val="28"/>
          <w:szCs w:val="28"/>
          <w:rtl w:val="true"/>
          <w:lang w:bidi="ar-SA"/>
        </w:rPr>
        <w:t>حكم النجاسة فيه لو كان نجساً، وليس في الأخبار منه عين ولا أثر، وللسيرة القاضية بالطهارة، كما قضت بها في القسم الأوّل، والمقام يحتاج إلى تأمّلٍ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طهارة الكلب في المملحة عدم انفعالها به وإلّا بقى حكم النجاسة، كما أنّ محلّ العذرة الرطبة عند استحالتها باقٍ على حكمه، والطهارة بالتبعيّة هنا غير معقولة، ولا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ممّا ذكرنا يمكن إدخاله في الانتقال لا في الاستحالة، ويكون الدليل عليه ما ذكرنا</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3198371_1280447820"/>
      <w:bookmarkStart w:id="1333" w:name="_Toc512"/>
      <w:bookmarkEnd w:id="1332"/>
      <w:r>
        <w:rPr>
          <w:rtl w:val="true"/>
        </w:rPr>
        <w:t>سادسها</w:t>
      </w:r>
      <w:r>
        <w:rPr>
          <w:rtl w:val="true"/>
        </w:rPr>
        <w:t xml:space="preserve">: </w:t>
      </w:r>
      <w:r>
        <w:rPr>
          <w:rtl w:val="true"/>
        </w:rPr>
        <w:t>الانقلاب</w:t>
      </w:r>
      <w:bookmarkEnd w:id="1333"/>
    </w:p>
    <w:p>
      <w:pPr>
        <w:pStyle w:val="BookText"/>
        <w:rPr/>
      </w:pPr>
      <w:r>
        <w:rPr>
          <w:rFonts w:ascii="Amiri" w:hAnsi="Amiri" w:eastAsia="Amiri" w:cs="Amiri"/>
          <w:color w:val="111111"/>
          <w:sz w:val="28"/>
          <w:sz w:val="28"/>
          <w:szCs w:val="28"/>
          <w:rtl w:val="true"/>
          <w:lang w:bidi="ar-SA"/>
        </w:rPr>
        <w:t>الانقلاب من المطهّرات للإجماع بقسميه</w:t>
      </w:r>
      <w:r>
        <w:rPr>
          <w:rStyle w:val="FootnoteAnchor"/>
          <w:rtl w:val="true"/>
        </w:rPr>
        <w:footnoteReference w:id="3085"/>
      </w:r>
      <w:r>
        <w:rPr>
          <w:rFonts w:ascii="Amiri" w:hAnsi="Amiri" w:eastAsia="Amiri" w:cs="Amiri"/>
          <w:color w:val="111111"/>
          <w:sz w:val="28"/>
          <w:sz w:val="28"/>
          <w:szCs w:val="28"/>
          <w:rtl w:val="true"/>
          <w:lang w:bidi="ar-SA"/>
        </w:rPr>
        <w:t>، ولما مرّ في الاستحالة، وللأخبار الدالّة على طهارة الخمر عند انقلابه خَلاًّ، وظاهرها عدم الفرق بين انقلابه بنفسه أو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 زرارة عن الخمر يجعل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العصير يصير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تحوّل عن اسم الخمر فلا بأس</w:t>
      </w:r>
      <w:r>
        <w:rPr>
          <w:rFonts w:eastAsia="Amiri" w:cs="Amiri" w:ascii="Amiri" w:hAnsi="Amiri"/>
          <w:color w:val="111111"/>
          <w:sz w:val="28"/>
          <w:szCs w:val="28"/>
          <w:rtl w:val="true"/>
          <w:lang w:bidi="ar-SA"/>
        </w:rPr>
        <w:t>»</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يصبّ عليه الخَلّ أو شيء يغيّره حتّى يصير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عن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وأفسدها</w:t>
      </w:r>
      <w:r>
        <w:rPr>
          <w:rFonts w:eastAsia="Amiri" w:cs="Amiri" w:ascii="Amiri" w:hAnsi="Amiri"/>
          <w:color w:val="111111"/>
          <w:sz w:val="28"/>
          <w:szCs w:val="28"/>
          <w:rtl w:val="true"/>
          <w:lang w:bidi="ar-SA"/>
        </w:rPr>
        <w:t>»</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ويطهر ما يعالج به تبعاً لطهارتها، وكذا أوانيها وآلاتها؛ لإطلاق الأدلّة، ولمكان التلازم بين طهارة الحال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استحالة ما يعالج به خمراً أو لا، وبين استحالته خَلّاً قبل استحالتها أو بعدها، وبين عدم استحالته؛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طُرحت فيها أجسام طاهرة لا للعلاج فتنجّست فيها ، فإن استحالت معها خَلّاً فالظاهر طهارتها؛ لعدم زيادة الفرع على الأصل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بقاؤها على النجاسة؛ لأنّ المتيقّن من طهارة الخمر بالانقلاب وطهارة الآلات والأواني هو ما إذا انفرد لنفسه أو جامعه ما يعالج به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تستحلّ معها خلاً،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طهارتها تبعاً، كالأواني والآلات؛ ومن استصحاب حكم نجاستها فينجس الخَلّ بها،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فيها أجسام ،نجسة، فإن كانت للعلاج واستحالت خمراً ثمّ استحالت معها خَلّاً فالأظهر الطهارة؛ وإن لم تستحل معها خَلاًّ فوجهان، والأحوط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للعلاج فإن استحالت خمراً ثمّ استحالت خَلّاً،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وإن لم تستحل خمراً بل استحالت معها خَلّاً ،فوجهان، أحوطهما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بقيت من دون استحالةٍ، فلا يبعد الحكم بالنجاسة؛ استصحاباً لحكمها فيتنجّس الخلّ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كانت أجسام متنجّسة، ولو كانت أجسام نجسة عيناً فبقيت غير مستحيلة إلى حين التخليل فلا شكّ بتنجّس الخَلّ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وكحكم الخمر حكم العصير في طهارته بالتخليل؛ للرواية </w:t>
      </w:r>
      <w:r>
        <w:rPr>
          <w:rStyle w:val="FootnoteAnchor"/>
          <w:rtl w:val="true"/>
        </w:rPr>
        <w:footnoteReference w:id="3090"/>
      </w:r>
      <w:r>
        <w:rPr>
          <w:rFonts w:ascii="Amiri" w:hAnsi="Amiri" w:eastAsia="Amiri" w:cs="Amiri"/>
          <w:color w:val="111111"/>
          <w:sz w:val="28"/>
          <w:sz w:val="28"/>
          <w:szCs w:val="28"/>
          <w:rtl w:val="true"/>
          <w:lang w:bidi="ar-SA"/>
        </w:rPr>
        <w:t>وفتوى الأصحاب، بل ربما يدّعى أنّه أولى من الخمر في حصول الطهارة بتخليله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تطهير الخمر بالعلاج بين صبّ الخمر على الخَلّ وصبّه على الخمر؛ وبين غلبة الخمر على الخَلّ والعكس، وبين استهلاك الخمر في الخَلّ؛ وبين العكس؛ لإطلاق الروايات</w:t>
      </w:r>
      <w:r>
        <w:rPr>
          <w:rStyle w:val="FootnoteAnchor"/>
          <w:rtl w:val="true"/>
        </w:rPr>
        <w:footnoteReference w:id="3091"/>
      </w:r>
      <w:r>
        <w:rPr>
          <w:rFonts w:ascii="Amiri" w:hAnsi="Amiri" w:eastAsia="Amiri" w:cs="Amiri"/>
          <w:color w:val="111111"/>
          <w:sz w:val="28"/>
          <w:sz w:val="28"/>
          <w:szCs w:val="28"/>
          <w:rtl w:val="true"/>
          <w:lang w:bidi="ar-SA"/>
        </w:rPr>
        <w:t>والفتوى في طهارة الخمر بالعلاج الذي منه الامتزاج الصادق على الكثير والقليل، وحينئذٍ فيظهر الكثير من الخمر بعد تنجيسه بوضع قليل من الخَلّ عليه لو انقلب ذلك الخمر خَلّاً</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معرفة انقلاب الخمر خَلّاً عند الاشتباه القطع به عند أهل المعرفة والعمل، وإلّا فيجب الانتظار إلى زمن القطع ، ولا يكفي في معرفة الانقلاب انقلاب الخمرة الصرفة إذا وقع الشك في انقلاب الممزوجة، كما عن الشيخ </w:t>
      </w:r>
      <w:r>
        <w:rPr>
          <w:rStyle w:val="FootnoteAnchor"/>
          <w:rtl w:val="true"/>
        </w:rPr>
        <w:footnoteReference w:id="3092"/>
      </w:r>
      <w:r>
        <w:rPr>
          <w:rFonts w:ascii="Amiri" w:hAnsi="Amiri" w:eastAsia="Amiri" w:cs="Amiri"/>
          <w:color w:val="111111"/>
          <w:sz w:val="28"/>
          <w:sz w:val="28"/>
          <w:szCs w:val="28"/>
          <w:rtl w:val="true"/>
          <w:lang w:bidi="ar-SA"/>
        </w:rPr>
        <w:t>، ودلّت عليه رواية</w:t>
      </w:r>
      <w:r>
        <w:rPr>
          <w:rStyle w:val="FootnoteAnchor"/>
          <w:rtl w:val="true"/>
        </w:rPr>
        <w:footnoteReference w:id="3093"/>
      </w:r>
      <w:r>
        <w:rPr>
          <w:rFonts w:ascii="Amiri" w:hAnsi="Amiri" w:eastAsia="Amiri" w:cs="Amiri"/>
          <w:color w:val="111111"/>
          <w:sz w:val="28"/>
          <w:sz w:val="28"/>
          <w:szCs w:val="28"/>
          <w:rtl w:val="true"/>
          <w:lang w:bidi="ar-SA"/>
        </w:rPr>
        <w:t>لضعف الرواية بإعراض الأصحاب عنها، ونقل الإجماع على خلافها</w:t>
      </w:r>
      <w:r>
        <w:rPr>
          <w:rStyle w:val="FootnoteAnchor"/>
          <w:rtl w:val="true"/>
        </w:rPr>
        <w:footnoteReference w:id="3094"/>
      </w:r>
      <w:r>
        <w:rPr>
          <w:rFonts w:ascii="Amiri" w:hAnsi="Amiri" w:eastAsia="Amiri" w:cs="Amiri"/>
          <w:color w:val="111111"/>
          <w:sz w:val="28"/>
          <w:sz w:val="28"/>
          <w:szCs w:val="28"/>
          <w:rtl w:val="true"/>
          <w:lang w:bidi="ar-SA"/>
        </w:rPr>
        <w:t xml:space="preserve">، بل لا بدّ من القطع بانقلاب الممزوجة، سواء انقلبت الصرفة المأخوذة منها أم لا، وعلى ذلك فلو أُدير خمر من إناء على إناء فيه خلّ وجب </w:t>
      </w:r>
      <w:bookmarkStart w:id="1334" w:name="pg18988_203712"/>
    </w:p>
    <w:p>
      <w:pPr>
        <w:pStyle w:val="BookText"/>
        <w:rPr/>
      </w:pPr>
      <w:bookmarkEnd w:id="1334"/>
      <w:r>
        <w:rPr>
          <w:rFonts w:ascii="Amiri" w:hAnsi="Amiri" w:eastAsia="Amiri" w:cs="Amiri"/>
          <w:color w:val="111111"/>
          <w:sz w:val="28"/>
          <w:sz w:val="28"/>
          <w:szCs w:val="28"/>
          <w:rtl w:val="true"/>
          <w:lang w:bidi="ar-SA"/>
        </w:rPr>
        <w:t>انتظار الإناء الثاني إلى استحالة الخمر فيه، ولا يدور الحكم باستحالته مدار انقلاب الخمر المأخوذ منه، فإن استحال استحال،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ورد في بعض الأخبار الصحيحة والموثّقة المنع من الخمر المعالج بالخَلّ، وأنّ الحلال هو ما يجيء من قِبَل نفسه</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عن مقاومة الأخبار المتقدّمة المنجبرة بالفتوى وظاهر الإجماع، فتُحمل هذه الأخبار على الكراهة، أو على ما يغلب عليها من الخَلّ فيظنّ الانقلاب وليس كذلك ، أو على ما كان المعالج به نجساً ، أو على ما كان المعالج قبل علاجه نجساً بغير النجاسة الخمريّة</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3198373_1280447820"/>
      <w:bookmarkStart w:id="1336" w:name="_Toc513"/>
      <w:bookmarkEnd w:id="1335"/>
      <w:r>
        <w:rPr>
          <w:rtl w:val="true"/>
        </w:rPr>
        <w:t>سابعها</w:t>
      </w:r>
      <w:r>
        <w:rPr>
          <w:rtl w:val="true"/>
        </w:rPr>
        <w:t xml:space="preserve">: </w:t>
      </w:r>
      <w:r>
        <w:rPr>
          <w:rtl w:val="true"/>
        </w:rPr>
        <w:t>الإسلام</w:t>
      </w:r>
      <w:bookmarkEnd w:id="1336"/>
    </w:p>
    <w:p>
      <w:pPr>
        <w:pStyle w:val="BookText"/>
        <w:rPr/>
      </w:pPr>
      <w:r>
        <w:rPr>
          <w:rFonts w:ascii="Amiri" w:hAnsi="Amiri" w:eastAsia="Amiri" w:cs="Amiri"/>
          <w:color w:val="111111"/>
          <w:sz w:val="28"/>
          <w:sz w:val="28"/>
          <w:szCs w:val="28"/>
          <w:rtl w:val="true"/>
          <w:lang w:bidi="ar-SA"/>
        </w:rPr>
        <w:t>الإسلام مطهّر للكافر؛ إجماعاً محصلاً ومنقولاً</w:t>
      </w:r>
      <w:r>
        <w:rPr>
          <w:rStyle w:val="FootnoteAnchor"/>
          <w:rtl w:val="true"/>
        </w:rPr>
        <w:footnoteReference w:id="3096"/>
      </w:r>
      <w:r>
        <w:rPr>
          <w:rFonts w:ascii="IRNazanin" w:hAnsi="IRNazanin" w:eastAsia="IRNazanin"/>
          <w:color w:val="111111"/>
          <w:sz w:val="28"/>
          <w:sz w:val="28"/>
          <w:szCs w:val="28"/>
          <w:rtl w:val="true"/>
          <w:lang w:bidi="fa-IR"/>
        </w:rPr>
        <w:t>، ولفوات وصف الكفر المقتضي للنجاسة عند الإسلام فيتبعه حكم النجاسة، ولا يجري الاستصحاب هنا؛ لتبدّل الموضوع؛ لأنّ الحكم معلّق على النوع، لا على الشخص نفسه، ولأنّ الإسلام يجبپُ ما قبله</w:t>
      </w:r>
      <w:r>
        <w:rPr>
          <w:rStyle w:val="FootnoteAnchor"/>
          <w:rtl w:val="true"/>
        </w:rPr>
        <w:footnoteReference w:id="3097"/>
      </w:r>
      <w:r>
        <w:rPr>
          <w:rFonts w:ascii="Amiri" w:hAnsi="Amiri" w:eastAsia="Amiri" w:cs="Amiri"/>
          <w:color w:val="111111"/>
          <w:sz w:val="28"/>
          <w:sz w:val="28"/>
          <w:szCs w:val="28"/>
          <w:rtl w:val="true"/>
          <w:lang w:bidi="ar-SA"/>
        </w:rPr>
        <w:t>، وسؤره أحبّ من ركو أبيض مخمر</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ويتبعه في الطهارة عرقه و رطوباته المتّصلة به، بل ولا يبعد إلحاق ثيابه المتّصلة به حال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ثيابه المنفصلة وفراشه وأوانيه وجميع ما باشره حال الكفر فالظاهر بقاؤها على النجاسة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جارٍ في جميع أنواع الكفر إذا أسلم عنها صاحبها، ما عدا المرتدّ الفطري الذي لا توبة له، فإنّه يبقى على نجاسته، ويتعلّق به الخطاب بالإسلام والخطاب بالفروع وإن لم يمكن وقوعها منه ؛ لوقوع نفسه في ذلك بالاختيار ، وما بالاختيار لا ينافي الاختيار ، ولا نريد بتعلّق الخطاب والتكليف به الحقيقيّين كي يلزم التكليف بالمحال، وخلوّ الخطاب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نريد به الخطاب العقابي، بمعنى أنّه يعاقب على ترك الإسلام </w:t>
      </w:r>
      <w:bookmarkStart w:id="1337" w:name="pg18988_203713"/>
    </w:p>
    <w:p>
      <w:pPr>
        <w:pStyle w:val="BookText"/>
        <w:rPr/>
      </w:pPr>
      <w:bookmarkEnd w:id="1337"/>
      <w:r>
        <w:rPr>
          <w:rFonts w:ascii="Amiri" w:hAnsi="Amiri" w:eastAsia="Amiri" w:cs="Amiri"/>
          <w:color w:val="111111"/>
          <w:sz w:val="28"/>
          <w:sz w:val="28"/>
          <w:szCs w:val="28"/>
          <w:rtl w:val="true"/>
          <w:lang w:bidi="ar-SA"/>
        </w:rPr>
        <w:t>والفروع وإن لم يكونا مقدورين له؛ لصدور الكفر منه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الفطري يقبل منه الإسلام والعبادات ويعود طاهراً بعد إسلامه؛ لعموم أدلّة العقل والنقل الدالّة على حسن التوبة، وفضله تعالى وسعة رحمته، وعموم التكليف لكلّ أحد، وأن المسلم طاهر لا ينجس، وأنّ الله إمّا أن يسقط عنه التكليف أصلاً، وهو مخالف لعموم الكتاب والسنّة، وإمّا أن يكلّفه فيأتي بما كلّف به ومع ذلك لا يقبله منه، فهو منافٍ لظاهر الدليل العقلي والنقلي أيضاً من أنّه لكلّ امرئ ما سعى</w:t>
      </w:r>
      <w:r>
        <w:rPr>
          <w:rStyle w:val="FootnoteAnchor"/>
          <w:rtl w:val="true"/>
        </w:rPr>
        <w:footnoteReference w:id="3099"/>
      </w:r>
      <w:r>
        <w:rPr>
          <w:rFonts w:ascii="Amiri" w:hAnsi="Amiri" w:eastAsia="Amiri" w:cs="Amiri"/>
          <w:color w:val="111111"/>
          <w:sz w:val="28"/>
          <w:sz w:val="28"/>
          <w:szCs w:val="28"/>
          <w:rtl w:val="true"/>
          <w:lang w:bidi="ar-SA"/>
        </w:rPr>
        <w:t xml:space="preserve">، ومَنْ يعمل مثقال ذرّة </w:t>
      </w:r>
      <w:r>
        <w:rPr>
          <w:rFonts w:eastAsia="Amiri" w:cs="Amiri" w:ascii="Amiri" w:hAnsi="Amiri"/>
          <w:color w:val="111111"/>
          <w:sz w:val="28"/>
          <w:szCs w:val="28"/>
          <w:rtl w:val="true"/>
          <w:lang w:bidi="ar-SA"/>
        </w:rPr>
        <w:t>)</w:t>
      </w:r>
      <w:r>
        <w:rPr>
          <w:rStyle w:val="FootnoteAnchor"/>
          <w:rtl w:val="true"/>
        </w:rPr>
        <w:footnoteReference w:id="3100"/>
      </w:r>
      <w:r>
        <w:rPr>
          <w:rFonts w:ascii="Amiri" w:hAnsi="Amiri" w:eastAsia="Amiri" w:cs="Amiri"/>
          <w:color w:val="111111"/>
          <w:sz w:val="28"/>
          <w:sz w:val="28"/>
          <w:szCs w:val="28"/>
          <w:rtl w:val="true"/>
          <w:lang w:bidi="ar-SA"/>
        </w:rPr>
        <w:t>وإمّا أن يكلّفه بمشروط ولكن لمّا لم يأتِ بشرطه كان فاسداً، فهو أيضاً منافٍ لظواهر الأدلّة العقليّة والنقليّة من قبح الخطاب بالمشروط مع علم الآمر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 أنّه قد فوّت الشرط باختياره فيصحّ تعلّق الخطاب به، ممنوعٌ؛ لأنّ التكليف العارض كالتكليف الأصلي لا يجوز تعلّقهما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والتعلّق بأنّ الخطاب والتكليف عقابيّين لا حقيقيّين، خلاف ظاهر الكتاب والسنّة الدالّة على الخطاب والتكليف أوّلاً، وعوده إلى نفي التكليف والخطاب عنه ثانياً، وهو منافٍ لأدلّة العقل والنقل ظاهراً، فلم يبقَ حينئذٍ ما ينطبق على قواعد العدل وعموم الكتاب والسنّة سوى القول بقبول توبته وبصحّة عباداته وبطهارة بدنه؛ لتوقّف صحّة عباداته عليها، ولدخوله في المسلمين المحكوم بطهارتهم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وجوب قتله ، وبينونة زوجته وقسمة مواريثه مطلقاً</w:t>
      </w:r>
      <w:r>
        <w:rPr>
          <w:rStyle w:val="FootnoteAnchor"/>
          <w:rtl w:val="true"/>
        </w:rPr>
        <w:footnoteReference w:id="3101"/>
      </w:r>
      <w:r>
        <w:rPr>
          <w:rFonts w:ascii="Amiri" w:hAnsi="Amiri" w:eastAsia="Amiri" w:cs="Amiri"/>
          <w:color w:val="111111"/>
          <w:sz w:val="28"/>
          <w:sz w:val="28"/>
          <w:szCs w:val="28"/>
          <w:rtl w:val="true"/>
          <w:lang w:bidi="ar-SA"/>
        </w:rPr>
        <w:t>، لا يدلّ على نجاسته، ولا على بقاء كفره؛ لجواز عدم قبول توبته بالنسبة إلى الأحكام الثلاثة الأُول دون الطهارة والنجاسة، ودون قبول توبته باطناً، ودون قبول عباداته واقعاً؛ جمعاً بين ما قضت به القواعد وبين ما دلّت عليه الأخبار من لزوم قتله، وبينونة زوجته، وقسمة مواريثه، والمقام لا يخلو من إشكالٍ</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13198375_1280447820"/>
      <w:bookmarkStart w:id="1339" w:name="_Toc514"/>
      <w:bookmarkEnd w:id="1338"/>
      <w:r>
        <w:rPr>
          <w:rtl w:val="true"/>
        </w:rPr>
        <w:t>ثامنها</w:t>
      </w:r>
      <w:r>
        <w:rPr>
          <w:rtl w:val="true"/>
        </w:rPr>
        <w:t xml:space="preserve">: </w:t>
      </w:r>
      <w:r>
        <w:rPr>
          <w:rtl w:val="true"/>
        </w:rPr>
        <w:t>زوال عين النجاسة عن بدن الحیوان</w:t>
      </w:r>
      <w:bookmarkEnd w:id="1339"/>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زوال عين النجاسة الخارجيّة والداخليّة عن بدن الحيوان الصامت مطهّرٌ له؛ </w:t>
      </w:r>
      <w:bookmarkStart w:id="1340" w:name="pg18988_203714"/>
    </w:p>
    <w:p>
      <w:pPr>
        <w:pStyle w:val="BookText"/>
        <w:rPr/>
      </w:pPr>
      <w:bookmarkEnd w:id="1340"/>
      <w:r>
        <w:rPr>
          <w:rFonts w:ascii="Amiri" w:hAnsi="Amiri" w:eastAsia="Amiri" w:cs="Amiri"/>
          <w:color w:val="111111"/>
          <w:sz w:val="28"/>
          <w:sz w:val="28"/>
          <w:szCs w:val="28"/>
          <w:rtl w:val="true"/>
          <w:lang w:bidi="ar-SA"/>
        </w:rPr>
        <w:t>لفتوى الأصحاب، والإجماعات المنقولة</w:t>
      </w:r>
      <w:r>
        <w:rPr>
          <w:rStyle w:val="FootnoteAnchor"/>
          <w:rtl w:val="true"/>
        </w:rPr>
        <w:footnoteReference w:id="3102"/>
      </w:r>
      <w:r>
        <w:rPr>
          <w:rFonts w:ascii="Amiri" w:hAnsi="Amiri" w:eastAsia="Amiri" w:cs="Amiri"/>
          <w:color w:val="111111"/>
          <w:sz w:val="28"/>
          <w:sz w:val="28"/>
          <w:szCs w:val="28"/>
          <w:rtl w:val="true"/>
          <w:lang w:bidi="ar-SA"/>
        </w:rPr>
        <w:t>في الباب، ولزوم العسر والحرج المنفيّين</w:t>
      </w:r>
      <w:r>
        <w:rPr>
          <w:rStyle w:val="FootnoteAnchor"/>
          <w:rtl w:val="true"/>
        </w:rPr>
        <w:footnoteReference w:id="3103"/>
      </w:r>
      <w:r>
        <w:rPr>
          <w:rFonts w:ascii="Amiri" w:hAnsi="Amiri" w:eastAsia="Amiri" w:cs="Amiri"/>
          <w:color w:val="111111"/>
          <w:sz w:val="28"/>
          <w:sz w:val="28"/>
          <w:szCs w:val="28"/>
          <w:rtl w:val="true"/>
          <w:lang w:bidi="ar-SA"/>
        </w:rPr>
        <w:t xml:space="preserve">لولاه، والسيرة المستقيمة القطعيّة على مباشرة الحيوان مع العلم بتلويث رِجْليه ويديه وتلويث مخرجيه من عذرةٍ أو بولٍ أو منيٍّ، وتلويث فمه من أكل الجيف والعذرات، وتلويث جسمه بالدم والقذرات مع عدم بقائها وزوالها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غَسْلٍ عن المباشرة وتجنّبٍ عن ماء شربت منه أو وقعت فيه، مضافاً إلى ما جاء في الأخبار من طهارة سؤر الهّرة ونحوها </w:t>
      </w:r>
      <w:r>
        <w:rPr>
          <w:rStyle w:val="FootnoteAnchor"/>
          <w:rtl w:val="true"/>
        </w:rPr>
        <w:footnoteReference w:id="3104"/>
      </w:r>
      <w:r>
        <w:rPr>
          <w:rFonts w:ascii="Amiri" w:hAnsi="Amiri" w:eastAsia="Amiri" w:cs="Amiri"/>
          <w:color w:val="111111"/>
          <w:sz w:val="28"/>
          <w:sz w:val="28"/>
          <w:szCs w:val="28"/>
          <w:rtl w:val="true"/>
          <w:lang w:bidi="ar-SA"/>
        </w:rPr>
        <w:t>، وطهارة الطير إلّا أن يرى في منقاره دماً</w:t>
      </w:r>
      <w:r>
        <w:rPr>
          <w:rStyle w:val="FootnoteAnchor"/>
          <w:rtl w:val="true"/>
        </w:rPr>
        <w:footnoteReference w:id="3105"/>
      </w:r>
      <w:r>
        <w:rPr>
          <w:rFonts w:ascii="Amiri" w:hAnsi="Amiri" w:eastAsia="Amiri" w:cs="Amiri"/>
          <w:color w:val="111111"/>
          <w:sz w:val="28"/>
          <w:sz w:val="28"/>
          <w:szCs w:val="28"/>
          <w:rtl w:val="true"/>
          <w:lang w:bidi="ar-SA"/>
        </w:rPr>
        <w:t>، ونحو ذلك، بل قد يدّعى أنّ بدن الحيوان لا يتنجس أصلاً ورأساً؛ لأنّ دعوى أن كل نجس ينجس كلّ شيء حتى الحيوان محلٌ كلامٍ، والاستقراء والإجماع الدالّان على نجاسة المتنجّسات وكذا الأخبار عامّةٌ لغير الحيوان، وشمولها للحيوان غير ثابت من نصٍّ أو إجماعٍ، والأصل الطهارة</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3198377_1280447820"/>
      <w:bookmarkStart w:id="1342" w:name="_Toc515"/>
      <w:bookmarkEnd w:id="1341"/>
      <w:r>
        <w:rPr>
          <w:rtl w:val="true"/>
        </w:rPr>
        <w:t>تاسعها</w:t>
      </w:r>
      <w:r>
        <w:rPr>
          <w:rtl w:val="true"/>
        </w:rPr>
        <w:t xml:space="preserve">: </w:t>
      </w:r>
      <w:r>
        <w:rPr>
          <w:rtl w:val="true"/>
        </w:rPr>
        <w:t>زوال العين النجسة من الباطن</w:t>
      </w:r>
      <w:bookmarkEnd w:id="1342"/>
    </w:p>
    <w:p>
      <w:pPr>
        <w:pStyle w:val="BookText"/>
        <w:rPr/>
      </w:pPr>
      <w:r>
        <w:rPr>
          <w:rFonts w:ascii="Amiri" w:hAnsi="Amiri" w:eastAsia="Amiri" w:cs="Amiri"/>
          <w:color w:val="111111"/>
          <w:sz w:val="28"/>
          <w:sz w:val="28"/>
          <w:szCs w:val="28"/>
          <w:rtl w:val="true"/>
          <w:lang w:bidi="ar-SA"/>
        </w:rPr>
        <w:t>زوال العين النجسة من الباطن مطهّر له؛ لفتوى الأصحاب، والإجماع المنقول</w:t>
      </w:r>
      <w:r>
        <w:rPr>
          <w:rStyle w:val="FootnoteAnchor"/>
          <w:rtl w:val="true"/>
        </w:rPr>
        <w:footnoteReference w:id="3106"/>
      </w:r>
      <w:r>
        <w:rPr>
          <w:rFonts w:ascii="Amiri" w:hAnsi="Amiri" w:eastAsia="Amiri" w:cs="Amiri"/>
          <w:color w:val="111111"/>
          <w:sz w:val="28"/>
          <w:sz w:val="28"/>
          <w:szCs w:val="28"/>
          <w:rtl w:val="true"/>
          <w:lang w:bidi="ar-SA"/>
        </w:rPr>
        <w:t>في الباب، وللموثّق فيمن يسيل من أنفه الدم هل عليه أن يغسل باطنه؟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عليه أن يغسل ما ظهر منه</w:t>
      </w:r>
      <w:r>
        <w:rPr>
          <w:rFonts w:eastAsia="Amiri" w:cs="Amiri" w:ascii="Amiri" w:hAnsi="Amiri"/>
          <w:color w:val="111111"/>
          <w:sz w:val="28"/>
          <w:szCs w:val="28"/>
          <w:rtl w:val="true"/>
          <w:lang w:bidi="ar-SA"/>
        </w:rPr>
        <w:t>»</w:t>
      </w:r>
      <w:r>
        <w:rPr>
          <w:rStyle w:val="FootnoteAnchor"/>
          <w:rtl w:val="true"/>
        </w:rPr>
        <w:footnoteReference w:id="3107"/>
      </w:r>
      <w:r>
        <w:rPr>
          <w:rFonts w:ascii="Amiri" w:hAnsi="Amiri" w:eastAsia="Amiri" w:cs="Amiri"/>
          <w:color w:val="111111"/>
          <w:sz w:val="28"/>
          <w:sz w:val="28"/>
          <w:szCs w:val="28"/>
          <w:rtl w:val="true"/>
          <w:lang w:bidi="ar-SA"/>
        </w:rPr>
        <w:t>، وللخبرين الدالّين على أنّ اللازم غسل ما ظهر من المقعدة دون ما بطن</w:t>
      </w:r>
      <w:r>
        <w:rPr>
          <w:rStyle w:val="FootnoteAnchor"/>
          <w:rtl w:val="true"/>
        </w:rPr>
        <w:footnoteReference w:id="3108"/>
      </w:r>
      <w:r>
        <w:rPr>
          <w:rFonts w:ascii="Amiri" w:hAnsi="Amiri" w:eastAsia="Amiri" w:cs="Amiri"/>
          <w:color w:val="111111"/>
          <w:sz w:val="28"/>
          <w:sz w:val="28"/>
          <w:szCs w:val="28"/>
          <w:rtl w:val="true"/>
          <w:lang w:bidi="ar-SA"/>
        </w:rPr>
        <w:t>، ونفي الغسل في الأخبار بضميمة كلام الأخيار يدلّ على الطهارة، كما يدلّ لزوم الغسل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سقوط الغسل عفواً عن النجاسة في الصلاة بعيدٌ عن سياق الرواية وفتوى الأصحاب، بل ربما يقال بلزوم الإغراء بالجهل لو كانت النجاسة باقيةً؛ لظهور السؤال في الخبر عن النجاسة وجواز المباشرة، لا عن جواز الصلاة فيها وعدمه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المزبور السيرة القطعيّة بعدم غسل ما باشره الباطن المارّ عليه شيء </w:t>
      </w:r>
    </w:p>
    <w:p>
      <w:pPr>
        <w:pStyle w:val="BookText"/>
        <w:rPr/>
      </w:pPr>
      <w:r>
        <w:rPr>
          <w:rFonts w:ascii="Amiri" w:hAnsi="Amiri" w:eastAsia="Amiri" w:cs="Amiri"/>
          <w:color w:val="111111"/>
          <w:sz w:val="28"/>
          <w:sz w:val="28"/>
          <w:szCs w:val="28"/>
          <w:rtl w:val="true"/>
          <w:lang w:bidi="ar-SA"/>
        </w:rPr>
        <w:t>من النجاسات من مذي أو ودي أو قيح، من قُبل أو دُبر، ولم نرَ أحداً غَسل باطن عينه أو باطن أنفه أو أُذنه إلّا أُعيب عليه ونُسب للوسواس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يدّعى أنّ الباطن لا ينجس كي يحتاج إلى التطهير؛ إذ لا عموم في أنّ كلّ نجس ينجّس كلّ شيء، وليس إلّا الإجماع والاستقراء، وهُما ممنوعان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ما دامت في الباطن ليست نجسةً؛ لأنّه لا يقال عرفاً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حامل للنجاسة،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أدخل نجاسةً غير ملوّثة لمسجدٍ وشبهه، أو صلّى بنجاسةٍ محمولة مثلاً، أو أنّها نجسة لا تنجس؛ لعدم عمومٍ أو إجماعٍ دالين على أنّ كلّ نجاسة في كلّ محلّ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الدالّة على تنجيس النجاسات منصرفة إلى النجاسات الخارجة عن محلّها، لا الكائنة فيها، سيّما فيما لم تخرج من باطن إلى آخَر، كالعذرة في المعدة والدم في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انتقل من باطن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الأضراس النازل إلى الفم، والصدر الصاعد إليه، أو دم الدماغ النازل إلى الفم أو الأنف،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بنجاسته وتنجيسه لما يدخل إليه من الخارج، وإن خرج غير متلوّث له وجهٌ قويّ، وأمّا نفس الباطن فلا ينجس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فالأحوط تنظيف ما يكون بين الأسنان من الغذاء لو لاقته نجاسة من الفم، أو لاقته نجاسة في الفم دخلت إليه من الخارج؛ لأنّ ما يدخل في الباطن من الخارج غير ما يكون باطناً، ويشتدّ الاحتياط فيما لو كانت النجاسة من خارجٍ والمتنجّس من الخارج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الظاهر والباطن عرفيٌّ، ومع الشكّ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بأصالة الطهارة، وتوقّف الحكم بالتنجيس على الظاهر، ولم يثبت ومن ظواهر الأمر بغسل الملاقي للنجاسة، خرج الباطن قطعاً، ويبقى المشكوك به،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ما يكون بين الظفر واللحم ينبغي الاحتياط بغسله، بل لا يبعد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في غسله الإصابة دون الإجراء؛ للسيرة، ورفع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تكفي الإصابة في غسل الوسخ الكائن بينهما، ولا يحتاج إلى تخليله وقلعه؛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الباطن ظاهراً، جرى عليه حكم الظاهر، ولو انعكس بعد أن تنجّس فلا يبعد أنّه كذلك، والأحوط غسله</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وباطن الجرح لا يبعد أنّه من الباطن، ولكنّ الاحتياط في غسله؛ لأنّه بانشقاقه عاد كالظاهر</w:t>
      </w:r>
      <w:r>
        <w:rPr>
          <w:rFonts w:eastAsia="Amiri" w:cs="Amiri" w:ascii="Amiri" w:hAnsi="Amiri"/>
          <w:color w:val="111111"/>
          <w:sz w:val="28"/>
          <w:szCs w:val="28"/>
          <w:rtl w:val="true"/>
          <w:lang w:bidi="ar-SA"/>
        </w:rPr>
        <w:t xml:space="preserve">. </w:t>
      </w:r>
      <w:bookmarkStart w:id="1343" w:name="pg18988_203716"/>
    </w:p>
    <w:p>
      <w:pPr>
        <w:pStyle w:val="Heading4"/>
        <w:numPr>
          <w:ilvl w:val="3"/>
          <w:numId w:val="1"/>
        </w:numPr>
        <w:rPr/>
      </w:pPr>
      <w:bookmarkStart w:id="1344" w:name="__RefHeading___Toc13198379_1280447820"/>
      <w:bookmarkStart w:id="1345" w:name="_Toc516"/>
      <w:bookmarkEnd w:id="1343"/>
      <w:bookmarkEnd w:id="1344"/>
      <w:r>
        <w:rPr>
          <w:rtl w:val="true"/>
        </w:rPr>
        <w:t>عاشرها</w:t>
      </w:r>
      <w:r>
        <w:rPr>
          <w:rtl w:val="true"/>
        </w:rPr>
        <w:t xml:space="preserve">: </w:t>
      </w:r>
      <w:r>
        <w:rPr>
          <w:rtl w:val="true"/>
        </w:rPr>
        <w:t>الغيبة من المسلم</w:t>
      </w:r>
      <w:bookmarkEnd w:id="1345"/>
    </w:p>
    <w:p>
      <w:pPr>
        <w:pStyle w:val="BookText"/>
        <w:rPr/>
      </w:pPr>
      <w:r>
        <w:rPr>
          <w:rFonts w:ascii="Amiri" w:hAnsi="Amiri" w:eastAsia="Amiri" w:cs="Amiri"/>
          <w:color w:val="111111"/>
          <w:sz w:val="28"/>
          <w:sz w:val="28"/>
          <w:szCs w:val="28"/>
          <w:rtl w:val="true"/>
          <w:lang w:bidi="ar-SA"/>
        </w:rPr>
        <w:t>الغيبة من المسلم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حاضراً أو غاب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لبدنه؛ مع احتمال التطهير منه وعلمه بالنجاسة، سواء أخبر بطهارته أم لم 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يحتمل التطهير في حقّه، أو احتمل ولكن أخبر بالنجاسة، أو كان لم يعلم بالنجاسة، فالأقوى في جميع الصور الحكم ببقاء نجاسته، كما أنّه لو أخبر بالتطهير 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يلحق به الفعل القائم مقام القول من الدخول في المشروط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الطهارة فيما ذكرنا سيرة المسلمين، وطريقتهم المستقيمة على مباشرة مَنْ عُلمت نجاسته في وقتٍ سابق من دون سؤالٍ أو استفصال حالٍ، بل لو سأل عن ذلك سائل لعُدّ من أهل الوسواس، ولأنّا نعلم أنّ كلّ أحدٍ يبول ويتغوّط ويباشر النجاسة ويمني، وتحيض المرأة وتستحاض وتباشر ولدها، وغير ذلك من مباشرة أنواع النجاسات ليلاً ونهاراً، ومع ذلك نباشرهم أكلاً وشرباً، ولو دخل أحدهم في ماءٍ قليل أو صبّه على جسمه لباشرناه من غير إنكارٍ من أحدٍ من العلماء، بل المحتاطين أيضاً، ونقطع أنّ هذا الأمر متلقّى يداً عن يدٍ إلى بدء الإسلام، بل لا يبعد تسرية السيرة لثياب المسلم اللابس لها، ولفراشه المستعمل له بل لا يبعد تسريتها إلى غيبته مع جهله بالنجاسة وعدم علمه بها في بدن أو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الاحتياط في عدم قطع الاستصحاب بغير ما يقطع به، وإن استوجهه جماعة وأيّدوه باستصحاب طهارة الملاقي والسيرة ،ولكن قد عرفت ما في استصحاب طهارة الملاقي، والسيرة مع الجهل يشكّ في تحقّقها، فالاحتياط الشديد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والأعمى كلّ أحدٍ غائبٌ بالنسبة إليه مع احتمال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القطع بالحكم بالطهارة في الغيبة الطويلة من المسلم مع جهله بالنجاسة من السيرة القاطعة ، أيضاً، وكذلك الحكم بطهارة المجانين والأطفال مع غيبتهم الطويلة عن الإنسان ورجوعهم مع عدم تحقّق العلم منهم بالنجاسة</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3198381_1280447820"/>
      <w:bookmarkStart w:id="1347" w:name="_Toc517"/>
      <w:bookmarkEnd w:id="1346"/>
      <w:r>
        <w:rPr>
          <w:rtl w:val="true"/>
        </w:rPr>
        <w:t>حادي عشرها</w:t>
      </w:r>
      <w:r>
        <w:rPr>
          <w:rtl w:val="true"/>
        </w:rPr>
        <w:t xml:space="preserve">: </w:t>
      </w:r>
      <w:r>
        <w:rPr>
          <w:rtl w:val="true"/>
        </w:rPr>
        <w:t>ذهاب الثلثين مطهّر للعصير بالشمس أو النار</w:t>
      </w:r>
      <w:bookmarkEnd w:id="1347"/>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ذهاب الثلثين مطهّر للعصير إذا كان بالشمس أو النار ؛ للإجماع </w:t>
      </w:r>
      <w:bookmarkStart w:id="1348" w:name="pg18988_203717"/>
    </w:p>
    <w:p>
      <w:pPr>
        <w:pStyle w:val="BookText"/>
        <w:rPr/>
      </w:pPr>
      <w:bookmarkEnd w:id="1348"/>
      <w:r>
        <w:rPr>
          <w:rFonts w:ascii="IRNazanin" w:hAnsi="IRNazanin" w:eastAsia="IRNazanin"/>
          <w:color w:val="111111"/>
          <w:sz w:val="28"/>
          <w:sz w:val="28"/>
          <w:szCs w:val="28"/>
          <w:rtl w:val="true"/>
          <w:lang w:bidi="fa-IR"/>
        </w:rPr>
        <w:t>والأخبار</w:t>
      </w:r>
      <w:r>
        <w:rPr>
          <w:rStyle w:val="FootnoteAnchor"/>
          <w:rtl w:val="true"/>
        </w:rPr>
        <w:footnoteReference w:id="3109"/>
      </w:r>
      <w:r>
        <w:rPr>
          <w:rFonts w:ascii="Amiri" w:hAnsi="Amiri" w:eastAsia="Amiri" w:cs="Amiri"/>
          <w:color w:val="111111"/>
          <w:sz w:val="28"/>
          <w:sz w:val="28"/>
          <w:szCs w:val="28"/>
          <w:rtl w:val="true"/>
          <w:lang w:bidi="ar-SA"/>
        </w:rPr>
        <w:t>، ولو كان بغيرهما، فإن كان مع الغليان فالظاهر أنّه مثلهما، وإن كان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كتصفيق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عبرة به</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3198383_1280447820"/>
      <w:bookmarkStart w:id="1350" w:name="_Toc518"/>
      <w:bookmarkEnd w:id="1349"/>
      <w:r>
        <w:rPr>
          <w:rtl w:val="true"/>
        </w:rPr>
        <w:t>ثاني عشرها</w:t>
      </w:r>
      <w:r>
        <w:rPr>
          <w:rtl w:val="true"/>
        </w:rPr>
        <w:t xml:space="preserve">: </w:t>
      </w:r>
      <w:r>
        <w:rPr>
          <w:rtl w:val="true"/>
        </w:rPr>
        <w:t>زوال التغيير مطهّر للماء مع اتّصاله بالمعصوم، أو بلوغه كُرّاً</w:t>
      </w:r>
      <w:bookmarkEnd w:id="1350"/>
    </w:p>
    <w:p>
      <w:pPr>
        <w:pStyle w:val="BookText"/>
        <w:rPr/>
      </w:pPr>
      <w:r>
        <w:rPr>
          <w:rFonts w:ascii="Amiri" w:hAnsi="Amiri" w:eastAsia="Amiri" w:cs="Amiri"/>
          <w:color w:val="111111"/>
          <w:sz w:val="28"/>
          <w:sz w:val="28"/>
          <w:szCs w:val="28"/>
          <w:rtl w:val="true"/>
          <w:lang w:bidi="ar-SA"/>
        </w:rPr>
        <w:t>زوال التغيير مطهّر للماء مع اتّصاله بالمعصوم، أو بلوغه كُرّا على وجهٍ</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13198385_1280447820"/>
      <w:bookmarkStart w:id="1352" w:name="_Toc519"/>
      <w:bookmarkEnd w:id="1351"/>
      <w:r>
        <w:rPr>
          <w:rtl w:val="true"/>
        </w:rPr>
        <w:t>ثالث عشرها</w:t>
      </w:r>
      <w:r>
        <w:rPr>
          <w:rtl w:val="true"/>
        </w:rPr>
        <w:t xml:space="preserve">: </w:t>
      </w:r>
      <w:r>
        <w:rPr>
          <w:rtl w:val="true"/>
        </w:rPr>
        <w:t>نزح جميع البئر مع التغيير وكذا نزح المقادير</w:t>
      </w:r>
      <w:bookmarkEnd w:id="1352"/>
    </w:p>
    <w:p>
      <w:pPr>
        <w:pStyle w:val="BookText"/>
        <w:rPr/>
      </w:pPr>
      <w:r>
        <w:rPr>
          <w:rFonts w:ascii="Amiri" w:hAnsi="Amiri" w:eastAsia="Amiri" w:cs="Amiri"/>
          <w:color w:val="111111"/>
          <w:sz w:val="28"/>
          <w:sz w:val="28"/>
          <w:szCs w:val="28"/>
          <w:rtl w:val="true"/>
          <w:lang w:bidi="ar-SA"/>
        </w:rPr>
        <w:t>نزح جميع البئر مع التغيير مطهّر لها، وكذا نزح المقادير على القول بنجاستها</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13198387_1280447820"/>
      <w:bookmarkStart w:id="1354" w:name="_Toc520"/>
      <w:bookmarkEnd w:id="1353"/>
      <w:r>
        <w:rPr>
          <w:rtl w:val="true"/>
        </w:rPr>
        <w:t>رابع عشرها</w:t>
      </w:r>
      <w:r>
        <w:rPr>
          <w:rtl w:val="true"/>
        </w:rPr>
        <w:t xml:space="preserve">: </w:t>
      </w:r>
      <w:r>
        <w:rPr>
          <w:rtl w:val="true"/>
        </w:rPr>
        <w:t>مطهّریۀ خروج دم الذبيحة لباقي الدم المتخلّف فيها</w:t>
      </w:r>
      <w:bookmarkEnd w:id="1354"/>
    </w:p>
    <w:p>
      <w:pPr>
        <w:pStyle w:val="BookText"/>
        <w:rPr/>
      </w:pPr>
      <w:r>
        <w:rPr>
          <w:rFonts w:ascii="Amiri" w:hAnsi="Amiri" w:eastAsia="Amiri" w:cs="Amiri"/>
          <w:color w:val="111111"/>
          <w:sz w:val="28"/>
          <w:sz w:val="28"/>
          <w:szCs w:val="28"/>
          <w:rtl w:val="true"/>
          <w:lang w:bidi="ar-SA"/>
        </w:rPr>
        <w:t xml:space="preserve">خروج دم المذبح بتمامه مطهّر لباقي الدم المتخلّف في الذبيحة إجماعاً، وكذا دم النحر، وهو فيما يؤكل لحمه ممّا تخلّف فيما يؤكل منه لا إشكال فيه، وفي غير المأكول اللحم، أو في المأكول إذا تخلّف فيما لا 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والأحوط تجنّبهما</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3198389_1280447820"/>
      <w:bookmarkStart w:id="1356" w:name="_Toc521"/>
      <w:bookmarkEnd w:id="1355"/>
      <w:r>
        <w:rPr>
          <w:rtl w:val="true"/>
        </w:rPr>
        <w:t>خامس عشرها</w:t>
      </w:r>
      <w:r>
        <w:rPr>
          <w:rtl w:val="true"/>
        </w:rPr>
        <w:t xml:space="preserve">: </w:t>
      </w:r>
      <w:r>
        <w:rPr>
          <w:rtl w:val="true"/>
        </w:rPr>
        <w:t>تطهیر الحجر وما شابهه لمخرج الغائط</w:t>
      </w:r>
      <w:bookmarkEnd w:id="1356"/>
    </w:p>
    <w:p>
      <w:pPr>
        <w:pStyle w:val="BookText"/>
        <w:rPr/>
      </w:pPr>
      <w:r>
        <w:rPr>
          <w:rFonts w:ascii="Amiri" w:hAnsi="Amiri" w:eastAsia="Amiri" w:cs="Amiri"/>
          <w:color w:val="111111"/>
          <w:sz w:val="28"/>
          <w:sz w:val="28"/>
          <w:szCs w:val="28"/>
          <w:rtl w:val="true"/>
          <w:lang w:bidi="ar-SA"/>
        </w:rPr>
        <w:t>الحجر وما شابهه من آلات الاستنجاء مطهّرة لمخرج الغائط بالنصّ</w:t>
      </w:r>
      <w:r>
        <w:rPr>
          <w:rStyle w:val="FootnoteAnchor"/>
          <w:rtl w:val="true"/>
        </w:rPr>
        <w:footnoteReference w:id="3110"/>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Heading4"/>
        <w:numPr>
          <w:ilvl w:val="3"/>
          <w:numId w:val="1"/>
        </w:numPr>
        <w:rPr/>
      </w:pPr>
      <w:bookmarkStart w:id="1357" w:name="__RefHeading___Toc13198391_1280447820"/>
      <w:bookmarkStart w:id="1358" w:name="_Toc522"/>
      <w:bookmarkEnd w:id="1357"/>
      <w:r>
        <w:rPr>
          <w:rtl w:val="true"/>
        </w:rPr>
        <w:t>سادس عشرها</w:t>
      </w:r>
      <w:r>
        <w:rPr>
          <w:rtl w:val="true"/>
        </w:rPr>
        <w:t xml:space="preserve">: </w:t>
      </w:r>
      <w:r>
        <w:rPr>
          <w:rtl w:val="true"/>
        </w:rPr>
        <w:t>الانتقال</w:t>
      </w:r>
      <w:bookmarkEnd w:id="1358"/>
    </w:p>
    <w:p>
      <w:pPr>
        <w:pStyle w:val="BookText"/>
        <w:rPr/>
      </w:pPr>
      <w:r>
        <w:rPr>
          <w:rFonts w:ascii="Amiri" w:hAnsi="Amiri" w:eastAsia="Amiri" w:cs="Amiri"/>
          <w:color w:val="111111"/>
          <w:sz w:val="28"/>
          <w:sz w:val="28"/>
          <w:szCs w:val="28"/>
          <w:rtl w:val="true"/>
          <w:lang w:bidi="ar-SA"/>
        </w:rPr>
        <w:t>الانتقال مطهّر وإن لم تتحقّق معه الاستحالة، كانتقال دم الإنسان لحيوانٍ آخَر بحيث صار جزءاً منه، أو بوله وعذرته لبطن حيوانٍ آخَر، ولكنّ الظاهر هنا اشتراط التغيير والاستحالة بحيث يكون المنتقل جزءاً ممّا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التطهير في الانتقال في الجملة عمومات أدلّة طهارة المنتقل إليه، والسيرة القاضية بالحكم بالطهارة، ونفي العسر والحرج القاضيين بطهارته</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3198393_1280447820"/>
      <w:bookmarkStart w:id="1360" w:name="_Toc523"/>
      <w:bookmarkEnd w:id="1359"/>
      <w:r>
        <w:rPr>
          <w:rtl w:val="true"/>
        </w:rPr>
        <w:t>سابع عشرها</w:t>
      </w:r>
      <w:r>
        <w:rPr>
          <w:rtl w:val="true"/>
        </w:rPr>
        <w:t xml:space="preserve">: </w:t>
      </w:r>
      <w:r>
        <w:rPr>
          <w:rtl w:val="true"/>
        </w:rPr>
        <w:t>استبراء الجلّال</w:t>
      </w:r>
      <w:bookmarkEnd w:id="1360"/>
    </w:p>
    <w:p>
      <w:pPr>
        <w:pStyle w:val="BookText"/>
        <w:rPr/>
      </w:pPr>
      <w:r>
        <w:rPr>
          <w:rFonts w:ascii="Amiri" w:hAnsi="Amiri" w:eastAsia="Amiri" w:cs="Amiri"/>
          <w:color w:val="111111"/>
          <w:sz w:val="28"/>
          <w:sz w:val="28"/>
          <w:szCs w:val="28"/>
          <w:rtl w:val="true"/>
          <w:lang w:bidi="ar-SA"/>
        </w:rPr>
        <w:t>استبراء الجلّال مطهّر لعرقه وبوله وخرئه بما يُسمّى عرفاً أنّه غير جلّال، وأنّه خرج عن ذلك الوصف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استبراء الناقة بأربعين يوماً، والبقرة بعشرين والأربعون أحوط، والبطّة بخمسة، و الدجاجة بثلاثة، والأحوط مراعاة العرف بعد إكمال العدد</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3198395_1280447820"/>
      <w:bookmarkStart w:id="1362" w:name="_Toc524"/>
      <w:bookmarkEnd w:id="1361"/>
      <w:r>
        <w:rPr>
          <w:rtl w:val="true"/>
        </w:rPr>
        <w:t>ثامن عشرها</w:t>
      </w:r>
      <w:r>
        <w:rPr>
          <w:rtl w:val="true"/>
        </w:rPr>
        <w:t xml:space="preserve">: </w:t>
      </w:r>
      <w:r>
        <w:rPr>
          <w:rtl w:val="true"/>
        </w:rPr>
        <w:t>فی أنّ اتّصال الرطوبة بالمسلم عن كفره مطهّر لها</w:t>
      </w:r>
      <w:bookmarkEnd w:id="1362"/>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اتّصال الرطوبة بالمسلم عن كفره مطهّر لها وإن لم تكن من بدنه، إجماعاً و يمكن إدخالها فيما يطهر تبعاً</w:t>
      </w:r>
      <w:r>
        <w:rPr>
          <w:rFonts w:eastAsia="Amiri" w:cs="Amiri" w:ascii="Amiri" w:hAnsi="Amiri"/>
          <w:color w:val="111111"/>
          <w:sz w:val="28"/>
          <w:szCs w:val="28"/>
          <w:rtl w:val="true"/>
          <w:lang w:bidi="ar-SA"/>
        </w:rPr>
        <w:t xml:space="preserve">. </w:t>
      </w:r>
      <w:bookmarkStart w:id="1363" w:name="pg18988_203718"/>
    </w:p>
    <w:p>
      <w:pPr>
        <w:pStyle w:val="Heading4"/>
        <w:numPr>
          <w:ilvl w:val="3"/>
          <w:numId w:val="1"/>
        </w:numPr>
        <w:rPr/>
      </w:pPr>
      <w:bookmarkStart w:id="1364" w:name="__RefHeading___Toc13198397_1280447820"/>
      <w:bookmarkStart w:id="1365" w:name="_Toc525"/>
      <w:bookmarkEnd w:id="1363"/>
      <w:bookmarkEnd w:id="1364"/>
      <w:r>
        <w:rPr>
          <w:rtl w:val="true"/>
        </w:rPr>
        <w:t>تاسع عشرها</w:t>
      </w:r>
      <w:r>
        <w:rPr>
          <w:rtl w:val="true"/>
        </w:rPr>
        <w:t xml:space="preserve">: </w:t>
      </w:r>
      <w:r>
        <w:rPr>
          <w:rtl w:val="true"/>
        </w:rPr>
        <w:t>فی أنّ انفصال ماء الغسالة مطهّر للرطوبة الباقية على المحلّ المغسول</w:t>
      </w:r>
      <w:bookmarkEnd w:id="1365"/>
    </w:p>
    <w:p>
      <w:pPr>
        <w:pStyle w:val="BookText"/>
        <w:rPr/>
      </w:pPr>
      <w:r>
        <w:rPr>
          <w:rFonts w:ascii="Amiri" w:hAnsi="Amiri" w:eastAsia="Amiri" w:cs="Amiri"/>
          <w:color w:val="111111"/>
          <w:sz w:val="28"/>
          <w:sz w:val="28"/>
          <w:szCs w:val="28"/>
          <w:rtl w:val="true"/>
          <w:lang w:bidi="ar-SA"/>
        </w:rPr>
        <w:t>انفصال ماء الغسالة مطهّر للرطوبة الباقية على المحلّ المغسول بعد نجاسته، وكذا الماء المتقاطر عادة بعد انفصال الماء الذي يغسل به</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3198399_1280447820"/>
      <w:bookmarkStart w:id="1367" w:name="_Toc526"/>
      <w:bookmarkEnd w:id="1366"/>
      <w:r>
        <w:rPr>
          <w:rtl w:val="true"/>
        </w:rPr>
        <w:t>العشرون</w:t>
      </w:r>
      <w:r>
        <w:rPr>
          <w:rtl w:val="true"/>
        </w:rPr>
        <w:t xml:space="preserve">: </w:t>
      </w:r>
      <w:r>
        <w:rPr>
          <w:rtl w:val="true"/>
        </w:rPr>
        <w:t>التبعيّة</w:t>
      </w:r>
      <w:bookmarkEnd w:id="1367"/>
    </w:p>
    <w:p>
      <w:pPr>
        <w:pStyle w:val="BookText"/>
        <w:rPr/>
      </w:pPr>
      <w:r>
        <w:rPr>
          <w:rFonts w:ascii="Amiri" w:hAnsi="Amiri" w:eastAsia="Amiri" w:cs="Amiri"/>
          <w:color w:val="111111"/>
          <w:sz w:val="28"/>
          <w:sz w:val="28"/>
          <w:szCs w:val="28"/>
          <w:rtl w:val="true"/>
          <w:lang w:bidi="ar-SA"/>
        </w:rPr>
        <w:t>التبعيّة مطهّرة لآلات العصير بعد طهره، ولأواني الخمر بعد استحالته، ولآلات البئر بعد نزحها وحواشيها، بل وثياب النازح، ولِيَدَي غاسل الميّت، بل وثيابه، ولساجة الميّت وآلة التقليب بعد غسله، ولثياب الكافر، ولأولاده الصغار عند إسلامه، بل ولمملوكه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الجملة إجماعيٌّ، وتدلّ السيرة على جملةٍ ممّا ذكرناه من الأفراد، إلّا أنّه ينبغي الاحتياط في كثير من الموارد وتفصيلها في مواردها إن شاء الله تعالى</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للميّت قائم مقام الغسل، كان من جملة المطهّرات</w:t>
      </w:r>
      <w:r>
        <w:rPr>
          <w:rFonts w:eastAsia="Amiri" w:cs="Amiri" w:ascii="Amiri" w:hAnsi="Amiri"/>
          <w:color w:val="111111"/>
          <w:sz w:val="28"/>
          <w:szCs w:val="28"/>
          <w:rtl w:val="true"/>
          <w:lang w:bidi="ar-SA"/>
        </w:rPr>
        <w:t xml:space="preserve">. </w:t>
      </w:r>
      <w:bookmarkStart w:id="1368" w:name="pg18988_203719"/>
    </w:p>
    <w:p>
      <w:pPr>
        <w:pStyle w:val="Heading3"/>
        <w:numPr>
          <w:ilvl w:val="2"/>
          <w:numId w:val="1"/>
        </w:numPr>
        <w:rPr/>
      </w:pPr>
      <w:bookmarkStart w:id="1369" w:name="__RefHeading___Toc13198401_1280447820"/>
      <w:bookmarkStart w:id="1370" w:name="_Toc527"/>
      <w:bookmarkEnd w:id="1368"/>
      <w:bookmarkEnd w:id="1369"/>
      <w:r>
        <w:rPr>
          <w:rtl w:val="true"/>
        </w:rPr>
        <w:t>القول في أحكام التطهير بالماء</w:t>
      </w:r>
      <w:bookmarkEnd w:id="1370"/>
    </w:p>
    <w:p>
      <w:pPr>
        <w:pStyle w:val="Heading4"/>
        <w:numPr>
          <w:ilvl w:val="3"/>
          <w:numId w:val="1"/>
        </w:numPr>
        <w:rPr/>
      </w:pPr>
      <w:bookmarkStart w:id="1371" w:name="__RefHeading___Toc13198403_1280447820"/>
      <w:bookmarkStart w:id="1372" w:name="_Toc528"/>
      <w:bookmarkEnd w:id="1371"/>
      <w:r>
        <w:rPr>
          <w:rtl w:val="true"/>
        </w:rPr>
        <w:t>و فيه مباحث</w:t>
      </w:r>
      <w:r>
        <w:rPr>
          <w:rtl w:val="true"/>
        </w:rPr>
        <w:t>:</w:t>
      </w:r>
      <w:bookmarkEnd w:id="1372"/>
    </w:p>
    <w:p>
      <w:pPr>
        <w:pStyle w:val="Heading4"/>
        <w:numPr>
          <w:ilvl w:val="3"/>
          <w:numId w:val="1"/>
        </w:numPr>
        <w:rPr/>
      </w:pPr>
      <w:bookmarkStart w:id="1373" w:name="__RefHeading___Toc13198405_1280447820"/>
      <w:bookmarkStart w:id="1374" w:name="_Toc529"/>
      <w:bookmarkEnd w:id="1373"/>
      <w:r>
        <w:rPr>
          <w:rtl w:val="true"/>
        </w:rPr>
        <w:t>أحدها</w:t>
      </w:r>
      <w:r>
        <w:rPr>
          <w:rtl w:val="true"/>
        </w:rPr>
        <w:t xml:space="preserve">: </w:t>
      </w:r>
      <w:r>
        <w:rPr>
          <w:rtl w:val="true"/>
        </w:rPr>
        <w:t>وجوب تطهير البدن والثوب عن البول بالغسل بالماء مرّتين</w:t>
      </w:r>
      <w:bookmarkEnd w:id="1374"/>
    </w:p>
    <w:p>
      <w:pPr>
        <w:pStyle w:val="BookText"/>
        <w:rPr/>
      </w:pPr>
      <w:r>
        <w:rPr>
          <w:rFonts w:ascii="Amiri" w:hAnsi="Amiri" w:eastAsia="Amiri" w:cs="Amiri"/>
          <w:color w:val="111111"/>
          <w:sz w:val="28"/>
          <w:sz w:val="28"/>
          <w:szCs w:val="28"/>
          <w:rtl w:val="true"/>
          <w:lang w:bidi="ar-SA"/>
        </w:rPr>
        <w:t>يجب تطهير البدن والثوب عن البول في غير الاستنجاء وبول الصبيّ بالغسل بالماء مرّتين عرفاً؛ لمنقول الإجماع</w:t>
      </w:r>
      <w:r>
        <w:rPr>
          <w:rStyle w:val="FootnoteAnchor"/>
          <w:rtl w:val="true"/>
        </w:rPr>
        <w:footnoteReference w:id="3111"/>
      </w:r>
      <w:r>
        <w:rPr>
          <w:rFonts w:ascii="Amiri" w:hAnsi="Amiri" w:eastAsia="Amiri" w:cs="Amiri"/>
          <w:color w:val="111111"/>
          <w:sz w:val="28"/>
          <w:sz w:val="28"/>
          <w:szCs w:val="28"/>
          <w:rtl w:val="true"/>
          <w:lang w:bidi="ar-SA"/>
        </w:rPr>
        <w:t>، وفتوى المشهور، والاحتياط، واستصحاب النجاسة، إلّا مع القطع بالمزيل، والأخبار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يصيب الجسد،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والثوب يصيبه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يصيبه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يصيبه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 فإن غسلته في ماءٍ جارٍ فمرّة</w:t>
      </w:r>
      <w:r>
        <w:rPr>
          <w:rFonts w:eastAsia="Amiri" w:cs="Amiri" w:ascii="Amiri" w:hAnsi="Amiri"/>
          <w:color w:val="111111"/>
          <w:sz w:val="28"/>
          <w:szCs w:val="28"/>
          <w:rtl w:val="true"/>
          <w:lang w:bidi="ar-SA"/>
        </w:rPr>
        <w:t>»</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والثوب يصيبه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اكتفى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3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ولحصول التنظيف المطلوب من الغسل بها، أو اكتفى بالمرّة في البدن دون الثوب لما ذكرناه في البدن، ولورود الصحاح في لزوم التثنية في الثوب محجوجان بالأخبار المنجبرة بفتوى الأصحاب والاحتياط والإجماع المنقول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الاستصحاب وجَعْل هذا ممّا تعلّق الشك به ابتداءً؛ لوقوع الشكّ في وجوب المرّة أو المرّتين والأصل البراءة من التكليف الزائد لا وجه له بعد ثبوت حجّيّة الاستصحاب، وأنّ الشغل اليقيني محتاج إلى الفراغ اليقيني، وأنّه لا فرق بين الشكّ في عروض الفادح أو قدح العارض؛ فينقطع أصل البراءة حينئذٍ بالاستصحاب المحكّم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من الإطلاق فمحمولٌ على المقيّد؛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بعيدٌ عن سياق الأخبار، سيّما رواية المركن</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الاكتفاء في الاستنجاء من البول بمرّة واحدة قويّ؛ لانصراف هذه الأخبار الآمرة بالمرّتين لغير مورد الاستنجاء، ولفتوى جملة من الأصحاب </w:t>
      </w:r>
      <w:r>
        <w:rPr>
          <w:rStyle w:val="FootnoteAnchor"/>
          <w:rtl w:val="true"/>
        </w:rPr>
        <w:footnoteReference w:id="3119"/>
      </w:r>
      <w:r>
        <w:rPr>
          <w:rFonts w:ascii="Amiri" w:hAnsi="Amiri" w:eastAsia="Amiri" w:cs="Amiri"/>
          <w:color w:val="111111"/>
          <w:sz w:val="28"/>
          <w:sz w:val="28"/>
          <w:szCs w:val="28"/>
          <w:rtl w:val="true"/>
          <w:lang w:bidi="ar-SA"/>
        </w:rPr>
        <w:t>الموجبين للمرّتين هاهنا بالمرّة هناك؛ لظهور الأخبار هناك بالمرّة،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ينقى ما ثمّة</w:t>
      </w:r>
      <w:r>
        <w:rPr>
          <w:rFonts w:eastAsia="Amiri" w:cs="Amiri" w:ascii="Amiri" w:hAnsi="Amiri"/>
          <w:color w:val="111111"/>
          <w:sz w:val="28"/>
          <w:szCs w:val="28"/>
          <w:rtl w:val="true"/>
          <w:lang w:bidi="ar-SA"/>
        </w:rPr>
        <w:t>»</w:t>
      </w:r>
      <w:r>
        <w:rPr>
          <w:rStyle w:val="FootnoteAnchor"/>
          <w:rtl w:val="true"/>
        </w:rPr>
        <w:footnoteReference w:id="312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مِثْلا ما على الحشفة</w:t>
      </w:r>
      <w:r>
        <w:rPr>
          <w:rFonts w:eastAsia="Amiri" w:cs="Amiri" w:ascii="Amiri" w:hAnsi="Amiri"/>
          <w:color w:val="111111"/>
          <w:sz w:val="28"/>
          <w:szCs w:val="28"/>
          <w:rtl w:val="true"/>
          <w:lang w:bidi="ar-SA"/>
        </w:rPr>
        <w:t xml:space="preserve">» </w:t>
      </w:r>
      <w:r>
        <w:rPr>
          <w:rStyle w:val="FootnoteAnchor"/>
          <w:rtl w:val="true"/>
        </w:rPr>
        <w:footnoteReference w:id="3121"/>
      </w:r>
      <w:r>
        <w:rPr>
          <w:rFonts w:ascii="Amiri" w:hAnsi="Amiri" w:eastAsia="Amiri" w:cs="Amiri"/>
          <w:color w:val="111111"/>
          <w:sz w:val="28"/>
          <w:sz w:val="28"/>
          <w:szCs w:val="28"/>
          <w:rtl w:val="true"/>
          <w:lang w:bidi="ar-SA"/>
        </w:rPr>
        <w:t>، وظاهره أنّ المثلين لتحقيق الغسل الواحد، لا أنه كناية عن الغسلتين؛ لعدم تحقق الغسل بالمثل،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البول أن يغسله بمثله</w:t>
      </w:r>
      <w:r>
        <w:rPr>
          <w:rFonts w:eastAsia="Amiri" w:cs="Amiri" w:ascii="Amiri" w:hAnsi="Amiri"/>
          <w:color w:val="111111"/>
          <w:sz w:val="28"/>
          <w:szCs w:val="28"/>
          <w:rtl w:val="true"/>
          <w:lang w:bidi="ar-SA"/>
        </w:rPr>
        <w:t>»</w:t>
      </w:r>
      <w:r>
        <w:rPr>
          <w:rStyle w:val="FootnoteAnchor"/>
          <w:rtl w:val="true"/>
        </w:rPr>
        <w:footnoteReference w:id="3122"/>
      </w:r>
      <w:r>
        <w:rPr>
          <w:rFonts w:ascii="Amiri" w:hAnsi="Amiri" w:eastAsia="Amiri" w:cs="Amiri"/>
          <w:color w:val="111111"/>
          <w:sz w:val="28"/>
          <w:sz w:val="28"/>
          <w:szCs w:val="28"/>
          <w:rtl w:val="true"/>
          <w:lang w:bidi="ar-SA"/>
        </w:rPr>
        <w:t>ولإطلاقات الأمر بالغسل من دون بيانٍ أصلاً، وحينئذٍ فتخصيص هذه الأخبار بغير الاستنجاء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الإشكال في أُمور</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يلحق بالبدن غيره من الأجسام الصلبة، وبالثوب غيره من الأجسام الرخوة، أم لا؟ </w:t>
      </w:r>
    </w:p>
    <w:p>
      <w:pPr>
        <w:pStyle w:val="BookText"/>
        <w:rPr/>
      </w:pP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لاستصحاب النجاسة وعدم زوالها إلّا بالمزيل القطعي، ولتنقيح المناط؛ لظهور أنّ الثوب مثال لغيره، والبدن كذلك، وتخصيصهما بالذكر ؛ لغلبة دورانهما والاحتياج إليهما في التطهير والتنجيس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إطلاقات الأمر بالغسل مقيّدة بما ذكرنا، ولا أقلّ أنّ ما ذكرناه ممّا يوهن الظنّ بالإطلاق، فلا يكون حجّة فيه، سيّما والظاهر أنّ فتوى المشهور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يكفي التقدير في المرّتين؛ لتنزيل قدر زمانهما منزلتهما، ولأنّ العلّة إرادة التنظيف بهما وهو حاصل في التقديري، ولأنّ استمرار الماء بقدر المرّتين وقدر القطع الحاصل بينهما أقوى من المرّتين المفصول بينهما من غير ماء، ولما نقل عن الشهيد أنّه روى أنّ الغسلتين إحداهما للإزالة والأُخرى للإنقاء</w:t>
      </w:r>
      <w:r>
        <w:rPr>
          <w:rStyle w:val="FootnoteAnchor"/>
          <w:rtl w:val="true"/>
        </w:rPr>
        <w:footnoteReference w:id="3123"/>
      </w:r>
      <w:r>
        <w:rPr>
          <w:rFonts w:ascii="Amiri" w:hAnsi="Amiri" w:eastAsia="Amiri" w:cs="Amiri"/>
          <w:color w:val="111111"/>
          <w:sz w:val="28"/>
          <w:sz w:val="28"/>
          <w:szCs w:val="28"/>
          <w:rtl w:val="true"/>
          <w:lang w:bidi="ar-SA"/>
        </w:rPr>
        <w:t>، وذلك حاصل في التعدّد التقديري، ولأنّه من البعيد أنّ إجراء الماء زمناً طويلاً لا يفيد مفاد إجرائه في زمانين قصيرين بينهما انقطاع في الجملة، أو لايكفي؛ ؛ أخذاً بظاهر الدليل مع تحكّم استصحاب النجاسة، فيجب الاقتصار على المنصوص؟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لا يحتاج إلى عصر، وأمّا ما يحتاج إلى عصر فيكفي فيه التعدّد التقديري في الصبّ دون العصر؛ لافتقار العصر إلى تحقّقه حسّاً، ولا معنى للاكتفاء بالعصر التقديري قطعاً</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التعدّد هل يخصّ القليل فقط ؟ لظهور الأخبار</w:t>
      </w:r>
      <w:r>
        <w:rPr>
          <w:rStyle w:val="FootnoteAnchor"/>
          <w:rtl w:val="true"/>
        </w:rPr>
        <w:footnoteReference w:id="3124"/>
      </w:r>
      <w:r>
        <w:rPr>
          <w:rFonts w:ascii="Amiri" w:hAnsi="Amiri" w:eastAsia="Amiri" w:cs="Amiri"/>
          <w:color w:val="111111"/>
          <w:sz w:val="28"/>
          <w:sz w:val="28"/>
          <w:szCs w:val="28"/>
          <w:rtl w:val="true"/>
          <w:lang w:bidi="ar-SA"/>
        </w:rPr>
        <w:t xml:space="preserve">به، ولرواية </w:t>
      </w:r>
      <w:r>
        <w:rPr>
          <w:rStyle w:val="FootnoteAnchor"/>
          <w:rtl w:val="true"/>
        </w:rPr>
        <w:footnoteReference w:id="3125"/>
      </w:r>
      <w:r>
        <w:rPr>
          <w:rFonts w:ascii="IRNazanin" w:hAnsi="IRNazanin" w:eastAsia="IRNazanin"/>
          <w:color w:val="111111"/>
          <w:sz w:val="28"/>
          <w:sz w:val="28"/>
          <w:szCs w:val="28"/>
          <w:rtl w:val="true"/>
          <w:lang w:bidi="fa-IR"/>
        </w:rPr>
        <w:t xml:space="preserve">المركن، و حكم الكثير الراكد حكم الجاري في سائر الأحكام، ولأنّ النجاسة لو دخلت بنفسها للكثير لاستهلکت به فكيف لو دخلت مستهلكةً في المتنجّس، ولإطلاق أدلّة الغسل، خرج القليل؛ لانصراف أخبار المرّتين إليه، وبقي الباقي، وللسيرة القاضية بطهارة الأجسام عند ملاقاتها للكثير من غير اعتبار التعدّد، كأراضي الحياض والحمّامات والأنهار والآبار وغيرهنّ، حتّى يعدّون الملزم للتعدّد من أهل الوسواس، أو يخصّ الراكد فقط ولو كان كثيراً؛ لاختصاص الرواية بالجاري فلا يتسرّى إلى غيره، أو لا بدّ من التعدّد في الكلّ، لإطلاق الأخبار، واستصحاب النجاسة، أو الفرق بين ما تعاقب الجريان فيه فيطهر بالمرّة؛ لكونه كالمتعدّد، وكذا ما حرّك </w:t>
      </w:r>
      <w:bookmarkStart w:id="1375" w:name="pg18988_203722"/>
    </w:p>
    <w:p>
      <w:pPr>
        <w:pStyle w:val="BookText"/>
        <w:rPr/>
      </w:pPr>
      <w:bookmarkEnd w:id="1375"/>
      <w:r>
        <w:rPr>
          <w:rFonts w:ascii="Amiri" w:hAnsi="Amiri" w:eastAsia="Amiri" w:cs="Amiri"/>
          <w:color w:val="111111"/>
          <w:sz w:val="28"/>
          <w:sz w:val="28"/>
          <w:szCs w:val="28"/>
          <w:rtl w:val="true"/>
          <w:lang w:bidi="ar-SA"/>
        </w:rPr>
        <w:t>الإناء فيه من الكثير، وبين ما لم يتعاقب فيحتاج إلى التعدّد؟ وجوه وأقوال،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فتوى المشهور، وربما يظهر من بعضهم</w:t>
      </w:r>
      <w:r>
        <w:rPr>
          <w:rStyle w:val="FootnoteAnchor"/>
          <w:rtl w:val="true"/>
        </w:rPr>
        <w:footnoteReference w:id="3126"/>
      </w:r>
      <w:r>
        <w:rPr>
          <w:rFonts w:ascii="Amiri" w:hAnsi="Amiri" w:eastAsia="Amiri" w:cs="Amiri"/>
          <w:color w:val="111111"/>
          <w:sz w:val="28"/>
          <w:sz w:val="28"/>
          <w:szCs w:val="28"/>
          <w:rtl w:val="true"/>
          <w:lang w:bidi="ar-SA"/>
        </w:rPr>
        <w:t>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هذا الحكم بين ما يحتاج إلى العصر وبين ما لا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التعدّد هل يختصّ ببول الإنسان؟ لانصراف الأخبار إليه، وأصالة البراءة من التعدّد، أو يعمّ كلّ بولٍ ممّا لا يؤكل لحمه؟ لإطلاقها والشكّ في الانصراف؛ لأنّ كثرة الوجود لا تستلزمه، وللاحتياط اللازم بعد ثبوت النجاسة،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السنّور والكلب والحمار والفرس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كأبوال الإنسان</w:t>
      </w:r>
      <w:r>
        <w:rPr>
          <w:rFonts w:eastAsia="Amiri" w:cs="Amiri" w:ascii="Amiri" w:hAnsi="Amiri"/>
          <w:color w:val="111111"/>
          <w:sz w:val="28"/>
          <w:szCs w:val="28"/>
          <w:rtl w:val="true"/>
          <w:lang w:bidi="ar-SA"/>
        </w:rPr>
        <w:t>»</w:t>
      </w:r>
      <w:r>
        <w:rPr>
          <w:rStyle w:val="FootnoteAnchor"/>
          <w:rtl w:val="true"/>
        </w:rPr>
        <w:footnoteReference w:id="3127"/>
      </w:r>
      <w:r>
        <w:rPr>
          <w:rFonts w:ascii="Amiri" w:hAnsi="Amiri" w:eastAsia="Amiri" w:cs="Amiri"/>
          <w:color w:val="111111"/>
          <w:sz w:val="28"/>
          <w:sz w:val="28"/>
          <w:szCs w:val="28"/>
          <w:rtl w:val="true"/>
          <w:lang w:bidi="ar-SA"/>
        </w:rPr>
        <w:t>واشتماله على ما لا نقول به، لا يرفع حجّيّته في الباقي، والأخير أقوى ونُسب للمشهور</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6" w:name="__RefHeading___Toc13198407_1280447820"/>
      <w:bookmarkStart w:id="1377" w:name="_Toc530"/>
      <w:bookmarkEnd w:id="1376"/>
      <w:r>
        <w:rPr>
          <w:rtl w:val="true"/>
        </w:rPr>
        <w:t>ثانيها</w:t>
      </w:r>
      <w:r>
        <w:rPr>
          <w:rtl w:val="true"/>
        </w:rPr>
        <w:t xml:space="preserve">: </w:t>
      </w:r>
      <w:r>
        <w:rPr>
          <w:rtl w:val="true"/>
        </w:rPr>
        <w:t>عدم وجوب التعدّد في الغسل في غير البول من أنواع النجاسات عدا ما استثني</w:t>
      </w:r>
      <w:bookmarkEnd w:id="1377"/>
    </w:p>
    <w:p>
      <w:pPr>
        <w:pStyle w:val="BookText"/>
        <w:rPr/>
      </w:pPr>
      <w:r>
        <w:rPr>
          <w:rFonts w:ascii="Amiri" w:hAnsi="Amiri" w:eastAsia="Amiri" w:cs="Amiri"/>
          <w:color w:val="111111"/>
          <w:sz w:val="28"/>
          <w:sz w:val="28"/>
          <w:szCs w:val="28"/>
          <w:rtl w:val="true"/>
          <w:lang w:bidi="ar-SA"/>
        </w:rPr>
        <w:t>لا يجب التعدّد في الغسل في غير البول من أنواع النجاسات عدا ما استثني؛ لإطلاق الدليل وفتوى الأصحاب، ويُرِيدُ اللهُ بِكُمُ اليُسْرَ</w:t>
      </w:r>
      <w:r>
        <w:rPr>
          <w:rStyle w:val="FootnoteAnchor"/>
          <w:rtl w:val="true"/>
        </w:rPr>
        <w:footnoteReference w:id="3129"/>
      </w:r>
      <w:r>
        <w:rPr>
          <w:rFonts w:ascii="Amiri" w:hAnsi="Amiri" w:eastAsia="Amiri" w:cs="Amiri"/>
          <w:color w:val="111111"/>
          <w:sz w:val="28"/>
          <w:sz w:val="28"/>
          <w:szCs w:val="28"/>
          <w:rtl w:val="true"/>
          <w:lang w:bidi="ar-SA"/>
        </w:rPr>
        <w:t>، ولحصول الغرض من التنظيف المقصود من الأمر بالغسل، ووجوب التعدّد في البول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بالوجوب</w:t>
      </w:r>
      <w:r>
        <w:rPr>
          <w:rStyle w:val="FootnoteAnchor"/>
          <w:rtl w:val="true"/>
        </w:rPr>
        <w:footnoteReference w:id="3130"/>
      </w:r>
      <w:r>
        <w:rPr>
          <w:rFonts w:ascii="Amiri" w:hAnsi="Amiri" w:eastAsia="Amiri" w:cs="Amiri"/>
          <w:color w:val="111111"/>
          <w:sz w:val="28"/>
          <w:sz w:val="28"/>
          <w:szCs w:val="28"/>
          <w:rtl w:val="true"/>
          <w:lang w:bidi="ar-SA"/>
        </w:rPr>
        <w:t>للاحتياط، ولمفهوم الموافقة أو الأولويّة؛ لأنّ غيره أشدّ تأثيراً منه، ولمّا ورد أنّه ذكر المنيّ فشدّده وجعله أشدّ من البول</w:t>
      </w:r>
      <w:r>
        <w:rPr>
          <w:rStyle w:val="FootnoteAnchor"/>
          <w:rtl w:val="true"/>
        </w:rPr>
        <w:footnoteReference w:id="3131"/>
      </w:r>
      <w:r>
        <w:rPr>
          <w:rFonts w:ascii="Amiri" w:hAnsi="Amiri" w:eastAsia="Amiri" w:cs="Amiri"/>
          <w:color w:val="111111"/>
          <w:sz w:val="28"/>
          <w:sz w:val="28"/>
          <w:szCs w:val="28"/>
          <w:rtl w:val="true"/>
          <w:lang w:bidi="ar-SA"/>
        </w:rPr>
        <w:t>، ولفحوى التعليل في بعض الأخبار في غسل البول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ماء</w:t>
      </w:r>
      <w:r>
        <w:rPr>
          <w:rFonts w:eastAsia="Amiri" w:cs="Amiri" w:ascii="Amiri" w:hAnsi="Amiri"/>
          <w:color w:val="111111"/>
          <w:sz w:val="28"/>
          <w:szCs w:val="28"/>
          <w:rtl w:val="true"/>
          <w:lang w:bidi="ar-SA"/>
        </w:rPr>
        <w:t>»</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لمعارضة دليل الاحتياط بما ذكرناه، مضافاً إلى أنّه لو كان حكم سائر النجاسات كذلك لما خفي مع توفّر الدواعي إلى بيانه، ولما خصّ التعدّد في الأخبار بالبول دون غيره، ولإلغاء مفهوم المساواة والأولويّة في أحكام النجاسات، كما يرشد إليه أحكام البئر وغسل الولوغ وشبههما، ولاختصاص الرواية في المنيّ دون غيره، ولظهورها في المبالغة دون الحقيقة، وإلّا لزاد عليه، ولظهورها في شدّة النفرة والنجاسة وهُما لا يستلزمان تعدّد </w:t>
      </w:r>
      <w:bookmarkStart w:id="1378" w:name="pg18988_203723"/>
    </w:p>
    <w:p>
      <w:pPr>
        <w:pStyle w:val="BookText"/>
        <w:rPr/>
      </w:pPr>
      <w:bookmarkEnd w:id="1378"/>
      <w:r>
        <w:rPr>
          <w:rFonts w:ascii="Amiri" w:hAnsi="Amiri" w:eastAsia="Amiri" w:cs="Amiri"/>
          <w:color w:val="111111"/>
          <w:sz w:val="28"/>
          <w:sz w:val="28"/>
          <w:szCs w:val="28"/>
          <w:rtl w:val="true"/>
          <w:lang w:bidi="ar-SA"/>
        </w:rPr>
        <w:t>الغسل، أو في شدّة اللزوجة المحتاجة إلى فركٍ ودلكٍ ونحوهما، لا إلى مجرّد التكرار، ولعدم ظهور التعليل في الرواية الأخيرة في خفّة البول كي يكون الحكم في غيره أشدّ، فلعلّه تعليل لشدّته ؛ لأنّ الماء ينفذ في الجسم، ويدخل في جميع أقطاره، على أنّه يلزم منه ومن الرواية السابقة زيادة غير البول عليه، ولا قائل به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فالاحتياط في التعدّد، سيّما فيما له قوام و ثخن كالمنيّ والدم ممّا لا ينبغي أن يترك، بل أفتى العلّامة الله بلزومه</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13198409_1280447820"/>
      <w:bookmarkStart w:id="1380" w:name="_Toc531"/>
      <w:bookmarkEnd w:id="1379"/>
      <w:r>
        <w:rPr>
          <w:rtl w:val="true"/>
        </w:rPr>
        <w:t>ثالثها</w:t>
      </w:r>
      <w:r>
        <w:rPr>
          <w:rtl w:val="true"/>
        </w:rPr>
        <w:t xml:space="preserve">: </w:t>
      </w:r>
      <w:r>
        <w:rPr>
          <w:rtl w:val="true"/>
        </w:rPr>
        <w:t>وجوب العصر في الغسل بالماء القليل في الثياب، وكلّ ما يمكن عصره</w:t>
      </w:r>
      <w:bookmarkEnd w:id="1380"/>
    </w:p>
    <w:p>
      <w:pPr>
        <w:pStyle w:val="BookText"/>
        <w:rPr/>
      </w:pPr>
      <w:r>
        <w:rPr>
          <w:rFonts w:ascii="Amiri" w:hAnsi="Amiri" w:eastAsia="Amiri" w:cs="Amiri"/>
          <w:color w:val="111111"/>
          <w:sz w:val="28"/>
          <w:sz w:val="28"/>
          <w:szCs w:val="28"/>
          <w:rtl w:val="true"/>
          <w:lang w:bidi="ar-SA"/>
        </w:rPr>
        <w:t>يجب العصر في الغَسْل بالماء القليل في الثياب، وكلّ ما يمكن عصره ممّا لا ينحدر عنه ماء الغسالة؛ لصقالته، كالفرش والصوف والشعر والبسط، ويقوم مقام العصر الغمز والليّ والتثقيل فيما لا يمكن عصره، أو مطلقاً</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فتوى الأصحاب، وظاهر الإجماع المنقول</w:t>
      </w:r>
      <w:r>
        <w:rPr>
          <w:rStyle w:val="FootnoteAnchor"/>
          <w:rtl w:val="true"/>
        </w:rPr>
        <w:footnoteReference w:id="3134"/>
      </w:r>
      <w:r>
        <w:rPr>
          <w:rFonts w:ascii="Amiri" w:hAnsi="Amiri" w:eastAsia="Amiri" w:cs="Amiri"/>
          <w:color w:val="111111"/>
          <w:sz w:val="28"/>
          <w:sz w:val="28"/>
          <w:szCs w:val="28"/>
          <w:rtl w:val="true"/>
          <w:lang w:bidi="ar-SA"/>
        </w:rPr>
        <w:t xml:space="preserve">في الباب، والشهرة المحصّلة، وعمل المتشرّعين، واستصحاب حكم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ما يرسب فيه ماء الغسالة لا يتبادر منه إلّا دخول العصر فيه، إمّا لأنّه جزء تضمّنيّ له، أو لأنّه شرط في صدقه، أو لأنّه الفرد الظاهر من الأوامر التي يراد بها التنظيف المنصرف إليه الإطلاق، ولا أقلّ من الشكّ في تحقّق ماهيّة الغسل بدونه، والأصل عدمه؛ لكونه بالنسبة إليه كالمجمل، وما شكّ في جزئيّة جزءٍ عند تعلّق الشكّ في تحقّق الماهيّة والأخبار الفارقة بين الصبّ والغسل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كالخبر الأمر بالصبّ على الجسد والغسل للثوب</w:t>
      </w:r>
      <w:r>
        <w:rPr>
          <w:rStyle w:val="FootnoteAnchor"/>
          <w:rtl w:val="true"/>
        </w:rPr>
        <w:footnoteReference w:id="3135"/>
      </w:r>
      <w:r>
        <w:rPr>
          <w:rFonts w:ascii="Amiri" w:hAnsi="Amiri" w:eastAsia="Amiri" w:cs="Amiri"/>
          <w:color w:val="111111"/>
          <w:sz w:val="28"/>
          <w:sz w:val="28"/>
          <w:szCs w:val="28"/>
          <w:rtl w:val="true"/>
          <w:lang w:bidi="ar-SA"/>
        </w:rPr>
        <w:t>، والآخَر في بول الصبيّ يصبّ عليه الماء، وإن كان قد أكل فاغسله غسلاً</w:t>
      </w:r>
      <w:r>
        <w:rPr>
          <w:rStyle w:val="FootnoteAnchor"/>
          <w:rtl w:val="true"/>
        </w:rPr>
        <w:footnoteReference w:id="3136"/>
      </w:r>
      <w:r>
        <w:rPr>
          <w:rFonts w:ascii="Amiri" w:hAnsi="Amiri" w:eastAsia="Amiri" w:cs="Amiri"/>
          <w:color w:val="111111"/>
          <w:sz w:val="28"/>
          <w:sz w:val="28"/>
          <w:szCs w:val="28"/>
          <w:rtl w:val="true"/>
          <w:lang w:bidi="ar-SA"/>
        </w:rPr>
        <w:t>، والآخَر عن الثوب إن أصابه الكلب برطوبة فاغسله، وإن كان جافّاً فصبّ عليه</w:t>
      </w:r>
      <w:r>
        <w:rPr>
          <w:rStyle w:val="FootnoteAnchor"/>
          <w:rtl w:val="true"/>
        </w:rPr>
        <w:footnoteReference w:id="3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دخول العصر فيه؛ إذ لا قائل بدخول غيره من المميّزات، على أنّ ماء الغسالة نجس والمتيقّن من تطهيره الثوب، وطهارة ما بقي منه من الأجزاء الماهيّة هو ما كان بعد عصره لا قبله، وأنّ أجزاء النجاسة يستصحب وجودها، ولا يحصل اليقين بخروجها إلّا بيقينٍ عرفيّ أو شرعيّ، كالعصر وشبهه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بعد القول بلزوم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بلزومه بعد كلّ غسلة متعدّدة أو متّحدة، فلا يكفي عصرٌ واحد بين الغسلتين فيما يجب فيه التعدّد، وأن لا يجزئ الجفاف عنه بشمس أو غيرها، وأن يتعقّب الغسل ولا يتراخى عنه بزمان يجفّ به من الماء ما يُعتدّ به، ولا يشترط المبالغة فيه، بل يكفي الحدّ الوسط، وما يخرجه القوي بقوّة بعد ذلك فهو طاهر طهّره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الماء القليل، وأمّا الكثير فالأظهر الاكتفاء بمجرّد استيلائه على المتنجّس من دون عصرٍ مطلقاً، إلّا إذا توقّف إخراج أجزاء النجاسة عليه فيلزم من باب المقدّمة، ونُسب </w:t>
      </w:r>
      <w:r>
        <w:rPr>
          <w:rStyle w:val="FootnoteAnchor"/>
          <w:rtl w:val="true"/>
        </w:rPr>
        <w:footnoteReference w:id="3138"/>
      </w:r>
      <w:r>
        <w:rPr>
          <w:rFonts w:ascii="Amiri" w:hAnsi="Amiri" w:eastAsia="Amiri" w:cs="Amiri"/>
          <w:color w:val="111111"/>
          <w:sz w:val="28"/>
          <w:sz w:val="28"/>
          <w:szCs w:val="28"/>
          <w:rtl w:val="true"/>
          <w:lang w:bidi="ar-SA"/>
        </w:rPr>
        <w:t>إلى المشهور ذلك، بل الظاهر أنّ الشهرة عليه محصّلة،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وفاق</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أنّ العصر لإخراج ماء الغسالة النجس والماء لم ينجس في الكثير، وإنّه لإخراج أجزاء النجاسة القاصر عن إخراجها مجرّد انصباب الماء القليل، ولا يبقى جزء غير مستهلك بعد زوال العين في الكثير كي يفتقر إليه، ولأنّ النجاسة لو كانت منفردةً وقد ذهبت عينها لاستهلكت فيه، فبالأولى إذا كانت قائمة بجسمٍ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يشكل على ما ذكرنا من دخول العصر في مسمّى الغسل؛ لأنّ الحكم بتفرقة العرف بين دخول العصر في القليل دون الكثير ،تمحّل، سيّما لو كان كلٌّ منهما راكداً ولكن أحدهما كُرٌّ والآخَر دونه بكفٍّ، فإنّ الحكم بتسمية استيلاء الأوّل على الثوب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 تحكّمٌ، فإذاً الأحوط العصر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جارياً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نفس الماء، كفرك الثوب داخل الماء، ويصير الفرق بين الكثير والقليل هو جواز العصر داخل الماء الكثير دون القليل لو جوّزنا ورود المغسول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الدلك في غير الثياب ونحوها من جسمٍ أو آنيةٍ، إلّا إذا توقّف إزالة النجاسة عليه؛ لإطلاق الأخبار، وفتوى الأصحاب، وعدم دخوله في مسمّى الغسل، والأصل البراءة منه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باعتباره؛ للاستظهار في رفع النجاسة، ولرواية عمّار في قدح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يجزئه حتّى يدلكه بيده </w:t>
      </w:r>
      <w:r>
        <w:rPr>
          <w:rFonts w:eastAsia="Amiri" w:cs="Amiri" w:ascii="Amiri" w:hAnsi="Amiri"/>
          <w:color w:val="111111"/>
          <w:sz w:val="28"/>
          <w:szCs w:val="28"/>
          <w:rtl w:val="true"/>
          <w:lang w:bidi="ar-SA"/>
        </w:rPr>
        <w:t>»</w:t>
      </w:r>
      <w:r>
        <w:rPr>
          <w:rStyle w:val="FootnoteAnchor"/>
          <w:rtl w:val="true"/>
        </w:rPr>
        <w:footnoteReference w:id="3140"/>
      </w:r>
      <w:r>
        <w:rPr>
          <w:rFonts w:ascii="Amiri" w:hAnsi="Amiri" w:eastAsia="Amiri" w:cs="Amiri"/>
          <w:color w:val="111111"/>
          <w:sz w:val="28"/>
          <w:sz w:val="28"/>
          <w:szCs w:val="28"/>
          <w:rtl w:val="true"/>
          <w:lang w:bidi="ar-SA"/>
        </w:rPr>
        <w:t>ضعيف؛ لعدم وجوب الاستظهار، وعدم توقّفه على الدلك، ولضعف الرواية عن مقاومة ما قدّمناه، ولاختصاصها بالخمر وقدح الخشب، ولا يبعد لصوق أجزاءٍ منه فيه موقوف زوالها على الدلك، ولإمكان حملها على الندب؛ جمعاً</w:t>
      </w:r>
      <w:r>
        <w:rPr>
          <w:rFonts w:eastAsia="Amiri" w:cs="Amiri" w:ascii="Amiri" w:hAnsi="Amiri"/>
          <w:color w:val="111111"/>
          <w:sz w:val="28"/>
          <w:szCs w:val="28"/>
          <w:rtl w:val="true"/>
          <w:lang w:bidi="ar-SA"/>
        </w:rPr>
        <w:t xml:space="preserve">. </w:t>
      </w:r>
      <w:bookmarkStart w:id="1381" w:name="pg18988_203725"/>
    </w:p>
    <w:p>
      <w:pPr>
        <w:pStyle w:val="BookText"/>
        <w:rPr/>
      </w:pPr>
      <w:bookmarkEnd w:id="1381"/>
      <w:r>
        <w:rPr>
          <w:rFonts w:ascii="Amiri" w:hAnsi="Amiri" w:eastAsia="Amiri" w:cs="Amiri"/>
          <w:color w:val="111111"/>
          <w:sz w:val="28"/>
          <w:sz w:val="28"/>
          <w:szCs w:val="28"/>
          <w:rtl w:val="true"/>
          <w:lang w:bidi="ar-SA"/>
        </w:rPr>
        <w:t>وقد يظهر من بعض الأخبار وأفتى به بعض الأصحاب</w:t>
      </w:r>
      <w:r>
        <w:rPr>
          <w:rStyle w:val="FootnoteAnchor"/>
          <w:rtl w:val="true"/>
        </w:rPr>
        <w:footnoteReference w:id="3141"/>
      </w:r>
      <w:r>
        <w:rPr>
          <w:rFonts w:ascii="Amiri" w:hAnsi="Amiri" w:eastAsia="Amiri" w:cs="Amiri"/>
          <w:color w:val="111111"/>
          <w:sz w:val="28"/>
          <w:sz w:val="28"/>
          <w:szCs w:val="28"/>
          <w:rtl w:val="true"/>
          <w:lang w:bidi="ar-SA"/>
        </w:rPr>
        <w:t>اكفاية الصبّ في المحشوّ وشبهه عن التثقيل والغمز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الفراش المحشوّ،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ظهر منه في وجهه</w:t>
      </w:r>
      <w:r>
        <w:rPr>
          <w:rFonts w:eastAsia="Amiri" w:cs="Amiri" w:ascii="Amiri" w:hAnsi="Amiri"/>
          <w:color w:val="111111"/>
          <w:sz w:val="28"/>
          <w:szCs w:val="28"/>
          <w:rtl w:val="true"/>
          <w:lang w:bidi="ar-SA"/>
        </w:rPr>
        <w:t>»</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الفَرْو وما فيه من الحشو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أصاب منه، ومسّ الجانب الآخَر، فإن أصبت مسّ شيء منه فاغسله، وإلّا فانضحه بالماء</w:t>
      </w:r>
      <w:r>
        <w:rPr>
          <w:rFonts w:eastAsia="Amiri" w:cs="Amiri" w:ascii="Amiri" w:hAnsi="Amiri"/>
          <w:color w:val="111111"/>
          <w:sz w:val="28"/>
          <w:szCs w:val="28"/>
          <w:rtl w:val="true"/>
          <w:lang w:bidi="ar-SA"/>
        </w:rPr>
        <w:t>»</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 عن الفراش كثير الصوف فيصيبه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الظاهر، ثمّ يصبّ عليه الماء في المكان الذي أصابه البول حتّى يخرج من جانب الفراش الآخَر</w:t>
      </w:r>
      <w:r>
        <w:rPr>
          <w:rFonts w:eastAsia="Amiri" w:cs="Amiri" w:ascii="Amiri" w:hAnsi="Amiri"/>
          <w:color w:val="111111"/>
          <w:sz w:val="28"/>
          <w:szCs w:val="28"/>
          <w:rtl w:val="true"/>
          <w:lang w:bidi="ar-SA"/>
        </w:rPr>
        <w:t>»</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حملها على ما أفتى به المشهور ودلّ عليه الاحتياط وساعده العرف من إرادة المعنى الحقيقي من الغسل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الصبّ وإخراج ماء الغسالة بدقٍّ وغمزٍ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سيّما وفي الأخيرين ما يشعر بذلك؛ لمقابلة النضح للغسل في الأوّل والصبّ للغسل في الثاني،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الماء المصبوب بعد صبّه غَسْلُ</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3198411_1280447820"/>
      <w:bookmarkStart w:id="1383" w:name="_Toc532"/>
      <w:bookmarkEnd w:id="1382"/>
      <w:r>
        <w:rPr>
          <w:rtl w:val="true"/>
        </w:rPr>
        <w:t>رابعها</w:t>
      </w:r>
      <w:r>
        <w:rPr>
          <w:rtl w:val="true"/>
        </w:rPr>
        <w:t xml:space="preserve">: </w:t>
      </w:r>
      <w:r>
        <w:rPr>
          <w:rtl w:val="true"/>
        </w:rPr>
        <w:t>سقوط العصر في بول الصبيّ الرضيع</w:t>
      </w:r>
      <w:bookmarkEnd w:id="1383"/>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يسقط العصر في بول الصبيّ الرضيع، سواء رضع من حليب أُمّه أو من غيره، من حيوان أو إنسان، على إشكالٍ في الحيوان المسلم دون الكافر، ودون المصاحب للنجاسة الذي لم يأكل الطعام، بحيث كان الأكل له شأناً ودَيْدَناً، كما هو الظاهر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الصبيّ ولم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الصبّ؛ لفتوى الأصحاب، والإجماع المنقول</w:t>
      </w:r>
      <w:r>
        <w:rPr>
          <w:rStyle w:val="FootnoteAnchor"/>
          <w:rtl w:val="true"/>
        </w:rPr>
        <w:footnoteReference w:id="3145"/>
      </w:r>
      <w:r>
        <w:rPr>
          <w:rFonts w:ascii="Amiri" w:hAnsi="Amiri" w:eastAsia="Amiri" w:cs="Amiri"/>
          <w:color w:val="111111"/>
          <w:sz w:val="28"/>
          <w:sz w:val="28"/>
          <w:szCs w:val="28"/>
          <w:rtl w:val="true"/>
          <w:lang w:bidi="ar-SA"/>
        </w:rPr>
        <w:t>في الباب، والخبر المعتبر عن بول الصبيّ؟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الماء عليه، فإن كان قد أكل فاغسله غسلاً و الغلام والجارية شرع سواء</w:t>
      </w:r>
      <w:r>
        <w:rPr>
          <w:rFonts w:eastAsia="Amiri" w:cs="Amiri" w:ascii="Amiri" w:hAnsi="Amiri"/>
          <w:color w:val="111111"/>
          <w:sz w:val="28"/>
          <w:szCs w:val="28"/>
          <w:rtl w:val="true"/>
          <w:lang w:bidi="ar-SA"/>
        </w:rPr>
        <w:t>»</w:t>
      </w:r>
      <w:r>
        <w:rPr>
          <w:rStyle w:val="FootnoteAnchor"/>
          <w:rtl w:val="true"/>
        </w:rPr>
        <w:footnoteReference w:id="3146"/>
      </w:r>
      <w:r>
        <w:rPr>
          <w:rFonts w:ascii="Amiri" w:hAnsi="Amiri" w:eastAsia="Amiri" w:cs="Amiri"/>
          <w:color w:val="111111"/>
          <w:sz w:val="28"/>
          <w:sz w:val="28"/>
          <w:szCs w:val="28"/>
          <w:rtl w:val="true"/>
          <w:lang w:bidi="ar-SA"/>
        </w:rPr>
        <w:t>ولضعف نجاسته، فيناسبه الاجتزاء بالصبّ، ولدليل اليسر</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ورد من الأمر بالغسل من بول الصبي في الموثّق</w:t>
      </w:r>
      <w:r>
        <w:rPr>
          <w:rStyle w:val="FootnoteAnchor"/>
          <w:rtl w:val="true"/>
        </w:rPr>
        <w:footnoteReference w:id="3148"/>
      </w:r>
      <w:r>
        <w:rPr>
          <w:rFonts w:ascii="Amiri" w:hAnsi="Amiri" w:eastAsia="Amiri" w:cs="Amiri"/>
          <w:color w:val="111111"/>
          <w:sz w:val="28"/>
          <w:sz w:val="28"/>
          <w:szCs w:val="28"/>
          <w:rtl w:val="true"/>
          <w:lang w:bidi="ar-SA"/>
        </w:rPr>
        <w:t>محمول على مَنْ يأكل الطعام، أو على إرادة الصبّ من الغسل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من الأمر بالعصر بعد الصبّ</w:t>
      </w:r>
      <w:r>
        <w:rPr>
          <w:rStyle w:val="FootnoteAnchor"/>
          <w:rtl w:val="true"/>
        </w:rPr>
        <w:footnoteReference w:id="3149"/>
      </w:r>
      <w:r>
        <w:rPr>
          <w:rFonts w:ascii="Amiri" w:hAnsi="Amiri" w:eastAsia="Amiri" w:cs="Amiri"/>
          <w:color w:val="111111"/>
          <w:sz w:val="28"/>
          <w:sz w:val="28"/>
          <w:szCs w:val="28"/>
          <w:rtl w:val="true"/>
          <w:lang w:bidi="ar-SA"/>
        </w:rPr>
        <w:t>محمول أيضاً على ذلك، أو على الندب، أو على بقاء عين البول، فيخرج بالعصر حينئذٍ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بهذا الحكم الصبيّة ؛ لخروجها عن موضع النصّ، وتسوية الغلام للجارية في الخبر</w:t>
      </w:r>
      <w:r>
        <w:rPr>
          <w:rStyle w:val="FootnoteAnchor"/>
          <w:rtl w:val="true"/>
        </w:rPr>
        <w:footnoteReference w:id="3150"/>
      </w:r>
      <w:r>
        <w:rPr>
          <w:rFonts w:ascii="Amiri" w:hAnsi="Amiri" w:eastAsia="Amiri" w:cs="Amiri"/>
          <w:color w:val="111111"/>
          <w:sz w:val="28"/>
          <w:sz w:val="28"/>
          <w:szCs w:val="28"/>
          <w:rtl w:val="true"/>
          <w:lang w:bidi="ar-SA"/>
        </w:rPr>
        <w:t>لا تدلّ على تسوية الصبيّ للصبيّة إن لم تدلّ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التسوية في الغسل دون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التسوية الأخبار الناصّة على أنّ بول الجارية يُغسل منه الثوب وإن لم تطعم، معلّلاً بأنّ لبنها يخرج من مثانة أُمّها</w:t>
      </w:r>
      <w:r>
        <w:rPr>
          <w:rStyle w:val="FootnoteAnchor"/>
          <w:rtl w:val="true"/>
        </w:rPr>
        <w:footnoteReference w:id="3151"/>
      </w:r>
      <w:r>
        <w:rPr>
          <w:rFonts w:ascii="Amiri" w:hAnsi="Amiri" w:eastAsia="Amiri" w:cs="Amiri"/>
          <w:color w:val="111111"/>
          <w:sz w:val="28"/>
          <w:sz w:val="28"/>
          <w:szCs w:val="28"/>
          <w:rtl w:val="true"/>
          <w:lang w:bidi="ar-SA"/>
        </w:rPr>
        <w:t>، وأنّ بول الصبيّ يُنضح وبول الجارية يُغسل</w:t>
      </w:r>
      <w:r>
        <w:rPr>
          <w:rStyle w:val="FootnoteAnchor"/>
          <w:rtl w:val="true"/>
        </w:rPr>
        <w:footnoteReference w:id="3152"/>
      </w:r>
      <w:r>
        <w:rPr>
          <w:rFonts w:ascii="Amiri" w:hAnsi="Amiri" w:eastAsia="Amiri" w:cs="Amiri"/>
          <w:color w:val="111111"/>
          <w:sz w:val="28"/>
          <w:sz w:val="28"/>
          <w:szCs w:val="28"/>
          <w:rtl w:val="true"/>
          <w:lang w:bidi="ar-SA"/>
        </w:rPr>
        <w:t>، وأنّه إِنَّما يُغسل من بول الأُنثى</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الخنثى حكم الصبيّة على الظاهر؛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الصبيّ بين كونه في الحولين أو أزيد ما دام لم يتغذَّ بالطعام بحيث يأكله بشهوة وإرادة، سواء شرب معه اللبن أم لا، ولا عبرة بالأكل النادر، وإلّا لزم دخول مَنْ حنّك بالتمر ساعة الميلاد فيه، ولا يلتزمه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ابن إدريس كونه في الحولين</w:t>
      </w:r>
      <w:r>
        <w:rPr>
          <w:rStyle w:val="FootnoteAnchor"/>
          <w:rtl w:val="true"/>
        </w:rPr>
        <w:footnoteReference w:id="3154"/>
      </w:r>
      <w:r>
        <w:rPr>
          <w:rFonts w:ascii="Amiri" w:hAnsi="Amiri" w:eastAsia="Amiri" w:cs="Amiri"/>
          <w:color w:val="111111"/>
          <w:sz w:val="28"/>
          <w:sz w:val="28"/>
          <w:szCs w:val="28"/>
          <w:rtl w:val="true"/>
          <w:lang w:bidi="ar-SA"/>
        </w:rPr>
        <w:t>وهو قويّ؛ لأنّه حدّ الرضاع شرعاً، والمنصرف إليه إطلاق الصبيّ ما لم يأكل، والاحتياط يساعده، إلّا أنّ العمل على ما أطلقه المشهور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تجاوز في الرضاع كثيراً إلى سبع سنين أو ثمان، أشكل دخوله في إطلاق الفتوى والنصّ</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الصبّ خروج الماء من الجانب الآخَر ؟ للاحتياط، ولنجاسة الماء بالملاقاة فيلزم إخراجه، ولأنّه شُرّع للتنظيف ولا يحصل التنظيف به إلّا أن يخرج و خرج معه الأجزاء </w:t>
      </w:r>
    </w:p>
    <w:p>
      <w:pPr>
        <w:pStyle w:val="BookText"/>
        <w:rPr/>
      </w:pPr>
      <w:r>
        <w:rPr>
          <w:rFonts w:ascii="Amiri" w:hAnsi="Amiri" w:eastAsia="Amiri" w:cs="Amiri"/>
          <w:color w:val="111111"/>
          <w:sz w:val="28"/>
          <w:sz w:val="28"/>
          <w:szCs w:val="28"/>
          <w:rtl w:val="true"/>
          <w:lang w:bidi="ar-SA"/>
        </w:rPr>
        <w:t>البوليّة، أو لا يشترط ؟ لإطلاق الفتوى والنصّ في الاجتزاء بالصبّ من دون ذكر الخروج وعدمه، بل الظاهر منه عدم الخروج؛ للأمر بالرشّ والنضح</w:t>
      </w:r>
      <w:r>
        <w:rPr>
          <w:rStyle w:val="FootnoteAnchor"/>
          <w:rtl w:val="true"/>
        </w:rPr>
        <w:footnoteReference w:id="3155"/>
      </w:r>
      <w:r>
        <w:rPr>
          <w:rFonts w:ascii="Amiri" w:hAnsi="Amiri" w:eastAsia="Amiri" w:cs="Amiri"/>
          <w:color w:val="111111"/>
          <w:sz w:val="28"/>
          <w:sz w:val="28"/>
          <w:szCs w:val="28"/>
          <w:rtl w:val="true"/>
          <w:lang w:bidi="ar-SA"/>
        </w:rPr>
        <w:t>في بعض الأخبار الآمرة بالصبّ، والأمر بالصبّ والنضح هنا في بعض الأخبار</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أنّ الصبّ في الفتوى والرواية يقابل به الغسل الداخل فيه العصر، لا مجرّد انفصال الماء، فيكون انفصال الماء وخروجه لازماً لما ذكرناه من الأدلّة، بعيد عن الظاهر في كلام الأصحاب وفتواهم، وعن ظهور أنّ هذا الحكم للتخفيف والتسهيل، وعن الأخبار المتضمنة للنضح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 بعضهم الفرق بين الغسل والصبّ هو انفصال ماء الغسالة بعد استيلائها على المحلّ وتقاطرها في الأوّل وعدمه في الثاني</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ولكنّا لا نقول به؛ لاختيارنا أنّ العصر داخل في مفهومه في الماء القليل، سيّما عند استعلائه على المحلّ ، كما أنّ حمل النضح على الاستمرار عليه كي يتكاثر فينفصل من الجانب الآخَر بعيدٌ أيضاً لا نقول به، وحينئذٍ فالأقوى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أيضاً استيعاب المحلّ في الصبّ؛ لظاهر الإطلاق، وللاحتياط؟ أو لا يشترط؛ لشمول الأمر للمستوعب وغيره، مضافاً للأمر بالنضح والرشّ على ما روي</w:t>
      </w:r>
      <w:r>
        <w:rPr>
          <w:rStyle w:val="FootnoteAnchor"/>
          <w:rtl w:val="true"/>
        </w:rPr>
        <w:footnoteReference w:id="3158"/>
      </w:r>
      <w:r>
        <w:rPr>
          <w:rFonts w:ascii="Amiri" w:hAnsi="Amiri" w:eastAsia="Amiri" w:cs="Amiri"/>
          <w:color w:val="111111"/>
          <w:sz w:val="28"/>
          <w:sz w:val="28"/>
          <w:szCs w:val="28"/>
          <w:rtl w:val="true"/>
          <w:lang w:bidi="ar-SA"/>
        </w:rPr>
        <w:t>، وهُما لا يقضيان بالاستيعاب، سيّما الرشّ في عرفنا اليوم، والنضح هو الرشّ على ما فسّره أهل اللغة</w:t>
      </w:r>
      <w:r>
        <w:rPr>
          <w:rStyle w:val="FootnoteAnchor"/>
          <w:rtl w:val="true"/>
        </w:rPr>
        <w:footnoteReference w:id="3159"/>
      </w:r>
      <w:r>
        <w:rPr>
          <w:rFonts w:ascii="Amiri" w:hAnsi="Amiri" w:eastAsia="Amiri" w:cs="Amiri"/>
          <w:color w:val="111111"/>
          <w:sz w:val="28"/>
          <w:sz w:val="28"/>
          <w:szCs w:val="28"/>
          <w:rtl w:val="true"/>
          <w:lang w:bidi="ar-SA"/>
        </w:rPr>
        <w:t>؟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حمل النضح على صبّ الماء قليلاً، والأخذ بظاهر الفتوى والنصّ من الأمر بالصبّ أولى من حمل الصبّ على الرش الغير القاضي بالاستيعاب؛ لضعف روايته فتوىً وعملاً واحتياطاً</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يسقط التعدّد في بول الصبيّ؛ لظاهر إطلاق الأخبار</w:t>
      </w:r>
      <w:r>
        <w:rPr>
          <w:rStyle w:val="FootnoteAnchor"/>
          <w:rtl w:val="true"/>
        </w:rPr>
        <w:footnoteReference w:id="3160"/>
      </w:r>
      <w:r>
        <w:rPr>
          <w:rFonts w:ascii="IRNazanin" w:hAnsi="IRNazanin" w:eastAsia="IRNazanin"/>
          <w:color w:val="111111"/>
          <w:sz w:val="28"/>
          <w:sz w:val="28"/>
          <w:szCs w:val="28"/>
          <w:rtl w:val="true"/>
          <w:lang w:bidi="fa-IR"/>
        </w:rPr>
        <w:t>، وصرّح به بعض الأصحاب</w:t>
      </w:r>
      <w:r>
        <w:rPr>
          <w:rStyle w:val="FootnoteAnchor"/>
          <w:rtl w:val="true"/>
        </w:rPr>
        <w:footnoteReference w:id="3161"/>
      </w:r>
      <w:r>
        <w:rPr>
          <w:rFonts w:ascii="Amiri" w:hAnsi="Amiri" w:eastAsia="Amiri" w:cs="Amiri"/>
          <w:color w:val="111111"/>
          <w:sz w:val="28"/>
          <w:sz w:val="28"/>
          <w:szCs w:val="28"/>
          <w:rtl w:val="true"/>
          <w:lang w:bidi="ar-SA"/>
        </w:rPr>
        <w:t>، ونقل عليه من بعض المتأخّرين ظاهر الإجماع</w:t>
      </w:r>
      <w:r>
        <w:rPr>
          <w:rStyle w:val="FootnoteAnchor"/>
          <w:rtl w:val="true"/>
        </w:rPr>
        <w:footnoteReference w:id="3162"/>
      </w:r>
      <w:r>
        <w:rPr>
          <w:rFonts w:ascii="Amiri" w:hAnsi="Amiri" w:eastAsia="Amiri" w:cs="Amiri"/>
          <w:color w:val="111111"/>
          <w:sz w:val="28"/>
          <w:sz w:val="28"/>
          <w:szCs w:val="28"/>
          <w:rtl w:val="true"/>
          <w:lang w:bidi="ar-SA"/>
        </w:rPr>
        <w:t>، ولانصراف الأمر بالمرّتين</w:t>
      </w:r>
      <w:r>
        <w:rPr>
          <w:rStyle w:val="FootnoteAnchor"/>
          <w:rtl w:val="true"/>
        </w:rPr>
        <w:footnoteReference w:id="3163"/>
      </w:r>
      <w:r>
        <w:rPr>
          <w:rFonts w:ascii="Amiri" w:hAnsi="Amiri" w:eastAsia="Amiri" w:cs="Amiri"/>
          <w:color w:val="111111"/>
          <w:sz w:val="28"/>
          <w:sz w:val="28"/>
          <w:szCs w:val="28"/>
          <w:rtl w:val="true"/>
          <w:lang w:bidi="ar-SA"/>
        </w:rPr>
        <w:t xml:space="preserve">لبول الكبير ؟ </w:t>
      </w:r>
      <w:bookmarkStart w:id="1384" w:name="pg18988_203728"/>
    </w:p>
    <w:p>
      <w:pPr>
        <w:pStyle w:val="BookText"/>
        <w:rPr/>
      </w:pPr>
      <w:bookmarkEnd w:id="1384"/>
      <w:r>
        <w:rPr>
          <w:rFonts w:ascii="Amiri" w:hAnsi="Amiri" w:eastAsia="Amiri" w:cs="Amiri"/>
          <w:color w:val="111111"/>
          <w:sz w:val="28"/>
          <w:sz w:val="28"/>
          <w:szCs w:val="28"/>
          <w:rtl w:val="true"/>
          <w:lang w:bidi="ar-SA"/>
        </w:rPr>
        <w:t>أو لا يسقط؛ للاحتياط ، ولتخصيص إطلاق الأخبار بما دلّ على المرّتين، والمنع من انصرافها إلى بول الكبير؟ وهذا هو الأقوى</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3198413_1280447820"/>
      <w:bookmarkStart w:id="1386" w:name="_Toc533"/>
      <w:bookmarkEnd w:id="1385"/>
      <w:r>
        <w:rPr>
          <w:rtl w:val="true"/>
        </w:rPr>
        <w:t>خامسها</w:t>
      </w:r>
      <w:r>
        <w:rPr>
          <w:rtl w:val="true"/>
        </w:rPr>
        <w:t xml:space="preserve">: </w:t>
      </w:r>
      <w:r>
        <w:rPr>
          <w:rtl w:val="true"/>
        </w:rPr>
        <w:t>کفایۀ إزالة العين فی الغَسْل</w:t>
      </w:r>
      <w:bookmarkEnd w:id="1386"/>
    </w:p>
    <w:p>
      <w:pPr>
        <w:pStyle w:val="BookText"/>
        <w:rPr/>
      </w:pPr>
      <w:r>
        <w:rPr>
          <w:rFonts w:ascii="Amiri" w:hAnsi="Amiri" w:eastAsia="Amiri" w:cs="Amiri"/>
          <w:color w:val="111111"/>
          <w:sz w:val="28"/>
          <w:sz w:val="28"/>
          <w:szCs w:val="28"/>
          <w:rtl w:val="true"/>
          <w:lang w:bidi="ar-SA"/>
        </w:rPr>
        <w:t>يكفي في الغسل إزالة العين وإن بقي اللون والرائحة؛ لفتوى الأصحاب، والإجماع المنقول</w:t>
      </w:r>
      <w:r>
        <w:rPr>
          <w:rStyle w:val="FootnoteAnchor"/>
          <w:rtl w:val="true"/>
        </w:rPr>
        <w:footnoteReference w:id="3164"/>
      </w:r>
      <w:r>
        <w:rPr>
          <w:rFonts w:ascii="Amiri" w:hAnsi="Amiri" w:eastAsia="Amiri" w:cs="Amiri"/>
          <w:color w:val="111111"/>
          <w:sz w:val="28"/>
          <w:sz w:val="28"/>
          <w:szCs w:val="28"/>
          <w:rtl w:val="true"/>
          <w:lang w:bidi="ar-SA"/>
        </w:rPr>
        <w:t>في الباب،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ينقى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 ثمّة ويبقى الريح،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إليها</w:t>
      </w:r>
      <w:r>
        <w:rPr>
          <w:rFonts w:eastAsia="Amiri" w:cs="Amiri" w:ascii="Amiri" w:hAnsi="Amiri"/>
          <w:color w:val="111111"/>
          <w:sz w:val="28"/>
          <w:szCs w:val="28"/>
          <w:rtl w:val="true"/>
          <w:lang w:bidi="ar-SA"/>
        </w:rPr>
        <w:t>»</w:t>
      </w:r>
      <w:r>
        <w:rPr>
          <w:rStyle w:val="FootnoteAnchor"/>
          <w:rtl w:val="true"/>
        </w:rPr>
        <w:footnoteReference w:id="3165"/>
      </w:r>
      <w:r>
        <w:rPr>
          <w:rFonts w:ascii="Amiri" w:hAnsi="Amiri" w:eastAsia="Amiri" w:cs="Amiri"/>
          <w:color w:val="111111"/>
          <w:sz w:val="28"/>
          <w:sz w:val="28"/>
          <w:szCs w:val="28"/>
          <w:rtl w:val="true"/>
          <w:lang w:bidi="ar-SA"/>
        </w:rPr>
        <w:t>وفي آخَر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أثره</w:t>
      </w:r>
      <w:r>
        <w:rPr>
          <w:rFonts w:eastAsia="Amiri" w:cs="Amiri" w:ascii="Amiri" w:hAnsi="Amiri"/>
          <w:color w:val="111111"/>
          <w:sz w:val="28"/>
          <w:szCs w:val="28"/>
          <w:rtl w:val="true"/>
          <w:lang w:bidi="ar-SA"/>
        </w:rPr>
        <w:t>»</w:t>
      </w:r>
      <w:r>
        <w:rPr>
          <w:rStyle w:val="FootnoteAnchor"/>
          <w:rtl w:val="true"/>
        </w:rPr>
        <w:footnoteReference w:id="3166"/>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عليه من الريح </w:t>
      </w:r>
      <w:r>
        <w:rPr>
          <w:rFonts w:eastAsia="Amiri" w:cs="Amiri" w:ascii="Amiri" w:hAnsi="Amiri"/>
          <w:color w:val="111111"/>
          <w:sz w:val="28"/>
          <w:szCs w:val="28"/>
          <w:rtl w:val="true"/>
          <w:lang w:bidi="ar-SA"/>
        </w:rPr>
        <w:t>»</w:t>
      </w:r>
      <w:r>
        <w:rPr>
          <w:rStyle w:val="FootnoteAnchor"/>
          <w:rtl w:val="true"/>
        </w:rPr>
        <w:footnoteReference w:id="3167"/>
      </w:r>
      <w:r>
        <w:rPr>
          <w:rFonts w:ascii="Amiri" w:hAnsi="Amiri" w:eastAsia="Amiri" w:cs="Amiri"/>
          <w:color w:val="111111"/>
          <w:sz w:val="28"/>
          <w:sz w:val="28"/>
          <w:szCs w:val="28"/>
          <w:rtl w:val="true"/>
          <w:lang w:bidi="ar-SA"/>
        </w:rPr>
        <w:t>ونقل الإجماع على عدم الفرق بين الريح وغيره</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الخبرين في دم الحيض الذي لم يذهب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w:t>
      </w:r>
      <w:r>
        <w:rPr>
          <w:rStyle w:val="FootnoteAnchor"/>
          <w:rtl w:val="true"/>
        </w:rPr>
        <w:footnoteReference w:id="3169"/>
      </w:r>
      <w:r>
        <w:rPr>
          <w:rFonts w:ascii="Amiri" w:hAnsi="Amiri" w:eastAsia="Amiri" w:cs="Amiri"/>
          <w:color w:val="111111"/>
          <w:sz w:val="28"/>
          <w:sz w:val="28"/>
          <w:szCs w:val="28"/>
          <w:rtl w:val="true"/>
          <w:lang w:bidi="ar-SA"/>
        </w:rPr>
        <w:t xml:space="preserve">والصبغ غير مطهّرٍ قطعاً، مضافاً إلى أصل البراءة من لزوم إزالة الأثر بعد تحقّق إزالة العين عرفاً المأمور بها في النصّ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بقي للنجاسة أثر عرفاً ناشئ من تخلّف أجزائها الدقيقة في المحلّ، وجب إخراجه ولو بمعاون من صابون أو أشنان ودلكٍ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الإعراض دليل على بقاء الأجسام فيلزم إزالة الطعم واللون؛ لدلالتها على بقاء الأثر، غير مسموعة بعد ما ذكرناه من أنّ المدار على حصول النجاسة عرفاً وزوالها كذلك، والملازمة الحكميّة لو سلّمناها لا اعتبار بها في الأحكام الشرعيّة</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3198415_1280447820"/>
      <w:bookmarkStart w:id="1388" w:name="_Toc534"/>
      <w:bookmarkEnd w:id="1387"/>
      <w:r>
        <w:rPr>
          <w:rtl w:val="true"/>
        </w:rPr>
        <w:t>سادسها</w:t>
      </w:r>
      <w:r>
        <w:rPr>
          <w:rtl w:val="true"/>
        </w:rPr>
        <w:t xml:space="preserve">: </w:t>
      </w:r>
      <w:r>
        <w:rPr>
          <w:rtl w:val="true"/>
        </w:rPr>
        <w:t>عدم قبول المائع لتطهير مع بقائه على حالته وعدم تغيير صورته</w:t>
      </w:r>
      <w:bookmarkEnd w:id="1388"/>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المائع لا يقبل التطهير مع بقائه على حالته وعدم تغيير صورته، سواء كان ماءً مضافاً كماء الورد وشبهه، أو غيره كالدبس والدهن والعسل والشمع، ومثلها العجين والطين؛ لاستصحاب نجاسته، وعدم دليلٍ على إمكان تطهيره سوى عموم تطهير الماء، وهو كالمجمل بالنسبة للمتعلّق، وهو ما يطهّره، وبالنسبة إلى كيفيّة التطهير به؛ إذ لم يرد في كيفيّة التطهير سوى الغسل والنضح والرشّ والصبّ ونحو ذلك لأفرادٍ يتعلّق بها من ثوبٍ أو بدنٍ أو إناءٍ أو أرضٍ وشبهها، ولم يجئ من الشارع أنّ الماء مطهّر لكلّ شيء في أيّ نحوٍ على أيّ كيفيّةٍ، </w:t>
      </w:r>
      <w:bookmarkStart w:id="1389" w:name="pg18988_203729"/>
    </w:p>
    <w:p>
      <w:pPr>
        <w:pStyle w:val="BookText"/>
        <w:rPr/>
      </w:pPr>
      <w:bookmarkEnd w:id="1389"/>
      <w:r>
        <w:rPr>
          <w:rFonts w:ascii="Amiri" w:hAnsi="Amiri" w:eastAsia="Amiri" w:cs="Amiri"/>
          <w:color w:val="111111"/>
          <w:sz w:val="28"/>
          <w:sz w:val="28"/>
          <w:szCs w:val="28"/>
          <w:rtl w:val="true"/>
          <w:lang w:bidi="ar-SA"/>
        </w:rPr>
        <w:t>فالمشكوك فيه يبقى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 هناك فرداً متيقّناً في كيفيّة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مماسّة كلّ جزءٍ من أجزاء الماء لكلّ جزءٍ من أجزاء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لأشكل الأمر في تطهير المائع أيضاً؛ لأنّه إن مازج القليل انفعل القليل به فلم يفده تطهيراً؛ لعدم إمكان انفصاله عنه بعد ذلك كباقي المغسولات، وإن مازج الكثير فإن سلبه الإطلاق عند المزج بقي على نجاسته؛ لعدم العلم بمداخلة المطلق في أجزائه قبل أن يسلبه إطلاقه، فيبقى على استصحاب النجاسة، وأصالة بقاء الإطلاق إلى حين الخروج معارضٌ بظهور مقارنة الخروج عن الإطلاق للمزج، 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المقطوع به، وإن لم يسلبه الإطلاق استهلك المائع في الماء وبطل حكمه وذهبت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يفيد ذلك الماء الكثير طعماً أو لوناً أو نحو ذلك، وهو قليل الثمرة، بل لا تكاد تظهر له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علم بمداخلة الكثير لجميع أجزائه، ولو شكّ في المداخلة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كالدهن المنصبّ في الماء الكثير فإنّه لا يقطع بمداخلة الماء لجميع أجزاء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حكم تطهيره بإلقائه فيه وإن لم يسلب الماء الكثير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جمد المائع فتنجّس، فإن كان صقيلاً كالشمع والصابون في الشتاء، والملح والشبّ والزاج التي فيها صلابة إذا أصابتها النجاسة بعد جمودها جاز تطهيرها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أصابتها قبل جمودها فإن تقاطرت كانت كالمائع، وإن كانت بحيث ينحدر عنها ماء الغسالة جاز تطهير ظاهرها بالماء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صقيلاً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كالدهن والدبس في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تنفد النجاسة فيه بل مسّت السطح الظاهر جاز تطهيره بالكثير ، وفي جوازه بالقليل إشكال، والأحوط تركه</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3198417_1280447820"/>
      <w:bookmarkStart w:id="1391" w:name="_Toc535"/>
      <w:bookmarkEnd w:id="1390"/>
      <w:r>
        <w:rPr>
          <w:rtl w:val="true"/>
        </w:rPr>
        <w:t>سابعها</w:t>
      </w:r>
      <w:r>
        <w:rPr>
          <w:rtl w:val="true"/>
        </w:rPr>
        <w:t xml:space="preserve">: </w:t>
      </w:r>
      <w:r>
        <w:rPr>
          <w:rtl w:val="true"/>
        </w:rPr>
        <w:t>کیفیّۀ تطهیر ما تنفذ فيه النجاسة ولا يمكن إخراجها بالعصر</w:t>
      </w:r>
      <w:bookmarkEnd w:id="1391"/>
    </w:p>
    <w:p>
      <w:pPr>
        <w:pStyle w:val="BookText"/>
        <w:rPr/>
      </w:pPr>
      <w:r>
        <w:rPr>
          <w:rFonts w:ascii="Amiri" w:hAnsi="Amiri" w:eastAsia="Amiri" w:cs="Amiri"/>
          <w:color w:val="111111"/>
          <w:sz w:val="28"/>
          <w:sz w:val="28"/>
          <w:szCs w:val="28"/>
          <w:rtl w:val="true"/>
          <w:lang w:bidi="ar-SA"/>
        </w:rPr>
        <w:t>ما تنفذ فيه النجاسة من الأجسام، وترسب فيه الغسالة، ولا يمكن إخراجها بالعصر، كالأرض والمدر والقرطاس والطين اليابس والخبز وبعض الفواكه والحلوى والقند والسكّر المتماسك والصابون ونحو ذلك، فهذه إن أصابتها النجاسة حال ميعانها فجمدت كالحلوى والخبز والطين، وكان الماء بحيث ينفذ فيها وهي متماسكة، جاز تطهيرها بالكثير بوضعها فيه إلى أن ينفذ الماء الكثير في جميع أجزائها</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 غالباً والقند والحلوى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حكمها حكم المائع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ينفذ فيها الماء فإن لم تتقاطر جاز تطهير ظاهرها بالقليل والكثير، وإن تقاطرت لم يطهر ظاهرها بالقليل قطعاً، وفي الكثير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أصابتها النجاسة بعد جمودها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كالخبز والصابون والطين الجامد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تطهيرها بالكثير إما بُكرٍّ أو ماء مطر، بحيث ينفذ الماء إلى ما سرت فيه النجاسة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تطهيرها بالقليل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الباذنجان المطبوخ واليقطين وما شابهها من الفواكه مما يكون مطبوخاً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أوامر الغسل تشملها؛ لأنّ الثوب والبدن في الأخبار مثال، وأنّ الرطوبة الباقية فيها من ماء الغسالة لا تزيد على الرطوبة الباقية في المحشوّ وشبهه، بعيدةٌ؛ لانصراف أدلّة الغسل لما يغسل عرفاً ويصدق عليه ذلك، وعموم مطهّريّة الماء لمثل ذلك مشكوك فيه، ولعدم القطع بإزالة ماء الغسالة للنجاسة وخروج ما يمكن إخراجه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بلزوم العسر والحرج لو قلنا بعدم قبولها التطهير؛ لعدم تيسّر الماء الكثير أغلب البلدان، ويلزم من بقائها على النجاسة إتلاف كثيرٍ من المال، والامتنان بطهارة الماء يدلّ على شمول نفعه، فيكفي حينئذٍ إلقاء الماء القليل عليها بحيث يصل إلى المحلّ الذي وصلت إليه النجاسة، وغمزه في الجملة فيما يمكن غمزه لإخراج ما تيسّر إخراجه من ماء الغسالة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لا يمكن غمزه يطهر بوصول الماء إليه، كالأرض الرخوة لرفع الحرج واحتياج الناس إلى تطهير الأراضي وعدم تمكّنهم من ملاقاتها للماء الكثير ، وللحديث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بإهراق ذنوب الماء على بول الأعرابي في المسجد</w:t>
      </w:r>
      <w:r>
        <w:rPr>
          <w:rStyle w:val="FootnoteAnchor"/>
          <w:rtl w:val="true"/>
        </w:rPr>
        <w:footnoteReference w:id="3170"/>
      </w:r>
      <w:r>
        <w:rPr>
          <w:rFonts w:ascii="IRNazanin" w:hAnsi="IRNazanin" w:eastAsia="IRNazanin"/>
          <w:color w:val="111111"/>
          <w:sz w:val="28"/>
          <w:sz w:val="28"/>
          <w:szCs w:val="28"/>
          <w:rtl w:val="true"/>
          <w:lang w:bidi="fa-IR"/>
        </w:rPr>
        <w:t>، وقد شهد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بمقبوليّته </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أن نقول بطهارة سطحها الأعلى واستقرار النجاسة في الأسفل سيّما على القول بنجاسة ماء الغسالة؛ جمعاً بين الحكم بنجاستها وتطهيرها النجس بانحدارها عنه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الأوّل يكون تطهير الأرض بالماء القليل خارجاً عن الحكم بنجاسة ماء الغسالة بالدليل، ويُحكم بطهارته فى هذا المقام، أو يُحكم بنجاسته ولكن يطهّره الجفاف</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ما ورد في الأخبار وفيها الصحيح من الأمر برشّ بيت المجوس والصلاة </w:t>
      </w:r>
      <w:bookmarkStart w:id="1392" w:name="pg18988_203731"/>
    </w:p>
    <w:p>
      <w:pPr>
        <w:pStyle w:val="BookText"/>
        <w:rPr/>
      </w:pPr>
      <w:bookmarkEnd w:id="1392"/>
      <w:r>
        <w:rPr>
          <w:rFonts w:ascii="Amiri" w:hAnsi="Amiri" w:eastAsia="Amiri" w:cs="Amiri"/>
          <w:color w:val="111111"/>
          <w:sz w:val="28"/>
          <w:sz w:val="28"/>
          <w:szCs w:val="28"/>
          <w:rtl w:val="true"/>
          <w:lang w:bidi="ar-SA"/>
        </w:rPr>
        <w:t xml:space="preserve">فيه </w:t>
      </w:r>
      <w:r>
        <w:rPr>
          <w:rStyle w:val="FootnoteAnchor"/>
          <w:rtl w:val="true"/>
        </w:rPr>
        <w:footnoteReference w:id="3172"/>
      </w:r>
      <w:r>
        <w:rPr>
          <w:rFonts w:ascii="Amiri" w:hAnsi="Amiri" w:eastAsia="Amiri" w:cs="Amiri"/>
          <w:color w:val="111111"/>
          <w:sz w:val="28"/>
          <w:sz w:val="28"/>
          <w:szCs w:val="28"/>
          <w:rtl w:val="true"/>
          <w:lang w:bidi="ar-SA"/>
        </w:rPr>
        <w:t>، وما ورد في الصحيح من التعليل لتطهير السطح بماء المطر ما أصابه من الماء أكثر منه</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في الأرض الرخوة التي لا ينحدر عنها ماء الغسالة، وأمّا الصلبة التي ينحدر عنها ماء الغسالة لتسريحها في الجملة فالظاهر جواز تطهيرها بالماء القليل وإن لم تكن صخراً أو حصى أو قيراً أو شبهها؛ للضرورة، والعسر ، والحرج، ولخروج ماء الغسالة في الجملة</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3198419_1280447820"/>
      <w:bookmarkStart w:id="1394" w:name="_Toc536"/>
      <w:bookmarkEnd w:id="1393"/>
      <w:r>
        <w:rPr>
          <w:rtl w:val="true"/>
        </w:rPr>
        <w:t>ثامنها</w:t>
      </w:r>
      <w:r>
        <w:rPr>
          <w:rtl w:val="true"/>
        </w:rPr>
        <w:t xml:space="preserve">: </w:t>
      </w:r>
      <w:r>
        <w:rPr>
          <w:rtl w:val="true"/>
        </w:rPr>
        <w:t>کیفیّۀ تطهیر ما انتقع بالنجاسة من الحبوب و اللحوم المطبوخة بالماء النجس</w:t>
      </w:r>
      <w:bookmarkEnd w:id="1394"/>
    </w:p>
    <w:p>
      <w:pPr>
        <w:pStyle w:val="BookText"/>
        <w:rPr/>
      </w:pPr>
      <w:r>
        <w:rPr>
          <w:rFonts w:ascii="Amiri" w:hAnsi="Amiri" w:eastAsia="Amiri" w:cs="Amiri"/>
          <w:color w:val="111111"/>
          <w:sz w:val="28"/>
          <w:sz w:val="28"/>
          <w:szCs w:val="28"/>
          <w:rtl w:val="true"/>
          <w:lang w:bidi="ar-SA"/>
        </w:rPr>
        <w:t>ما انتقع بالنجاسة من الحبوب كالحنطة والأرز والسمسم وشبهها، أو طُبخ في الماء النجس كذلك، وكذا اللحوم المطبوخة يطهر بتنقيعه بالكثير، بحيث يصل الماء إلى ما وصلت إليه النجاسة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يطهر بالقليل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يطهر إذا علم نفوذ الماء إلى ما نفذت فيه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المفخور من آجر وخزف لو نفذت فيه النجاسة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تجفيفه ثمّ غسله بحيث ينفذ الماء فيه، وكلّما ازداد في التجفيف وإجراء الماء عليه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علم نفوذ ماء الغسالة إلى داخله، وإلّا طهر السطح الأعلى منه دون ما بطن، وخيال طهارته تبعاً ممنوع</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3198421_1280447820"/>
      <w:bookmarkStart w:id="1396" w:name="_Toc537"/>
      <w:bookmarkEnd w:id="1395"/>
      <w:r>
        <w:rPr>
          <w:rtl w:val="true"/>
        </w:rPr>
        <w:t>تاسعها</w:t>
      </w:r>
      <w:r>
        <w:rPr>
          <w:rtl w:val="true"/>
        </w:rPr>
        <w:t xml:space="preserve">: </w:t>
      </w:r>
      <w:r>
        <w:rPr>
          <w:rtl w:val="true"/>
        </w:rPr>
        <w:t>فیما ورد في جملةٍ من الأخبار الأمر بالرشّ والنضح لمحتمل النجاسة أو لمظنونها</w:t>
      </w:r>
      <w:bookmarkEnd w:id="1396"/>
    </w:p>
    <w:p>
      <w:pPr>
        <w:pStyle w:val="BookText"/>
        <w:rPr/>
      </w:pPr>
      <w:r>
        <w:rPr>
          <w:rFonts w:ascii="Amiri" w:hAnsi="Amiri" w:eastAsia="Amiri" w:cs="Amiri"/>
          <w:color w:val="111111"/>
          <w:sz w:val="28"/>
          <w:sz w:val="28"/>
          <w:szCs w:val="28"/>
          <w:rtl w:val="true"/>
          <w:lang w:bidi="ar-SA"/>
        </w:rPr>
        <w:t>قد ورد في جملةٍ من الأخبار الأمر بالرشّ والنضح لمحتمل النجاسة أو لمظنونها مع اليبوسة أو الرطوبة، كما ورد الأمر برشّ بيت المجوس والصلاة فيه</w:t>
      </w:r>
      <w:r>
        <w:rPr>
          <w:rStyle w:val="FootnoteAnchor"/>
          <w:rtl w:val="true"/>
        </w:rPr>
        <w:footnoteReference w:id="3174"/>
      </w:r>
      <w:r>
        <w:rPr>
          <w:rFonts w:ascii="Amiri" w:hAnsi="Amiri" w:eastAsia="Amiri" w:cs="Amiri"/>
          <w:color w:val="111111"/>
          <w:sz w:val="28"/>
          <w:sz w:val="28"/>
          <w:szCs w:val="28"/>
          <w:rtl w:val="true"/>
          <w:lang w:bidi="ar-SA"/>
        </w:rPr>
        <w:t>إذا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 يفيده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الصحيح أنّ مَنْ لم يستيقن أنّ ثوبه أصابه منيّ، فلينضحه بالماء</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الخنزير إذا أصاب الثوب جافّاً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الأخبار</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أنّ الفأرة الرطبة إذا مسّت على الثوب فإن رأى أثرها غسله وإن لم يرَ ينضحه </w:t>
      </w:r>
      <w:r>
        <w:rPr>
          <w:rStyle w:val="FootnoteAnchor"/>
          <w:rtl w:val="true"/>
        </w:rPr>
        <w:footnoteReference w:id="3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أنّ المصلّي في ثوب المجوسي يرشّه بالماء</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الثوب والبدن إذا لم يستيقن أنّه أصابهما بول ينضحهما بالماء</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مَنْ لم يستيقن أنّ ثوبه أصابه منيّ فلينضحه بالماء</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ثوب أصابته جنابة أو 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يرى أنّه أصابه شيء فنظر فلم يرَ شيئاً أجزأه أن ينضحه بالماء</w:t>
      </w:r>
      <w:r>
        <w:rPr>
          <w:rStyle w:val="FootnoteAnchor"/>
          <w:rtl w:val="true"/>
        </w:rPr>
        <w:footnoteReference w:id="3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فيمن أصاب ثوبه أبوال الدوابّ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شككت فانضحه</w:t>
      </w:r>
      <w:r>
        <w:rPr>
          <w:rFonts w:eastAsia="Amiri" w:cs="Amiri" w:ascii="Amiri" w:hAnsi="Amiri"/>
          <w:color w:val="111111"/>
          <w:sz w:val="28"/>
          <w:szCs w:val="28"/>
          <w:rtl w:val="true"/>
          <w:lang w:bidi="ar-SA"/>
        </w:rPr>
        <w:t>»</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تطهير الفرش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أصبت مسّ شيء فاغسله، وإلّا فانضحه</w:t>
      </w:r>
      <w:r>
        <w:rPr>
          <w:rFonts w:eastAsia="Amiri" w:cs="Amiri" w:ascii="Amiri" w:hAnsi="Amiri"/>
          <w:color w:val="111111"/>
          <w:sz w:val="28"/>
          <w:szCs w:val="28"/>
          <w:rtl w:val="true"/>
          <w:lang w:bidi="ar-SA"/>
        </w:rPr>
        <w:t>»</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فيمن وقع ثوبه على كلب ميّت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ينضحه ويصلّي فيه</w:t>
      </w:r>
      <w:r>
        <w:rPr>
          <w:rFonts w:eastAsia="Amiri" w:cs="Amiri" w:ascii="Amiri" w:hAnsi="Amiri"/>
          <w:color w:val="111111"/>
          <w:sz w:val="28"/>
          <w:szCs w:val="28"/>
          <w:rtl w:val="true"/>
          <w:lang w:bidi="ar-SA"/>
        </w:rPr>
        <w:t>»</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المذي إذا أصاب الثوب ينضحه بالماء</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الأمر بنضح بول البعير والشاة</w:t>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عرق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أن يرشّه بالماء فليفعل</w:t>
      </w:r>
      <w:r>
        <w:rPr>
          <w:rFonts w:eastAsia="Amiri" w:cs="Amiri" w:ascii="Amiri" w:hAnsi="Amiri"/>
          <w:color w:val="111111"/>
          <w:sz w:val="28"/>
          <w:szCs w:val="28"/>
          <w:rtl w:val="true"/>
          <w:lang w:bidi="ar-SA"/>
        </w:rPr>
        <w:t>»</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فيمن يجد الندى والصفرة في المقعدة وكان بها جرح أنّه يرشّ بالماء</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الخصي يبول فيرى البلل بعد البول،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وينضح ثوبه في النهار مرّة</w:t>
      </w:r>
      <w:r>
        <w:rPr>
          <w:rFonts w:eastAsia="Amiri" w:cs="Amiri" w:ascii="Amiri" w:hAnsi="Amiri"/>
          <w:color w:val="111111"/>
          <w:sz w:val="28"/>
          <w:szCs w:val="28"/>
          <w:rtl w:val="true"/>
          <w:lang w:bidi="ar-SA"/>
        </w:rPr>
        <w:t>»</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أنّ الكلب إذا مسّ الثوب جافّاً فاصبب عليه الماء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 الكلب إذا مسّ الثوب يابساً أنّه ينضحه</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 xml:space="preserve">. </w:t>
      </w:r>
      <w:bookmarkStart w:id="1397" w:name="pg18988_203733"/>
    </w:p>
    <w:p>
      <w:pPr>
        <w:pStyle w:val="BookText"/>
        <w:rPr/>
      </w:pPr>
      <w:bookmarkEnd w:id="1397"/>
      <w:r>
        <w:rPr>
          <w:rFonts w:ascii="Amiri" w:hAnsi="Amiri" w:eastAsia="Amiri" w:cs="Amiri"/>
          <w:color w:val="111111"/>
          <w:sz w:val="28"/>
          <w:sz w:val="28"/>
          <w:szCs w:val="28"/>
          <w:rtl w:val="true"/>
          <w:lang w:bidi="ar-SA"/>
        </w:rPr>
        <w:t>وورد أنّ الكلب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انضحه، وإن كان رطباً فاغسله</w:t>
      </w:r>
      <w:r>
        <w:rPr>
          <w:rFonts w:eastAsia="Amiri" w:cs="Amiri" w:ascii="Amiri" w:hAnsi="Amiri"/>
          <w:color w:val="111111"/>
          <w:sz w:val="28"/>
          <w:szCs w:val="28"/>
          <w:rtl w:val="true"/>
          <w:lang w:bidi="ar-SA"/>
        </w:rPr>
        <w:t>»</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الرشّ والنضح والصبّ يراد بها معنىٌ واحد، وهو وضع الماء على المحلّ مع استيعابه، دون مجرّد التقاطر من دون استيعابٍ، كما هو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عرفنا اليوم، بل ربما يدّعى أنّه في اللغة كذلك، وأنّ النضح والرشّ والصبّ سواء في الاستيلاء، إلّا أن الصبّ مأخوذ فيه الكثرة والانصباب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جميع ذلك محمول على الندب والتنزّه عن حصول النفرة من مماسّة حيوان، أو توهّم إصابة نجاسةٍ، أو إزالة دسومةٍ عالقة، أو لسكون النفس عن التجسّس، أو لتخفيفها لو كانت موجودةً،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ظاهرها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بعض الأصحاب بكثير من مواردها </w:t>
      </w:r>
      <w:r>
        <w:rPr>
          <w:rStyle w:val="FootnoteAnchor"/>
          <w:rtl w:val="true"/>
        </w:rPr>
        <w:footnoteReference w:id="3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لمعارضته لفتوى المشهور ، وعمومات الأدلّة الدالّة على طهارة تلك الأشياء، والدالّة على احتياج المتنجّس إلى غسل، ولا شيء من الرشّ والنضح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كنزح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 فتوى الأصحاب، بل الاتّفاق الظاهر فى الباب والإجماعات المنقولة على عدم وجوب جُلّها، بل كلّها</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13198423_1280447820"/>
      <w:bookmarkStart w:id="1399" w:name="_Toc538"/>
      <w:bookmarkEnd w:id="1398"/>
      <w:r>
        <w:rPr>
          <w:rtl w:val="true"/>
        </w:rPr>
        <w:t>عاشرها</w:t>
      </w:r>
      <w:r>
        <w:rPr>
          <w:rtl w:val="true"/>
        </w:rPr>
        <w:t xml:space="preserve">: </w:t>
      </w:r>
      <w:r>
        <w:rPr>
          <w:rtl w:val="true"/>
        </w:rPr>
        <w:t>حکم ما إذا علم موضع النجاسة وما إذا جهاها</w:t>
      </w:r>
      <w:bookmarkEnd w:id="1399"/>
    </w:p>
    <w:p>
      <w:pPr>
        <w:pStyle w:val="BookText"/>
        <w:rPr/>
      </w:pPr>
      <w:r>
        <w:rPr>
          <w:rFonts w:ascii="Amiri" w:hAnsi="Amiri" w:eastAsia="Amiri" w:cs="Amiri"/>
          <w:color w:val="111111"/>
          <w:sz w:val="28"/>
          <w:sz w:val="28"/>
          <w:szCs w:val="28"/>
          <w:rtl w:val="true"/>
          <w:lang w:bidi="ar-SA"/>
        </w:rPr>
        <w:t>إذا علم موضع النجاسة غسله قطعاً، في ثوب أو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غسل البعض وتأخير البعض، ولا تسري النجاسة إلى ما طهر، خلافاً لمن منع من غَسْل بعض الثوب دون بعض</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جهلها، غسل جميع ما يقع فيه الاشتباه من ثوب أو بدن؛ للإجماع المنقول</w:t>
      </w:r>
      <w:r>
        <w:rPr>
          <w:rStyle w:val="FootnoteAnchor"/>
          <w:rtl w:val="true"/>
        </w:rPr>
        <w:footnoteReference w:id="3195"/>
      </w:r>
      <w:r>
        <w:rPr>
          <w:rFonts w:ascii="Amiri" w:hAnsi="Amiri" w:eastAsia="Amiri" w:cs="Amiri"/>
          <w:color w:val="111111"/>
          <w:sz w:val="28"/>
          <w:sz w:val="28"/>
          <w:szCs w:val="28"/>
          <w:rtl w:val="true"/>
          <w:lang w:bidi="ar-SA"/>
        </w:rPr>
        <w:t>، وفتوى الفحول، والاحتياط اللازم من باب المقدّمة، والنصوص المستفيضة</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 الأمر بغَسْل الثوب كلّه إن خفى مكان المنيّ</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 xml:space="preserve">. </w:t>
      </w:r>
      <w:bookmarkStart w:id="1400" w:name="pg18988_203734"/>
    </w:p>
    <w:p>
      <w:pPr>
        <w:pStyle w:val="BookText"/>
        <w:rPr/>
      </w:pPr>
      <w:bookmarkEnd w:id="1400"/>
      <w:r>
        <w:rPr>
          <w:rFonts w:ascii="Amiri" w:hAnsi="Amiri" w:eastAsia="Amiri" w:cs="Amiri"/>
          <w:color w:val="111111"/>
          <w:sz w:val="28"/>
          <w:sz w:val="28"/>
          <w:szCs w:val="28"/>
          <w:rtl w:val="true"/>
          <w:lang w:bidi="ar-SA"/>
        </w:rPr>
        <w:t>والآخَر الآمر بغَسْل الثوب من الناحية التي يرى أنّه أصابها حتّى يكون على يقين من طهارته</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المعتبرة المنجبرة بفتوى الأصحاب والقواعد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تخيّله بعضهم من الاكتفاء بغسل مقدار النجاسة من موضع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يرتفع يقين النجاسة ولا يلزم يقين الرفع</w:t>
      </w:r>
      <w:r>
        <w:rPr>
          <w:rStyle w:val="FootnoteAnchor"/>
          <w:rtl w:val="true"/>
        </w:rPr>
        <w:footnoteReference w:id="3198"/>
      </w:r>
      <w:r>
        <w:rPr>
          <w:rFonts w:ascii="Amiri" w:hAnsi="Amiri" w:eastAsia="Amiri" w:cs="Amiri"/>
          <w:color w:val="111111"/>
          <w:sz w:val="28"/>
          <w:sz w:val="28"/>
          <w:szCs w:val="28"/>
          <w:rtl w:val="true"/>
          <w:lang w:bidi="ar-SA"/>
        </w:rPr>
        <w:t>، ضعيفٌ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النجاسة في أحد الثوبين واشتبهت وجب غسلهما على نحو ما تقدّم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تخيّله بعضهم من التخيير والتمسّك بالأصل</w:t>
      </w:r>
      <w:r>
        <w:rPr>
          <w:rStyle w:val="FootnoteAnchor"/>
          <w:rtl w:val="true"/>
        </w:rPr>
        <w:footnoteReference w:id="3199"/>
      </w:r>
      <w:r>
        <w:rPr>
          <w:rFonts w:ascii="Amiri" w:hAnsi="Amiri" w:eastAsia="Amiri" w:cs="Amiri"/>
          <w:color w:val="111111"/>
          <w:sz w:val="28"/>
          <w:sz w:val="28"/>
          <w:szCs w:val="28"/>
          <w:rtl w:val="true"/>
          <w:lang w:bidi="ar-SA"/>
        </w:rPr>
        <w:t>،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تعذّر غسلهما صلّى بهما الصلاة الواحدة؛ للاحتياط القاضي به باب المقدّمة، وللخبر الأمر بالصلاة بهما جميعاً</w:t>
      </w:r>
      <w:r>
        <w:rPr>
          <w:rStyle w:val="FootnoteAnchor"/>
          <w:rtl w:val="true"/>
        </w:rPr>
        <w:footnoteReference w:id="3200"/>
      </w:r>
      <w:r>
        <w:rPr>
          <w:rFonts w:ascii="Amiri" w:hAnsi="Amiri" w:eastAsia="Amiri" w:cs="Amiri"/>
          <w:color w:val="111111"/>
          <w:sz w:val="28"/>
          <w:sz w:val="28"/>
          <w:szCs w:val="28"/>
          <w:rtl w:val="true"/>
          <w:lang w:bidi="ar-SA"/>
        </w:rPr>
        <w:t>، وليس المراد اجتماعهما؛ لبطلانه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يطرحهما ويصلّي عرياناً </w:t>
      </w:r>
      <w:r>
        <w:rPr>
          <w:rStyle w:val="FootnoteAnchor"/>
          <w:rtl w:val="true"/>
        </w:rPr>
        <w:footnoteReference w:id="3201"/>
      </w:r>
      <w:r>
        <w:rPr>
          <w:rFonts w:ascii="Amiri" w:hAnsi="Amiri" w:eastAsia="Amiri" w:cs="Amiri"/>
          <w:color w:val="111111"/>
          <w:sz w:val="28"/>
          <w:sz w:val="28"/>
          <w:szCs w:val="28"/>
          <w:rtl w:val="true"/>
          <w:lang w:bidi="ar-SA"/>
        </w:rPr>
        <w:t>، وذُكر أنّ فيه رواية مرسلة</w:t>
      </w:r>
      <w:r>
        <w:rPr>
          <w:rStyle w:val="FootnoteAnchor"/>
          <w:rtl w:val="true"/>
        </w:rPr>
        <w:footnoteReference w:id="3202"/>
      </w:r>
      <w:r>
        <w:rPr>
          <w:rFonts w:ascii="Amiri" w:hAnsi="Amiri" w:eastAsia="Amiri" w:cs="Amiri"/>
          <w:color w:val="111111"/>
          <w:sz w:val="28"/>
          <w:sz w:val="28"/>
          <w:szCs w:val="28"/>
          <w:rtl w:val="true"/>
          <w:lang w:bidi="ar-SA"/>
        </w:rPr>
        <w:t>، وأنّ تعدّد الصلاة يفوّت الجزم الواجب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ضعيف؛ لضعف الرواية، ومنع فوات الجزم، أو تسليمه ولكنّه جاز للضرورة، أو جاز لأنّ به استيفاء الأفعال دون الصلاة عرياناً، على أنّه ينتقض بالصلاة عرياناً أيضاً من جهة التردّد في صحّتها</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13198425_1280447820"/>
      <w:bookmarkStart w:id="1402" w:name="_Toc539"/>
      <w:bookmarkEnd w:id="1401"/>
      <w:r>
        <w:rPr>
          <w:rtl w:val="true"/>
        </w:rPr>
        <w:t>حادي عشرها</w:t>
      </w:r>
      <w:r>
        <w:rPr>
          <w:rtl w:val="true"/>
        </w:rPr>
        <w:t xml:space="preserve">: </w:t>
      </w:r>
      <w:r>
        <w:rPr>
          <w:rtl w:val="true"/>
        </w:rPr>
        <w:t>غسل الإناء من ولوغ الكلب ثلاثاً أوّلهنّ بالتراب</w:t>
      </w:r>
      <w:bookmarkEnd w:id="1402"/>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يُغسل الإناء من ولوغ الكلب ثلاثاً؛ للإجماع المنقول</w:t>
      </w:r>
      <w:r>
        <w:rPr>
          <w:rStyle w:val="FootnoteAnchor"/>
          <w:rtl w:val="true"/>
        </w:rPr>
        <w:footnoteReference w:id="3203"/>
      </w:r>
      <w:r>
        <w:rPr>
          <w:rFonts w:ascii="Amiri" w:hAnsi="Amiri" w:eastAsia="Amiri" w:cs="Amiri"/>
          <w:color w:val="111111"/>
          <w:sz w:val="28"/>
          <w:sz w:val="28"/>
          <w:szCs w:val="28"/>
          <w:rtl w:val="true"/>
          <w:lang w:bidi="ar-SA"/>
        </w:rPr>
        <w:t>، وفتوى الفحول، بل الإجماع المحصّل، والصحيح الآمر بصبّ الماء الذي من فضل الكلب وغسله بالتراب أوّل مرّة ثمّ بالماء مرّتين</w:t>
      </w:r>
      <w:r>
        <w:rPr>
          <w:rStyle w:val="FootnoteAnchor"/>
          <w:rtl w:val="true"/>
        </w:rPr>
        <w:footnoteReference w:id="3204"/>
      </w:r>
      <w:r>
        <w:rPr>
          <w:rFonts w:ascii="Amiri" w:hAnsi="Amiri" w:eastAsia="Amiri" w:cs="Amiri"/>
          <w:color w:val="111111"/>
          <w:sz w:val="28"/>
          <w:sz w:val="28"/>
          <w:szCs w:val="28"/>
          <w:rtl w:val="true"/>
          <w:lang w:bidi="ar-SA"/>
        </w:rPr>
        <w:t>، والأمر بالماء مرّتين وإن لم يوجد في النسخ المشهورة في الحديث، إلّا أنّه مرويّ في الخلاف والمعتبر</w:t>
      </w:r>
      <w:r>
        <w:rPr>
          <w:rStyle w:val="FootnoteAnchor"/>
          <w:rtl w:val="true"/>
        </w:rPr>
        <w:footnoteReference w:id="3205"/>
      </w:r>
      <w:r>
        <w:rPr>
          <w:rFonts w:ascii="Amiri" w:hAnsi="Amiri" w:eastAsia="Amiri" w:cs="Amiri"/>
          <w:color w:val="111111"/>
          <w:sz w:val="28"/>
          <w:sz w:val="28"/>
          <w:szCs w:val="28"/>
          <w:rtl w:val="true"/>
          <w:lang w:bidi="ar-SA"/>
        </w:rPr>
        <w:t>، ومؤيّد بالرضوي</w:t>
      </w:r>
      <w:r>
        <w:rPr>
          <w:rStyle w:val="FootnoteAnchor"/>
          <w:rtl w:val="true"/>
        </w:rPr>
        <w:footnoteReference w:id="3206"/>
      </w:r>
      <w:r>
        <w:rPr>
          <w:rFonts w:ascii="IRNazanin" w:hAnsi="IRNazanin" w:eastAsia="IRNazanin"/>
          <w:color w:val="111111"/>
          <w:sz w:val="28"/>
          <w:sz w:val="28"/>
          <w:szCs w:val="28"/>
          <w:rtl w:val="true"/>
          <w:lang w:bidi="fa-IR"/>
        </w:rPr>
        <w:t>المنجبر، فهو معتبر قطعاً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ويجب أن يكون أوّلهنّ بالتراب؛ لفتوى المشهور، وعمل الجمهور، والاحتياط، والصحيح المتقدّم</w:t>
      </w:r>
      <w:r>
        <w:rPr>
          <w:rStyle w:val="FootnoteAnchor"/>
          <w:rtl w:val="true"/>
        </w:rPr>
        <w:footnoteReference w:id="3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لمن أوجب التوسّط</w:t>
      </w:r>
      <w:r>
        <w:rPr>
          <w:rStyle w:val="FootnoteAnchor"/>
          <w:rtl w:val="true"/>
        </w:rPr>
        <w:footnoteReference w:id="3208"/>
      </w:r>
      <w:r>
        <w:rPr>
          <w:rFonts w:ascii="Amiri" w:hAnsi="Amiri" w:eastAsia="Amiri" w:cs="Amiri"/>
          <w:color w:val="111111"/>
          <w:sz w:val="28"/>
          <w:sz w:val="28"/>
          <w:szCs w:val="28"/>
          <w:rtl w:val="true"/>
          <w:lang w:bidi="ar-SA"/>
        </w:rPr>
        <w:t>لروايةٍ</w:t>
      </w:r>
      <w:r>
        <w:rPr>
          <w:rStyle w:val="FootnoteAnchor"/>
          <w:rtl w:val="true"/>
        </w:rPr>
        <w:footnoteReference w:id="3209"/>
      </w:r>
      <w:r>
        <w:rPr>
          <w:rFonts w:ascii="Amiri" w:hAnsi="Amiri" w:eastAsia="Amiri" w:cs="Amiri"/>
          <w:color w:val="111111"/>
          <w:sz w:val="28"/>
          <w:sz w:val="28"/>
          <w:szCs w:val="28"/>
          <w:rtl w:val="true"/>
          <w:lang w:bidi="ar-SA"/>
        </w:rPr>
        <w:t>مرسلة ضعيفة شاذّة لا تعارض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لمن خيّر فيها؛ لإطلاق الرضوي</w:t>
      </w:r>
      <w:r>
        <w:rPr>
          <w:rStyle w:val="FootnoteAnchor"/>
          <w:rtl w:val="true"/>
        </w:rPr>
        <w:footnoteReference w:id="3210"/>
      </w:r>
      <w:r>
        <w:rPr>
          <w:rFonts w:ascii="Amiri" w:hAnsi="Amiri" w:eastAsia="Amiri" w:cs="Amiri"/>
          <w:color w:val="111111"/>
          <w:sz w:val="28"/>
          <w:sz w:val="28"/>
          <w:szCs w:val="28"/>
          <w:rtl w:val="true"/>
          <w:lang w:bidi="ar-SA"/>
        </w:rPr>
        <w:t>، وبعض كلمات الأصحاب</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لحمل المطلق على المقيّد عند المقاومة، فكيف ولا مقاومة، مع أنّه في الرضوي قدّم التراب، وظاهر الترتيب الذكري يفيد الترتيب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الجنيد إلى وجوب السبع</w:t>
      </w:r>
      <w:r>
        <w:rPr>
          <w:rStyle w:val="FootnoteAnchor"/>
          <w:rtl w:val="true"/>
        </w:rPr>
        <w:footnoteReference w:id="3212"/>
      </w:r>
      <w:r>
        <w:rPr>
          <w:rFonts w:ascii="Amiri" w:hAnsi="Amiri" w:eastAsia="Amiri" w:cs="Amiri"/>
          <w:color w:val="111111"/>
          <w:sz w:val="28"/>
          <w:sz w:val="28"/>
          <w:szCs w:val="28"/>
          <w:rtl w:val="true"/>
          <w:lang w:bidi="ar-SA"/>
        </w:rPr>
        <w:t>؛ للروايتين الآمرتين بالسبع</w:t>
      </w:r>
      <w:r>
        <w:rPr>
          <w:rStyle w:val="FootnoteAnchor"/>
          <w:rtl w:val="true"/>
        </w:rPr>
        <w:footnoteReference w:id="3213"/>
      </w:r>
      <w:r>
        <w:rPr>
          <w:rFonts w:ascii="Amiri" w:hAnsi="Amiri" w:eastAsia="Amiri" w:cs="Amiri"/>
          <w:color w:val="111111"/>
          <w:sz w:val="28"/>
          <w:sz w:val="28"/>
          <w:szCs w:val="28"/>
          <w:rtl w:val="true"/>
          <w:lang w:bidi="ar-SA"/>
        </w:rPr>
        <w:t>، وأنّ أوّلهنّ بالتراب كما 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لضعفهما، وقصور سندهما عن إثبات السبع؛ لأنّ الراوي في إحداهما أبو هريرة، وقد روى الثلاث مرّة</w:t>
      </w:r>
      <w:r>
        <w:rPr>
          <w:rStyle w:val="FootnoteAnchor"/>
          <w:rtl w:val="true"/>
        </w:rPr>
        <w:footnoteReference w:id="3214"/>
      </w:r>
      <w:r>
        <w:rPr>
          <w:rFonts w:ascii="IRNazanin" w:hAnsi="IRNazanin" w:eastAsia="IRNazanin"/>
          <w:color w:val="111111"/>
          <w:sz w:val="28"/>
          <w:sz w:val="28"/>
          <w:szCs w:val="28"/>
          <w:rtl w:val="true"/>
          <w:lang w:bidi="fa-IR"/>
        </w:rPr>
        <w:t>، والثلاث والخمس والسبع أُخرى</w:t>
      </w:r>
      <w:r>
        <w:rPr>
          <w:rStyle w:val="FootnoteAnchor"/>
          <w:rtl w:val="true"/>
        </w:rPr>
        <w:footnoteReference w:id="3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 غير صحيحة فحملها على الندب لا بأس به؛ لمكان الاستظهار والجمع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مزج التراب بالماء لتحصيل حقيقة الغسل أو أقرب مجازاته، ولحمل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واغسله بالتراب</w:t>
      </w:r>
      <w:r>
        <w:rPr>
          <w:rFonts w:eastAsia="Amiri" w:cs="Amiri" w:ascii="Amiri" w:hAnsi="Amiri"/>
          <w:color w:val="111111"/>
          <w:sz w:val="28"/>
          <w:szCs w:val="28"/>
          <w:rtl w:val="true"/>
          <w:lang w:bidi="ar-SA"/>
        </w:rPr>
        <w:t>»</w:t>
      </w:r>
      <w:r>
        <w:rPr>
          <w:rStyle w:val="FootnoteAnchor"/>
          <w:rtl w:val="true"/>
        </w:rPr>
        <w:footnoteReference w:id="3216"/>
      </w:r>
      <w:r>
        <w:rPr>
          <w:rFonts w:ascii="Amiri" w:hAnsi="Amiri" w:eastAsia="Amiri" w:cs="Amiri"/>
          <w:color w:val="111111"/>
          <w:sz w:val="28"/>
          <w:sz w:val="28"/>
          <w:szCs w:val="28"/>
          <w:rtl w:val="true"/>
          <w:lang w:bidi="ar-SA"/>
        </w:rPr>
        <w:t xml:space="preserve">على المصاحبة، فيكون الظرف حالاً من الغسل المدلول عليه بالأمر،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بثياب السفر، ويكون المراد غسله بالماء حال كونه مصاحباً للتراب، أو لا يشترط؟ لأنّ حمل التراب على حقيقته واستعمال الغسل في مطلق المطهّر خيرٌ من إبقاء الغسل على حقيقته، والتجوّز في التراب باستعماله في الطين؛ </w:t>
      </w:r>
    </w:p>
    <w:p>
      <w:pPr>
        <w:pStyle w:val="BookText"/>
        <w:rPr/>
      </w:pPr>
      <w:r>
        <w:rPr>
          <w:rFonts w:ascii="Amiri" w:hAnsi="Amiri" w:eastAsia="Amiri" w:cs="Amiri"/>
          <w:color w:val="111111"/>
          <w:sz w:val="28"/>
          <w:sz w:val="28"/>
          <w:szCs w:val="28"/>
          <w:rtl w:val="true"/>
          <w:lang w:bidi="ar-SA"/>
        </w:rPr>
        <w:t>لمعروفيّة المجاز الأوّل وكثرته، دون الثاني، على أنّ التجوّز بالغسل حاصل على كلّ حالٍ؛ لأنّه حقيقة بإجراء الماء المطلق أو كلّ ماء ، لا كلّ مائع كالطين، كما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أقربيّة التجوّز بالمائع من التجوّز بالمطهّر مطلقاً ممنوع بنفسه أوّلاً، وممنوع بترجيحه على استعمال التراب في حقيقته ثانياً، ومستلزم للمجازين من مجازيّة الغسل ومجازيّة التراب ثالثاً، وحمل الباء على المصاحبة لا يجدي أيضاً؛ لأنّه مستلزم لإخراج الماء والتراب والغسل عن الحقيقة؛ لأنّ الماء بعد مزجه بالتراب خرج عن كونه ماءً مصاحباً للتراب، وعن كونه تراباً، وعن كونه غسلاً بالماء المصاحب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اكتفينا في الغسل بالتراب بتبليله بحيث لا يخرج عن كونه تراباً، كان أقرب للتنظيف، وأقرب للتجوّز في الغسل، وليس فيه خروج عن الاحتياط، وأمّا إبقاء الماء على إطلاقه، وإضافة شيء من التراب إليه فهو خروج عن ظاهر النصّ والفتوى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طهارة التراب ؛ للاحتياط ، ولظهور الأمر به كظهوره في الماء، ولإشعار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وترابها طهوراً</w:t>
      </w:r>
      <w:r>
        <w:rPr>
          <w:rFonts w:eastAsia="Amiri" w:cs="Amiri" w:ascii="Amiri" w:hAnsi="Amiri"/>
          <w:color w:val="111111"/>
          <w:sz w:val="28"/>
          <w:szCs w:val="28"/>
          <w:rtl w:val="true"/>
          <w:lang w:bidi="ar-SA"/>
        </w:rPr>
        <w:t>»</w:t>
      </w:r>
      <w:r>
        <w:rPr>
          <w:rStyle w:val="FootnoteAnchor"/>
          <w:rtl w:val="true"/>
        </w:rPr>
        <w:footnoteReference w:id="3217"/>
      </w:r>
      <w:r>
        <w:rPr>
          <w:rFonts w:ascii="Amiri" w:hAnsi="Amiri" w:eastAsia="Amiri" w:cs="Amiri"/>
          <w:color w:val="111111"/>
          <w:sz w:val="28"/>
          <w:sz w:val="28"/>
          <w:szCs w:val="28"/>
          <w:rtl w:val="true"/>
          <w:lang w:bidi="ar-SA"/>
        </w:rPr>
        <w:t>، وهو الطاهر المطهّر، ولاستبعاد تطهير ما هو نجس عند الشارع، كما هو المعلوم من استقراء المطهّرات، أو لا يشترط؛ للإطلاق، ولأنّه جزء من المطهّر لا مطهّر، ولأنّ الغرض منه التنظيف دون التطهير، وهو ممّا يحصل بالنجس، ويرفع النفرة الحاصلة من مماسّة الكلب؟ والثاني قويّ،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إطلاق التراب اقتصاراً على مورد النصّ والفتوى في التطهير بعد استصحاب النجاسة، أو يكفى مطلق التراب مطلقاً، أو مضافاً كتراب المعادن والأُشنان وشبهها؛ لأنّ الغرض حصول التنظيف ، وربما كان غير التراب أقوى في تحصيله؟ وفي الثاني قوّة،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إمكان الماء يبقى الإناء نجساً قطعاً؛ لأنّه حكمٌ وضعيٌّ لا يرتفع إلّا بسببه</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3218"/>
      </w:r>
      <w:r>
        <w:rPr>
          <w:rFonts w:ascii="Amiri" w:hAnsi="Amiri" w:eastAsia="Amiri" w:cs="Amiri"/>
          <w:color w:val="111111"/>
          <w:sz w:val="28"/>
          <w:sz w:val="28"/>
          <w:szCs w:val="28"/>
          <w:rtl w:val="true"/>
          <w:lang w:bidi="ar-SA"/>
        </w:rPr>
        <w:t>وأنّ الضرورات تبيح المحظورات، ومن نفي العسر والحرج</w:t>
      </w:r>
      <w:r>
        <w:rPr>
          <w:rStyle w:val="FootnoteAnchor"/>
          <w:rtl w:val="true"/>
        </w:rPr>
        <w:footnoteReference w:id="3219"/>
      </w:r>
      <w:r>
        <w:rPr>
          <w:rFonts w:ascii="Amiri" w:hAnsi="Amiri" w:eastAsia="Amiri" w:cs="Amiri"/>
          <w:color w:val="111111"/>
          <w:sz w:val="28"/>
          <w:sz w:val="28"/>
          <w:szCs w:val="28"/>
          <w:rtl w:val="true"/>
          <w:lang w:bidi="ar-SA"/>
        </w:rPr>
        <w:t xml:space="preserve">، فهو وارد في الغالب في موارد الأحكام التكليفيّة لا الوضعيّة، كما فهم الأصحاب </w:t>
      </w:r>
    </w:p>
    <w:p>
      <w:pPr>
        <w:pStyle w:val="BookText"/>
        <w:rPr/>
      </w:pPr>
      <w:r>
        <w:rPr>
          <w:rFonts w:ascii="Amiri" w:hAnsi="Amiri" w:eastAsia="Amiri" w:cs="Amiri"/>
          <w:color w:val="111111"/>
          <w:sz w:val="28"/>
          <w:sz w:val="28"/>
          <w:szCs w:val="28"/>
          <w:rtl w:val="true"/>
          <w:lang w:bidi="ar-SA"/>
        </w:rPr>
        <w:t>ذلك منه ، بل ظاهرهم قريب الاتفاق على ذلك، وهذا المقام من المواضع التي لا تجري فيها تلك العمومات، فيستصحب حكم النجاسة إلى حصول القطع بالمزيل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التراب فهل يسقط حكمه؛ لتلك العمومات المتقدّمة، ولوجود الماء في الغسلتين الأخيرتين، أو يقوم مقامه الغسل بالماء؛ لأنّه الأصل في الغسل، وغيره إنّما يثبت مع إمكانه أو يقوم مقامه تراب مضاف؛ لأنّ المقصود التنظيف، وهو حاصل ممّا يحصل به، فإن لم يحصل فالماء، فإن لم يمكن سقط حكمه واكتفي بالغسلتين، أو أنّه يبقى نجساً؛ لاستصحاب النجاسة، وتوقف التطهير على شرط غير ممكن، والمشروط عدم عند عدم شرطه، والعمومات المتقدّمة لا تجري في الأحكام الوضعيّة في النجاسة وشبهها؟ وجوه، 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وفي قيام التراب المضاف مقام المطلق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تكرّر الولوغ فهل يكفي لجميعها عمل واحد؛ لأنّ المقصود التنظيف، ممّا يحصل بالتداخل، ولأنّه كسائر النجاسات، وهي ممّا تتداخل؛ لظاهر الفتاوى والنصوص وإن قلنا بأصالة عدم التداخل في غيرها، أو لا يكفي؛ لأصالة عدم التداخل، وأصالة تعدّد المأمور به عند تعدّد الأمر؟</w:t>
      </w:r>
    </w:p>
    <w:p>
      <w:pPr>
        <w:pStyle w:val="BookText"/>
        <w:rPr/>
      </w:pPr>
      <w:r>
        <w:rPr>
          <w:rFonts w:ascii="Amiri" w:hAnsi="Amiri" w:eastAsia="Amiri" w:cs="Amiri"/>
          <w:color w:val="111111"/>
          <w:sz w:val="28"/>
          <w:sz w:val="28"/>
          <w:szCs w:val="28"/>
          <w:rtl w:val="true"/>
          <w:lang w:bidi="ar-SA"/>
        </w:rPr>
        <w:t>والأقوى والأظهر والأشهر الأوّل، والأصل في الثاني مقطوع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ولغ في الأثناء، احتاج إلى استئناف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بالكثير هل يسقط التعدّد بالتراب والماء؛ لانصراف أوامر التعدّد للقليل في ذلك اليوم، فيبقى أنّه لا يحتاج في الكثير إلّا لمجرّد الغسل الحاصل من إدخاله الماء مرّةً، ولاستبعاد بقاء نجاسة الملاقي للمعتصم بعد استيلائه عليه، وذهاب عين النجاسة منه، أو يسقط التعدّد بالماء؛ لصيرورته كالبول الساقط فيه التعدّد لو غسل بالكثير، دون التراب؛ لاستصحاب حكمه واستصحاب النجاسة، أو لا يسقط شيئاً؛ للاحتياط؟</w:t>
      </w:r>
    </w:p>
    <w:p>
      <w:pPr>
        <w:pStyle w:val="BookText"/>
        <w:rPr/>
      </w:pPr>
      <w:r>
        <w:rPr>
          <w:rFonts w:ascii="Amiri" w:hAnsi="Amiri" w:eastAsia="Amiri" w:cs="Amiri"/>
          <w:color w:val="111111"/>
          <w:sz w:val="28"/>
          <w:sz w:val="28"/>
          <w:szCs w:val="28"/>
          <w:rtl w:val="true"/>
          <w:lang w:bidi="ar-SA"/>
        </w:rPr>
        <w:t>وظاهر الأمر وجوه، 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يختصّ بهذا الحكم الولوغ ، وهو ما يُسمّى ولوغاً عرفاً ، وهو إدخال الكلب طرف لسانه في الإناء وتحريكه ليشرب منه؛ لأنّه المتيقّن من الفتوى والرواية، ولانصراف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الصحيح المتقدّم</w:t>
      </w:r>
      <w:r>
        <w:rPr>
          <w:rStyle w:val="FootnoteAnchor"/>
          <w:rtl w:val="true"/>
        </w:rPr>
        <w:footnoteReference w:id="3220"/>
      </w:r>
      <w:r>
        <w:rPr>
          <w:rFonts w:ascii="Amiri" w:hAnsi="Amiri" w:eastAsia="Amiri" w:cs="Amiri"/>
          <w:color w:val="111111"/>
          <w:sz w:val="28"/>
          <w:sz w:val="28"/>
          <w:szCs w:val="28"/>
          <w:rtl w:val="true"/>
          <w:lang w:bidi="ar-SA"/>
        </w:rPr>
        <w:t xml:space="preserve">، أو يشمل شربه على أيّ نحوٍ كان، ولطعه </w:t>
      </w:r>
    </w:p>
    <w:p>
      <w:pPr>
        <w:pStyle w:val="BookText"/>
        <w:rPr/>
      </w:pPr>
      <w:r>
        <w:rPr>
          <w:rFonts w:ascii="Amiri" w:hAnsi="Amiri" w:eastAsia="Amiri" w:cs="Amiri"/>
          <w:color w:val="111111"/>
          <w:sz w:val="28"/>
          <w:sz w:val="28"/>
          <w:szCs w:val="28"/>
          <w:rtl w:val="true"/>
          <w:lang w:bidi="ar-SA"/>
        </w:rPr>
        <w:t xml:space="preserve">للإناء من غير شرب، وكذا لحسه له بلسانه؛ لشمول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ولمساواتهما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وصول الرطوبة اللزجة للإناء؟ 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اللعاب لا على وجه اللطع واللحس احتمل إجراء حكم الولوغ عليه؛ لوجود العلّة، وللاحتياط واحتمل عدمه؛ منعاً لتنقيح العلّة وقطعيّتها ابتداءً، فلا يجب له إلّا ما يجب لسائر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عرقه وبوله وخرؤه وفضلاته ووقوع أحد أجزائه أو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فألحقها جماعة</w:t>
      </w:r>
      <w:r>
        <w:rPr>
          <w:rStyle w:val="FootnoteAnchor"/>
          <w:rtl w:val="true"/>
        </w:rPr>
        <w:footnoteReference w:id="3221"/>
      </w:r>
      <w:r>
        <w:rPr>
          <w:rFonts w:ascii="Amiri" w:hAnsi="Amiri" w:eastAsia="Amiri" w:cs="Amiri"/>
          <w:color w:val="111111"/>
          <w:sz w:val="28"/>
          <w:sz w:val="28"/>
          <w:szCs w:val="28"/>
          <w:rtl w:val="true"/>
          <w:lang w:bidi="ar-SA"/>
        </w:rPr>
        <w:t>بولوغه؛ لمفهوم الموافقة؛ لأنّ رطوبة فمه أطيب من غيرها؛ لمكان لهيئه،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نكهته أطيب من نكهة غيره من الحيوانات، فإذا وجب لولوغه وجب لغيره بمفهوم الموافقۀ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جماعة</w:t>
      </w:r>
      <w:r>
        <w:rPr>
          <w:rStyle w:val="FootnoteAnchor"/>
          <w:rtl w:val="true"/>
        </w:rPr>
        <w:footnoteReference w:id="3222"/>
      </w:r>
      <w:r>
        <w:rPr>
          <w:rFonts w:ascii="Amiri" w:hAnsi="Amiri" w:eastAsia="Amiri" w:cs="Amiri"/>
          <w:color w:val="111111"/>
          <w:sz w:val="28"/>
          <w:sz w:val="28"/>
          <w:szCs w:val="28"/>
          <w:rtl w:val="true"/>
          <w:lang w:bidi="ar-SA"/>
        </w:rPr>
        <w:t>إلحاقها، وجعلوها كسائر النجاسات، وهو الأقوى، والأوّل أحوط؛ لرواية الرضوي المذكور فيها الوقوع</w:t>
      </w:r>
      <w:r>
        <w:rPr>
          <w:rStyle w:val="FootnoteAnchor"/>
          <w:rtl w:val="true"/>
        </w:rPr>
        <w:footnoteReference w:id="3223"/>
      </w:r>
      <w:r>
        <w:rPr>
          <w:rFonts w:ascii="Amiri" w:hAnsi="Amiri" w:eastAsia="Amiri" w:cs="Amiri"/>
          <w:color w:val="111111"/>
          <w:sz w:val="28"/>
          <w:sz w:val="28"/>
          <w:szCs w:val="28"/>
          <w:rtl w:val="true"/>
          <w:lang w:bidi="ar-SA"/>
        </w:rPr>
        <w:t xml:space="preserve">، ولاحتمال إرادة السؤر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3224"/>
      </w:r>
      <w:r>
        <w:rPr>
          <w:rFonts w:ascii="Amiri" w:hAnsi="Amiri" w:eastAsia="Amiri" w:cs="Amiri"/>
          <w:color w:val="111111"/>
          <w:sz w:val="28"/>
          <w:sz w:val="28"/>
          <w:szCs w:val="28"/>
          <w:rtl w:val="true"/>
          <w:lang w:bidi="ar-SA"/>
        </w:rPr>
        <w:t>،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يلزم خلط التراب بالماء المطلق؛ للاحتياط، وظهور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يكفي خلطه بكلّ ماء يؤثّر تنظيفاً؛ لأنّه هو الغرض من الغسل بالتراب؟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التجفيف بعد الغسل للإناء، كما في الرضوي</w:t>
      </w:r>
      <w:r>
        <w:rPr>
          <w:rStyle w:val="FootnoteAnchor"/>
          <w:rtl w:val="true"/>
        </w:rPr>
        <w:footnoteReference w:id="3225"/>
      </w:r>
      <w:r>
        <w:rPr>
          <w:rFonts w:ascii="Amiri" w:hAnsi="Amiri" w:eastAsia="Amiri" w:cs="Amiri"/>
          <w:color w:val="111111"/>
          <w:sz w:val="28"/>
          <w:sz w:val="28"/>
          <w:szCs w:val="28"/>
          <w:rtl w:val="true"/>
          <w:lang w:bidi="ar-SA"/>
        </w:rPr>
        <w:t>، أو لا يجب؛ للأصل، والبناء على الأخير</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خيف على الإناء من الفساد باستعمال التراب أو لا يمكن غسله بالتراب إلّا بكسره فهل يسقط حكمه ويبقى الماء مرّتين، أو يعود ثلاثاً، والأُولى بدل التراب؛ لأنّ حكمة الشارع تقضي بالتطهير وعدم إتلاف المال وليس طريق سواه، سيّما لو لم يكن ماء كثير جاري ونحوه، أو يبقى نجساً؛ للاستصحاب، وعدم دليلٍ دالٍّ على ارتفاع الحكم الوضعي بالعمومات الدالّة على سهولة الشريعة وعدم الضرر والضرار؟ والأخير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مسّه بالتراب وتحريك الإناء به، أو يكفي مسّه فقط، بحيث يوضع فيه </w:t>
      </w:r>
    </w:p>
    <w:p>
      <w:pPr>
        <w:pStyle w:val="BookText"/>
        <w:rPr/>
      </w:pPr>
      <w:r>
        <w:rPr>
          <w:rFonts w:ascii="Amiri" w:hAnsi="Amiri" w:eastAsia="Amiri" w:cs="Amiri"/>
          <w:color w:val="111111"/>
          <w:sz w:val="28"/>
          <w:sz w:val="28"/>
          <w:szCs w:val="28"/>
          <w:rtl w:val="true"/>
          <w:lang w:bidi="ar-SA"/>
        </w:rPr>
        <w:t>ويُكفاً، أو لا بدّ من إمرار اليد على التراب ليكون أقرب إلى هيئة الغسل؟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أوجبنا مزج التراب بالماء جاءت الوجوه أيضاً، إلّا أنّ في الوسط قوّةً، وإمرار اليد في الأواني الضيّقة متعسّر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ماء الولوغ كالولوغ، أو كباقي النجاسات؟ والأقوى الأخير، والأحوط الأوّل بالنسبة إلى الإناء دون غيره، فلا يفتقر إلى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وقعت في الإناء نجاسة مع الولوغ، تداخلت، وبقي حكم التعفير بالتراب لازماً، مع احتمال لزوم التعدّد بتعدد النجس،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هل يختصّ بباطن الإناء، أو يسري إلى الظاهر؟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الحكم إلى ما شابه الإناء من جورب وخُفّ،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انكسر الإناء، فهل يجري في رضاضه ذلك؛ للاستصحاب والاحتياط، أو لا يجري؛ للأصل وتغيّر الموضوع؟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ولغ بغير الإناء فعاد إناءً، فالأقوى عدم إجراء حكم الإناء، والأحوط إجراؤه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الإناء من ولوغ الخنزير، بل من شربه ولطعه ولحسه سبعاً؛ للاحتياط، وفتوى المشهور من المتأخّرين نقلاً</w:t>
      </w:r>
      <w:r>
        <w:rPr>
          <w:rStyle w:val="FootnoteAnchor"/>
          <w:rtl w:val="true"/>
        </w:rPr>
        <w:footnoteReference w:id="3226"/>
      </w:r>
      <w:r>
        <w:rPr>
          <w:rFonts w:ascii="Amiri" w:hAnsi="Amiri" w:eastAsia="Amiri" w:cs="Amiri"/>
          <w:color w:val="111111"/>
          <w:sz w:val="28"/>
          <w:sz w:val="28"/>
          <w:szCs w:val="28"/>
          <w:rtl w:val="true"/>
          <w:lang w:bidi="ar-SA"/>
        </w:rPr>
        <w:t>، والصحيح عن خنزير يشرب من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w:t>
      </w:r>
      <w:r>
        <w:rPr>
          <w:rStyle w:val="FootnoteAnchor"/>
          <w:rtl w:val="true"/>
        </w:rPr>
        <w:footnoteReference w:id="3227"/>
      </w:r>
      <w:r>
        <w:rPr>
          <w:rFonts w:ascii="Amiri" w:hAnsi="Amiri" w:eastAsia="Amiri" w:cs="Amiri"/>
          <w:color w:val="111111"/>
          <w:sz w:val="28"/>
          <w:sz w:val="28"/>
          <w:szCs w:val="28"/>
          <w:rtl w:val="true"/>
          <w:lang w:bidi="ar-SA"/>
        </w:rPr>
        <w:t>والسبع قيد للفعل لا للقول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إلى الاكتفاء بالواحدة، وحمل الصحيحة على الندب</w:t>
      </w:r>
      <w:r>
        <w:rPr>
          <w:rStyle w:val="FootnoteAnchor"/>
          <w:rtl w:val="true"/>
        </w:rPr>
        <w:footnoteReference w:id="3228"/>
      </w:r>
      <w:r>
        <w:rPr>
          <w:rFonts w:ascii="Amiri" w:hAnsi="Amiri" w:eastAsia="Amiri" w:cs="Amiri"/>
          <w:color w:val="111111"/>
          <w:sz w:val="28"/>
          <w:sz w:val="28"/>
          <w:szCs w:val="28"/>
          <w:rtl w:val="true"/>
          <w:lang w:bidi="ar-SA"/>
        </w:rPr>
        <w:t>لعدم إفتاء المتقدّمين بمضمونها، فيعود الحكم فيه كسائر النجاسات، فيجب فيه الغسل مرّةً، وهو قويّ، إلّا أنّ الأوّل أقوى وأحوط</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جعل حكم الخنزير حكم الكلب؛ لصدق الكلب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ولوجوب </w:t>
      </w:r>
      <w:bookmarkStart w:id="1403" w:name="pg18988_203740"/>
    </w:p>
    <w:p>
      <w:pPr>
        <w:pStyle w:val="BookText"/>
        <w:rPr/>
      </w:pPr>
      <w:bookmarkEnd w:id="1403"/>
      <w:r>
        <w:rPr>
          <w:rFonts w:ascii="Amiri" w:hAnsi="Amiri" w:eastAsia="Amiri" w:cs="Amiri"/>
          <w:color w:val="111111"/>
          <w:sz w:val="28"/>
          <w:sz w:val="28"/>
          <w:szCs w:val="28"/>
          <w:rtl w:val="true"/>
          <w:lang w:bidi="ar-SA"/>
        </w:rPr>
        <w:t>غسل الإناء ثلاثاً من كلّ نجاسة، وولوغ الخنزير أحدها</w:t>
      </w:r>
      <w:r>
        <w:rPr>
          <w:rStyle w:val="FootnoteAnchor"/>
          <w:rtl w:val="true"/>
        </w:rPr>
        <w:footnoteReference w:id="3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الأصل، أو تسليمه وتخصيصه بالرواية، على أنّه لا يطابق مدّعاه من أنّه كالكلب؛ لوجوب التعفير فيه، دون باقي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الخنزير البحري بالبرّي وجهٌ يقضي به الاحتياط</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13198427_1280447820"/>
      <w:bookmarkStart w:id="1405" w:name="_Toc540"/>
      <w:bookmarkEnd w:id="1404"/>
      <w:r>
        <w:rPr>
          <w:rtl w:val="true"/>
        </w:rPr>
        <w:t>ثالث عشرها</w:t>
      </w:r>
      <w:r>
        <w:rPr>
          <w:rtl w:val="true"/>
        </w:rPr>
        <w:t xml:space="preserve">: </w:t>
      </w:r>
      <w:r>
        <w:rPr>
          <w:rtl w:val="true"/>
        </w:rPr>
        <w:t>غَسْل الإناء من الخمر سبعاً</w:t>
      </w:r>
      <w:bookmarkEnd w:id="1405"/>
    </w:p>
    <w:p>
      <w:pPr>
        <w:pStyle w:val="BookText"/>
        <w:rPr/>
      </w:pPr>
      <w:r>
        <w:rPr>
          <w:rFonts w:ascii="Amiri" w:hAnsi="Amiri" w:eastAsia="Amiri" w:cs="Amiri"/>
          <w:color w:val="111111"/>
          <w:sz w:val="28"/>
          <w:sz w:val="28"/>
          <w:szCs w:val="28"/>
          <w:rtl w:val="true"/>
          <w:lang w:bidi="ar-SA"/>
        </w:rPr>
        <w:t>يُغسل الإناء من الخمر سبعاً؛ لموثّق عمّار في الإناء يشرب فيه النبيذ،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سبع مرّات</w:t>
      </w:r>
      <w:r>
        <w:rPr>
          <w:rFonts w:eastAsia="Amiri" w:cs="Amiri" w:ascii="Amiri" w:hAnsi="Amiri"/>
          <w:color w:val="111111"/>
          <w:sz w:val="28"/>
          <w:szCs w:val="28"/>
          <w:rtl w:val="true"/>
          <w:lang w:bidi="ar-SA"/>
        </w:rPr>
        <w:t>»</w:t>
      </w:r>
      <w:r>
        <w:rPr>
          <w:rStyle w:val="FootnoteAnchor"/>
          <w:rtl w:val="true"/>
        </w:rPr>
        <w:footnoteReference w:id="3230"/>
      </w:r>
      <w:r>
        <w:rPr>
          <w:rFonts w:ascii="Amiri" w:hAnsi="Amiri" w:eastAsia="Amiri" w:cs="Amiri"/>
          <w:color w:val="111111"/>
          <w:sz w:val="28"/>
          <w:sz w:val="28"/>
          <w:szCs w:val="28"/>
          <w:rtl w:val="true"/>
          <w:lang w:bidi="ar-SA"/>
        </w:rPr>
        <w:t>وللاحتياط؛ ولفتوى المشهور نقلاً</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فارق بين النبيذ والخمر، بل وكلّ مسكر؛ لأنّ كلّ مسكر خمر، فتجري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3232"/>
      </w:r>
      <w:r>
        <w:rPr>
          <w:rFonts w:ascii="Amiri" w:hAnsi="Amiri" w:eastAsia="Amiri" w:cs="Amiri"/>
          <w:color w:val="111111"/>
          <w:sz w:val="28"/>
          <w:sz w:val="28"/>
          <w:szCs w:val="28"/>
          <w:rtl w:val="true"/>
          <w:lang w:bidi="ar-SA"/>
        </w:rPr>
        <w:t>؛ لموثّق عمّار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إناء يشرب فيه خمر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ثلاث مرّات</w:t>
      </w:r>
      <w:r>
        <w:rPr>
          <w:rFonts w:eastAsia="Amiri" w:cs="Amiri" w:ascii="Amiri" w:hAnsi="Amiri"/>
          <w:color w:val="111111"/>
          <w:sz w:val="28"/>
          <w:szCs w:val="28"/>
          <w:rtl w:val="true"/>
          <w:lang w:bidi="ar-SA"/>
        </w:rPr>
        <w:t>»</w:t>
      </w:r>
      <w:r>
        <w:rPr>
          <w:rStyle w:val="FootnoteAnchor"/>
          <w:rtl w:val="true"/>
        </w:rPr>
        <w:footnoteReference w:id="3233"/>
      </w:r>
      <w:r>
        <w:rPr>
          <w:rFonts w:ascii="Amiri" w:hAnsi="Amiri" w:eastAsia="Amiri" w:cs="Amiri"/>
          <w:color w:val="111111"/>
          <w:sz w:val="28"/>
          <w:sz w:val="28"/>
          <w:szCs w:val="28"/>
          <w:rtl w:val="true"/>
          <w:lang w:bidi="ar-SA"/>
        </w:rPr>
        <w:t>وحمل الزائد في الأُولى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لولا الاحتياط ودعوى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تخصيص الأوّل بالنبيذ والثاني بالخمر ، إلّا أنّه لا فارق بينهما ممن يُعتدّ به ،فالقول به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بالمرّة</w:t>
      </w:r>
      <w:r>
        <w:rPr>
          <w:rStyle w:val="FootnoteAnchor"/>
          <w:rtl w:val="true"/>
        </w:rPr>
        <w:footnoteReference w:id="3234"/>
      </w:r>
      <w:r>
        <w:rPr>
          <w:rFonts w:ascii="Amiri" w:hAnsi="Amiri" w:eastAsia="Amiri" w:cs="Amiri"/>
          <w:color w:val="111111"/>
          <w:sz w:val="28"/>
          <w:sz w:val="28"/>
          <w:szCs w:val="28"/>
          <w:rtl w:val="true"/>
          <w:lang w:bidi="ar-SA"/>
        </w:rPr>
        <w:t>استضعافاً للروايات، وعملاً بعموم ما دلّ على وجوب غسل الإناء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بالمرّتين</w:t>
      </w:r>
      <w:r>
        <w:rPr>
          <w:rStyle w:val="FootnoteAnchor"/>
          <w:rtl w:val="true"/>
        </w:rPr>
        <w:footnoteReference w:id="3235"/>
      </w:r>
      <w:r>
        <w:rPr>
          <w:rFonts w:ascii="Amiri" w:hAnsi="Amiri" w:eastAsia="Amiri" w:cs="Amiri"/>
          <w:color w:val="111111"/>
          <w:sz w:val="28"/>
          <w:sz w:val="28"/>
          <w:szCs w:val="28"/>
          <w:rtl w:val="true"/>
          <w:lang w:bidi="ar-SA"/>
        </w:rPr>
        <w:t>استضعافاً لهما، وركوناً إلى لزوم المرّتين في الإناء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سقوط السبع في الغسل بالماء الكثير ؛ لاستهلاك النجاسة فيه ، فبالطريق الأولى المتنجس</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3198429_1280447820"/>
      <w:bookmarkStart w:id="1407" w:name="_Toc541"/>
      <w:bookmarkEnd w:id="1406"/>
      <w:r>
        <w:rPr>
          <w:rtl w:val="true"/>
        </w:rPr>
        <w:t>رابع عشرها</w:t>
      </w:r>
      <w:r>
        <w:rPr>
          <w:rtl w:val="true"/>
        </w:rPr>
        <w:t xml:space="preserve">: </w:t>
      </w:r>
      <w:r>
        <w:rPr>
          <w:rtl w:val="true"/>
        </w:rPr>
        <w:t>غَسْل الإناء من موت الفأرة والجُرَذ سبعاً</w:t>
      </w:r>
      <w:bookmarkEnd w:id="1407"/>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يُغسل الإناء من موت الفأرة والجُرَذ سبعاً لرواية عمّار الآمرة بغسل الإناء سبعاً لموت الجرذ</w:t>
      </w:r>
      <w:r>
        <w:rPr>
          <w:rStyle w:val="FootnoteAnchor"/>
          <w:rtl w:val="true"/>
        </w:rPr>
        <w:footnoteReference w:id="3236"/>
      </w:r>
      <w:r>
        <w:rPr>
          <w:rFonts w:ascii="Amiri" w:hAnsi="Amiri" w:eastAsia="Amiri" w:cs="Amiri"/>
          <w:color w:val="111111"/>
          <w:sz w:val="28"/>
          <w:sz w:val="28"/>
          <w:szCs w:val="28"/>
          <w:rtl w:val="true"/>
          <w:lang w:bidi="ar-SA"/>
        </w:rPr>
        <w:t>، ولا فارق بين الجرذ والفأرة ممّن يُعتدّ به، والجرذ ضرب من الفأرة</w:t>
      </w:r>
      <w:r>
        <w:rPr>
          <w:rFonts w:eastAsia="Amiri" w:cs="Amiri" w:ascii="Amiri" w:hAnsi="Amiri"/>
          <w:color w:val="111111"/>
          <w:sz w:val="28"/>
          <w:szCs w:val="28"/>
          <w:rtl w:val="true"/>
          <w:lang w:bidi="ar-SA"/>
        </w:rPr>
        <w:t xml:space="preserve">. </w:t>
      </w:r>
      <w:bookmarkStart w:id="1408" w:name="pg18988_203741"/>
    </w:p>
    <w:p>
      <w:pPr>
        <w:pStyle w:val="BookText"/>
        <w:rPr/>
      </w:pPr>
      <w:bookmarkEnd w:id="1408"/>
      <w:r>
        <w:rPr>
          <w:rFonts w:ascii="Amiri" w:hAnsi="Amiri" w:eastAsia="Amiri" w:cs="Amiri"/>
          <w:color w:val="111111"/>
          <w:sz w:val="28"/>
          <w:sz w:val="28"/>
          <w:szCs w:val="28"/>
          <w:rtl w:val="true"/>
          <w:lang w:bidi="ar-SA"/>
        </w:rPr>
        <w:t>وقيل بالاكتفاء بالمرّة</w:t>
      </w:r>
      <w:r>
        <w:rPr>
          <w:rStyle w:val="FootnoteAnchor"/>
          <w:rtl w:val="true"/>
        </w:rPr>
        <w:footnoteReference w:id="3237"/>
      </w:r>
      <w:r>
        <w:rPr>
          <w:rFonts w:ascii="Amiri" w:hAnsi="Amiri" w:eastAsia="Amiri" w:cs="Amiri"/>
          <w:color w:val="111111"/>
          <w:sz w:val="28"/>
          <w:sz w:val="28"/>
          <w:szCs w:val="28"/>
          <w:rtl w:val="true"/>
          <w:lang w:bidi="ar-SA"/>
        </w:rPr>
        <w:t>استضعافاً للرواية، وهو قويّ؛ لعدم ثبوت شهرة تجبرها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بالمرّتين</w:t>
      </w:r>
      <w:r>
        <w:rPr>
          <w:rStyle w:val="FootnoteAnchor"/>
          <w:rtl w:val="true"/>
        </w:rPr>
        <w:footnoteReference w:id="3238"/>
      </w:r>
      <w:r>
        <w:rPr>
          <w:rFonts w:ascii="Amiri" w:hAnsi="Amiri" w:eastAsia="Amiri" w:cs="Amiri"/>
          <w:color w:val="111111"/>
          <w:sz w:val="28"/>
          <w:sz w:val="28"/>
          <w:szCs w:val="28"/>
          <w:rtl w:val="true"/>
          <w:lang w:bidi="ar-SA"/>
        </w:rPr>
        <w:t>لذلك، ولوجوب غسل الإناء من كلّ نجاسةٍ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بالثلاث</w:t>
      </w:r>
      <w:r>
        <w:rPr>
          <w:rStyle w:val="FootnoteAnchor"/>
          <w:rtl w:val="true"/>
        </w:rPr>
        <w:footnoteReference w:id="3239"/>
      </w:r>
      <w:r>
        <w:rPr>
          <w:rFonts w:ascii="Amiri" w:hAnsi="Amiri" w:eastAsia="Amiri" w:cs="Amiri"/>
          <w:color w:val="111111"/>
          <w:sz w:val="28"/>
          <w:sz w:val="28"/>
          <w:szCs w:val="28"/>
          <w:rtl w:val="true"/>
          <w:lang w:bidi="ar-SA"/>
        </w:rPr>
        <w:t>لذلك، ولوجوب غسل الإناء من كلّ نجاسةٍ كذلك</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3198431_1280447820"/>
      <w:bookmarkStart w:id="1410" w:name="_Toc542"/>
      <w:bookmarkEnd w:id="1409"/>
      <w:r>
        <w:rPr>
          <w:rtl w:val="true"/>
        </w:rPr>
        <w:t>خامس عشرها</w:t>
      </w:r>
      <w:r>
        <w:rPr>
          <w:rtl w:val="true"/>
        </w:rPr>
        <w:t xml:space="preserve">: </w:t>
      </w:r>
      <w:r>
        <w:rPr>
          <w:rtl w:val="true"/>
        </w:rPr>
        <w:t>غسل الإناء من سائر النجاسات ثلاثاً أو مرّتین</w:t>
      </w:r>
      <w:bookmarkEnd w:id="1410"/>
    </w:p>
    <w:p>
      <w:pPr>
        <w:pStyle w:val="BookText"/>
        <w:rPr/>
      </w:pPr>
      <w:r>
        <w:rPr>
          <w:rFonts w:ascii="Amiri" w:hAnsi="Amiri" w:eastAsia="Amiri" w:cs="Amiri"/>
          <w:color w:val="111111"/>
          <w:sz w:val="28"/>
          <w:sz w:val="28"/>
          <w:szCs w:val="28"/>
          <w:rtl w:val="true"/>
          <w:lang w:bidi="ar-SA"/>
        </w:rPr>
        <w:t>يُغسل الإناء من سائر النجاسات ثلاثاً؛ للاحتياط، ولموثّق عمّار عن الكوز يكون قذراً كيف يُغسل، وكم مرّة يُغسل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يصبّ فيه الماء، ثمّ يحرّك فيه، ثمّ يفرغ منه ذلك</w:t>
      </w:r>
      <w:r>
        <w:rPr>
          <w:rFonts w:eastAsia="Amiri" w:cs="Amiri" w:ascii="Amiri" w:hAnsi="Amiri"/>
          <w:color w:val="111111"/>
          <w:sz w:val="28"/>
          <w:szCs w:val="28"/>
          <w:rtl w:val="true"/>
          <w:lang w:bidi="ar-SA"/>
        </w:rPr>
        <w:t xml:space="preserve">» </w:t>
      </w:r>
      <w:r>
        <w:rPr>
          <w:rStyle w:val="FootnoteAnchor"/>
          <w:rtl w:val="true"/>
        </w:rPr>
        <w:footnoteReference w:id="3240"/>
      </w:r>
      <w:r>
        <w:rPr>
          <w:rFonts w:ascii="Amiri" w:hAnsi="Amiri" w:eastAsia="Amiri" w:cs="Amiri"/>
          <w:color w:val="111111"/>
          <w:sz w:val="28"/>
          <w:sz w:val="28"/>
          <w:szCs w:val="28"/>
          <w:rtl w:val="true"/>
          <w:lang w:bidi="ar-SA"/>
        </w:rPr>
        <w:t>إلى آخره، ونُسب للمشهور ذلك</w:t>
      </w:r>
      <w:r>
        <w:rPr>
          <w:rStyle w:val="FootnoteAnchor"/>
          <w:rtl w:val="true"/>
        </w:rPr>
        <w:footnoteReference w:id="3241"/>
      </w:r>
      <w:r>
        <w:rPr>
          <w:rFonts w:ascii="Amiri" w:hAnsi="Amiri" w:eastAsia="Amiri" w:cs="Amiri"/>
          <w:color w:val="111111"/>
          <w:sz w:val="28"/>
          <w:sz w:val="28"/>
          <w:szCs w:val="28"/>
          <w:rtl w:val="true"/>
          <w:lang w:bidi="ar-SA"/>
        </w:rPr>
        <w:t>، ونقل عليه الشيخ الإجماع</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بالمرّتين</w:t>
      </w:r>
      <w:r>
        <w:rPr>
          <w:rStyle w:val="FootnoteAnchor"/>
          <w:rtl w:val="true"/>
        </w:rPr>
        <w:footnoteReference w:id="3243"/>
      </w:r>
      <w:r>
        <w:rPr>
          <w:rFonts w:ascii="Amiri" w:hAnsi="Amiri" w:eastAsia="Amiri" w:cs="Amiri"/>
          <w:color w:val="111111"/>
          <w:sz w:val="28"/>
          <w:sz w:val="28"/>
          <w:szCs w:val="28"/>
          <w:rtl w:val="true"/>
          <w:lang w:bidi="ar-SA"/>
        </w:rPr>
        <w:t>لوجوب الغسل من سائر النجاسات مرّتين، لمفهوم الموافقة من وجوبهما في البول في الثوب والبدن، فغير البول أقوى منه، كما أنّ الإناء أولى منهما؛ لحكم الشارع بالتعدّد فيه في مقامات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بالمرّة</w:t>
      </w:r>
      <w:r>
        <w:rPr>
          <w:rStyle w:val="FootnoteAnchor"/>
          <w:rtl w:val="true"/>
        </w:rPr>
        <w:footnoteReference w:id="3244"/>
      </w:r>
      <w:r>
        <w:rPr>
          <w:rFonts w:ascii="Amiri" w:hAnsi="Amiri" w:eastAsia="Amiri" w:cs="Amiri"/>
          <w:color w:val="111111"/>
          <w:sz w:val="28"/>
          <w:sz w:val="28"/>
          <w:szCs w:val="28"/>
          <w:rtl w:val="true"/>
          <w:lang w:bidi="ar-SA"/>
        </w:rPr>
        <w:t>، استضعافاً لرواية عمّار، والإجماع المنقول بروايته المرسلة الآمرة بالواحدة</w:t>
      </w:r>
      <w:r>
        <w:rPr>
          <w:rStyle w:val="FootnoteAnchor"/>
          <w:rtl w:val="true"/>
        </w:rPr>
        <w:footnoteReference w:id="3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بنقل ابن إدريس الإجماع على مضمونها</w:t>
      </w:r>
      <w:r>
        <w:rPr>
          <w:rStyle w:val="FootnoteAnchor"/>
          <w:rtl w:val="true"/>
        </w:rPr>
        <w:footnoteReference w:id="3246"/>
      </w:r>
      <w:r>
        <w:rPr>
          <w:rFonts w:ascii="Amiri" w:hAnsi="Amiri" w:eastAsia="Amiri" w:cs="Amiri"/>
          <w:color w:val="111111"/>
          <w:sz w:val="28"/>
          <w:sz w:val="28"/>
          <w:szCs w:val="28"/>
          <w:rtl w:val="true"/>
          <w:lang w:bidi="ar-SA"/>
        </w:rPr>
        <w:t>الموافقة لدليل اليسر</w:t>
      </w:r>
      <w:r>
        <w:rPr>
          <w:rStyle w:val="FootnoteAnchor"/>
          <w:rtl w:val="true"/>
        </w:rPr>
        <w:footnoteReference w:id="3247"/>
      </w:r>
      <w:r>
        <w:rPr>
          <w:rFonts w:ascii="Amiri" w:hAnsi="Amiri" w:eastAsia="Amiri" w:cs="Amiri"/>
          <w:color w:val="111111"/>
          <w:sz w:val="28"/>
          <w:sz w:val="28"/>
          <w:szCs w:val="28"/>
          <w:rtl w:val="true"/>
          <w:lang w:bidi="ar-SA"/>
        </w:rPr>
        <w:t xml:space="preserve">المنقول عليها الشهرة </w:t>
      </w:r>
      <w:r>
        <w:rPr>
          <w:rStyle w:val="FootnoteAnchor"/>
          <w:rtl w:val="true"/>
        </w:rPr>
        <w:footnoteReference w:id="3248"/>
      </w:r>
      <w:r>
        <w:rPr>
          <w:rFonts w:ascii="Amiri" w:hAnsi="Amiri" w:eastAsia="Amiri" w:cs="Amiri"/>
          <w:color w:val="111111"/>
          <w:sz w:val="28"/>
          <w:sz w:val="28"/>
          <w:szCs w:val="28"/>
          <w:rtl w:val="true"/>
          <w:lang w:bidi="ar-SA"/>
        </w:rPr>
        <w:t>، بل وربما يدّعى أنّ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قويّ، ولا يبعد البناء عليه في غير البول</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نجاسة البول لا بدّ من التعدّد؛ للأمر به في الثوب والبدن</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وتنقيح المناط، بل مفهوم الموافقة يقضيان بسراية حكمهما للإناء وشبهه، ومع ذلك فلا شكّ أنّ الثلاث أحوط مطلقاً، ومن بعدها المرّتان بعد إزالة العين ومن بعدها المرّتان، واحدة للإزالة وأُخرى للإنقاء، ومن بعد ذلك لا بدّ من الواحدة المزيلة وهي الواجبة، كما قوّيناه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تطهيره إمّا بالصبّ عليه فيجري الماء عليه وينحدر، أو يصبّ فيه ويحرّك ويفرّغ، أو يملأ ويفرّغ بنفسه أو بآلةٍ إذا لم يمكن طرحه وتفريغه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توقّف إزالة النجاسة أو المتنجّس على الدلك وجب تبعاً</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غسل بالكثير بطل حكم التعدّد دون الدلك اللازم، تبعاً لما تقدّم من انصراف أدلّة التعدّد للقليل دون الكثير، فيكفي في الكثير حصول مسمّى الغسل؛ لإطلاق الأدلّة، ولاستهلاك نفس النجاسة لو وقعت فيه وطهارتها، فطهارة المتنجّس أولى</w:t>
      </w:r>
      <w:r>
        <w:rPr>
          <w:rFonts w:eastAsia="Amiri" w:cs="Amiri" w:ascii="Amiri" w:hAnsi="Amiri"/>
          <w:color w:val="111111"/>
          <w:sz w:val="28"/>
          <w:szCs w:val="28"/>
          <w:rtl w:val="true"/>
          <w:lang w:bidi="ar-SA"/>
        </w:rPr>
        <w:t xml:space="preserve">. </w:t>
      </w:r>
      <w:bookmarkStart w:id="1411" w:name="pg18988_203743"/>
    </w:p>
    <w:p>
      <w:pPr>
        <w:pStyle w:val="Heading3"/>
        <w:numPr>
          <w:ilvl w:val="2"/>
          <w:numId w:val="1"/>
        </w:numPr>
        <w:rPr/>
      </w:pPr>
      <w:bookmarkStart w:id="1412" w:name="__RefHeading___Toc13198433_1280447820"/>
      <w:bookmarkStart w:id="1413" w:name="_Toc543"/>
      <w:bookmarkEnd w:id="1411"/>
      <w:bookmarkEnd w:id="1412"/>
      <w:r>
        <w:rPr>
          <w:rtl w:val="true"/>
        </w:rPr>
        <w:t>القول في أحكام النجاسات</w:t>
      </w:r>
      <w:bookmarkEnd w:id="1413"/>
    </w:p>
    <w:p>
      <w:pPr>
        <w:pStyle w:val="Heading4"/>
        <w:numPr>
          <w:ilvl w:val="3"/>
          <w:numId w:val="1"/>
        </w:numPr>
        <w:rPr/>
      </w:pPr>
      <w:bookmarkStart w:id="1414" w:name="__RefHeading___Toc13198435_1280447820"/>
      <w:bookmarkStart w:id="1415" w:name="_Toc544"/>
      <w:bookmarkEnd w:id="1414"/>
      <w:r>
        <w:rPr>
          <w:rtl w:val="true"/>
        </w:rPr>
        <w:t>وفيه أبحاث</w:t>
      </w:r>
      <w:r>
        <w:rPr>
          <w:rtl w:val="true"/>
        </w:rPr>
        <w:t>:</w:t>
      </w:r>
      <w:bookmarkEnd w:id="1415"/>
    </w:p>
    <w:p>
      <w:pPr>
        <w:pStyle w:val="Heading4"/>
        <w:numPr>
          <w:ilvl w:val="3"/>
          <w:numId w:val="1"/>
        </w:numPr>
        <w:rPr/>
      </w:pPr>
      <w:bookmarkStart w:id="1416" w:name="__RefHeading___Toc13198437_1280447820"/>
      <w:bookmarkStart w:id="1417" w:name="_Toc545"/>
      <w:bookmarkEnd w:id="1416"/>
      <w:r>
        <w:rPr>
          <w:rtl w:val="true"/>
        </w:rPr>
        <w:t>أحدها</w:t>
      </w:r>
      <w:r>
        <w:rPr>
          <w:rtl w:val="true"/>
        </w:rPr>
        <w:t xml:space="preserve">: </w:t>
      </w:r>
      <w:r>
        <w:rPr>
          <w:rtl w:val="true"/>
        </w:rPr>
        <w:t>فی إنّ النجس يؤثّر في الملاقي نجاسةً مع الرطوبة في أحدهما القابلة للتأثير</w:t>
      </w:r>
      <w:bookmarkEnd w:id="1417"/>
    </w:p>
    <w:p>
      <w:pPr>
        <w:pStyle w:val="BookText"/>
        <w:rPr/>
      </w:pPr>
      <w:r>
        <w:rPr>
          <w:rFonts w:ascii="Amiri" w:hAnsi="Amiri" w:eastAsia="Amiri" w:cs="Amiri"/>
          <w:color w:val="111111"/>
          <w:sz w:val="28"/>
          <w:sz w:val="28"/>
          <w:szCs w:val="28"/>
          <w:rtl w:val="true"/>
          <w:lang w:bidi="ar-SA"/>
        </w:rPr>
        <w:t>إنّ كلّ ما يُحكم بنجاسته يؤثّر في الملاقي نجاسةً مع الرطوبة في أحدهما القابلة للتأثير، وكلّ ما يُحكم بنجاسته لا يؤثّر مع اليبوسة، فهنا كلّيّتان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 فتوى الفحول سوى مَنْ شذّ</w:t>
      </w:r>
      <w:r>
        <w:rPr>
          <w:rStyle w:val="FootnoteAnchor"/>
          <w:rtl w:val="true"/>
        </w:rPr>
        <w:footnoteReference w:id="3250"/>
      </w:r>
      <w:r>
        <w:rPr>
          <w:rFonts w:ascii="IRNazanin" w:hAnsi="IRNazanin" w:eastAsia="IRNazanin"/>
          <w:color w:val="111111"/>
          <w:sz w:val="28"/>
          <w:sz w:val="28"/>
          <w:szCs w:val="28"/>
          <w:rtl w:val="true"/>
          <w:lang w:bidi="fa-IR"/>
        </w:rPr>
        <w:t>، والإجماع المنقول</w:t>
      </w:r>
      <w:r>
        <w:rPr>
          <w:rStyle w:val="FootnoteAnchor"/>
          <w:rtl w:val="true"/>
        </w:rPr>
        <w:footnoteReference w:id="3251"/>
      </w:r>
      <w:r>
        <w:rPr>
          <w:rFonts w:ascii="Amiri" w:hAnsi="Amiri" w:eastAsia="Amiri" w:cs="Amiri"/>
          <w:color w:val="111111"/>
          <w:sz w:val="28"/>
          <w:sz w:val="28"/>
          <w:szCs w:val="28"/>
          <w:rtl w:val="true"/>
          <w:lang w:bidi="ar-SA"/>
        </w:rPr>
        <w:t>، واستقراء الأخبار في جميع المتنجّسات، وعمل المسلمين في سائر الأوقات، بحيث لا يتناكرونه بينهم ولا يتعدّونه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 الأصل، وفتوى الفحول، إلّا مَنْ شذّ في بعض الموارد</w:t>
      </w:r>
      <w:r>
        <w:rPr>
          <w:rStyle w:val="FootnoteAnchor"/>
          <w:rtl w:val="true"/>
        </w:rPr>
        <w:footnoteReference w:id="3252"/>
      </w:r>
      <w:r>
        <w:rPr>
          <w:rFonts w:ascii="Amiri" w:hAnsi="Amiri" w:eastAsia="Amiri" w:cs="Amiri"/>
          <w:color w:val="111111"/>
          <w:sz w:val="28"/>
          <w:sz w:val="28"/>
          <w:szCs w:val="28"/>
          <w:rtl w:val="true"/>
          <w:lang w:bidi="ar-SA"/>
        </w:rPr>
        <w:t>، وأصالة عدم السراية، وظهور الأخبار الدالّة على التنجيس في الملاقاة برطوبة</w:t>
      </w:r>
      <w:r>
        <w:rPr>
          <w:rStyle w:val="FootnoteAnchor"/>
          <w:rtl w:val="true"/>
        </w:rPr>
        <w:footnoteReference w:id="3253"/>
      </w:r>
      <w:r>
        <w:rPr>
          <w:rFonts w:ascii="Amiri" w:hAnsi="Amiri" w:eastAsia="Amiri" w:cs="Amiri"/>
          <w:color w:val="111111"/>
          <w:sz w:val="28"/>
          <w:sz w:val="28"/>
          <w:szCs w:val="28"/>
          <w:rtl w:val="true"/>
          <w:lang w:bidi="ar-SA"/>
        </w:rPr>
        <w:t>، والأصل الطهارة، والتفصيل في كثير من الأخبار</w:t>
      </w:r>
      <w:r>
        <w:rPr>
          <w:rStyle w:val="FootnoteAnchor"/>
          <w:rtl w:val="true"/>
        </w:rPr>
        <w:footnoteReference w:id="3254"/>
      </w:r>
      <w:r>
        <w:rPr>
          <w:rFonts w:ascii="Amiri" w:hAnsi="Amiri" w:eastAsia="Amiri" w:cs="Amiri"/>
          <w:color w:val="111111"/>
          <w:sz w:val="28"/>
          <w:sz w:val="28"/>
          <w:szCs w:val="28"/>
          <w:rtl w:val="true"/>
          <w:lang w:bidi="ar-SA"/>
        </w:rPr>
        <w:t>بين المسّ برطوبةٍ فيجب الغسل، و إلّا فالرشح والنضح الظاهران الندب؛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r>
        <w:rPr>
          <w:rStyle w:val="FootnoteAnchor"/>
          <w:rtl w:val="true"/>
        </w:rPr>
        <w:footnoteReference w:id="3255"/>
      </w:r>
      <w:r>
        <w:rPr>
          <w:rFonts w:ascii="Amiri" w:hAnsi="Amiri" w:eastAsia="Amiri" w:cs="Amiri"/>
          <w:color w:val="111111"/>
          <w:sz w:val="28"/>
          <w:sz w:val="28"/>
          <w:szCs w:val="28"/>
          <w:rtl w:val="true"/>
          <w:lang w:bidi="ar-SA"/>
        </w:rPr>
        <w:t>المعتبر بين الأصحاب، المنجبر بما تقدّم، فيقدّم على ما دلّ على الأمر بغسل ما أصاب بعض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الإطلاق، و يقيّده و إن كان بينهما عموم من وجه؛ لرجحانه عليه، أو يُحمل على الندب</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بعض الأصحاب في مواضع ادّعوا أنّها خرجت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القاعدتين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كابن إدريس، حيث حكم بأنّ ما لاقى بدن الميّت ينجس برطوبة ويبوسة، ولكنّه لا ينجّس برطوبة أو يبوسة</w:t>
      </w:r>
      <w:r>
        <w:rPr>
          <w:rStyle w:val="FootnoteAnchor"/>
          <w:rtl w:val="true"/>
        </w:rPr>
        <w:footnoteReference w:id="3256"/>
      </w:r>
      <w:r>
        <w:rPr>
          <w:rFonts w:ascii="Amiri" w:hAnsi="Amiri" w:eastAsia="Amiri" w:cs="Amiri"/>
          <w:color w:val="111111"/>
          <w:sz w:val="28"/>
          <w:sz w:val="28"/>
          <w:szCs w:val="28"/>
          <w:rtl w:val="true"/>
          <w:lang w:bidi="ar-SA"/>
        </w:rPr>
        <w:t>مستنداً للأصل، وعدم عموم الدليل الدالّ على أنّ كلّ نجس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حيث حكم بأنّ ملاقاة الميّت بيبوسة تنجّس الملاقي، والملاقي لا ينجّس غيره برطوبة ولا يبوسة</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محجوجان 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الحكم بأنّ الأمر بالغسل تعبّديّ في مماسّة الميّت مطلقاً، أو مع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لفهم الأصحاب من الأخبار، ولحكمهم بالنجاسة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وكالعلّامة والشهيدين</w:t>
      </w:r>
      <w:r>
        <w:rPr>
          <w:rStyle w:val="FootnoteAnchor"/>
          <w:rtl w:val="true"/>
        </w:rPr>
        <w:footnoteReference w:id="3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للمحقّق</w:t>
      </w:r>
      <w:r>
        <w:rPr>
          <w:rStyle w:val="FootnoteAnchor"/>
          <w:rtl w:val="true"/>
        </w:rPr>
        <w:footnoteReference w:id="3259"/>
      </w:r>
      <w:r>
        <w:rPr>
          <w:rFonts w:ascii="IRNazanin" w:hAnsi="IRNazanin" w:eastAsia="IRNazanin"/>
          <w:color w:val="111111"/>
          <w:sz w:val="28"/>
          <w:sz w:val="28"/>
          <w:szCs w:val="28"/>
          <w:rtl w:val="true"/>
          <w:lang w:bidi="fa-IR"/>
        </w:rPr>
        <w:t>، وادّعى بعضهم</w:t>
      </w:r>
      <w:r>
        <w:rPr>
          <w:rStyle w:val="FootnoteAnchor"/>
          <w:rtl w:val="true"/>
        </w:rPr>
        <w:footnoteReference w:id="3260"/>
      </w:r>
      <w:r>
        <w:rPr>
          <w:rFonts w:ascii="Amiri" w:hAnsi="Amiri" w:eastAsia="Amiri" w:cs="Amiri"/>
          <w:color w:val="111111"/>
          <w:sz w:val="28"/>
          <w:sz w:val="28"/>
          <w:szCs w:val="28"/>
          <w:rtl w:val="true"/>
          <w:lang w:bidi="ar-SA"/>
        </w:rPr>
        <w:t xml:space="preserve">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حكموا بتأثير نجاسة الميّت من الإنسان مع اليبوسة؛ أخذاً بإطلاق الأخبار الآمرة بغسل ما مسّ الميّت</w:t>
      </w:r>
      <w:r>
        <w:rPr>
          <w:rStyle w:val="FootnoteAnchor"/>
          <w:rtl w:val="true"/>
        </w:rPr>
        <w:footnoteReference w:id="3261"/>
      </w:r>
      <w:r>
        <w:rPr>
          <w:rFonts w:ascii="IRNazanin" w:hAnsi="IRNazanin" w:eastAsia="IRNazanin"/>
          <w:color w:val="111111"/>
          <w:sz w:val="28"/>
          <w:sz w:val="28"/>
          <w:szCs w:val="28"/>
          <w:rtl w:val="true"/>
          <w:lang w:bidi="fa-IR"/>
        </w:rPr>
        <w:t>من دون استفصالٍ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الملاقي هل ينجّس مع الرطوبة خاصّة أو لا ينجّس؟ قولان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حيث حكم بتأثير نجاسة الميتة من غير الإنسان مع اليبوسة أو الرطوبة</w:t>
      </w:r>
      <w:r>
        <w:rPr>
          <w:rStyle w:val="FootnoteAnchor"/>
          <w:rtl w:val="true"/>
        </w:rPr>
        <w:footnoteReference w:id="3262"/>
      </w:r>
      <w:r>
        <w:rPr>
          <w:rFonts w:ascii="Amiri" w:hAnsi="Amiri" w:eastAsia="Amiri" w:cs="Amiri"/>
          <w:color w:val="111111"/>
          <w:sz w:val="28"/>
          <w:sz w:val="28"/>
          <w:szCs w:val="28"/>
          <w:rtl w:val="true"/>
          <w:lang w:bidi="ar-SA"/>
        </w:rPr>
        <w:t xml:space="preserve">لإطلاق رواية آمرة بغسل ما مسّها </w:t>
      </w:r>
      <w:r>
        <w:rPr>
          <w:rStyle w:val="FootnoteAnchor"/>
          <w:rtl w:val="true"/>
        </w:rPr>
        <w:footnoteReference w:id="3263"/>
      </w:r>
      <w:r>
        <w:rPr>
          <w:rFonts w:ascii="IRNazanin" w:hAnsi="IRNazanin" w:eastAsia="IRNazanin"/>
          <w:color w:val="111111"/>
          <w:sz w:val="28"/>
          <w:sz w:val="28"/>
          <w:szCs w:val="28"/>
          <w:rtl w:val="true"/>
          <w:lang w:bidi="fa-IR"/>
        </w:rPr>
        <w:t>من دون استفصالٍ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الملاقي هل ينجّس مع الرطوبة أو لا ينجّس مطلقاً ؟ وجهان أيضاً لأهل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محجوج بما تقدّم، وإطلاق الأخبار مقيّدٌ بحال الرطوبة، بل منصرف إليه، فلا يصلح حجّة</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وكالخراساني حيث حكم أنّ المتنجّس إذا أُزيلت عنه عين النجاسة لا تتعدّى نجاسته إلى ما يلاقي موضعها</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خلاف الإجماع بقسميه</w:t>
      </w:r>
      <w:r>
        <w:rPr>
          <w:rStyle w:val="FootnoteAnchor"/>
          <w:rtl w:val="true"/>
        </w:rPr>
        <w:footnoteReference w:id="3265"/>
      </w:r>
      <w:r>
        <w:rPr>
          <w:rFonts w:ascii="Amiri" w:hAnsi="Amiri" w:eastAsia="Amiri" w:cs="Amiri"/>
          <w:color w:val="111111"/>
          <w:sz w:val="28"/>
          <w:sz w:val="28"/>
          <w:szCs w:val="28"/>
          <w:rtl w:val="true"/>
          <w:lang w:bidi="ar-SA"/>
        </w:rPr>
        <w:t>، وخلاف المعهود من سيرة المسلمين وطريقتهم، وخلاف ما دلّت عليه الأخبار</w:t>
      </w:r>
      <w:r>
        <w:rPr>
          <w:rStyle w:val="FootnoteAnchor"/>
          <w:rtl w:val="true"/>
        </w:rPr>
        <w:footnoteReference w:id="3266"/>
      </w:r>
      <w:r>
        <w:rPr>
          <w:rFonts w:ascii="Amiri" w:hAnsi="Amiri" w:eastAsia="Amiri" w:cs="Amiri"/>
          <w:color w:val="111111"/>
          <w:sz w:val="28"/>
          <w:sz w:val="28"/>
          <w:szCs w:val="28"/>
          <w:rtl w:val="true"/>
          <w:lang w:bidi="ar-SA"/>
        </w:rPr>
        <w:t>من وجوب غسل الفرش والأواني ونحوها، فإنّه لو لم يكن الأمر بغسلها للتحفّظ من سريان نجاستها لما كان له فائدة؛ لعدم استعمالها في المشروط بالطهارة، ولو عمّ كلامه المتنجّس من المائع والجامد لكان خلاف ضرورة المسلمين وأخبار السادة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الأخبار من ذلك لا يراد به ظاهره قطعاً، بل يراد به معاني أُخر ،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فيمن يبول ولا يقدر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وتمسّحتَ فامسح ذَكرَك بريقك، فإن وجدت شيئاً فقل هذا من ذاك</w:t>
      </w:r>
      <w:r>
        <w:rPr>
          <w:rFonts w:eastAsia="Amiri" w:cs="Amiri" w:ascii="Amiri" w:hAnsi="Amiri"/>
          <w:color w:val="111111"/>
          <w:sz w:val="28"/>
          <w:szCs w:val="28"/>
          <w:rtl w:val="true"/>
          <w:lang w:bidi="ar-SA"/>
        </w:rPr>
        <w:t>»</w:t>
      </w:r>
      <w:r>
        <w:rPr>
          <w:rStyle w:val="FootnoteAnchor"/>
          <w:rtl w:val="true"/>
        </w:rPr>
        <w:footnoteReference w:id="3267"/>
      </w:r>
      <w:r>
        <w:rPr>
          <w:rFonts w:ascii="Amiri" w:hAnsi="Amiri" w:eastAsia="Amiri" w:cs="Amiri"/>
          <w:color w:val="111111"/>
          <w:sz w:val="28"/>
          <w:sz w:val="28"/>
          <w:szCs w:val="28"/>
          <w:rtl w:val="true"/>
          <w:lang w:bidi="ar-SA"/>
        </w:rPr>
        <w:t>فإنّه من المحتمل بل الظاهر أنّ المسح لغير محلّ البول؛ كي أنّه إذا حصلت رطوبة فشكّ أنّ الرطوبة من محلّ البول أو غيره بنى على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المسح لمحلّ البول؛ حفظاً لبقاء الطهارة الحدثيّة ليكون حجّةً لطهارة المحلّ بعد التمسّح، يبعّده عدم ذكر الوضوء في الرواية، وعدم القدرة على الماء المذكور فيها له، وعدم ذكر الاستبراء الذي هو أقوى الأسباب المقتضية لعدم الانتقاض، وعدم دلالة التمسّح للحيلة المزبورة على عدم تنجّس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فيمن بال ولم يجد ماءً فمسح ذكره بحجر وقد عرق ذكره وفخذاه،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وفخذيه</w:t>
      </w:r>
      <w:r>
        <w:rPr>
          <w:rFonts w:eastAsia="Amiri" w:cs="Amiri" w:ascii="Amiri" w:hAnsi="Amiri"/>
          <w:color w:val="111111"/>
          <w:sz w:val="28"/>
          <w:szCs w:val="28"/>
          <w:rtl w:val="true"/>
          <w:lang w:bidi="ar-SA"/>
        </w:rPr>
        <w:t>»</w:t>
      </w:r>
      <w:r>
        <w:rPr>
          <w:rStyle w:val="FootnoteAnchor"/>
          <w:rtl w:val="true"/>
        </w:rPr>
        <w:footnoteReference w:id="3268"/>
      </w:r>
      <w:r>
        <w:rPr>
          <w:rFonts w:ascii="Amiri" w:hAnsi="Amiri" w:eastAsia="Amiri" w:cs="Amiri"/>
          <w:color w:val="111111"/>
          <w:sz w:val="28"/>
          <w:sz w:val="28"/>
          <w:szCs w:val="28"/>
          <w:rtl w:val="true"/>
          <w:lang w:bidi="ar-SA"/>
        </w:rPr>
        <w:t xml:space="preserve">، فإنّه من المحتمل بل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المتقدّم، وهو يقتضي التعقيب، والواو عطف على مدخولها، فيقضي أنّ العرق بعد التمسّح، فيكون دليلاً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الواو للحال، فيكون المأمور بغسله الذكر والفخذين دون ما باشرهما، بعيدٌ عن الظاهر</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الرواية وسألته عمّن مسح ذَكَرَهُ بيده ثمّ عرقت يده فأصاب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w:t>
      </w:r>
      <w:r>
        <w:rPr>
          <w:rFonts w:eastAsia="Amiri" w:cs="Amiri" w:ascii="Amiri" w:hAnsi="Amiri"/>
          <w:color w:val="111111"/>
          <w:sz w:val="28"/>
          <w:szCs w:val="28"/>
          <w:rtl w:val="true"/>
          <w:lang w:bidi="ar-SA"/>
        </w:rPr>
        <w:t>»</w:t>
      </w:r>
      <w:r>
        <w:rPr>
          <w:rStyle w:val="FootnoteAnchor"/>
          <w:rtl w:val="true"/>
        </w:rPr>
        <w:footnoteReference w:id="3269"/>
      </w:r>
      <w:r>
        <w:rPr>
          <w:rFonts w:ascii="Amiri" w:hAnsi="Amiri" w:eastAsia="Amiri" w:cs="Amiri"/>
          <w:color w:val="111111"/>
          <w:sz w:val="28"/>
          <w:sz w:val="28"/>
          <w:szCs w:val="28"/>
          <w:rtl w:val="true"/>
          <w:lang w:bidi="ar-SA"/>
        </w:rPr>
        <w:t>فإنّه من المحتمل بل الظاهر أنّه مسحه من دون رطوبة، أو مسحه برطوبة ولكن لم يمسّ الثوب بالجزء النجس</w:t>
      </w:r>
      <w:r>
        <w:rPr>
          <w:rFonts w:eastAsia="Amiri" w:cs="Amiri" w:ascii="Amiri" w:hAnsi="Amiri"/>
          <w:color w:val="111111"/>
          <w:sz w:val="28"/>
          <w:szCs w:val="28"/>
          <w:rtl w:val="true"/>
          <w:lang w:bidi="ar-SA"/>
        </w:rPr>
        <w:t xml:space="preserve">. </w:t>
      </w:r>
      <w:bookmarkStart w:id="1418" w:name="pg18988_203746"/>
    </w:p>
    <w:p>
      <w:pPr>
        <w:pStyle w:val="BookText"/>
        <w:rPr/>
      </w:pPr>
      <w:bookmarkEnd w:id="1418"/>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 فيمن يبول ويتمسّح بالأحجار ثمّ يجيء منه بلل ما يفسد سراويله،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270"/>
      </w:r>
      <w:r>
        <w:rPr>
          <w:rFonts w:ascii="Amiri" w:hAnsi="Amiri" w:eastAsia="Amiri" w:cs="Amiri"/>
          <w:color w:val="111111"/>
          <w:sz w:val="28"/>
          <w:sz w:val="28"/>
          <w:szCs w:val="28"/>
          <w:rtl w:val="true"/>
          <w:lang w:bidi="ar-SA"/>
        </w:rPr>
        <w:t>فإنّه من المحتمل بل الظاهر من نفي البأس أنّه مع عدم العلم بكون البلل من المخرَج، أو نفي البأس عن الانتقاض لو كان متيمّماً، أو أنّ متعلّق التمسّح مخرج الغائط، وذكر البول كناية عن الجميع؛ بقرينة التمسح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يبول فلا يجد الماء، فأصاب يده شيئاً من البول، فمسحه بالحائط والتراب، ثمّ تعرق يده فيمسح بها وجهه أو جسده أو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271"/>
      </w:r>
      <w:r>
        <w:rPr>
          <w:rFonts w:ascii="Amiri" w:hAnsi="Amiri" w:eastAsia="Amiri" w:cs="Amiri"/>
          <w:color w:val="111111"/>
          <w:sz w:val="28"/>
          <w:sz w:val="28"/>
          <w:szCs w:val="28"/>
          <w:rtl w:val="true"/>
          <w:lang w:bidi="ar-SA"/>
        </w:rPr>
        <w:t>، فإنّه من المحتمل بل الظاهر عدم العلم بأنّ المسح كان بالجزء النجس؛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فالمسألة لا إشكال فيها</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3198439_1280447820"/>
      <w:bookmarkStart w:id="1420" w:name="_Toc546"/>
      <w:bookmarkEnd w:id="1419"/>
      <w:r>
        <w:rPr>
          <w:rtl w:val="true"/>
        </w:rPr>
        <w:t>ثانيها</w:t>
      </w:r>
      <w:r>
        <w:rPr>
          <w:rtl w:val="true"/>
        </w:rPr>
        <w:t xml:space="preserve">: </w:t>
      </w:r>
      <w:r>
        <w:rPr>
          <w:rtl w:val="true"/>
        </w:rPr>
        <w:t>ثبوت النجاسة بالقطع على النحو المعتاد من الأشخاص وقول صاحب للتأثیر</w:t>
      </w:r>
      <w:bookmarkEnd w:id="1420"/>
    </w:p>
    <w:p>
      <w:pPr>
        <w:pStyle w:val="BookText"/>
        <w:rPr/>
      </w:pPr>
      <w:r>
        <w:rPr>
          <w:rFonts w:ascii="Amiri" w:hAnsi="Amiri" w:eastAsia="Amiri" w:cs="Amiri"/>
          <w:color w:val="111111"/>
          <w:sz w:val="28"/>
          <w:sz w:val="28"/>
          <w:szCs w:val="28"/>
          <w:rtl w:val="true"/>
          <w:lang w:bidi="ar-SA"/>
        </w:rPr>
        <w:t>تثبت النجاسة بالقطع على النحو المعتاد من الأشخاص، فلا عبرة بقطع أهل الوسواس وتثبت بالظنّ الشرعي، كشهادة العدلين؛ لعموم حجّيّة شهادتهما، وللقطع الحاصل من الاستقراء بقبول شهادتهما ، ولقبولهما في إثبات النجاسة في مقام دعوى العيب الحاصل منها قطعاً فلتقبل في غيرها، وللخبرين</w:t>
      </w:r>
      <w:r>
        <w:rPr>
          <w:rStyle w:val="FootnoteAnchor"/>
          <w:rtl w:val="true"/>
        </w:rPr>
        <w:footnoteReference w:id="3272"/>
      </w:r>
      <w:r>
        <w:rPr>
          <w:rFonts w:ascii="Amiri" w:hAnsi="Amiri" w:eastAsia="Amiri" w:cs="Amiri"/>
          <w:color w:val="111111"/>
          <w:sz w:val="28"/>
          <w:sz w:val="28"/>
          <w:szCs w:val="28"/>
          <w:rtl w:val="true"/>
          <w:lang w:bidi="ar-SA"/>
        </w:rPr>
        <w:t>الدالّين على حلّيّة كلّ شيء حتّى تقوم بيّنّة على أنّه ميتة، وأنّه حرام،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تقبل شهادتهما تعبّداً، أو لحصول الظن، أو تعبّداً ما لم يحصل الظنّ بخلافهما ويستراب بشهادتهما؟ وجوه ثلاثة،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القضاء من أنّ الحاكم لو استراب في الشهادة وقف عن الحكم، خلافاً لمن أوجب عليه إمضاء الحكم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الحجّيّة يخصّص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 حتّى تعلم أنّه نجس</w:t>
      </w:r>
      <w:r>
        <w:rPr>
          <w:rFonts w:eastAsia="Amiri" w:cs="Amiri" w:ascii="Amiri" w:hAnsi="Amiri"/>
          <w:color w:val="111111"/>
          <w:sz w:val="28"/>
          <w:szCs w:val="28"/>
          <w:rtl w:val="true"/>
          <w:lang w:bidi="ar-SA"/>
        </w:rPr>
        <w:t>»</w:t>
      </w:r>
      <w:r>
        <w:rPr>
          <w:rStyle w:val="FootnoteAnchor"/>
          <w:rtl w:val="true"/>
        </w:rPr>
        <w:footnoteReference w:id="3273"/>
      </w:r>
      <w:r>
        <w:rPr>
          <w:rFonts w:ascii="Amiri" w:hAnsi="Amiri" w:eastAsia="Amiri" w:cs="Amiri"/>
          <w:color w:val="111111"/>
          <w:sz w:val="28"/>
          <w:sz w:val="28"/>
          <w:szCs w:val="28"/>
          <w:rtl w:val="true"/>
          <w:lang w:bidi="ar-SA"/>
        </w:rPr>
        <w:t xml:space="preserve">أو يُحمل العلم على ما هو الأعمّ منه وممّا قام مقامه من الظنّ الواجب الأخذ به؛ لشيوع إطلاقه على ذلك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وعرفاً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وتثبت بشهادة العدل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يسترب بخبره ولم يحصل الظنّ بعدمه؛ لعموم حجّيّة خبر العدل، ولوجوب الأخذ به فيما هو الأقوى فليثبت في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ولوجوب </w:t>
      </w:r>
    </w:p>
    <w:p>
      <w:pPr>
        <w:pStyle w:val="BookText"/>
        <w:rPr/>
      </w:pPr>
      <w:r>
        <w:rPr>
          <w:rFonts w:ascii="Amiri" w:hAnsi="Amiri" w:eastAsia="Amiri" w:cs="Amiri"/>
          <w:color w:val="111111"/>
          <w:sz w:val="28"/>
          <w:sz w:val="28"/>
          <w:szCs w:val="28"/>
          <w:rtl w:val="true"/>
          <w:lang w:bidi="ar-SA"/>
        </w:rPr>
        <w:t>الأخذ به في الأصل فبالأولى في الفرع، ولبعض الأخبار</w:t>
      </w:r>
      <w:r>
        <w:rPr>
          <w:rStyle w:val="FootnoteAnchor"/>
          <w:rtl w:val="true"/>
        </w:rPr>
        <w:footnoteReference w:id="3274"/>
      </w:r>
      <w:r>
        <w:rPr>
          <w:rFonts w:ascii="Amiri" w:hAnsi="Amiri" w:eastAsia="Amiri" w:cs="Amiri"/>
          <w:color w:val="111111"/>
          <w:sz w:val="28"/>
          <w:sz w:val="28"/>
          <w:szCs w:val="28"/>
          <w:rtl w:val="true"/>
          <w:lang w:bidi="ar-SA"/>
        </w:rPr>
        <w:t>الدالّة على قبول شهادته فيما هو أقوى من ذلك، كقبوله في عزل الوكيل، وفي استبراء الأمة، وفي إنفاذ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تثبت أيضاً بقول 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أو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يظنّ بخلافه أو يسترب بخبره؛ لقبول خبر ذي اليد في جميع الأشياء من تذكيةٍ وحِلّيّة وحرمةٍ وتطهيرٍ وملكٍ وتمليكٍ، كما دلّ على ذلك الاستقراء والأخبار</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أنّ المعير لو أعلم المستعير بنجاسة ثوبه المستعار بعد ما صلّى به أعاد الصلاة</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السيرة القطعيّة قاضية بقبول إخبار صاحب اليد فى حلّيّةٍ وحرمةٍ وطهارةٍ ونجاسةٍ و بيعٍ وشراءٍ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بصاحب اليد هو المالك والمتصرّف وإن لم يكن مالكاً، كالمستعير والودعي والوكيل، و يلحق به الغاصب؛ للسيرة القاضية بقبول إخبارهم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قبول خبر الشاهدين أو الواحد أو ذي اليد ذكر السبب؛ لاختلاف الأنظار في النجاسة وفي أنواعها وفي كيفيّة التنجيس والأصل الطهارة، أو لا يشترط؛ لظهور إخباره في نجاسته واقعاً المعلومة أو المظنونة بطريقٍ شرعيّ حجّة عليه وعلى المخبر ؟ وجهان، أظهر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تثبت النجاسة بالظنّ ؟ لأنّ المرء متعبّد بظنّه؛ ولرجحانه والأخذ بالمرجوح قبيح، أو لا تثبت؟ للأخبار الدالّة على الطهارة إلى العلم بالنجاسة</w:t>
      </w:r>
      <w:r>
        <w:rPr>
          <w:rStyle w:val="FootnoteAnchor"/>
          <w:rtl w:val="true"/>
        </w:rPr>
        <w:footnoteReference w:id="3277"/>
      </w:r>
      <w:r>
        <w:rPr>
          <w:rFonts w:ascii="Amiri" w:hAnsi="Amiri" w:eastAsia="Amiri" w:cs="Amiri"/>
          <w:color w:val="111111"/>
          <w:sz w:val="28"/>
          <w:sz w:val="28"/>
          <w:szCs w:val="28"/>
          <w:rtl w:val="true"/>
          <w:lang w:bidi="ar-SA"/>
        </w:rPr>
        <w:t>، والدالّة على طهارة الثوب المُعار للذمّي حتّى يحصل اليقين بأنّه نجّسه</w:t>
      </w:r>
      <w:r>
        <w:rPr>
          <w:rStyle w:val="FootnoteAnchor"/>
          <w:rtl w:val="true"/>
        </w:rPr>
        <w:footnoteReference w:id="3278"/>
      </w:r>
      <w:r>
        <w:rPr>
          <w:rFonts w:ascii="Amiri" w:hAnsi="Amiri" w:eastAsia="Amiri" w:cs="Amiri"/>
          <w:color w:val="111111"/>
          <w:sz w:val="28"/>
          <w:sz w:val="28"/>
          <w:szCs w:val="28"/>
          <w:rtl w:val="true"/>
          <w:lang w:bidi="ar-SA"/>
        </w:rPr>
        <w:t>، والدالّة على جواز استعمال الثياب والصلاة فيها المأخوذة من المجوس، أو التي عملها المجوس الشاربون للخمر والأكلون الميتة</w:t>
      </w:r>
      <w:r>
        <w:rPr>
          <w:rStyle w:val="FootnoteAnchor"/>
          <w:rtl w:val="true"/>
        </w:rPr>
        <w:footnoteReference w:id="3279"/>
      </w:r>
      <w:r>
        <w:rPr>
          <w:rFonts w:ascii="Amiri" w:hAnsi="Amiri" w:eastAsia="Amiri" w:cs="Amiri"/>
          <w:color w:val="111111"/>
          <w:sz w:val="28"/>
          <w:sz w:val="28"/>
          <w:szCs w:val="28"/>
          <w:rtl w:val="true"/>
          <w:lang w:bidi="ar-SA"/>
        </w:rPr>
        <w:t>، والدالّة على جواز الأخذ ممّا في 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مستحلّين للميتة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مسألةٍ</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في هذا المضمون كثيرة، وهي معتضدة بالأُصول وفتوى الفحول وظاهر الكتاب</w:t>
      </w:r>
      <w:r>
        <w:rPr>
          <w:rStyle w:val="FootnoteAnchor"/>
          <w:rtl w:val="true"/>
        </w:rPr>
        <w:footnoteReference w:id="3281"/>
      </w:r>
      <w:r>
        <w:rPr>
          <w:rFonts w:ascii="Amiri" w:hAnsi="Amiri" w:eastAsia="Amiri" w:cs="Amiri"/>
          <w:color w:val="111111"/>
          <w:sz w:val="28"/>
          <w:sz w:val="28"/>
          <w:szCs w:val="28"/>
          <w:rtl w:val="true"/>
          <w:lang w:bidi="ar-SA"/>
        </w:rPr>
        <w:t>وعمل الأصحاب، فالركون إليها أقوى، بل هو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الأمر بغسل الثوب المُعار لشارب الخمر قبل الصلاة به</w:t>
      </w:r>
      <w:r>
        <w:rPr>
          <w:rStyle w:val="FootnoteAnchor"/>
          <w:rtl w:val="true"/>
        </w:rPr>
        <w:footnoteReference w:id="3282"/>
      </w:r>
      <w:r>
        <w:rPr>
          <w:rFonts w:ascii="Amiri" w:hAnsi="Amiri" w:eastAsia="Amiri" w:cs="Amiri"/>
          <w:color w:val="111111"/>
          <w:sz w:val="28"/>
          <w:sz w:val="28"/>
          <w:szCs w:val="28"/>
          <w:rtl w:val="true"/>
          <w:lang w:bidi="ar-SA"/>
        </w:rPr>
        <w:t>، وغسل الثوب المأخوذ من النصراني قبل الصلاة به</w:t>
      </w:r>
      <w:r>
        <w:rPr>
          <w:rStyle w:val="FootnoteAnchor"/>
          <w:rtl w:val="true"/>
        </w:rPr>
        <w:footnoteReference w:id="3283"/>
      </w:r>
      <w:r>
        <w:rPr>
          <w:rFonts w:ascii="Amiri" w:hAnsi="Amiri" w:eastAsia="Amiri" w:cs="Amiri"/>
          <w:color w:val="111111"/>
          <w:sz w:val="28"/>
          <w:sz w:val="28"/>
          <w:szCs w:val="28"/>
          <w:rtl w:val="true"/>
          <w:lang w:bidi="ar-SA"/>
        </w:rPr>
        <w:t>، وغسل الثوب المأخوذ من النصراني قبل لُبْسه والصلاة به</w:t>
      </w:r>
      <w:r>
        <w:rPr>
          <w:rStyle w:val="FootnoteAnchor"/>
          <w:rtl w:val="true"/>
        </w:rPr>
        <w:footnoteReference w:id="3284"/>
      </w:r>
      <w:r>
        <w:rPr>
          <w:rFonts w:ascii="Amiri" w:hAnsi="Amiri" w:eastAsia="Amiri" w:cs="Amiri"/>
          <w:color w:val="111111"/>
          <w:sz w:val="28"/>
          <w:sz w:val="28"/>
          <w:szCs w:val="28"/>
          <w:rtl w:val="true"/>
          <w:lang w:bidi="ar-SA"/>
        </w:rPr>
        <w:t>، محمول على الندب للاحتياط، لا تقديماً للظاهر على الأصل، كما قد يتوهمّ؛ لأنّ الظاهر لم يجعله الشارع حجّةً مطلقاً، فكيف يعارض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النجاسة تثبت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ظنّه بعض الأصحاب</w:t>
      </w:r>
      <w:r>
        <w:rPr>
          <w:rStyle w:val="FootnoteAnchor"/>
          <w:rtl w:val="true"/>
        </w:rPr>
        <w:footnoteReference w:id="3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الظاهر يقدَّم فيها على الأصل لما بقي للمسلمين سوق، ولاحكم بطهارة جواريهم وأطفالهم ونسائهم والأعراب وأهل البادية، والعامّة المستحلّين لكثير من المحارم، والمطهّرين لكثير من النجاسات، والعوامِ الغير العارفين بالأحكام، والحبشةِ والسودان والفسقة الغير المعتنين بالأحكام، وأكثرِ أهل البادية المباشرين للكلاب، والممارسين لليهود والنصارى ، والنساء الحُيّض، والمباشرات للأطفال، والمباشرين لنزح النجاسات و الخدمة في 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فالحكم بثبوت النجاسة بالظنّ إفراط، كما أنّ الحكم بعدم ثبوتها إلّا بالقطع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الظنّ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تفريطٌ ، نسأل الله تعالى التجنّب عن جادّة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يندب التوقّي من سؤر المتّم في النجاسة، والمظنون فيه ذلك؛ للأخبار في بعض الموارد</w:t>
      </w:r>
      <w:r>
        <w:rPr>
          <w:rStyle w:val="FootnoteAnchor"/>
          <w:rtl w:val="true"/>
        </w:rPr>
        <w:footnoteReference w:id="3286"/>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الموارد الخاصّة، وأمّا الموارد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كالأخذ ممّا يوجد في الأسواق، وما يجلب من ديار الكفّار، أو من ديار المسلمين المتّهمين بمباشرة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مشروعيّة الاحتياط فيه، ولا يندب التجنّب عنه؛ للسيرة القاضية بذلك، وعمل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من قديم الزمان إلى الآن</w:t>
      </w:r>
      <w:r>
        <w:rPr>
          <w:rFonts w:eastAsia="Amiri" w:cs="Amiri" w:ascii="Amiri" w:hAnsi="Amiri"/>
          <w:color w:val="111111"/>
          <w:sz w:val="28"/>
          <w:szCs w:val="28"/>
          <w:rtl w:val="true"/>
          <w:lang w:bidi="ar-SA"/>
        </w:rPr>
        <w:t xml:space="preserve">. </w:t>
      </w:r>
      <w:bookmarkStart w:id="1421" w:name="pg18988_203749"/>
    </w:p>
    <w:p>
      <w:pPr>
        <w:pStyle w:val="BookText"/>
        <w:rPr/>
      </w:pPr>
      <w:bookmarkEnd w:id="1421"/>
      <w:r>
        <w:rPr>
          <w:rFonts w:ascii="Amiri" w:hAnsi="Amiri" w:eastAsia="Amiri" w:cs="Amiri"/>
          <w:color w:val="111111"/>
          <w:sz w:val="28"/>
          <w:sz w:val="28"/>
          <w:szCs w:val="28"/>
          <w:rtl w:val="true"/>
          <w:lang w:bidi="ar-SA"/>
        </w:rPr>
        <w:t>ولا يجب إخبار مَن تلوّث بالنجاسة؛ للأصل، ولورود النهي عن إخباره في الصحيح عن الرجل يرى في ثوب أخيه دماً وهو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r>
        <w:rPr>
          <w:rStyle w:val="FootnoteAnchor"/>
          <w:rtl w:val="true"/>
        </w:rPr>
        <w:footnoteReference w:id="3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عمّن أعار ثوبه وصلّى المستعير فيه وهو لا 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نظيرهما ما ورد من اغتسال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بقيت لمعة لم يصبها الماء، فقيل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عليك لو سكتّ</w:t>
      </w:r>
      <w:r>
        <w:rPr>
          <w:rFonts w:eastAsia="Amiri" w:cs="Amiri" w:ascii="Amiri" w:hAnsi="Amiri"/>
          <w:color w:val="111111"/>
          <w:sz w:val="28"/>
          <w:szCs w:val="28"/>
          <w:rtl w:val="true"/>
          <w:lang w:bidi="ar-SA"/>
        </w:rPr>
        <w:t>»</w:t>
      </w:r>
      <w:r>
        <w:rPr>
          <w:rStyle w:val="FootnoteAnchor"/>
          <w:rtl w:val="true"/>
        </w:rPr>
        <w:footnoteReference w:id="3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فتوى الأصحاب والسيرة على جواز الإعلام لكان القول بعدم الجواز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حملها على الكراهة؛ لمكان 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عدم التنبيه أذيّة ارتفعت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التفاوت في عدم وجوب الإعلام بين أن يكون مع جهل النجاسة أو مع نسيانها، وبين النجاسة وغيرها من الشرائط من سترٍ واستقبالٍ و نحوهما؛ لعدم كونه منكراً في الجميع، فلا يجب النهي عنه، كما لا يجب إيقاض النائم لتأدية فرضٍ أو حقٍّ دنيويّ أو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تنبيه الغافل فيما كان من الموضوعات العامّة المؤديّة لسراية الضرر وشيوع المنكر، كالغناء والزنى واللواط وقتل النفس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تعليم الجاهل في الحكم الشرعي لما ورد في وجوب العلم والتعليم والتعلّم</w:t>
      </w:r>
      <w:r>
        <w:rPr>
          <w:rStyle w:val="FootnoteAnchor"/>
          <w:rtl w:val="true"/>
        </w:rPr>
        <w:footnoteReference w:id="3290"/>
      </w:r>
      <w:r>
        <w:rPr>
          <w:rFonts w:ascii="Amiri" w:hAnsi="Amiri" w:eastAsia="Amiri" w:cs="Amiri"/>
          <w:color w:val="111111"/>
          <w:sz w:val="28"/>
          <w:sz w:val="28"/>
          <w:szCs w:val="28"/>
          <w:rtl w:val="true"/>
          <w:lang w:bidi="ar-SA"/>
        </w:rPr>
        <w:t>، ولولا ذلك لما أُرسلت الرسل و أُنزلت الكتب ودُوّنت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إغراء الغير بأكل المحرَّم، كتقديم الطعام النجس للغير أو الميتة أو الخبائث، وكذا بيعها للنهي عن الضرر والإضرار</w:t>
      </w:r>
      <w:r>
        <w:rPr>
          <w:rStyle w:val="FootnoteAnchor"/>
          <w:rtl w:val="true"/>
        </w:rPr>
        <w:footnoteReference w:id="3291"/>
      </w:r>
      <w:r>
        <w:rPr>
          <w:rFonts w:ascii="Amiri" w:hAnsi="Amiri" w:eastAsia="Amiri" w:cs="Amiri"/>
          <w:color w:val="111111"/>
          <w:sz w:val="28"/>
          <w:sz w:val="28"/>
          <w:szCs w:val="28"/>
          <w:rtl w:val="true"/>
          <w:lang w:bidi="ar-SA"/>
        </w:rPr>
        <w:t>، ومَنْ غشّ المسلمين فليس منهم</w:t>
      </w:r>
      <w:r>
        <w:rPr>
          <w:rStyle w:val="FootnoteAnchor"/>
          <w:rtl w:val="true"/>
        </w:rPr>
        <w:footnoteReference w:id="3292"/>
      </w:r>
      <w:r>
        <w:rPr>
          <w:rFonts w:ascii="Amiri" w:hAnsi="Amiri" w:eastAsia="Amiri" w:cs="Amiri"/>
          <w:color w:val="111111"/>
          <w:sz w:val="28"/>
          <w:sz w:val="28"/>
          <w:szCs w:val="28"/>
          <w:rtl w:val="true"/>
          <w:lang w:bidi="ar-SA"/>
        </w:rPr>
        <w:t>، وللأخبار الناهية عن بيع العجين النجس والدهن والزيت والعسل إلّا مع البيان لمن اشتراه</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13198441_1280447820"/>
      <w:bookmarkStart w:id="1423" w:name="_Toc547"/>
      <w:bookmarkEnd w:id="1422"/>
      <w:r>
        <w:rPr>
          <w:rtl w:val="true"/>
        </w:rPr>
        <w:t>ثالثها</w:t>
      </w:r>
      <w:r>
        <w:rPr>
          <w:rtl w:val="true"/>
        </w:rPr>
        <w:t xml:space="preserve">: </w:t>
      </w:r>
      <w:r>
        <w:rPr>
          <w:rtl w:val="true"/>
        </w:rPr>
        <w:t>ثبوت التطهير بخبر العدلين و بخبر الواحد و بخبر ذي اليد</w:t>
      </w:r>
      <w:bookmarkEnd w:id="1423"/>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التطهير بعد العلم بحصول النجاسة بخبر العدلين قطعاً، وبخبر الواحد، وبخبر ذي اليد، كلّ ذلك للأخبار</w:t>
      </w:r>
      <w:r>
        <w:rPr>
          <w:rStyle w:val="FootnoteAnchor"/>
          <w:rtl w:val="true"/>
        </w:rPr>
        <w:footnoteReference w:id="3294"/>
      </w:r>
      <w:r>
        <w:rPr>
          <w:rFonts w:ascii="Amiri" w:hAnsi="Amiri" w:eastAsia="Amiri" w:cs="Amiri"/>
          <w:color w:val="111111"/>
          <w:sz w:val="28"/>
          <w:sz w:val="28"/>
          <w:szCs w:val="28"/>
          <w:rtl w:val="true"/>
          <w:lang w:bidi="ar-SA"/>
        </w:rPr>
        <w:t xml:space="preserve">، ولسيرة المسلمين على قبول إخبار ذي اليد في حرمةٍ وحلّيّةٍ </w:t>
      </w:r>
      <w:bookmarkStart w:id="1424" w:name="pg18988_203750"/>
    </w:p>
    <w:p>
      <w:pPr>
        <w:pStyle w:val="BookText"/>
        <w:rPr/>
      </w:pPr>
      <w:bookmarkEnd w:id="1424"/>
      <w:r>
        <w:rPr>
          <w:rFonts w:ascii="Amiri" w:hAnsi="Amiri" w:eastAsia="Amiri" w:cs="Amiri"/>
          <w:color w:val="111111"/>
          <w:sz w:val="28"/>
          <w:sz w:val="28"/>
          <w:szCs w:val="28"/>
          <w:rtl w:val="true"/>
          <w:lang w:bidi="ar-SA"/>
        </w:rPr>
        <w:t>وتذكيةٍ وتطهيرٍ وتنجيسٍ، والأخبار</w:t>
      </w:r>
      <w:r>
        <w:rPr>
          <w:rStyle w:val="FootnoteAnchor"/>
          <w:rtl w:val="true"/>
        </w:rPr>
        <w:footnoteReference w:id="3295"/>
      </w:r>
      <w:r>
        <w:rPr>
          <w:rFonts w:ascii="Amiri" w:hAnsi="Amiri" w:eastAsia="Amiri" w:cs="Amiri"/>
          <w:color w:val="111111"/>
          <w:sz w:val="28"/>
          <w:sz w:val="28"/>
          <w:szCs w:val="28"/>
          <w:rtl w:val="true"/>
          <w:lang w:bidi="ar-SA"/>
        </w:rPr>
        <w:t>الواردة في جواز الأخذ ممّا في يد المسلمين في الأسواق مع الشكّ بالتذكية وعدمها، وفي جواز الأخذ بقول المسلم في تطهير العصير أنّه على الثلث، وفي جواز أخذ ما يعلم أنّها ممّا تنجّست قبل إخباره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أقسام ذي اليد الوكيلُ في التطهير وإن كان فاسقاً؛ لمشروعيّة الوكالة في الطهارة، وقبول خبر الوكيل فيما وُكّل فيه، كما سيأتي في باب الوكالة إن شاء الله تعالى؛ لأنّ الوكيل أمين مصدَّق، ولأنّ الوكيل ذو يد فيما وُكلّ فيه، وللسيرة القاطعة على قبول إخبار النساء والجواري والغلمان في التطهير إمّا لكونهنّ وكيلاتٍ فيما يتعلّق بهذه الأُمور، أو لأنّهنّ ذوات يد، حيث إنّ المالك جعل متعلّق أُمور البيت تحت يدهنّ وفي تصرّفهنّ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ما يُفهم من الأخبار من أنّ كلّ ذي عملٍ مؤتمن على عمله ومصدَّق فيه، كالأخبار الواردة في القصّارين والجزّارين، وفي تطهير الجارية ثوب سيّدها، وأنّ الحجّام مؤتمن في تطهير موضع الحجامة إذا لم يكن صبيّاً </w:t>
      </w:r>
      <w:r>
        <w:rPr>
          <w:rStyle w:val="FootnoteAnchor"/>
          <w:rtl w:val="true"/>
        </w:rPr>
        <w:footnoteReference w:id="3296"/>
      </w:r>
      <w:r>
        <w:rPr>
          <w:rFonts w:ascii="IRNazanin" w:hAnsi="IRNazanin" w:eastAsia="IRNazanin"/>
          <w:color w:val="111111"/>
          <w:sz w:val="28"/>
          <w:sz w:val="28"/>
          <w:szCs w:val="28"/>
          <w:rtl w:val="true"/>
          <w:lang w:bidi="fa-IR"/>
        </w:rPr>
        <w:t>، وظاهره أعمّ من العدل والفاسق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المستعير صاحب يدٍ، فيصدَّق إخباره بالتطهير حتّى بالنسبة إلى المالك، ولا يبعد أنّ الغاصب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المالك بالنسبة إلى المستعير إذا لم يكن له يد حين الإعارة ففي تصديق خبره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3198443_1280447820"/>
      <w:bookmarkStart w:id="1426" w:name="_Toc548"/>
      <w:bookmarkEnd w:id="1425"/>
      <w:r>
        <w:rPr>
          <w:rtl w:val="true"/>
        </w:rPr>
        <w:t>رابعها</w:t>
      </w:r>
      <w:r>
        <w:rPr>
          <w:rtl w:val="true"/>
        </w:rPr>
        <w:t xml:space="preserve">: </w:t>
      </w:r>
      <w:r>
        <w:rPr>
          <w:rtl w:val="true"/>
        </w:rPr>
        <w:t>وجوب إزالة النجاسة عن الثوب والبدن في الصلاة والطواف</w:t>
      </w:r>
      <w:bookmarkEnd w:id="1426"/>
    </w:p>
    <w:p>
      <w:pPr>
        <w:pStyle w:val="BookText"/>
        <w:rPr/>
      </w:pPr>
      <w:r>
        <w:rPr>
          <w:rFonts w:ascii="Amiri" w:hAnsi="Amiri" w:eastAsia="Amiri" w:cs="Amiri"/>
          <w:color w:val="111111"/>
          <w:sz w:val="28"/>
          <w:sz w:val="28"/>
          <w:szCs w:val="28"/>
          <w:rtl w:val="true"/>
          <w:lang w:bidi="ar-SA"/>
        </w:rPr>
        <w:t>تجب إزالة النجاسة عن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قليلها وكثيرها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والطواف؛ للإجماع والأخبار</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بالثوب ما يُسمّى ثوباً عرفاً ولو طال، إلّا إذا خرج بطوله عرفاً عن الثوب، بحيث زاد القميص أذرعاً يجرّ على الأرض، والعمامة كذلك</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ذهب إليه ابن الجنيد من طهارة كلّ نجاسةٍ نقصت عن سعة الدرهم ما عدا الحيض و المنيّ</w:t>
      </w:r>
      <w:r>
        <w:rPr>
          <w:rStyle w:val="FootnoteAnchor"/>
          <w:rtl w:val="true"/>
        </w:rPr>
        <w:footnoteReference w:id="3298"/>
      </w:r>
      <w:r>
        <w:rPr>
          <w:rFonts w:ascii="Amiri" w:hAnsi="Amiri" w:eastAsia="Amiri" w:cs="Amiri"/>
          <w:color w:val="111111"/>
          <w:sz w:val="28"/>
          <w:sz w:val="28"/>
          <w:szCs w:val="28"/>
          <w:rtl w:val="true"/>
          <w:lang w:bidi="ar-SA"/>
        </w:rPr>
        <w:t>، مخالف لإجماع الشيعة وأخبارهم، بل وضرورة مذهبهم، وتأويله بالعفو أولى</w:t>
      </w:r>
      <w:r>
        <w:rPr>
          <w:rFonts w:eastAsia="Amiri" w:cs="Amiri" w:ascii="Amiri" w:hAnsi="Amiri"/>
          <w:color w:val="111111"/>
          <w:sz w:val="28"/>
          <w:szCs w:val="28"/>
          <w:rtl w:val="true"/>
          <w:lang w:bidi="ar-SA"/>
        </w:rPr>
        <w:t xml:space="preserve">. </w:t>
      </w:r>
      <w:bookmarkStart w:id="1427" w:name="pg18988_203751"/>
    </w:p>
    <w:p>
      <w:pPr>
        <w:pStyle w:val="BookText"/>
        <w:rPr/>
      </w:pPr>
      <w:bookmarkEnd w:id="1427"/>
      <w:r>
        <w:rPr>
          <w:rFonts w:ascii="IRNazanin" w:hAnsi="IRNazanin" w:eastAsia="IRNazanin"/>
          <w:color w:val="111111"/>
          <w:sz w:val="28"/>
          <w:sz w:val="28"/>
          <w:szCs w:val="28"/>
          <w:rtl w:val="true"/>
          <w:lang w:bidi="fa-IR"/>
        </w:rPr>
        <w:t>وتجب إزالة النجاسة عن الأماكن المشرّفة من مصحف وبدن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وكعبة ومسجد ومأكول ومشروب كلّ ذلك للإجماع والأخبار</w:t>
      </w:r>
      <w:r>
        <w:rPr>
          <w:rStyle w:val="FootnoteAnchor"/>
          <w:rtl w:val="true"/>
        </w:rPr>
        <w:footnoteReference w:id="3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المحرّم نفس إدخالها للأماكن المشرّفة مثل الحضرات والمساجد، أو مع التلويث؟ ظاهر بعض الأخبار</w:t>
      </w:r>
      <w:r>
        <w:rPr>
          <w:rStyle w:val="FootnoteAnchor"/>
          <w:rtl w:val="true"/>
        </w:rPr>
        <w:footnoteReference w:id="3300"/>
      </w:r>
      <w:r>
        <w:rPr>
          <w:rFonts w:ascii="IRNazanin" w:hAnsi="IRNazanin" w:eastAsia="IRNazanin"/>
          <w:color w:val="111111"/>
          <w:sz w:val="28"/>
          <w:sz w:val="28"/>
          <w:szCs w:val="28"/>
          <w:rtl w:val="true"/>
          <w:lang w:bidi="fa-IR"/>
        </w:rPr>
        <w:t>والإجماع المنقول</w:t>
      </w:r>
      <w:r>
        <w:rPr>
          <w:rStyle w:val="FootnoteAnchor"/>
          <w:rtl w:val="true"/>
        </w:rPr>
        <w:footnoteReference w:id="3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ولكنّ الأصل، وانصراف الأخبار، والإجماع للملوّث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جواز دخول المستحاضة للمساجد مع أمن التلويث</w:t>
      </w:r>
      <w:r>
        <w:rPr>
          <w:rStyle w:val="FootnoteAnchor"/>
          <w:rtl w:val="true"/>
        </w:rPr>
        <w:footnoteReference w:id="3302"/>
      </w:r>
      <w:r>
        <w:rPr>
          <w:rFonts w:ascii="Amiri" w:hAnsi="Amiri" w:eastAsia="Amiri" w:cs="Amiri"/>
          <w:color w:val="111111"/>
          <w:sz w:val="28"/>
          <w:sz w:val="28"/>
          <w:szCs w:val="28"/>
          <w:rtl w:val="true"/>
          <w:lang w:bidi="ar-SA"/>
        </w:rPr>
        <w:t>، ولزوم العسر والحرج غالباً لإدخال الخُفّ والنعل وشبههما إلى المساجد وهُما لا يؤمنان من النجاسة غالباً دليلٌ على أنّ الحكم مخصوص بالنجاسة الملوّثة</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3198445_1280447820"/>
      <w:bookmarkStart w:id="1429" w:name="_Toc549"/>
      <w:bookmarkEnd w:id="1428"/>
      <w:r>
        <w:rPr>
          <w:rtl w:val="true"/>
        </w:rPr>
        <w:t>خامسها</w:t>
      </w:r>
      <w:r>
        <w:rPr>
          <w:rtl w:val="true"/>
        </w:rPr>
        <w:t xml:space="preserve">: </w:t>
      </w:r>
      <w:r>
        <w:rPr>
          <w:rtl w:val="true"/>
        </w:rPr>
        <w:t>بیان موارد عدم وجوب إزالۀ النجاسۀ</w:t>
      </w:r>
      <w:bookmarkEnd w:id="1429"/>
    </w:p>
    <w:p>
      <w:pPr>
        <w:pStyle w:val="BookText"/>
        <w:rPr/>
      </w:pPr>
      <w:r>
        <w:rPr>
          <w:rFonts w:ascii="Amiri" w:hAnsi="Amiri" w:eastAsia="Amiri" w:cs="Amiri"/>
          <w:color w:val="111111"/>
          <w:sz w:val="28"/>
          <w:sz w:val="28"/>
          <w:szCs w:val="28"/>
          <w:rtl w:val="true"/>
          <w:lang w:bidi="ar-SA"/>
        </w:rPr>
        <w:t>يستثنى من الحكم المتقدّم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النجاسة بما لا تتمّ الصلاة به؛ لصغره مع بقائه على كيفيّته، كالتكّة والقَلَنْسُوَة و الجوْرَب و الخُفّ و نحوها، وسيجيء حكمها في كتاب الصلاة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القروح والجروح، وهما معفوّ عنهما في الجملة، وليس حكمهما كحكم باقي النجاسات، ولا باقي الدماء؛ الفتوى الأصحاب، والإجماع المنقول</w:t>
      </w:r>
      <w:r>
        <w:rPr>
          <w:rStyle w:val="FootnoteAnchor"/>
          <w:rtl w:val="true"/>
        </w:rPr>
        <w:footnoteReference w:id="3303"/>
      </w:r>
      <w:r>
        <w:rPr>
          <w:rFonts w:ascii="Amiri" w:hAnsi="Amiri" w:eastAsia="Amiri" w:cs="Amiri"/>
          <w:color w:val="111111"/>
          <w:sz w:val="28"/>
          <w:sz w:val="28"/>
          <w:szCs w:val="28"/>
          <w:rtl w:val="true"/>
          <w:lang w:bidi="ar-SA"/>
        </w:rPr>
        <w:t>بل المحصّل، والأخبار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به القروح فلا تزال تدمي كيف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 إن كانت الدماء تسيل</w:t>
      </w:r>
      <w:r>
        <w:rPr>
          <w:rFonts w:eastAsia="Amiri" w:cs="Amiri" w:ascii="Amiri" w:hAnsi="Amiri"/>
          <w:color w:val="111111"/>
          <w:sz w:val="28"/>
          <w:szCs w:val="28"/>
          <w:rtl w:val="true"/>
          <w:lang w:bidi="ar-SA"/>
        </w:rPr>
        <w:t>»</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الآخَر؛ عن الرجل به الدماميل والقروح وجلده وثيابه مملوءة دماً وقيحاً، وثيابه بمنزلة جلده؟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ثيابه ولا شيء عليه ولا يغسلها</w:t>
      </w:r>
      <w:r>
        <w:rPr>
          <w:rFonts w:eastAsia="Amiri" w:cs="Amiri" w:ascii="Amiri" w:hAnsi="Amiri"/>
          <w:color w:val="111111"/>
          <w:sz w:val="28"/>
          <w:szCs w:val="28"/>
          <w:rtl w:val="true"/>
          <w:lang w:bidi="ar-SA"/>
        </w:rPr>
        <w:t>»</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يكون في مكان لا يقدر على ربطه، فيسيل منه الدم، فيصيب ثوبي؟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فلا يضرّك أن لا تغسله</w:t>
      </w:r>
      <w:r>
        <w:rPr>
          <w:rFonts w:eastAsia="Amiri" w:cs="Amiri" w:ascii="Amiri" w:hAnsi="Amiri"/>
          <w:color w:val="111111"/>
          <w:sz w:val="28"/>
          <w:szCs w:val="28"/>
          <w:rtl w:val="true"/>
          <w:lang w:bidi="ar-SA"/>
        </w:rPr>
        <w:t>»</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به جرح سائل فأصاب ثوبه من دمه فلا يغسله حتى يبرأ و ينقطع الدم</w:t>
      </w:r>
      <w:r>
        <w:rPr>
          <w:rFonts w:eastAsia="Amiri" w:cs="Amiri" w:ascii="Amiri" w:hAnsi="Amiri"/>
          <w:color w:val="111111"/>
          <w:sz w:val="28"/>
          <w:szCs w:val="28"/>
          <w:rtl w:val="true"/>
          <w:lang w:bidi="ar-SA"/>
        </w:rPr>
        <w:t>»</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الدماميل تكون بالرجل فتنفجر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 ويمسح يده بالحائط أو بالأرض، ولا يقطع الصلاة</w:t>
      </w:r>
      <w:r>
        <w:rPr>
          <w:rFonts w:eastAsia="Amiri" w:cs="Amiri" w:ascii="Amiri" w:hAnsi="Amiri"/>
          <w:color w:val="111111"/>
          <w:sz w:val="28"/>
          <w:szCs w:val="28"/>
          <w:rtl w:val="true"/>
          <w:lang w:bidi="ar-SA"/>
        </w:rPr>
        <w:t>»</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القرحة التي لا يستطيع صاحبها ربطها ولا حبس دمها يصلّي، ولا يغسل ثوبه إلّا كلّ يومٍ مرّةً </w:t>
      </w:r>
      <w:r>
        <w:rPr>
          <w:rStyle w:val="FootnoteAnchor"/>
          <w:rtl w:val="true"/>
        </w:rPr>
        <w:footnoteReference w:id="3309"/>
      </w:r>
      <w:r>
        <w:rPr>
          <w:rFonts w:ascii="Amiri" w:hAnsi="Amiri" w:eastAsia="Amiri" w:cs="Amiri"/>
          <w:color w:val="111111"/>
          <w:sz w:val="28"/>
          <w:sz w:val="28"/>
          <w:szCs w:val="28"/>
          <w:rtl w:val="true"/>
          <w:lang w:bidi="ar-SA"/>
        </w:rPr>
        <w:t>وفي آخَر مثله</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أنّ بثوبه دماً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 دماميل فلست أغسل ثوبي حتّى تبرأ</w:t>
      </w:r>
      <w:r>
        <w:rPr>
          <w:rFonts w:eastAsia="Amiri" w:cs="Amiri" w:ascii="Amiri" w:hAnsi="Amiri"/>
          <w:color w:val="111111"/>
          <w:sz w:val="28"/>
          <w:szCs w:val="28"/>
          <w:rtl w:val="true"/>
          <w:lang w:bidi="ar-SA"/>
        </w:rPr>
        <w:t>»</w:t>
      </w:r>
      <w:r>
        <w:rPr>
          <w:rStyle w:val="FootnoteAnchor"/>
          <w:rtl w:val="true"/>
        </w:rPr>
        <w:footnoteReference w:id="3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الأخبار وإرادة اليسر ورفع العسر والحرج وسهولة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العفو عن هذا الدم الصادر من جرح كبير أو صغير بفعل المكلّف نفسه أو بغيره اختياراً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كان الجرح ح أو ظاهراً، على إشكالٍ في الباطن كالبواسير، وأشكل منه قرحة الرية وذات الجنب، تفطيراً كانت الجروح أو غيرها، في ثوب أو بدن، شقّت إزالتها أم لا، لها فترة تنقطع بها مقدار الصلاة أم لا ،يمكن إبدال الثوب أم لا، يمكن تخفيف النجاسة أم لا، يمكن غسل البعض دون البعض أم لا، يمكن الاحتفاظ من سيلان الدّم أم لا، يمكن غسل ما سوى الدرهم أم لا، دام سيلانها أم لا، أمكن غسل الثوب كلّ يومٍ مرّةً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الروايتين</w:t>
      </w:r>
      <w:r>
        <w:rPr>
          <w:rStyle w:val="FootnoteAnchor"/>
          <w:rtl w:val="true"/>
        </w:rPr>
        <w:footnoteReference w:id="3312"/>
      </w:r>
      <w:r>
        <w:rPr>
          <w:rFonts w:ascii="Amiri" w:hAnsi="Amiri" w:eastAsia="Amiri" w:cs="Amiri"/>
          <w:color w:val="111111"/>
          <w:sz w:val="28"/>
          <w:sz w:val="28"/>
          <w:szCs w:val="28"/>
          <w:rtl w:val="true"/>
          <w:lang w:bidi="ar-SA"/>
        </w:rPr>
        <w:t xml:space="preserve">المعارضتين بما هو أقوى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عرق من البدن أم لا، كان معه قيح أم لا، أمكن علاجه وبرؤه أم لا، وضع عليه دواء أم لا، خشي الضرر من تطهيره أو التحفّظ من سيلانه بعصائب أم لا، تجاوز محلّه إلى محلٍّ آخَر أم لا، تجاوز بنفسه أم لا، برى بعضها إذا كانت في محلٍّ واحد عرفاً أم لا</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في محلّين كان لكلٍّ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الغاية في العفو البرء عرفاً لمجموع الجرح المتّحد عرفاً، ولكلّ واحدٍ من المتعدّد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غَسْل الثوب كلّ يومٍ مرّةً، كما مال إليه بعض المتأخّرين</w:t>
      </w:r>
      <w:r>
        <w:rPr>
          <w:rStyle w:val="FootnoteAnchor"/>
          <w:rtl w:val="true"/>
        </w:rPr>
        <w:footnoteReference w:id="3313"/>
      </w:r>
      <w:r>
        <w:rPr>
          <w:rFonts w:ascii="Amiri" w:hAnsi="Amiri" w:eastAsia="Amiri" w:cs="Amiri"/>
          <w:color w:val="111111"/>
          <w:sz w:val="28"/>
          <w:sz w:val="28"/>
          <w:szCs w:val="28"/>
          <w:rtl w:val="true"/>
          <w:lang w:bidi="ar-SA"/>
        </w:rPr>
        <w:t>للخبرين المتقدّمين</w:t>
      </w:r>
      <w:r>
        <w:rPr>
          <w:rStyle w:val="FootnoteAnchor"/>
          <w:rtl w:val="true"/>
        </w:rPr>
        <w:footnoteReference w:id="3314"/>
      </w:r>
      <w:r>
        <w:rPr>
          <w:rFonts w:ascii="Amiri" w:hAnsi="Amiri" w:eastAsia="Amiri" w:cs="Amiri"/>
          <w:color w:val="111111"/>
          <w:sz w:val="28"/>
          <w:sz w:val="28"/>
          <w:szCs w:val="28"/>
          <w:rtl w:val="true"/>
          <w:lang w:bidi="ar-SA"/>
        </w:rPr>
        <w:t>لضعفهما عن مقاومة الأخبار المتكثّرة المعتبرة المنجبرة بفتوى الأصحاب وعملهم، على أنّه لا عامل بهما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تخفيف النجاسة وإن أشعرت به رواية</w:t>
      </w:r>
      <w:r>
        <w:rPr>
          <w:rStyle w:val="FootnoteAnchor"/>
          <w:rtl w:val="true"/>
        </w:rPr>
        <w:footnoteReference w:id="3315"/>
      </w:r>
      <w:r>
        <w:rPr>
          <w:rFonts w:ascii="Amiri" w:hAnsi="Amiri" w:eastAsia="Amiri" w:cs="Amiri"/>
          <w:color w:val="111111"/>
          <w:sz w:val="28"/>
          <w:sz w:val="28"/>
          <w:szCs w:val="28"/>
          <w:rtl w:val="true"/>
          <w:lang w:bidi="ar-SA"/>
        </w:rPr>
        <w:t>المسح بالحائط، إلّا أنّها لضعفها سنداً وشذوذها حكماً ومعارضتها بالإجماع المنقول على عدم وجوب التخفيف</w:t>
      </w:r>
      <w:r>
        <w:rPr>
          <w:rStyle w:val="FootnoteAnchor"/>
          <w:rtl w:val="true"/>
        </w:rPr>
        <w:footnoteReference w:id="3316"/>
      </w:r>
      <w:r>
        <w:rPr>
          <w:rFonts w:ascii="IRNazanin" w:hAnsi="IRNazanin" w:eastAsia="IRNazanin"/>
          <w:color w:val="111111"/>
          <w:sz w:val="28"/>
          <w:sz w:val="28"/>
          <w:szCs w:val="28"/>
          <w:rtl w:val="true"/>
          <w:lang w:bidi="fa-IR"/>
        </w:rPr>
        <w:t>، وجب طرحها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يجب الإبدال؛ لخلوّ الأخبار المتكثّرة عن الأمر به، ولا تعصيب الجرح، ولا تقليل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لايشترط المشقّة في الإزالة، وإلّا لم يعف عنه ، كما اشترطه بعضهم</w:t>
      </w:r>
      <w:r>
        <w:rPr>
          <w:rStyle w:val="FootnoteAnchor"/>
          <w:rtl w:val="true"/>
        </w:rPr>
        <w:footnoteReference w:id="3317"/>
      </w:r>
      <w:r>
        <w:rPr>
          <w:rFonts w:ascii="Amiri" w:hAnsi="Amiri" w:eastAsia="Amiri" w:cs="Amiri"/>
          <w:color w:val="111111"/>
          <w:sz w:val="28"/>
          <w:sz w:val="28"/>
          <w:szCs w:val="28"/>
          <w:rtl w:val="true"/>
          <w:lang w:bidi="ar-SA"/>
        </w:rPr>
        <w:t>استظهاراً من الأخبار المذكورة</w:t>
      </w:r>
      <w:r>
        <w:rPr>
          <w:rStyle w:val="FootnoteAnchor"/>
          <w:rtl w:val="true"/>
        </w:rPr>
        <w:footnoteReference w:id="3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مطلقة، ولو دار الأمر فيها مدار المشقّة لذكرت في الجواب أو في السؤال، أو لعلّق العفو على حصولها في خبر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يشترط استمرار سيلانها وعدم انقطاعها؛ للأخبار الدالّة على أنّ غاية العفو البرء</w:t>
      </w:r>
      <w:r>
        <w:rPr>
          <w:rStyle w:val="FootnoteAnchor"/>
          <w:rtl w:val="true"/>
        </w:rPr>
        <w:footnoteReference w:id="3319"/>
      </w:r>
      <w:r>
        <w:rPr>
          <w:rFonts w:ascii="Amiri" w:hAnsi="Amiri" w:eastAsia="Amiri" w:cs="Amiri"/>
          <w:color w:val="111111"/>
          <w:sz w:val="28"/>
          <w:sz w:val="28"/>
          <w:szCs w:val="28"/>
          <w:rtl w:val="true"/>
          <w:lang w:bidi="ar-SA"/>
        </w:rPr>
        <w:t>، والظاهر من البرء ما هو أعمّ من الانقطاع وعدمه، وحمل البرء على الانقطاع ارتكاب تأويلٍ 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السؤال في الأخبار على الجرح الذي لا يرقأ وعلى الجرح السائل وعلى عدم القدرة على الربط وغير ذلك لا ينافي عموم الجواب المعمول عليه عند جملةٍ من الأصحاب</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اشتراط دوام السيلان وعدم الانقطاع إلى المشهور</w:t>
      </w:r>
      <w:r>
        <w:rPr>
          <w:rStyle w:val="FootnoteAnchor"/>
          <w:rtl w:val="true"/>
        </w:rPr>
        <w:footnoteReference w:id="3321"/>
      </w:r>
      <w:r>
        <w:rPr>
          <w:rFonts w:ascii="Amiri" w:hAnsi="Amiri" w:eastAsia="Amiri" w:cs="Amiri"/>
          <w:color w:val="111111"/>
          <w:sz w:val="28"/>
          <w:sz w:val="28"/>
          <w:szCs w:val="28"/>
          <w:rtl w:val="true"/>
          <w:lang w:bidi="ar-SA"/>
        </w:rPr>
        <w:t>لا يقوى على ما قدّمنا، مضافاً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الدماء تسيل</w:t>
      </w:r>
      <w:r>
        <w:rPr>
          <w:rFonts w:eastAsia="Amiri" w:cs="Amiri" w:ascii="Amiri" w:hAnsi="Amiri"/>
          <w:color w:val="111111"/>
          <w:sz w:val="28"/>
          <w:szCs w:val="28"/>
          <w:rtl w:val="true"/>
          <w:lang w:bidi="ar-SA"/>
        </w:rPr>
        <w:t>»</w:t>
      </w:r>
      <w:r>
        <w:rPr>
          <w:rStyle w:val="FootnoteAnchor"/>
          <w:rtl w:val="true"/>
        </w:rPr>
        <w:footnoteReference w:id="3322"/>
      </w:r>
      <w:r>
        <w:rPr>
          <w:rFonts w:ascii="Amiri" w:hAnsi="Amiri" w:eastAsia="Amiri" w:cs="Amiri"/>
          <w:color w:val="111111"/>
          <w:sz w:val="28"/>
          <w:sz w:val="28"/>
          <w:szCs w:val="28"/>
          <w:rtl w:val="true"/>
          <w:lang w:bidi="ar-SA"/>
        </w:rPr>
        <w:t>أنّه مع عدم السيلان فالعفو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التعدّي عمّا نُسب للمشهور بل المشهور تحصيلاً، وعمّا وافق الاحتياط وعمومات الأدلّة الدالّة على عدم جواز الصلاة بالنجس من اشتراط عدم الانقطاع واستمرار السيلان عرفاً وعدم صدق أنها رقأت عليها ليس بجيد، بل التعدي عن اشتراط حصول المشقة بالتطهير والتنظيف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للأخبار على الفرد المتعارف منها، وعملاً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حاصل الفرق بين دمي الجروح والقروح وغيرها هو العفو عنهما مع المشقة في الجملة، وغيرهما لا تصح الصلاة به إلا مع خوف الضرر الذي لا يتحمّل عادة، وأن هذين الدمين لا يجب تبديل الثوب منهما، ولا يجب التحفّظ عن سراية النجاسة منهما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في المسلوس والمستحاضة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عدم مباشرتهما بجزء خارج من البدن عن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الصلاة عارياً إذا تلوّث الثوب بدمهما ولم يمكن تبديله ولا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البرء وعدمه والانقطاع وعدمه يجري فيه الاستصحاب،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كون الدم منهما أو من غيرهما لا يقضي بالعفو، بل يقدّم جانب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العفو بالصلاة مطلقاً، ويقوى إلحاق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خالط الدم نجاسة أُخرى، فالأظهر 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الدم منه قبل إسلامه فأسلم فالأظهر العفو، والأحوط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برأ في أثناء الصلاة، فإن أمكن التطهير والتخفيف من دون إبطال للصلاة وجب، وإلّا فالأحوط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انفصل الدم عن البدن أو الثوب إلى الأرض أو مكان آخَر، كان حكمه كحكم سائر النجاسات، ولا عفو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دون الدرهم من الدم، فإنّه معفوّ عنه في الجملة؛ للإجماع المنقول</w:t>
      </w:r>
      <w:r>
        <w:rPr>
          <w:rStyle w:val="FootnoteAnchor"/>
          <w:rtl w:val="true"/>
        </w:rPr>
        <w:footnoteReference w:id="3323"/>
      </w:r>
      <w:r>
        <w:rPr>
          <w:rFonts w:ascii="Amiri" w:hAnsi="Amiri" w:eastAsia="Amiri" w:cs="Amiri"/>
          <w:color w:val="111111"/>
          <w:sz w:val="28"/>
          <w:sz w:val="28"/>
          <w:szCs w:val="28"/>
          <w:rtl w:val="true"/>
          <w:lang w:bidi="ar-SA"/>
        </w:rPr>
        <w:t>وفتوى الفحول، بل الإجماع المحصّل، والأخبار المتظافرة</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ثوبه نقط الدم لا يعلم به ثمّ يعلم فينسى أن يغسله فيصلّي ثمّ يذكر بعدما صلّى أيعيد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ولا يعيد صلاته، إلّا أن يكون مقدار الدرهم مجتمعاً، فيغسله ويعيد الصلاة</w:t>
      </w:r>
      <w:r>
        <w:rPr>
          <w:rFonts w:eastAsia="Amiri" w:cs="Amiri" w:ascii="Amiri" w:hAnsi="Amiri"/>
          <w:color w:val="111111"/>
          <w:sz w:val="28"/>
          <w:szCs w:val="28"/>
          <w:rtl w:val="true"/>
          <w:lang w:bidi="ar-SA"/>
        </w:rPr>
        <w:t>»</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في الثوب وفيه الدم متفرّقاً شبه النضح، وإن كان قد رآه صاحبه قبل ذلك فلا بأس به ما لم يكن مجتمعاً قدر الدرهم</w:t>
      </w:r>
      <w:r>
        <w:rPr>
          <w:rFonts w:eastAsia="Amiri" w:cs="Amiri" w:ascii="Amiri" w:hAnsi="Amiri"/>
          <w:color w:val="111111"/>
          <w:sz w:val="28"/>
          <w:szCs w:val="28"/>
          <w:rtl w:val="true"/>
          <w:lang w:bidi="ar-SA"/>
        </w:rPr>
        <w:t>»</w:t>
      </w:r>
      <w:r>
        <w:rPr>
          <w:rStyle w:val="FootnoteAnchor"/>
          <w:rtl w:val="true"/>
        </w:rPr>
        <w:footnoteReference w:id="3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المقام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بالدرهم هاهنا الدرهم الوافي ، وهو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وفتح الغين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الجامعين،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وتسكين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رأس البغل؛ لشبهه به، أو إلى قرية ببابل، متّصلة بالجامعين تُسمّى بغل، أو إلى عامله المسمّى بذلك، أو إلى رأس البغل، ضرب للثاني بسكّة كسرويّة فسُمّيت في الإسلام بغليّة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الوزن سواء، وهو عبارة عن المضروب من ثمانية دوانيق المقابل للطبريّ المضروب من أربعة، والإسلاميّ المضروب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بأخمص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المنخفض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وبسعة العقد الأعلى من الإبهام، وبسعة العقد الأعلى من الوسطى والسبّابة، ويعتبر فيها مستوى الخلقة، أو بالدينار، أو بدرهم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الوافي غير البغلّي</w:t>
      </w:r>
      <w:r>
        <w:rPr>
          <w:rStyle w:val="FootnoteAnchor"/>
          <w:rtl w:val="true"/>
        </w:rPr>
        <w:footnoteReference w:id="3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ظاهر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الروايات على الوافي الذي هو البغلّي، أو ما قاربه دون الطبري المقابل له دلّ عليه فتوى فحول الأصحاب، والشهرة محصّلة به، والرضوي</w:t>
      </w:r>
      <w:r>
        <w:rPr>
          <w:rStyle w:val="FootnoteAnchor"/>
          <w:rtl w:val="true"/>
        </w:rPr>
        <w:footnoteReference w:id="3327"/>
      </w:r>
      <w:r>
        <w:rPr>
          <w:rFonts w:ascii="IRNazanin" w:hAnsi="IRNazanin" w:eastAsia="IRNazanin"/>
          <w:color w:val="111111"/>
          <w:sz w:val="28"/>
          <w:sz w:val="28"/>
          <w:szCs w:val="28"/>
          <w:rtl w:val="true"/>
          <w:lang w:bidi="fa-IR"/>
        </w:rPr>
        <w:t>والرواية العاميّة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328"/>
      </w:r>
      <w:r>
        <w:rPr>
          <w:rFonts w:ascii="Amiri" w:hAnsi="Amiri" w:eastAsia="Amiri" w:cs="Amiri"/>
          <w:color w:val="111111"/>
          <w:sz w:val="28"/>
          <w:sz w:val="28"/>
          <w:szCs w:val="28"/>
          <w:rtl w:val="true"/>
          <w:lang w:bidi="ar-SA"/>
        </w:rPr>
        <w:t xml:space="preserve">دالّتان عليه، و نُقل عليه الإجماع </w:t>
      </w:r>
      <w:r>
        <w:rPr>
          <w:rStyle w:val="FootnoteAnchor"/>
          <w:rtl w:val="true"/>
        </w:rPr>
        <w:footnoteReference w:id="3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وأقوى تقديراته الأوّل، و نُسب للمشهور</w:t>
      </w:r>
      <w:r>
        <w:rPr>
          <w:rStyle w:val="FootnoteAnchor"/>
          <w:rtl w:val="true"/>
        </w:rPr>
        <w:footnoteReference w:id="3330"/>
      </w:r>
      <w:r>
        <w:rPr>
          <w:rFonts w:ascii="Amiri" w:hAnsi="Amiri" w:eastAsia="Amiri" w:cs="Amiri"/>
          <w:color w:val="111111"/>
          <w:sz w:val="28"/>
          <w:sz w:val="28"/>
          <w:szCs w:val="28"/>
          <w:rtl w:val="true"/>
          <w:lang w:bidi="ar-SA"/>
        </w:rPr>
        <w:t>، وشهد ابن إدريس برؤيته كذلك، إلّا أنّه ذكر أنّه منسوب إلى القرية القديمة، لا إلى أبي البغل من كبار أهل الكوفة؛ لتقدّم هذه الدراهم على الكوفة وأهلها، فلا تصحّ نسبته إليه</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المسمّى و حدوث الاسم</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بعضهم أنّ المسموع من المشايخ تشديد اللام</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كونه بسعة الدينار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ثوبك قدر دينار من الدم فاغسله، ولا تصلِّ فيه حتّى تغسله</w:t>
      </w:r>
      <w:r>
        <w:rPr>
          <w:rFonts w:eastAsia="Amiri" w:cs="Amiri" w:ascii="Amiri" w:hAnsi="Amiri"/>
          <w:color w:val="111111"/>
          <w:sz w:val="28"/>
          <w:szCs w:val="28"/>
          <w:rtl w:val="true"/>
          <w:lang w:bidi="ar-SA"/>
        </w:rPr>
        <w:t>»</w:t>
      </w:r>
      <w:r>
        <w:rPr>
          <w:rStyle w:val="FootnoteAnchor"/>
          <w:rtl w:val="true"/>
        </w:rPr>
        <w:footnoteReference w:id="3334"/>
      </w:r>
      <w:r>
        <w:rPr>
          <w:rFonts w:ascii="Amiri" w:hAnsi="Amiri" w:eastAsia="Amiri" w:cs="Amiri"/>
          <w:color w:val="111111"/>
          <w:sz w:val="28"/>
          <w:sz w:val="28"/>
          <w:szCs w:val="28"/>
          <w:rtl w:val="true"/>
          <w:lang w:bidi="ar-SA"/>
        </w:rPr>
        <w:t>، ولكنّها ضعيفة، والدينار أيضاً يختلف في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بالنسبة إلى التقدير كالمجمل؛ لعدم القطع بسعته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نُسب للمشهور</w:t>
      </w:r>
      <w:r>
        <w:rPr>
          <w:rStyle w:val="FootnoteAnchor"/>
          <w:rtl w:val="true"/>
        </w:rPr>
        <w:footnoteReference w:id="3335"/>
      </w:r>
      <w:r>
        <w:rPr>
          <w:rFonts w:ascii="Amiri" w:hAnsi="Amiri" w:eastAsia="Amiri" w:cs="Amiri"/>
          <w:color w:val="111111"/>
          <w:sz w:val="28"/>
          <w:sz w:val="28"/>
          <w:szCs w:val="28"/>
          <w:rtl w:val="true"/>
          <w:lang w:bidi="ar-SA"/>
        </w:rPr>
        <w:t>من تقديره بأخمص الراحة أيضاً كالمجمل؛ لأنّه تحقيق في تقريب، فلا بدّ من الرجوع للقاعدة، وهي البناء على عدم العفو إلّا بالقدر اليقيني بالنسبة إلى إجمال التقدير، وكذا بالنسبة إلى اختلاف المقدّر فيؤخذ بأقلّ راحة من راحات مستوى الخلقة، ويُحكم بعدم العفو عند بلوغها، مع احتمال الأخذ بأوسعها، فيُحكم بالعفو إلى بلوغه،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حمل الدرهم على البغلي مع أنّ صدورها في زمن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يُحمل اللفظ على ما هو في زمن الصدور، وهو الدرهم الإسلاميّ الذي هو عبارة عن ثلاثة أرباع البغلّي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يجاب بأنّهم حاكون ما هو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حاكون المعنى لا اللفظ، فيُحمل اللفظ على ما هو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سابقاً قرينة على إرادة المعنى الخاصّ، ولا شكّ أنّ المراد بالتقدير هاهنا السعة؛ لأنّ الدم ليس ممّا يوزن، بل ممّا يرى، ولاتّفاق الأصحاب على ذلك، ولأنّه المتبادر في مثل هذا المقام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كالثوب في الحكم وإن اختصّت الروايات بالثوب، إلّا أنّ</w:t>
      </w:r>
      <w:r>
        <w:rPr>
          <w:rStyle w:val="FootnoteAnchor"/>
          <w:rtl w:val="true"/>
        </w:rPr>
        <w:footnoteReference w:id="3336"/>
      </w:r>
      <w:r>
        <w:rPr>
          <w:rFonts w:ascii="IRNazanin" w:hAnsi="IRNazanin" w:eastAsia="IRNazanin"/>
          <w:color w:val="111111"/>
          <w:sz w:val="28"/>
          <w:sz w:val="28"/>
          <w:szCs w:val="28"/>
          <w:rtl w:val="true"/>
          <w:lang w:bidi="fa-IR"/>
        </w:rPr>
        <w:t>فتوى الأصحاب، وظاهر الإجماع المنقول</w:t>
      </w:r>
      <w:r>
        <w:rPr>
          <w:rStyle w:val="FootnoteAnchor"/>
          <w:rtl w:val="true"/>
        </w:rPr>
        <w:footnoteReference w:id="3337"/>
      </w:r>
      <w:r>
        <w:rPr>
          <w:rFonts w:ascii="Amiri" w:hAnsi="Amiri" w:eastAsia="Amiri" w:cs="Amiri"/>
          <w:color w:val="111111"/>
          <w:sz w:val="28"/>
          <w:sz w:val="28"/>
          <w:szCs w:val="28"/>
          <w:rtl w:val="true"/>
          <w:lang w:bidi="ar-SA"/>
        </w:rPr>
        <w:t>في الباب،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حككت جلدي فخرج منه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منه قدر حمّصة فاغسله، وإلّا فلا</w:t>
      </w:r>
      <w:r>
        <w:rPr>
          <w:rFonts w:eastAsia="Amiri" w:cs="Amiri" w:ascii="Amiri" w:hAnsi="Amiri"/>
          <w:color w:val="111111"/>
          <w:sz w:val="28"/>
          <w:szCs w:val="28"/>
          <w:rtl w:val="true"/>
          <w:lang w:bidi="ar-SA"/>
        </w:rPr>
        <w:t>»</w:t>
      </w:r>
      <w:r>
        <w:rPr>
          <w:rStyle w:val="FootnoteAnchor"/>
          <w:rtl w:val="true"/>
        </w:rPr>
        <w:footnoteReference w:id="3338"/>
      </w:r>
      <w:r>
        <w:rPr>
          <w:rFonts w:ascii="Amiri" w:hAnsi="Amiri" w:eastAsia="Amiri" w:cs="Amiri"/>
          <w:color w:val="111111"/>
          <w:sz w:val="28"/>
          <w:sz w:val="28"/>
          <w:szCs w:val="28"/>
          <w:rtl w:val="true"/>
          <w:lang w:bidi="ar-SA"/>
        </w:rPr>
        <w:t xml:space="preserve">و فيه دلالة على العفو عمّا يكون في البدن في الجملة، ويضمّ إليه أنّه لا قائل بخصوص قدر الحمّصة؛ لأنّ المانع من العفو عنه </w:t>
      </w:r>
    </w:p>
    <w:p>
      <w:pPr>
        <w:pStyle w:val="BookText"/>
        <w:rPr/>
      </w:pPr>
      <w:r>
        <w:rPr>
          <w:rFonts w:ascii="Amiri" w:hAnsi="Amiri" w:eastAsia="Amiri" w:cs="Amiri"/>
          <w:color w:val="111111"/>
          <w:sz w:val="28"/>
          <w:sz w:val="28"/>
          <w:szCs w:val="28"/>
          <w:rtl w:val="true"/>
          <w:lang w:bidi="ar-SA"/>
        </w:rPr>
        <w:t>يمنع عنه مطلقاً، فلتجعل الحمّصة كنايةً عن قدر الدرهم سعةً؛ لأنّ وزن الحمّصة إذا انتشر لنفسه يتّسع مقدار الدرهم غالباً،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قدر الحمّصة هو قدر الدرهم تقديراً وإن لم يكن فعلاً، والأمر هاهنا يدور مدار التقدير، ولا يشترط بلوغ سعة الدرهم فعلاً، كما نقوله في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فلا يرد أنّ قدر الحمّصة قد يزيد على سعة الدرهم، وأنّ الأكثر منها قد ينقص، فلا عبرة بها وزناً ولا رؤية؛ لما ذكرناه من أنّ الأمر يدور مدار الغالب على أنّه قد نُقل أنّ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w:t>
      </w:r>
      <w:r>
        <w:rPr>
          <w:rStyle w:val="FootnoteAnchor"/>
          <w:rtl w:val="true"/>
        </w:rPr>
        <w:footnoteReference w:id="3339"/>
      </w:r>
      <w:r>
        <w:rPr>
          <w:rFonts w:ascii="Amiri" w:hAnsi="Amiri" w:eastAsia="Amiri" w:cs="Amiri"/>
          <w:color w:val="111111"/>
          <w:sz w:val="28"/>
          <w:sz w:val="28"/>
          <w:szCs w:val="28"/>
          <w:rtl w:val="true"/>
          <w:lang w:bidi="ar-SA"/>
        </w:rPr>
        <w:t>ويراد بها أخمصة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من الإلحاق اشتراك الثوب والبدن في مشقّة الإزالة المسوغة للعفو، و ربما تكون العلّة مفهومةً فى هذه المقامات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لا يعفى عن قليله وكثيره؛ لفتوى الأصحاب، والإجماعات المنقولة</w:t>
      </w:r>
      <w:r>
        <w:rPr>
          <w:rStyle w:val="FootnoteAnchor"/>
          <w:rtl w:val="true"/>
        </w:rPr>
        <w:footnoteReference w:id="3340"/>
      </w:r>
      <w:r>
        <w:rPr>
          <w:rFonts w:ascii="Amiri" w:hAnsi="Amiri" w:eastAsia="Amiri" w:cs="Amiri"/>
          <w:color w:val="111111"/>
          <w:sz w:val="28"/>
          <w:sz w:val="28"/>
          <w:szCs w:val="28"/>
          <w:rtl w:val="true"/>
          <w:lang w:bidi="ar-SA"/>
        </w:rPr>
        <w:t>في الباب، وإطلاق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حتّيه ثمّ اقرصيه ثمّ اغسليه بالماء</w:t>
      </w:r>
      <w:r>
        <w:rPr>
          <w:rFonts w:eastAsia="IRNazanin" w:cs="IRNazanin"/>
          <w:color w:val="111111"/>
          <w:sz w:val="28"/>
          <w:szCs w:val="28"/>
          <w:rtl w:val="true"/>
          <w:lang w:bidi="fa-IR"/>
        </w:rPr>
        <w:t>»</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ما أصاب ثوبها من الدم</w:t>
      </w:r>
      <w:r>
        <w:rPr>
          <w:rFonts w:eastAsia="Amiri" w:cs="Amiri" w:ascii="Amiri" w:hAnsi="Amiri"/>
          <w:color w:val="111111"/>
          <w:sz w:val="28"/>
          <w:szCs w:val="28"/>
          <w:rtl w:val="true"/>
          <w:lang w:bidi="ar-SA"/>
        </w:rPr>
        <w:t>»</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والرضوي الناصّ على وجوب الغسل لقليله وكثيره</w:t>
      </w:r>
      <w:r>
        <w:rPr>
          <w:rStyle w:val="FootnoteAnchor"/>
          <w:rtl w:val="true"/>
        </w:rPr>
        <w:footnoteReference w:id="3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لا تبصره إلّا دم الحيض، فإنّ قليله وكثيره في الثوب إن رآه وإن لم يره سواء</w:t>
      </w:r>
      <w:r>
        <w:rPr>
          <w:rFonts w:eastAsia="Amiri" w:cs="Amiri" w:ascii="Amiri" w:hAnsi="Amiri"/>
          <w:color w:val="111111"/>
          <w:sz w:val="28"/>
          <w:szCs w:val="28"/>
          <w:rtl w:val="true"/>
          <w:lang w:bidi="ar-SA"/>
        </w:rPr>
        <w:t>»</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وإن ضعفت مجبورة بالفتوى والعمل على أنّ أخبار العفو منصرفة إلى غير دم الحيض سؤالاً و جواباً؛ لورودها في الذكور، والظاهر عدم تلوّثهم به، ولا إجماع هنا على المساواة، فيبقى عموم المنع في الدم ووجوب الاحتياط في الفراغ اليقيني سالماً عن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بدم الحيض دم النفاس؛ لأنّه حيض في المعنى، كما تقدّم، وللإجماع المنقول</w:t>
      </w:r>
      <w:r>
        <w:rPr>
          <w:rStyle w:val="FootnoteAnchor"/>
          <w:rtl w:val="true"/>
        </w:rPr>
        <w:footnoteReference w:id="3345"/>
      </w:r>
      <w:r>
        <w:rPr>
          <w:rFonts w:ascii="Amiri" w:hAnsi="Amiri" w:eastAsia="Amiri" w:cs="Amiri"/>
          <w:color w:val="111111"/>
          <w:sz w:val="28"/>
          <w:sz w:val="28"/>
          <w:szCs w:val="28"/>
          <w:rtl w:val="true"/>
          <w:lang w:bidi="ar-SA"/>
        </w:rPr>
        <w:t>،و فتوى الفحول، والاحتياط، ولعموم الأدلّة السالمة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إلحاق دم الاستحاضة؛ للإجماع المنقول</w:t>
      </w:r>
      <w:r>
        <w:rPr>
          <w:rStyle w:val="FootnoteAnchor"/>
          <w:rtl w:val="true"/>
        </w:rPr>
        <w:footnoteReference w:id="3346"/>
      </w:r>
      <w:r>
        <w:rPr>
          <w:rFonts w:ascii="Amiri" w:hAnsi="Amiri" w:eastAsia="Amiri" w:cs="Amiri"/>
          <w:color w:val="111111"/>
          <w:sz w:val="28"/>
          <w:sz w:val="28"/>
          <w:szCs w:val="28"/>
          <w:rtl w:val="true"/>
          <w:lang w:bidi="ar-SA"/>
        </w:rPr>
        <w:t>، والاحتياط، وصدق كلٍّ منهما على الآخَر في الأخبار</w:t>
      </w:r>
      <w:r>
        <w:rPr>
          <w:rStyle w:val="FootnoteAnchor"/>
          <w:rtl w:val="true"/>
        </w:rPr>
        <w:footnoteReference w:id="3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يلحق بدم الحيض دم نجس العين؛ للاحتياط وانصراف الأدلّة الدالّة على العفو إلى غيره، ولورود النهي عن الصلاة في كلّ شيء ممّا لا يؤكل لحمه ، فيجيء المانع لا من حيث الدم، بل من حيث كونه فضلة ما لا يؤكل لحمه</w:t>
      </w:r>
      <w:r>
        <w:rPr>
          <w:rStyle w:val="FootnoteAnchor"/>
          <w:rtl w:val="true"/>
        </w:rPr>
        <w:footnoteReference w:id="3348"/>
      </w:r>
      <w:r>
        <w:rPr>
          <w:rFonts w:ascii="Amiri" w:hAnsi="Amiri" w:eastAsia="Amiri" w:cs="Amiri"/>
          <w:color w:val="111111"/>
          <w:sz w:val="28"/>
          <w:sz w:val="28"/>
          <w:szCs w:val="28"/>
          <w:rtl w:val="true"/>
          <w:lang w:bidi="ar-SA"/>
        </w:rPr>
        <w:t>، أو من حيث تزايد نجاسته، وربما يسري المنع لكلّ ما لا يؤكل لحمه وإن لم يكن نجس العين؛ لانصراف الفتوى والرواية للعفو عن الدم من حيث هو دم، فلا يسوّغ إطلاقه كلّ مانع، ولأنّ الأخبار مسوقة لبيان حكم الدم لا حكم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قويّ لمن أراد الاحتياط، ولكنّ ابن إدريس نقل الإجماع على مساواة نجس العين لغيره في العفو</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فالأخذ بإطلاقات العفو عن الدم من دون تفصيلٍ واستفصالٍ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الدواعي إلى البيان؛ لمكان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الأخذ بعموم النهي عن الصلاة في كلّ شيء ممّا لا يؤكل لحمه؛ لقوّتها عليه سنداً ودلالةً، حيث إنّ أكثر الأخبار واردة مورد الفضلات من بولٍ وخرء وشبهها، فلا تشمل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تضاعف النجاسة في نجس العين بحيث يكون للدم من أجلها حكمٌ آخَر،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يمكن القول بالعفو عن دم ما لا يؤكل لحمه مطلقاً، سيّما لو كان طاهراً</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عدم العفو شامل للمجتمع والمتفرّق في الثوب أو البدن، أو المجموع منهما؛ لأنّ الثوب والبدن بمنزلة شيء واحد، فيلاحظ مجموعهما، وكذا الثياب المتعدّدة، خلافاً لمن حكم بالعفو عن المتفرّق مطلقاً </w:t>
      </w:r>
      <w:r>
        <w:rPr>
          <w:rStyle w:val="FootnoteAnchor"/>
          <w:rtl w:val="true"/>
        </w:rPr>
        <w:footnoteReference w:id="3350"/>
      </w:r>
      <w:r>
        <w:rPr>
          <w:rFonts w:ascii="IRNazanin" w:hAnsi="IRNazanin" w:eastAsia="IRNazanin"/>
          <w:color w:val="111111"/>
          <w:sz w:val="28"/>
          <w:sz w:val="28"/>
          <w:szCs w:val="28"/>
          <w:rtl w:val="true"/>
          <w:lang w:bidi="fa-IR"/>
        </w:rPr>
        <w:t>، أو بشرط التفاحش</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ويدلّ على عدم العفو الاحتياط، وعمومات الأدلّة، وشهرة الفتوى به بين وشهرة الفتوى به بين المتأخّرين، وإلغاء الفارق من حيث كونه نجاسة أصابت ما لا يجوز تلويثه في الصلاة، وأنّ قدر الدرهم ملغى، و إلّا لوجب أن يكون على شكله من تدوير أو تربيع، وأن يكون لا عبرة بالمستطيل جدّاً،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بالعفو استند لمرسل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مجتمعاً قدر درهم</w:t>
      </w:r>
      <w:r>
        <w:rPr>
          <w:rFonts w:eastAsia="Amiri" w:cs="Amiri" w:ascii="Amiri" w:hAnsi="Amiri"/>
          <w:color w:val="111111"/>
          <w:sz w:val="28"/>
          <w:szCs w:val="28"/>
          <w:rtl w:val="true"/>
          <w:lang w:bidi="ar-SA"/>
        </w:rPr>
        <w:t>»</w:t>
      </w:r>
      <w:r>
        <w:rPr>
          <w:rStyle w:val="FootnoteAnchor"/>
          <w:rtl w:val="true"/>
        </w:rPr>
        <w:footnoteReference w:id="3352"/>
      </w:r>
      <w:r>
        <w:rPr>
          <w:rFonts w:ascii="Amiri" w:hAnsi="Amiri" w:eastAsia="Amiri" w:cs="Amiri"/>
          <w:color w:val="111111"/>
          <w:sz w:val="28"/>
          <w:sz w:val="28"/>
          <w:szCs w:val="28"/>
          <w:rtl w:val="true"/>
          <w:lang w:bidi="ar-SA"/>
        </w:rPr>
        <w:t>وإلى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ولا يعيد الصلاة إلّا أن يكون قدر الدرهم مجتمعاً فيغسله ويعيد الصلاة</w:t>
      </w:r>
      <w:r>
        <w:rPr>
          <w:rFonts w:eastAsia="Amiri" w:cs="Amiri" w:ascii="Amiri" w:hAnsi="Amiri"/>
          <w:color w:val="111111"/>
          <w:sz w:val="28"/>
          <w:szCs w:val="28"/>
          <w:rtl w:val="true"/>
          <w:lang w:bidi="ar-SA"/>
        </w:rPr>
        <w:t>»</w:t>
      </w:r>
      <w:r>
        <w:rPr>
          <w:rStyle w:val="FootnoteAnchor"/>
          <w:rtl w:val="true"/>
        </w:rPr>
        <w:footnoteReference w:id="3353"/>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خبراً بعد خبرٍ، أو حالاً محقّقة لا مقدّرة؛ لظهور اتّحاد زمان الاجتماع والكون مقدار درهم، مع أنّ تغايرهما شرط في المقدّرة، ولامتناع المحقّقة في النقط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ذلك بفتوى مشهور المتقدّمين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حالاً محقّقة ويتناول المتفرّق الذي عند اجتماعه يكون قدر درهم، كما يتناول المستطيل وشبهه؛ لأنّه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قدر درهم حال 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فيقدّر المستقبل حالاً للقابليّة المحقّقة فيه، فيكون حالاً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حالاً مقدّرة بقرينة السؤال عن نقط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اختلاف الزمان بينها وبين عاملها بالفعل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اختلافهما ولو تقديراً كافٍ، ولا شكّ أنّ زمان حصول نقط الدم غير زمان الاجتماع التقديري قطعاً، ومتى قام الاحتمال بطل الاستدلال؛ لارتفاع الظهور حينئذٍ إذا كان احتمالاً مساوياً، مع أنّ المرسل ضعيف، وتأييده بفتوى المشهور تعارضه فتوى مشهور المتأخّرين على خلافه،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هو الاجتماع في الثوب، لا الاجتماع في مكانٍ واحد، بقرينة السؤال عن نقط الدم في الثوب، ويكون معنى الاجتماع فيه الحصول فيه، وهو معنى لا ينكر من ظاهر اللفظ</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فالمقام لا يخلو من إجمالٍ، فلا يجوز ترك الاحتياط وعمومات الأدلّة لأجله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مخصوص بما دون الدرهم، وأمّا ما كان فوق الدرهم فلا كلام في عدم العفو عنه إذا كان مجتمعاً للإجماع والأخبار</w:t>
      </w:r>
      <w:r>
        <w:rPr>
          <w:rStyle w:val="FootnoteAnchor"/>
          <w:rtl w:val="true"/>
        </w:rPr>
        <w:footnoteReference w:id="3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متفرّقاً فقولان، تقدّم الكلام فيهما </w:t>
      </w:r>
      <w:r>
        <w:rPr>
          <w:rStyle w:val="FootnoteAnchor"/>
          <w:rtl w:val="true"/>
        </w:rPr>
        <w:footnoteReference w:id="3355"/>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قدر الدرهم نفسه إذا كان مجتمعاً أو متفرّقاً بناءً على أنّ حكم المتفرّق حكم المجتمع، فهل يعفى عنه؟ للأصل،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 إن كان أقلّ من قدر الدرهم فلا يعيد الصلاة، وإن كان أكثر من قدر الدرهم وكان رأه فلم يغسله حتّى صلّى فليعد صلاته</w:t>
      </w:r>
      <w:r>
        <w:rPr>
          <w:rFonts w:eastAsia="Amiri" w:cs="Amiri" w:ascii="Amiri" w:hAnsi="Amiri"/>
          <w:color w:val="111111"/>
          <w:sz w:val="28"/>
          <w:szCs w:val="28"/>
          <w:rtl w:val="true"/>
          <w:lang w:bidi="ar-SA"/>
        </w:rPr>
        <w:t>»</w:t>
      </w:r>
      <w:r>
        <w:rPr>
          <w:rStyle w:val="FootnoteAnchor"/>
          <w:rtl w:val="true"/>
        </w:rPr>
        <w:footnoteReference w:id="3356"/>
      </w:r>
      <w:r>
        <w:rPr>
          <w:rFonts w:ascii="Amiri" w:hAnsi="Amiri" w:eastAsia="Amiri" w:cs="Amiri"/>
          <w:color w:val="111111"/>
          <w:sz w:val="28"/>
          <w:sz w:val="28"/>
          <w:szCs w:val="28"/>
          <w:rtl w:val="true"/>
          <w:lang w:bidi="ar-SA"/>
        </w:rPr>
        <w:t>وللحسن أيضاً في الدم يكون في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يزد على قدر الدرهم فليس بشيء، رأيته أو لم تره، فإذا كنت قد رأيته وهو أكثر من مقدار الدرهم فضيّعت غسله وصلّيت فيه فأعد ما صلّيت فيه</w:t>
      </w:r>
      <w:r>
        <w:rPr>
          <w:rFonts w:eastAsia="Amiri" w:cs="Amiri" w:ascii="Amiri" w:hAnsi="Amiri"/>
          <w:color w:val="111111"/>
          <w:sz w:val="28"/>
          <w:szCs w:val="28"/>
          <w:rtl w:val="true"/>
          <w:lang w:bidi="ar-SA"/>
        </w:rPr>
        <w:t>»</w:t>
      </w:r>
      <w:r>
        <w:rPr>
          <w:rStyle w:val="FootnoteAnchor"/>
          <w:rtl w:val="true"/>
        </w:rPr>
        <w:footnoteReference w:id="3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يعفى عنه ؟ للإجماع المنقول</w:t>
      </w:r>
      <w:r>
        <w:rPr>
          <w:rStyle w:val="FootnoteAnchor"/>
          <w:rtl w:val="true"/>
        </w:rPr>
        <w:footnoteReference w:id="3358"/>
      </w:r>
      <w:r>
        <w:rPr>
          <w:rFonts w:ascii="Amiri" w:hAnsi="Amiri" w:eastAsia="Amiri" w:cs="Amiri"/>
          <w:color w:val="111111"/>
          <w:sz w:val="28"/>
          <w:sz w:val="28"/>
          <w:szCs w:val="28"/>
          <w:rtl w:val="true"/>
          <w:lang w:bidi="ar-SA"/>
        </w:rPr>
        <w:t>، وفتوى المشهور، ولانقطاع الأصل بوجوب الاحتياط في مقام شغل الذمّة، ومعارضة الأخبار بما هو أقوى منها سنداً وعدداً ودلالةً، و موافقة للمشهور فتوىً و روايةً ، وموافقته للاحتياط، وعمومات الأدلّة الدالّة على اشتراط صحّة الصلاة بالطاهر، ولزوم الإعادة من النجس، الدالّة على أنّ العفو مقصور على ما دون الدرهم، وأنّ الدرهم موجب لفساد الصلاة وإعادتها في محلٍّ تجب فيه الإعادة، فيجب الأخذ بما هو أقوى وأشهر، واطّراح ما هو أضعف، أو تنزيله على إرادة الدرهم وأكثر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أكثر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والدرهم فما زاد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يزد على قدر الدرهم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وارد في باب المحاورات، ونظيره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w:t>
      </w:r>
      <w:r>
        <w:rPr>
          <w:rStyle w:val="FootnoteAnchor"/>
          <w:rtl w:val="true"/>
        </w:rPr>
        <w:footnoteReference w:id="3359"/>
      </w:r>
      <w:r>
        <w:rPr>
          <w:rFonts w:ascii="Amiri" w:hAnsi="Amiri" w:eastAsia="Amiri" w:cs="Amiri"/>
          <w:color w:val="111111"/>
          <w:sz w:val="28"/>
          <w:sz w:val="28"/>
          <w:szCs w:val="28"/>
          <w:rtl w:val="true"/>
          <w:lang w:bidi="ar-SA"/>
        </w:rPr>
        <w:t xml:space="preserve">مريداً بها الاثنتين فما فوق، على أنّ الرواية الأُولى مع ضعفها يعارض مفهوم صدرها مفهوم عجزها، والترجيح للأوّل ؛ لاعتضاده بما ذكرنا في المرجّحات، والثانية غير صريحةٍ، وغايتها العموم القابل للتخصيص بما تقدّم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بأكثر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الناقص عنه جمعاً، مع أنّ الثانية مرويّة في الكافي والفقيه</w:t>
      </w:r>
      <w:r>
        <w:rPr>
          <w:rStyle w:val="FootnoteAnchor"/>
          <w:rtl w:val="true"/>
        </w:rPr>
        <w:footnoteReference w:id="3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اللّذين هما أضبط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w:t>
      </w:r>
    </w:p>
    <w:p>
      <w:pPr>
        <w:pStyle w:val="BookText"/>
        <w:rPr/>
      </w:pPr>
      <w:r>
        <w:rPr>
          <w:rFonts w:ascii="Amiri" w:hAnsi="Amiri" w:eastAsia="Amiri" w:cs="Amiri"/>
          <w:color w:val="111111"/>
          <w:sz w:val="28"/>
          <w:sz w:val="28"/>
          <w:szCs w:val="28"/>
          <w:rtl w:val="true"/>
          <w:lang w:bidi="ar-SA"/>
        </w:rPr>
        <w:t>الواو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أقلّ من ذلك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يزد على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فسبيلها سبيل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ترك ذكر الواسطة في الروايتين لأجل ندرتها وغلبة تحقّق الأمرين، فليس فيهما على هذا ذكر حكمها لو لم نقل بدلالتهما على عدم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قدر العلوّ في الدم ولو وصل إلى الأربع أصابع ، بل العبرة بالسعة ، ولا بوجهي الثوب إذا فشى من الظاهر إلى الباطن، خفيفاً كان الثوب أو كثيفاً، والأحوط في الكثيف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تلطّخ وجها الثوب بدمين متغايرين، فالظاهر احتساب كلّ واحدٍ منهما دماً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الثوب طبقاتٍ متكثّرةً فخرقه الدم كان دماً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انفصل احتُسب دماءً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اتّصل المنفصل فالأحوط احتسابه كذلك دماء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الدم بين المعفوّ عنه وغيره، احتُمل الحكم بالعفو؛ لأنّه من المشتبه الغير المحصور؛ لأنّ المعفوّ عنه غير محصور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عدمه؛ لأنّه من المحصور نوعاً، وللاحتياط الواجب لفراغ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لأنّ العامّ المخصوص بفردٍ أو فردين إذا شكّ في بعضٍ من أفراده أُلحق بالأعمّ الأغلب، سيّما لو كان التخصيص بالاستثناء وشبهه لا بالشرط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حكّ الدم فبقيت نجاسته فقط احتُمل العفو إلحاقاً للفرع بأصله، والأضعف الزوال بالأقوى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للاحتياط، ولزوم الاقتصار على قدر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تنجّس مائع بالدم لم يَجْرِ حكم الدم عليه ، ولو كان دم طاهراً كان كذلك، مع احتمال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خالط الدم شيء طاهر من بُصاقٍ و نحوه وكان لا يبلغ الدم معه الدرهم قوي العفو؛ لحصول ذلك غالباً، فتحصل المشقّة باشتراط ،عدمه ولأنّه لا يزيد على الثوب والبدن، ولا يزيد الفرع على أصله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بلغ الدم معه الدرهم وما زاد احتُمل العفو؛ تنزيلاً له منزلة الثوب والبدن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 عدمه؛ لتنجّس الثوب والبدن بنجاسةٍ أُخرى غير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زيادة الفرع على أصله ليست قاعدةً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الفرق بين ما لازم الدم عادة كعرق وصديد وبصاق فيُحكم بالعفو، وبين غيره فلا عفو،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بلوغ الدم مقدار درهم قوي البناء على أصالة 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يعفى عن النجاسة الواقعة في المحمول؛ لانصراف أدلّة المنع للملبوس؛ قضاءٌ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الظاهرة في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المحمول بين السلاح وغيره، وإن صدق على جملةٍ منه الملبوس، كالسيف والقوس، إلّا أنّه ليس من الصدق المنصرف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يجري الحكم لمثل الدرع والبيضة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يعفى عن طرف الملبوس الخارج عن الملبوس المعتاد لطوله،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يعفى عن النجاسة في الباطن، سواء كانت النجاسة داخلةً أو خارجةً، و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الباطن ينجس أو لا، وسواء كان الباطن ممّا يبين كالفم أو لا، كالمعدة، فلا يجب لفظ النجاسة ولا إخراجها ولا قيؤها؛ لعدم انصراف الأدلّة إليها، بل ربما يدّعى الاتفاق على ذلك، سيّما إذا كان في البواطن التي لا تبين، فإنّ الحكم بعدم التنجّس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يعفى عن النجاسة المحمولة نفسها إذا لم تلوّث البدن أو الملبوس؛ لعدم الدليل على المنع، فلو حمل عذرة يابسة أو قارورة فيها دم أو بول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جبر عظمه بعظم نجس العين فلا بأس في الصلاة به، سواء اكتسى اللحم فصار من البواطن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كونه ممّا لا يؤكل لحمه يشكل حمله و اتّصاله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يعفى عمّا لا تتمّ الصلاة منفرداً به ما دام على هيئة من الملابس؛ للإجماع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لا تجوز الصلاة به وحده فلا بأس أن يكون عليه الشيء، مثل القلنسوة والتكّة والجورب</w:t>
      </w:r>
      <w:r>
        <w:rPr>
          <w:rFonts w:eastAsia="Amiri" w:cs="Amiri" w:ascii="Amiri" w:hAnsi="Amiri"/>
          <w:color w:val="111111"/>
          <w:sz w:val="28"/>
          <w:szCs w:val="28"/>
          <w:rtl w:val="true"/>
          <w:lang w:bidi="ar-SA"/>
        </w:rPr>
        <w:t>»</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على الإنسان، أو معه ممّا لا تجوز الصلاة فيه وحده فلا بأس أن </w:t>
      </w:r>
    </w:p>
    <w:p>
      <w:pPr>
        <w:pStyle w:val="BookText"/>
        <w:rPr/>
      </w:pPr>
      <w:r>
        <w:rPr>
          <w:rFonts w:ascii="Amiri" w:hAnsi="Amiri" w:eastAsia="Amiri" w:cs="Amiri"/>
          <w:color w:val="111111"/>
          <w:sz w:val="28"/>
          <w:sz w:val="28"/>
          <w:szCs w:val="28"/>
          <w:rtl w:val="true"/>
          <w:lang w:bidi="ar-SA"/>
        </w:rPr>
        <w:t>يصلّي فيه وإن كان قذراً، مثل القلنسوة والتكّة والكمرة</w:t>
      </w:r>
      <w:r>
        <w:rPr>
          <w:rStyle w:val="FootnoteAnchor"/>
          <w:rtl w:val="true"/>
        </w:rPr>
        <w:footnoteReference w:id="3362"/>
      </w:r>
      <w:r>
        <w:rPr>
          <w:rFonts w:ascii="Amiri" w:hAnsi="Amiri" w:eastAsia="Amiri" w:cs="Amiri"/>
          <w:color w:val="111111"/>
          <w:sz w:val="28"/>
          <w:sz w:val="28"/>
          <w:szCs w:val="28"/>
          <w:rtl w:val="true"/>
          <w:lang w:bidi="ar-SA"/>
        </w:rPr>
        <w:t>والنعل والخفّين وما أشبه ذلك</w:t>
      </w:r>
      <w:r>
        <w:rPr>
          <w:rFonts w:eastAsia="Amiri" w:cs="Amiri" w:ascii="Amiri" w:hAnsi="Amiri"/>
          <w:color w:val="111111"/>
          <w:sz w:val="28"/>
          <w:szCs w:val="28"/>
          <w:rtl w:val="true"/>
          <w:lang w:bidi="ar-SA"/>
        </w:rPr>
        <w:t>»</w:t>
      </w:r>
      <w:r>
        <w:rPr>
          <w:rStyle w:val="FootnoteAnchor"/>
          <w:rtl w:val="true"/>
        </w:rPr>
        <w:footnoteReference w:id="3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يصلّي في الخُفّ وفيه قذر،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ممّا لا تتمّ الصلاة فيه فلا بأس</w:t>
      </w:r>
      <w:r>
        <w:rPr>
          <w:rFonts w:eastAsia="Amiri" w:cs="Amiri" w:ascii="Amiri" w:hAnsi="Amiri"/>
          <w:color w:val="111111"/>
          <w:sz w:val="28"/>
          <w:szCs w:val="28"/>
          <w:rtl w:val="true"/>
          <w:lang w:bidi="ar-SA"/>
        </w:rPr>
        <w:t>»</w:t>
      </w:r>
      <w:r>
        <w:rPr>
          <w:rStyle w:val="FootnoteAnchor"/>
          <w:rtl w:val="true"/>
        </w:rPr>
        <w:footnoteReference w:id="3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قلنسوتي في البول فوضعتها على رأسى فصلّيت،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المعتضدة بفتوى الأصحاب، ومقتضى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كونها ملبوسةً في محلّها كالقلنسوة في الرأس والخُفّ في القدم، أو في غير محالّها كالعكس، أو كانت محمولة، بل العفو عن المحمول أولى، والمتبادر من الأخبار العفو عمّا لا تتمّ الصلاة به؛ لصغره لا لرقّته، وأن يبقى على كيفيّته، فلو فرض أنّه إذا تغيّر عن كيفيته صار بحيث إنّه يستر، لا يعتدّ به، كما إذا وضع طوله بعرضه وخيط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يعفى عن ثوب المربّية للصبيّ إذا كان لها ثوب واحد إذا غسلته في اليوم مرّةً؛ للإجماع المنقول</w:t>
      </w:r>
      <w:r>
        <w:rPr>
          <w:rStyle w:val="FootnoteAnchor"/>
          <w:rtl w:val="true"/>
        </w:rPr>
        <w:footnoteReference w:id="3366"/>
      </w:r>
      <w:r>
        <w:rPr>
          <w:rFonts w:ascii="Amiri" w:hAnsi="Amiri" w:eastAsia="Amiri" w:cs="Amiri"/>
          <w:color w:val="111111"/>
          <w:sz w:val="28"/>
          <w:sz w:val="28"/>
          <w:szCs w:val="28"/>
          <w:rtl w:val="true"/>
          <w:lang w:bidi="ar-SA"/>
        </w:rPr>
        <w:t>، وفتوى الفحول للخبر عن امرأة ليس لها إلّا قميص واحد ولها مولود فيبول عليها، كيف تصنع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رفع العسر والحرج وإرادة اليسر، وعدم المشقّة، وكونه كدم الجروح والقروح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يشمل الحكم بول الصبيّة؛ لشمول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وللاتّحاد في المشقّة، أم يقتصر على الصبيّ؛ للاحتياط وانصراف المولود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3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وللفرق بين البولين في كفاية الصبّ وعدمه، والاصفرار والثخانة في بول الصبيّة دون الصبيّ؟ والأخير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يشترك المربّي مع المربّية في الحكم؛ للاتّحاد في المشقّة، وإرادة اليسر، وإلغاء الفارق، أو لا يشترط؛ اقتصاراً على المورد الخاصّ، وللاحتياط، ولعدم ثبوت العلّة القطعيّة في الأصل؟</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يشمل الحكم المولود المتعدّد؛ لأنّه أقوى في إرادة اليسر وحصول المشقّة، أم لا يشمل؛ اقتصاراً على المورد اليقين، ولاحتمال غلظ نجاسة الاثنين فما فوق؟ </w:t>
      </w:r>
    </w:p>
    <w:p>
      <w:pPr>
        <w:pStyle w:val="BookText"/>
        <w:rPr/>
      </w:pPr>
      <w:r>
        <w:rPr>
          <w:rFonts w:ascii="Amiri" w:hAnsi="Amiri" w:eastAsia="Amiri" w:cs="Amiri"/>
          <w:color w:val="111111"/>
          <w:sz w:val="28"/>
          <w:sz w:val="28"/>
          <w:szCs w:val="28"/>
          <w:rtl w:val="true"/>
          <w:lang w:bidi="ar-SA"/>
        </w:rPr>
        <w:t>وهل يشمل الحكم البدن؛ لما ذكرناه، أو يقتصر على الثوب، والاحتياط يقضي بالاقتصار على مورد اليقين فيهما؟</w:t>
      </w:r>
    </w:p>
    <w:p>
      <w:pPr>
        <w:pStyle w:val="BookText"/>
        <w:rPr/>
      </w:pPr>
      <w:r>
        <w:rPr>
          <w:rFonts w:ascii="Amiri" w:hAnsi="Amiri" w:eastAsia="Amiri" w:cs="Amiri"/>
          <w:color w:val="111111"/>
          <w:sz w:val="28"/>
          <w:sz w:val="28"/>
          <w:szCs w:val="28"/>
          <w:rtl w:val="true"/>
          <w:lang w:bidi="ar-SA"/>
        </w:rPr>
        <w:t xml:space="preserve">وهل الثياب المتعدّدة مع الحاجة إليها كالثوب الواحد؛ لمساواتها في حصول المشقّة، أو لا؛ لخروجها عن مورد النصّ </w:t>
      </w:r>
      <w:r>
        <w:rPr>
          <w:rStyle w:val="FootnoteAnchor"/>
          <w:rtl w:val="true"/>
        </w:rPr>
        <w:footnoteReference w:id="3369"/>
      </w:r>
      <w:r>
        <w:rPr>
          <w:rFonts w:ascii="Amiri" w:hAnsi="Amiri" w:eastAsia="Amiri" w:cs="Amiri"/>
          <w:color w:val="111111"/>
          <w:sz w:val="28"/>
          <w:sz w:val="28"/>
          <w:szCs w:val="28"/>
          <w:rtl w:val="true"/>
          <w:lang w:bidi="ar-SA"/>
        </w:rPr>
        <w:t>والفتوى؟ أمّا مع عدم الحاجة فلا شكّ في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العفو عدم قدرتها على آخَر بشراءٍ أو استئجارٍ؛ لتمكّنها من رفع المشقّة و ارتكاب اليسر، أو لا يشترط؛ لإطلاق النصّ ؟</w:t>
      </w:r>
      <w:r>
        <w:rPr>
          <w:rStyle w:val="FootnoteAnchor"/>
          <w:rtl w:val="true"/>
        </w:rPr>
        <w:footnoteReference w:id="3370"/>
      </w:r>
      <w:r>
        <w:rPr>
          <w:rFonts w:ascii="Amiri" w:hAnsi="Amiri" w:eastAsia="Amiri" w:cs="Amiri"/>
          <w:color w:val="111111"/>
          <w:sz w:val="28"/>
          <w:sz w:val="28"/>
          <w:szCs w:val="28"/>
          <w:rtl w:val="true"/>
          <w:lang w:bidi="ar-SA"/>
        </w:rPr>
        <w:t>والأقوى الأخير،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الغسل، أم يكفي الصبّ إذا لم يأكل الصبيّ الطعام؟ الظاهر وجوب الغسل هنا؛ لأنّ الاكتفاء بالصبّ هناك فيما إذا تكرّر، لا فيما يكتفى به في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الليل؛ لإطلاق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يشمله، أو يختصّ اليوم بغسل والليل بآخَر، أو لا يجري الحكم إلى الليل مطلقاً؛ لخروجه عن مورد الرواية؟ والأخير ضعيف، والوسط أحوط،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الحكم بمن كان لا يأكل الطعام، أو بمن كان في السنتين وإن أكل، أو بمن كان جامعاً لهما؟ وجوه، 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يشمل الحكم تعدّد المربّي أم يختصّ بالمربّي الواحد؟ الأقوى الأوّل،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يسري الحكم للغائط ؟ الأقوى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العفو بمخالطة نجاسةٍ أُخرى داخليّة؟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خارجيّةً، فلا إشكال بعدم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أن تغسله آخر النهار فتصلّي جميع الصلوات به بعد غسله؟ وتكون فائدة الحكم التخفيف برخصة تأخير الصلاة، أو أنّها تغسله أيّ وقتٍ شاءت ولو بعد تلوّثه مرّةً واحدة؟ فيجوز لها الصلاة حينئذٍ به وإن كان متلوّثاً، ولها أن تؤخّر غسله إلى العصر بعد أن تصلّي به، فيكون غسل العصر شرطاً في صحّة الصلاة الماضية، وعدمه كاشف عن بطلانها، أو أنّ شرط صحّة الصلاة المتقدّمة العزم على الغسل المتأخّر، لا نفس الفعل، ولا يبعد ذلك</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الصلاة المستقبلة فلا شكّ في توقّف صحّتها على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الكسر من اليوم يلفّق من يوم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تفاوت بين الفرض والنفل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تعدّد الغسل ؟ الأقوى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Style w:val="FootnoteAnchor"/>
          <w:rtl w:val="true"/>
        </w:rPr>
        <w:footnoteReference w:id="3371"/>
      </w:r>
      <w:r>
        <w:rPr>
          <w:rFonts w:ascii="Amiri" w:hAnsi="Amiri" w:eastAsia="Amiri" w:cs="Amiri"/>
          <w:color w:val="111111"/>
          <w:sz w:val="28"/>
          <w:sz w:val="28"/>
          <w:szCs w:val="28"/>
          <w:rtl w:val="true"/>
          <w:lang w:bidi="ar-SA"/>
        </w:rPr>
        <w:t>قيد للغسل،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التي لا يمكن إزالتها عن الثوب والبدن فإنّه معفوّ عنها إجماعاً ؛ لأنّ الضرورات تبيح المحظورات، وما جاء في المسلوس من أنّ الله أولى بالعذر</w:t>
      </w:r>
      <w:r>
        <w:rPr>
          <w:rStyle w:val="FootnoteAnchor"/>
          <w:rtl w:val="true"/>
        </w:rPr>
        <w:footnoteReference w:id="3372"/>
      </w:r>
      <w:r>
        <w:rPr>
          <w:rFonts w:ascii="Amiri" w:hAnsi="Amiri" w:eastAsia="Amiri" w:cs="Amiri"/>
          <w:color w:val="111111"/>
          <w:sz w:val="28"/>
          <w:sz w:val="28"/>
          <w:szCs w:val="28"/>
          <w:rtl w:val="true"/>
          <w:lang w:bidi="ar-SA"/>
        </w:rPr>
        <w:t>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يمكنه نزع الثوب والصلاة عارياً، وإلّا جاء الخلاف من تقديم الصلاة عارياً، أو تقديم الصلاة بالثوب النجس، كما سيجيء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تعاد الصلاة بالثوب النجس المضطرّ إلى لُبْسه ولم يتمكّن من غسله؛ للإجزاء الظاهر من حصول الامتثال ولفتوى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حيث حكم بالإعادة</w:t>
      </w:r>
      <w:r>
        <w:rPr>
          <w:rStyle w:val="FootnoteAnchor"/>
          <w:rtl w:val="true"/>
        </w:rPr>
        <w:footnoteReference w:id="3373"/>
      </w:r>
      <w:r>
        <w:rPr>
          <w:rFonts w:ascii="Amiri" w:hAnsi="Amiri" w:eastAsia="Amiri" w:cs="Amiri"/>
          <w:color w:val="111111"/>
          <w:sz w:val="28"/>
          <w:sz w:val="28"/>
          <w:szCs w:val="28"/>
          <w:rtl w:val="true"/>
          <w:lang w:bidi="ar-SA"/>
        </w:rPr>
        <w:t xml:space="preserve">استناداً لروايةٍ آمرة ٍبالإعادة لمن صلّى بثوبٍ نجس و تيمّم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سنداً ودلالةً؛ لاحتمال أنّ الإعادة لمكان التيمّم، أو لمكان الثوب النجس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الخصيّ الذي يتواتر بوله يعفى عنه إذا غسله في النهار مرّةً؛ للمشقة، وإرادة اليسر،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الخصيّ يبول ويرى البلل بعد البلل،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وينضح ثوبه في النهار مرّةً واحدة</w:t>
      </w:r>
      <w:r>
        <w:rPr>
          <w:rFonts w:eastAsia="Amiri" w:cs="Amiri" w:ascii="Amiri" w:hAnsi="Amiri"/>
          <w:color w:val="111111"/>
          <w:sz w:val="28"/>
          <w:szCs w:val="28"/>
          <w:rtl w:val="true"/>
          <w:lang w:bidi="ar-SA"/>
        </w:rPr>
        <w:t>»</w:t>
      </w:r>
      <w:r>
        <w:rPr>
          <w:rStyle w:val="FootnoteAnchor"/>
          <w:rtl w:val="true"/>
        </w:rPr>
        <w:footnoteReference w:id="3375"/>
      </w:r>
      <w:r>
        <w:rPr>
          <w:rFonts w:ascii="IRNazanin" w:hAnsi="IRNazanin" w:eastAsia="IRNazanin"/>
          <w:color w:val="111111"/>
          <w:sz w:val="28"/>
          <w:sz w:val="28"/>
          <w:szCs w:val="28"/>
          <w:rtl w:val="true"/>
          <w:lang w:bidi="fa-IR"/>
        </w:rPr>
        <w:t>وأفتى به جمعٌ من الأصحاب</w:t>
      </w:r>
      <w:r>
        <w:rPr>
          <w:rStyle w:val="FootnoteAnchor"/>
          <w:rtl w:val="true"/>
        </w:rPr>
        <w:footnoteReference w:id="3376"/>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لضعفه سنداً، وقلّة العامل به، وإجمال دلالته؛ لاحتمال أنّ النضح من جهة البلل الغير المقطوع به أنّه من البول، ولاشتماله على النضح دون الغسل، ولإجمال لفظ المرّة في كونها قيداً للنضح أو النضح في النهار، ولمخالفته للقواعد الموجبة لغسل النجاسة مهما أمكن، ولما قدّمنا من وجوب تخفيف النجاسة والاحتفاظ منها في المسلوس والمبطون، </w:t>
      </w:r>
      <w:bookmarkStart w:id="1430" w:name="pg18988_203766"/>
    </w:p>
    <w:p>
      <w:pPr>
        <w:pStyle w:val="BookText"/>
        <w:rPr/>
      </w:pPr>
      <w:bookmarkEnd w:id="1430"/>
      <w:r>
        <w:rPr>
          <w:rFonts w:ascii="Amiri" w:hAnsi="Amiri" w:eastAsia="Amiri" w:cs="Amiri"/>
          <w:color w:val="111111"/>
          <w:sz w:val="28"/>
          <w:sz w:val="28"/>
          <w:szCs w:val="28"/>
          <w:rtl w:val="true"/>
          <w:lang w:bidi="ar-SA"/>
        </w:rPr>
        <w:t>كان العمل بمضمونه مشكلاً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الندب عند الشكّ في البلل أولى، كما جاء في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به في الجملة فلا بدّ من إرادة الغسل من النضح، ولا بدّ من المرّتين؛ ليوافق القواعد، وحمله على الرخصة لتأخير الصلاة وجمعها هو الأوجَه</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3198447_1280447820"/>
      <w:bookmarkStart w:id="1432" w:name="_Toc550"/>
      <w:bookmarkEnd w:id="1431"/>
      <w:r>
        <w:rPr>
          <w:rtl w:val="true"/>
        </w:rPr>
        <w:t>سادسها</w:t>
      </w:r>
      <w:r>
        <w:rPr>
          <w:rtl w:val="true"/>
        </w:rPr>
        <w:t xml:space="preserve">: </w:t>
      </w:r>
      <w:r>
        <w:rPr>
          <w:rtl w:val="true"/>
        </w:rPr>
        <w:t>حکم ما لو صلّى بالنجاسة في ثوبه أو بدنه الغير المعفوّ عنها عالماً بها عامداً أو جاهلاً أو ناسياً</w:t>
      </w:r>
      <w:bookmarkEnd w:id="1432"/>
    </w:p>
    <w:p>
      <w:pPr>
        <w:pStyle w:val="BookText"/>
        <w:rPr/>
      </w:pPr>
      <w:r>
        <w:rPr>
          <w:rFonts w:ascii="Amiri" w:hAnsi="Amiri" w:eastAsia="Amiri" w:cs="Amiri"/>
          <w:color w:val="111111"/>
          <w:sz w:val="28"/>
          <w:sz w:val="28"/>
          <w:szCs w:val="28"/>
          <w:rtl w:val="true"/>
          <w:lang w:bidi="ar-SA"/>
        </w:rPr>
        <w:t>لو صلّى بالنجاسة في ثوبه أو بدنه الغير المعفوّ عنها، فإمّا أن يصلّي عالماً بها عامداً، عالماً بحكمها، أو جاهلاً بها، أو يصلّي جاهلاً بها، أو يصلّي ناسياً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الجاهل والناسي إمّا أن يستمرّ حاله إلى ما بعد الفراغ، أو يتفطّن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عالماً بالحكم والموضوع، ولا شكّ في بطلان صلاته؛ للإجماع بقسميه</w:t>
      </w:r>
      <w:r>
        <w:rPr>
          <w:rStyle w:val="FootnoteAnchor"/>
          <w:rtl w:val="true"/>
        </w:rPr>
        <w:footnoteReference w:id="3377"/>
      </w:r>
      <w:r>
        <w:rPr>
          <w:rFonts w:ascii="IRNazanin" w:hAnsi="IRNazanin" w:eastAsia="IRNazanin"/>
          <w:color w:val="111111"/>
          <w:sz w:val="28"/>
          <w:sz w:val="28"/>
          <w:szCs w:val="28"/>
          <w:rtl w:val="true"/>
          <w:lang w:bidi="fa-IR"/>
        </w:rPr>
        <w:t>، وللأخبار</w:t>
      </w:r>
      <w:r>
        <w:rPr>
          <w:rStyle w:val="FootnoteAnchor"/>
          <w:rtl w:val="true"/>
        </w:rPr>
        <w:footnoteReference w:id="3378"/>
      </w:r>
      <w:r>
        <w:rPr>
          <w:rFonts w:ascii="Amiri" w:hAnsi="Amiri" w:eastAsia="Amiri" w:cs="Amiri"/>
          <w:color w:val="111111"/>
          <w:sz w:val="28"/>
          <w:sz w:val="28"/>
          <w:szCs w:val="28"/>
          <w:rtl w:val="true"/>
          <w:lang w:bidi="ar-SA"/>
        </w:rPr>
        <w:t>المتكثّرة الآمرة بإعادة الصلاة لمن رأى منيّاً في ثوبه فصلّى، ولمن رأى دماً فصلّى،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جاهلاً بحكمها، والأظهر وجوب الإعادة عليه في الوقت وخارجه؛ للإجماع المنقول</w:t>
      </w:r>
      <w:r>
        <w:rPr>
          <w:rStyle w:val="FootnoteAnchor"/>
          <w:rtl w:val="true"/>
        </w:rPr>
        <w:footnoteReference w:id="3379"/>
      </w:r>
      <w:r>
        <w:rPr>
          <w:rFonts w:ascii="Amiri" w:hAnsi="Amiri" w:eastAsia="Amiri" w:cs="Amiri"/>
          <w:color w:val="111111"/>
          <w:sz w:val="28"/>
          <w:sz w:val="28"/>
          <w:szCs w:val="28"/>
          <w:rtl w:val="true"/>
          <w:lang w:bidi="ar-SA"/>
        </w:rPr>
        <w:t>، وفتوى الفحول، ولإطلاق الأخبار الآمرة بالإعادة عليه</w:t>
      </w:r>
      <w:r>
        <w:rPr>
          <w:rStyle w:val="FootnoteAnchor"/>
          <w:rtl w:val="true"/>
        </w:rPr>
        <w:footnoteReference w:id="3380"/>
      </w:r>
      <w:r>
        <w:rPr>
          <w:rFonts w:ascii="Amiri" w:hAnsi="Amiri" w:eastAsia="Amiri" w:cs="Amiri"/>
          <w:color w:val="111111"/>
          <w:sz w:val="28"/>
          <w:sz w:val="28"/>
          <w:szCs w:val="28"/>
          <w:rtl w:val="true"/>
          <w:lang w:bidi="ar-SA"/>
        </w:rPr>
        <w:t>، الشاملة للقضاء بإطلاقها، ولأنّ الأصل في الشرائط الواقعية دون العلميّة، ولأنّ الأصل عدم الخروج من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ضعف مذهب مَنْ</w:t>
      </w:r>
      <w:r>
        <w:rPr>
          <w:rStyle w:val="FootnoteAnchor"/>
          <w:rtl w:val="true"/>
        </w:rPr>
        <w:footnoteReference w:id="3381"/>
      </w:r>
      <w:r>
        <w:rPr>
          <w:rFonts w:ascii="Amiri" w:hAnsi="Amiri" w:eastAsia="Amiri" w:cs="Amiri"/>
          <w:color w:val="111111"/>
          <w:sz w:val="28"/>
          <w:sz w:val="28"/>
          <w:szCs w:val="28"/>
          <w:rtl w:val="true"/>
          <w:lang w:bidi="ar-SA"/>
        </w:rPr>
        <w:t xml:space="preserve">صحّح عبادة الجاهل مطلقاً وأسقط القضاء والإعادة، وكذا مذهب مَنْ </w:t>
      </w:r>
      <w:r>
        <w:rPr>
          <w:rStyle w:val="FootnoteAnchor"/>
          <w:rtl w:val="true"/>
        </w:rPr>
        <w:footnoteReference w:id="3382"/>
      </w:r>
      <w:r>
        <w:rPr>
          <w:rFonts w:ascii="Amiri" w:hAnsi="Amiri" w:eastAsia="Amiri" w:cs="Amiri"/>
          <w:color w:val="111111"/>
          <w:sz w:val="28"/>
          <w:sz w:val="28"/>
          <w:szCs w:val="28"/>
          <w:rtl w:val="true"/>
          <w:lang w:bidi="ar-SA"/>
        </w:rPr>
        <w:t>أسقط القضاء؛ لاحتياجه إلى أمر جديد، ولانصراف الأوامر بالإعادة إلى الفعل في الوقت، واقتضاء الأمر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ضعفهما ظاهر ممّا قدّمنا</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يسقط العقاب عن الجاهل إذا كان جهله ساذجاً غير متفطّن للسؤال؛ لأنّ الله أولى بالعذر، ومَنْ تفطّن فللّه عليه الحجّة البالغة، كما ورد أنّ الله يحتجّ بالمصلّي على أهل بيته وأهل نحلته وجيرانه، ويحتجّ عليهم بهديه وصلاحه</w:t>
      </w:r>
      <w:r>
        <w:rPr>
          <w:rStyle w:val="FootnoteAnchor"/>
          <w:rtl w:val="true"/>
        </w:rPr>
        <w:footnoteReference w:id="3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جاهلاً بالنجاسة حتّى أتمّ لا يعيد في خارج الوقت إجماعاً منقولاً</w:t>
      </w:r>
      <w:r>
        <w:rPr>
          <w:rStyle w:val="FootnoteAnchor"/>
          <w:rtl w:val="true"/>
        </w:rPr>
        <w:footnoteReference w:id="3384"/>
      </w:r>
      <w:r>
        <w:rPr>
          <w:rFonts w:ascii="Amiri" w:hAnsi="Amiri" w:eastAsia="Amiri" w:cs="Amiri"/>
          <w:color w:val="111111"/>
          <w:sz w:val="28"/>
          <w:sz w:val="28"/>
          <w:szCs w:val="28"/>
          <w:rtl w:val="true"/>
          <w:lang w:bidi="ar-SA"/>
        </w:rPr>
        <w:t>و شهرة محصّلة، بل إجماعاً محصلاً، والأخبار</w:t>
      </w:r>
      <w:r>
        <w:rPr>
          <w:rStyle w:val="FootnoteAnchor"/>
          <w:rtl w:val="true"/>
        </w:rPr>
        <w:footnoteReference w:id="3385"/>
      </w:r>
      <w:r>
        <w:rPr>
          <w:rFonts w:ascii="Amiri" w:hAnsi="Amiri" w:eastAsia="Amiri" w:cs="Amiri"/>
          <w:color w:val="111111"/>
          <w:sz w:val="28"/>
          <w:sz w:val="28"/>
          <w:szCs w:val="28"/>
          <w:rtl w:val="true"/>
          <w:lang w:bidi="ar-SA"/>
        </w:rPr>
        <w:t>المستفيضة الدالّة على عدم الإعادة مطلقاً شاملة له، وكذا لا يعيد ما دام في الوقت وفاقاً للمشهور، حتّى كاد أن يكون إجماعاً، وللأخبار المستفيضة النافية للإعادة الظاهرة في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في المنيّ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نظرت في ثوبك فلم تصبه ثمّ صلّيت فيه ثمّ رأيته بعد فلا إعادة عليك، وكذا البول</w:t>
      </w:r>
      <w:r>
        <w:rPr>
          <w:rFonts w:eastAsia="Amiri" w:cs="Amiri" w:ascii="Amiri" w:hAnsi="Amiri"/>
          <w:color w:val="111111"/>
          <w:sz w:val="28"/>
          <w:szCs w:val="28"/>
          <w:rtl w:val="true"/>
          <w:lang w:bidi="ar-SA"/>
        </w:rPr>
        <w:t>»</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رأه حتّى صلّى فلا يعيد الصلاة</w:t>
      </w:r>
      <w:r>
        <w:rPr>
          <w:rFonts w:eastAsia="Amiri" w:cs="Amiri" w:ascii="Amiri" w:hAnsi="Amiri"/>
          <w:color w:val="111111"/>
          <w:sz w:val="28"/>
          <w:szCs w:val="28"/>
          <w:rtl w:val="true"/>
          <w:lang w:bidi="ar-SA"/>
        </w:rPr>
        <w:t>»</w:t>
      </w:r>
      <w:r>
        <w:rPr>
          <w:rStyle w:val="FootnoteAnchor"/>
          <w:rtl w:val="true"/>
        </w:rPr>
        <w:footnoteReference w:id="3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عمّن صلّى وفي ثوبه عذرة من إنسان أو سنّور أو كلب،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 عمّن صلّى و في ثوبه جنابة أو دم حتّى فرغ من صلاته ثمّ 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 ولا شيء عليه</w:t>
      </w:r>
      <w:r>
        <w:rPr>
          <w:rFonts w:eastAsia="Amiri" w:cs="Amiri" w:ascii="Amiri" w:hAnsi="Amiri"/>
          <w:color w:val="111111"/>
          <w:sz w:val="28"/>
          <w:szCs w:val="28"/>
          <w:rtl w:val="true"/>
          <w:lang w:bidi="ar-SA"/>
        </w:rPr>
        <w:t>»</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 فيمن نظر فلم يجد شيئاً ثمّ صلّى فوجد،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و 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 الرجل الدم فصلّى فيه وهو لا يعلم فلا إعادة عليه</w:t>
      </w:r>
      <w:r>
        <w:rPr>
          <w:rFonts w:eastAsia="Amiri" w:cs="Amiri" w:ascii="Amiri" w:hAnsi="Amiri"/>
          <w:color w:val="111111"/>
          <w:sz w:val="28"/>
          <w:szCs w:val="28"/>
          <w:rtl w:val="true"/>
          <w:lang w:bidi="ar-SA"/>
        </w:rPr>
        <w:t>»</w:t>
      </w:r>
      <w:r>
        <w:rPr>
          <w:rStyle w:val="FootnoteAnchor"/>
          <w:rtl w:val="true"/>
        </w:rPr>
        <w:footnoteReference w:id="3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سابعٍ فيمن صلّى في ثوب آخَر أيّاماً ثمّ أخبره أنّه لا 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w:t>
      </w:r>
      <w:r>
        <w:rPr>
          <w:rStyle w:val="FootnoteAnchor"/>
          <w:rtl w:val="true"/>
        </w:rPr>
        <w:footnoteReference w:id="339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يعارض ذلك ما ذهب إليه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الإعادة في الوقت</w:t>
      </w:r>
      <w:r>
        <w:rPr>
          <w:rStyle w:val="FootnoteAnchor"/>
          <w:rtl w:val="true"/>
        </w:rPr>
        <w:footnoteReference w:id="3393"/>
      </w:r>
      <w:r>
        <w:rPr>
          <w:rFonts w:ascii="Amiri" w:hAnsi="Amiri" w:eastAsia="Amiri" w:cs="Amiri"/>
          <w:color w:val="111111"/>
          <w:sz w:val="28"/>
          <w:sz w:val="28"/>
          <w:szCs w:val="28"/>
          <w:rtl w:val="true"/>
          <w:lang w:bidi="ar-SA"/>
        </w:rPr>
        <w:t>استناداً إلى لزوم الإعادة على مَنْ علم بالأثناء فكذا هنا؛ لضعف المذهب والمستند؛ لبطلان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ورد في 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الثوب تصيبه الجنابة ولم يعلم بها حتّى يصلّي فيعلم،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 فيمن صلّى وفي ثوبه جنابة أو 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به أو لم يعلم فعليه إعادة الصلاة إذا علم</w:t>
      </w:r>
      <w:r>
        <w:rPr>
          <w:rFonts w:eastAsia="Amiri" w:cs="Amiri" w:ascii="Amiri" w:hAnsi="Amiri"/>
          <w:color w:val="111111"/>
          <w:sz w:val="28"/>
          <w:szCs w:val="28"/>
          <w:rtl w:val="true"/>
          <w:lang w:bidi="ar-SA"/>
        </w:rPr>
        <w:t>»</w:t>
      </w:r>
      <w:r>
        <w:rPr>
          <w:rStyle w:val="FootnoteAnchor"/>
          <w:rtl w:val="true"/>
        </w:rPr>
        <w:footnoteReference w:id="3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ضعيفان لا يقابلان قويّاً واحداً، فكيف بمتعدّد فلتُحمل الأُولى على ما إذا لم يعلم حال الصلاة وقد سبقه العلم، أو على الندب أو على الاستفهام بحذف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زيادة حرف النفي وتوهّم الراوي، وتُحمل الثانية على الندب، أو على عدم العلم حال الاشتغال بالصلاة، أو غير ذلك، على أنّ موردها شامل للوقت وخارجه، وتخصيصها لا دليل عليه، وعمومها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النصّ والفتوى شمول الحكم لجاهل النجاسة مطلقاً، سواء تفطّن لها أم لا، وسواء تفطّن فشكّ بها أو تفطّن فظنّ بها، وسواء اجتهد عند التفطّن شاكّاً أو ظانّاً فلم يرَ ثمّ رأى، أو لم يجتهد فبنى على الأصل ثمّ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كذلك ؛ للإطلاقات المتقدّمة القويّة، وللأخبار الدالّة على النهي عن الفحص والسؤال عن النجاسة، الآمرة بالبناء على أصالة الطهارة المشعرة بالعفو في حالة الجهل مطلقاً </w:t>
      </w:r>
      <w:r>
        <w:rPr>
          <w:rStyle w:val="FootnoteAnchor"/>
          <w:rtl w:val="true"/>
        </w:rPr>
        <w:footnoteReference w:id="3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الذكرى</w:t>
      </w:r>
      <w:r>
        <w:rPr>
          <w:rStyle w:val="FootnoteAnchor"/>
          <w:rtl w:val="true"/>
        </w:rPr>
        <w:footnoteReference w:id="3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للمحكيّ عن جملةٍ من القدماء</w:t>
      </w:r>
      <w:r>
        <w:rPr>
          <w:rStyle w:val="FootnoteAnchor"/>
          <w:rtl w:val="true"/>
        </w:rPr>
        <w:footnoteReference w:id="3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الحكم بعدم الإعادة في الجهل الساذج وعدم التفطّن، أو التفطّن والظنّ، ولكن مع الاجتهاد والنظر فلم ير شيئاً، وأمّا مع التفطّن والظنّ وعدم الاجتهاد فعليه الإعادة، بل يظهر من بعضهم</w:t>
      </w:r>
      <w:r>
        <w:rPr>
          <w:rStyle w:val="FootnoteAnchor"/>
          <w:rtl w:val="true"/>
        </w:rPr>
        <w:footnoteReference w:id="3399"/>
      </w:r>
      <w:r>
        <w:rPr>
          <w:rFonts w:ascii="Amiri" w:hAnsi="Amiri" w:eastAsia="Amiri" w:cs="Amiri"/>
          <w:color w:val="111111"/>
          <w:sz w:val="28"/>
          <w:sz w:val="28"/>
          <w:szCs w:val="28"/>
          <w:rtl w:val="true"/>
          <w:lang w:bidi="ar-SA"/>
        </w:rPr>
        <w:t>أنّه مع التفطّن وعدم الاجتهاد يجب عليه الإعادة ولو مع الشكّ بالنجاسة دون الظنّ، بل ومع الظنّ بعدمها</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ذلك رواية منصور الصيقل فيمن أصابته جنابة في الليل فاغتسل فلمّا </w:t>
      </w:r>
    </w:p>
    <w:p>
      <w:pPr>
        <w:pStyle w:val="BookText"/>
        <w:rPr/>
      </w:pPr>
      <w:r>
        <w:rPr>
          <w:rFonts w:ascii="Amiri" w:hAnsi="Amiri" w:eastAsia="Amiri" w:cs="Amiri"/>
          <w:color w:val="111111"/>
          <w:sz w:val="28"/>
          <w:sz w:val="28"/>
          <w:szCs w:val="28"/>
          <w:rtl w:val="true"/>
          <w:lang w:bidi="ar-SA"/>
        </w:rPr>
        <w:t>أصبح نظر فإذا في ثوبه 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حين قام فنظر فلم ير شيئاً فلا إعادة عليه، وإن كان حين قام لم ينظر فعليه الإعادة</w:t>
      </w:r>
      <w:r>
        <w:rPr>
          <w:rFonts w:eastAsia="Amiri" w:cs="Amiri" w:ascii="Amiri" w:hAnsi="Amiri"/>
          <w:color w:val="111111"/>
          <w:sz w:val="28"/>
          <w:szCs w:val="28"/>
          <w:rtl w:val="true"/>
          <w:lang w:bidi="ar-SA"/>
        </w:rPr>
        <w:t>»</w:t>
      </w:r>
      <w:r>
        <w:rPr>
          <w:rStyle w:val="FootnoteAnchor"/>
          <w:rtl w:val="true"/>
        </w:rPr>
        <w:footnoteReference w:id="3400"/>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أنت نظرت في ثوبك فلم تصبه ثمّ صلّيت فيه ثمّ رأيته بعد فلا إعادة عليك</w:t>
      </w:r>
      <w:r>
        <w:rPr>
          <w:rFonts w:eastAsia="Amiri" w:cs="Amiri" w:ascii="Amiri" w:hAnsi="Amiri"/>
          <w:color w:val="111111"/>
          <w:sz w:val="28"/>
          <w:szCs w:val="28"/>
          <w:rtl w:val="true"/>
          <w:lang w:bidi="ar-SA"/>
        </w:rPr>
        <w:t>»</w:t>
      </w:r>
      <w:r>
        <w:rPr>
          <w:rStyle w:val="FootnoteAnchor"/>
          <w:rtl w:val="true"/>
        </w:rPr>
        <w:footnoteReference w:id="3402"/>
      </w:r>
      <w:r>
        <w:rPr>
          <w:rFonts w:ascii="Amiri" w:hAnsi="Amiri" w:eastAsia="Amiri" w:cs="Amiri"/>
          <w:color w:val="111111"/>
          <w:sz w:val="28"/>
          <w:sz w:val="28"/>
          <w:szCs w:val="28"/>
          <w:rtl w:val="true"/>
          <w:lang w:bidi="ar-SA"/>
        </w:rPr>
        <w:t>ومفهومه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الروايات لزوم الإعادة في الوقت وخارجه، وأنّ الإعادة تدور مدار عدم النظر، وعدمها مدار النظر، وإطلاقها يشمل الجهل والشكّ والظنّ، وإن كان سياقها ظاهراً في المتفطّن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فهي وإن كانت خاصّة وتلك عامة، ومقتضى قواعد الجمع حمل العامّ على الخاصّ، إلّا أنّ الحمل مشروط بمقاومة الخاصّ للعامّ، ومع عدم حصول المقاومة لا يحصل التعارض، فلا يجب الجمع، بل إمّا أن يُطرح، أو يُحمل على الندب في صورة الإعادة، لا القضاء؛ لأنه المتيقّن الإرادة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هذه الأخبار على صورة النسيان بعد الاعتقاد بحصول النجاسة، إلّا أنّه حين نظر فلم يجد شيئاً يعود شاكّاً، فتكون صلاته كصلاة الجاهل بالنجاسة، وإن لم ينظر فقد بقي على اعتقاده إلى أن نسي فصلّى فوجد ما اعتقده، فوجبت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بالنجاسة ناسياً بعد العلم فالأقوى أنّ عليه الإعادة في الوقت وخارجه؛ قضاء لحقّ الشرطيّة، فإنّ الأصل فيها الواقعيّة، وانتفاؤها موجب لانتفاء المشروط، وهو موجب لصدق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ولعموم الأدلّة الدالّة على إعادة مَنْ صلّى بنجاسةٍ </w:t>
      </w:r>
      <w:r>
        <w:rPr>
          <w:rStyle w:val="FootnoteAnchor"/>
          <w:rtl w:val="true"/>
        </w:rPr>
        <w:footnoteReference w:id="3404"/>
      </w:r>
      <w:r>
        <w:rPr>
          <w:rFonts w:ascii="Amiri" w:hAnsi="Amiri" w:eastAsia="Amiri" w:cs="Amiri"/>
          <w:color w:val="111111"/>
          <w:sz w:val="28"/>
          <w:sz w:val="28"/>
          <w:szCs w:val="28"/>
          <w:rtl w:val="true"/>
          <w:lang w:bidi="ar-SA"/>
        </w:rPr>
        <w:t>، خرج ما خرج بالدليل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حسنة محمّد بن مسلم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قد رأيته وهو أكثر من مقدار درهم فضيّعت غسله وصلّيت فيه صلوات كثيرة، فأعد</w:t>
      </w:r>
      <w:r>
        <w:rPr>
          <w:rFonts w:eastAsia="Amiri" w:cs="Amiri" w:ascii="Amiri" w:hAnsi="Amiri"/>
          <w:color w:val="111111"/>
          <w:sz w:val="28"/>
          <w:szCs w:val="28"/>
          <w:rtl w:val="true"/>
          <w:lang w:bidi="ar-SA"/>
        </w:rPr>
        <w:t>»</w:t>
      </w:r>
      <w:r>
        <w:rPr>
          <w:rStyle w:val="FootnoteAnchor"/>
          <w:rtl w:val="true"/>
        </w:rPr>
        <w:footnoteReference w:id="3405"/>
      </w:r>
      <w:r>
        <w:rPr>
          <w:rFonts w:ascii="IRNazanin" w:hAnsi="IRNazanin" w:eastAsia="IRNazanin"/>
          <w:color w:val="111111"/>
          <w:sz w:val="28"/>
          <w:sz w:val="28"/>
          <w:szCs w:val="28"/>
          <w:rtl w:val="true"/>
          <w:lang w:bidi="fa-IR"/>
        </w:rPr>
        <w:t>وظاهرها شامل للوقت وخارجه</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عليّ بن جعفر فيمن احتجم فأصاب ثوبه 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رآه فلم يغسله </w:t>
      </w:r>
    </w:p>
    <w:p>
      <w:pPr>
        <w:pStyle w:val="BookText"/>
        <w:rPr/>
      </w:pPr>
      <w:r>
        <w:rPr>
          <w:rFonts w:ascii="Amiri" w:hAnsi="Amiri" w:eastAsia="Amiri" w:cs="Amiri"/>
          <w:color w:val="111111"/>
          <w:sz w:val="28"/>
          <w:sz w:val="28"/>
          <w:szCs w:val="28"/>
          <w:rtl w:val="true"/>
          <w:lang w:bidi="ar-SA"/>
        </w:rPr>
        <w:t>فليقضِ جميع ما فاته على قدر ما كان يصلّي، ولا ينقص منه شيئاً، وإن كان رآه وقد صلّى فليعتد بتلك الصلاة</w:t>
      </w:r>
      <w:r>
        <w:rPr>
          <w:rFonts w:eastAsia="Amiri" w:cs="Amiri" w:ascii="Amiri" w:hAnsi="Amiri"/>
          <w:color w:val="111111"/>
          <w:sz w:val="28"/>
          <w:szCs w:val="28"/>
          <w:rtl w:val="true"/>
          <w:lang w:bidi="ar-SA"/>
        </w:rPr>
        <w:t>»</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للإجماع المنقول عن ابن إدريس</w:t>
      </w:r>
      <w:r>
        <w:rPr>
          <w:rStyle w:val="FootnoteAnchor"/>
          <w:rtl w:val="true"/>
        </w:rPr>
        <w:footnoteReference w:id="3407"/>
      </w:r>
      <w:r>
        <w:rPr>
          <w:rFonts w:ascii="Amiri" w:hAnsi="Amiri" w:eastAsia="Amiri" w:cs="Amiri"/>
          <w:color w:val="111111"/>
          <w:sz w:val="28"/>
          <w:sz w:val="28"/>
          <w:szCs w:val="28"/>
          <w:rtl w:val="true"/>
          <w:lang w:bidi="ar-SA"/>
        </w:rPr>
        <w:t xml:space="preserve">، وللشهرة المنقولة هاهنا </w:t>
      </w:r>
      <w:r>
        <w:rPr>
          <w:rStyle w:val="FootnoteAnchor"/>
          <w:rtl w:val="true"/>
        </w:rPr>
        <w:footnoteReference w:id="3408"/>
      </w:r>
      <w:r>
        <w:rPr>
          <w:rFonts w:ascii="Amiri" w:hAnsi="Amiri" w:eastAsia="Amiri" w:cs="Amiri"/>
          <w:color w:val="111111"/>
          <w:sz w:val="28"/>
          <w:sz w:val="28"/>
          <w:szCs w:val="28"/>
          <w:rtl w:val="true"/>
          <w:lang w:bidi="ar-SA"/>
        </w:rPr>
        <w:t>، وفي بحث ناسي الاستنجاء</w:t>
      </w:r>
      <w:r>
        <w:rPr>
          <w:rStyle w:val="FootnoteAnchor"/>
          <w:rtl w:val="true"/>
        </w:rPr>
        <w:footnoteReference w:id="3409"/>
      </w:r>
      <w:r>
        <w:rPr>
          <w:rFonts w:ascii="Amiri" w:hAnsi="Amiri" w:eastAsia="Amiri" w:cs="Amiri"/>
          <w:color w:val="111111"/>
          <w:sz w:val="28"/>
          <w:sz w:val="28"/>
          <w:szCs w:val="28"/>
          <w:rtl w:val="true"/>
          <w:lang w:bidi="ar-SA"/>
        </w:rPr>
        <w:t>، فإنّ الظاهر اتّحاد المسألتين؛ وللأخبار الواردة في الإعادة مطلقاً هاهنا</w:t>
      </w:r>
      <w:r>
        <w:rPr>
          <w:rStyle w:val="FootnoteAnchor"/>
          <w:rtl w:val="true"/>
        </w:rPr>
        <w:footnoteReference w:id="3410"/>
      </w:r>
      <w:r>
        <w:rPr>
          <w:rFonts w:ascii="Amiri" w:hAnsi="Amiri" w:eastAsia="Amiri" w:cs="Amiri"/>
          <w:color w:val="111111"/>
          <w:sz w:val="28"/>
          <w:sz w:val="28"/>
          <w:szCs w:val="28"/>
          <w:rtl w:val="true"/>
          <w:lang w:bidi="ar-SA"/>
        </w:rPr>
        <w:t>وفي باب الاستنجاء</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في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قبل أن يصلّي ونسي فعليه الإعادة</w:t>
      </w:r>
      <w:r>
        <w:rPr>
          <w:rFonts w:eastAsia="Amiri" w:cs="Amiri" w:ascii="Amiri" w:hAnsi="Amiri"/>
          <w:color w:val="111111"/>
          <w:sz w:val="28"/>
          <w:szCs w:val="28"/>
          <w:rtl w:val="true"/>
          <w:lang w:bidi="ar-SA"/>
        </w:rPr>
        <w:t>»</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في الدم فينسى أن يغسله حتّى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 عقوبة لنسيانه</w:t>
      </w:r>
      <w:r>
        <w:rPr>
          <w:rFonts w:eastAsia="Amiri" w:cs="Amiri" w:ascii="Amiri" w:hAnsi="Amiri"/>
          <w:color w:val="111111"/>
          <w:sz w:val="28"/>
          <w:szCs w:val="28"/>
          <w:rtl w:val="true"/>
          <w:lang w:bidi="ar-SA"/>
        </w:rPr>
        <w:t>»</w:t>
      </w:r>
      <w:r>
        <w:rPr>
          <w:rStyle w:val="FootnoteAnchor"/>
          <w:rtl w:val="true"/>
        </w:rPr>
        <w:footnoteReference w:id="3413"/>
      </w:r>
      <w:r>
        <w:rPr>
          <w:rFonts w:ascii="Amiri" w:hAnsi="Amiri" w:eastAsia="Amiri" w:cs="Amiri"/>
          <w:color w:val="111111"/>
          <w:sz w:val="28"/>
          <w:sz w:val="28"/>
          <w:szCs w:val="28"/>
          <w:rtl w:val="true"/>
          <w:lang w:bidi="ar-SA"/>
        </w:rPr>
        <w:t>وظاهر التعليل 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الجعفي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أكثر من قدر درهم وكان رآه ولم يغسله حتّى صلّى فليعد صلاته</w:t>
      </w:r>
      <w:r>
        <w:rPr>
          <w:rFonts w:eastAsia="Amiri" w:cs="Amiri" w:ascii="Amiri" w:hAnsi="Amiri"/>
          <w:color w:val="111111"/>
          <w:sz w:val="28"/>
          <w:szCs w:val="28"/>
          <w:rtl w:val="true"/>
          <w:lang w:bidi="ar-SA"/>
        </w:rPr>
        <w:t>»</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نقط الدم يعلم به ثمّ ينسى أن يغسله فيصلّى فيه ثمّ يذكره،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ولا يعيد صلاته إلّا أن يكون مقدار الدرهم مجتمعاً فيغسله ويعيد صلاته</w:t>
      </w:r>
      <w:r>
        <w:rPr>
          <w:rFonts w:eastAsia="Amiri" w:cs="Amiri" w:ascii="Amiri" w:hAnsi="Amiri"/>
          <w:color w:val="111111"/>
          <w:sz w:val="28"/>
          <w:szCs w:val="28"/>
          <w:rtl w:val="true"/>
          <w:lang w:bidi="ar-SA"/>
        </w:rPr>
        <w:t xml:space="preserve">»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ثوبه دم رعاف أو غيره أو منيّ ونسي وصلّى به و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المتكثّرة الدالّة بإطلاقها على الإعادة مطلقاً</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يعارضها ما دلّ على عدم وجوب الإعادة مطلقاً، وأفتى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w:t>
      </w:r>
      <w:r>
        <w:rPr>
          <w:rStyle w:val="FootnoteAnchor"/>
          <w:rtl w:val="true"/>
        </w:rPr>
        <w:footnoteReference w:id="3417"/>
      </w:r>
      <w:r>
        <w:rPr>
          <w:rFonts w:ascii="Amiri" w:hAnsi="Amiri" w:eastAsia="Amiri" w:cs="Amiri"/>
          <w:color w:val="111111"/>
          <w:sz w:val="28"/>
          <w:sz w:val="28"/>
          <w:szCs w:val="28"/>
          <w:rtl w:val="true"/>
          <w:lang w:bidi="ar-SA"/>
        </w:rPr>
        <w:t xml:space="preserve">، كصحيح العلاء عن الرجل يصيب ثوبه الشيء ينجّسه فينسى أن يغسله فيصلّي فيه ثمّ يذكر، أيعيد الصلاة؟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يعيد، قد مضت الصلاة وكُتبت له </w:t>
      </w:r>
      <w:r>
        <w:rPr>
          <w:rFonts w:eastAsia="Amiri" w:cs="Amiri" w:ascii="Amiri" w:hAnsi="Amiri"/>
          <w:color w:val="111111"/>
          <w:sz w:val="28"/>
          <w:szCs w:val="28"/>
          <w:rtl w:val="true"/>
          <w:lang w:bidi="ar-SA"/>
        </w:rPr>
        <w:t>»</w:t>
      </w:r>
      <w:r>
        <w:rPr>
          <w:rStyle w:val="FootnoteAnchor"/>
          <w:rtl w:val="true"/>
        </w:rPr>
        <w:footnoteReference w:id="3418"/>
      </w:r>
      <w:r>
        <w:rPr>
          <w:rFonts w:ascii="Amiri" w:hAnsi="Amiri" w:eastAsia="Amiri" w:cs="Amiri"/>
          <w:color w:val="111111"/>
          <w:sz w:val="28"/>
          <w:sz w:val="28"/>
          <w:szCs w:val="28"/>
          <w:rtl w:val="true"/>
          <w:lang w:bidi="ar-SA"/>
        </w:rPr>
        <w:t xml:space="preserve">وكعموم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الناسي</w:t>
      </w:r>
      <w:r>
        <w:rPr>
          <w:rFonts w:eastAsia="Amiri" w:cs="Amiri" w:ascii="Amiri" w:hAnsi="Amiri"/>
          <w:color w:val="111111"/>
          <w:sz w:val="28"/>
          <w:szCs w:val="28"/>
          <w:rtl w:val="true"/>
          <w:lang w:bidi="ar-SA"/>
        </w:rPr>
        <w:t>»</w:t>
      </w:r>
      <w:r>
        <w:rPr>
          <w:rStyle w:val="FootnoteAnchor"/>
          <w:rtl w:val="true"/>
        </w:rPr>
        <w:footnoteReference w:id="3419"/>
      </w:r>
      <w:r>
        <w:rPr>
          <w:rFonts w:ascii="Amiri" w:hAnsi="Amiri" w:eastAsia="Amiri" w:cs="Amiri"/>
          <w:color w:val="111111"/>
          <w:sz w:val="28"/>
          <w:sz w:val="28"/>
          <w:szCs w:val="28"/>
          <w:rtl w:val="true"/>
          <w:lang w:bidi="ar-SA"/>
        </w:rPr>
        <w:t>لضعفهما عن المقاومة لما هو أكثر عدداً وأصحّ سنداً ، ولما هو المشهور، بل كاد أن يكون متّفقاً عليه بين القدماء، مضافاً إلى شذوذ العامل بالصحيح، وندرة العامل بعموم رفع القلم في رفع قضاء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يستدلّ به لرفع الإثم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جملة من المتأخّرين و نُسب لمشهورهم</w:t>
      </w:r>
      <w:r>
        <w:rPr>
          <w:rStyle w:val="FootnoteAnchor"/>
          <w:rtl w:val="true"/>
        </w:rPr>
        <w:footnoteReference w:id="3420"/>
      </w:r>
      <w:r>
        <w:rPr>
          <w:rFonts w:ascii="Amiri" w:hAnsi="Amiri" w:eastAsia="Amiri" w:cs="Amiri"/>
          <w:color w:val="111111"/>
          <w:sz w:val="28"/>
          <w:sz w:val="28"/>
          <w:szCs w:val="28"/>
          <w:rtl w:val="true"/>
          <w:lang w:bidi="ar-SA"/>
        </w:rPr>
        <w:t>التفصيل بين بقاء الوقت فتجب الإعادة، وبين خروجه فلا تجب؛ جمعاً بين الأخبار الأوليّة المثبتة للإعادة مطلقاً، وبين الصحيح الأخير</w:t>
      </w:r>
      <w:r>
        <w:rPr>
          <w:rStyle w:val="FootnoteAnchor"/>
          <w:rtl w:val="true"/>
        </w:rPr>
        <w:footnoteReference w:id="3421"/>
      </w:r>
      <w:r>
        <w:rPr>
          <w:rFonts w:ascii="Amiri" w:hAnsi="Amiri" w:eastAsia="Amiri" w:cs="Amiri"/>
          <w:color w:val="111111"/>
          <w:sz w:val="28"/>
          <w:sz w:val="28"/>
          <w:szCs w:val="28"/>
          <w:rtl w:val="true"/>
          <w:lang w:bidi="ar-SA"/>
        </w:rPr>
        <w:t>النافي له، ولاحتياج القضاء لأمرٍ صريح مثبت له، ولا صراحة في الأخبار الأوّليّة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سليمان بن راشد يخبره أنّه بال في ظلمةٍ وأنّه أصاب كفّه برد نقطةٍ من البول لم يشكّ أنّه أصابه ولم يره و أنّه مسحه بخرقة، ثمّ نسي أن يغسله و تمسّح بدُهنٍ فمسح به كفّيه و وجهه ورأسه ثمّ توضّأ وضوء الصلاة فصلّى؟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توهّمت ممّا أصاب يدك فليس بشيء إلّا ما تحقّق، فإن تحقّقت ذلك كنت حقيقاً أن تعيد الصلوات التي كنت صلّيتهنّ بذلك الوضوء ما كان منهنّ في وقتها، وما فات وقتها فلا إعادة عليك لها من قبل أنّ الرجل إذا كان ثوبه نجساً لم يعد الصلاة إلّا ما كان في وقت، وإذا كان جنباً أو على غير وضوء فعليه إعادة الصلوات المكتوبات التي فاتته، لأن الثوب خلاف الجسد</w:t>
      </w:r>
      <w:r>
        <w:rPr>
          <w:rFonts w:eastAsia="Amiri" w:cs="Amiri" w:ascii="Amiri" w:hAnsi="Amiri"/>
          <w:color w:val="111111"/>
          <w:sz w:val="28"/>
          <w:szCs w:val="28"/>
          <w:rtl w:val="true"/>
          <w:lang w:bidi="ar-SA"/>
        </w:rPr>
        <w:t>»</w:t>
      </w:r>
      <w:r>
        <w:rPr>
          <w:rStyle w:val="FootnoteAnchor"/>
          <w:rtl w:val="true"/>
        </w:rPr>
        <w:footnoteReference w:id="3422"/>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لأنّ الجمع فرع التكافؤ أوّلاً ، والصحيح الأخير لا يكافئ تلك الأخبار، على أنّ تلك فيها ما هو صريح في شمول الإعادة للوقت وخارجه، فلا يمكن الجمع، ومحتاج إلى شاهدٍ يدلّ عليه، وليس إلّا المكاتبة، وهي مع ضعفها سنداً قد اشتملت على ما يقضي بظاهره خلاف القواعد من اشتراط طهارة محلّ الوضوء، ومن اشتراط طهارة نفس الماء؛ لتنجّسه بوروده عليها، ومن أنّ ذلك الوضوء الذي توضّأه إمّا أن يكون صحيحاً فلا معنى لإعادة الصلاة بذلك الوضوء بعينه؛ لإشعاره بأنّ منشأ الإعادة هو نفس الوضوء لفساده، وإمّا أن يكون فاسداً فلا معنى للحكم بأنّ ما فات وقتها فلا قضاء فيها، وحملُ الوضوء بعينه على </w:t>
      </w:r>
    </w:p>
    <w:p>
      <w:pPr>
        <w:pStyle w:val="BookText"/>
        <w:rPr/>
      </w:pPr>
      <w:r>
        <w:rPr>
          <w:rFonts w:ascii="Amiri" w:hAnsi="Amiri" w:eastAsia="Amiri" w:cs="Amiri"/>
          <w:color w:val="111111"/>
          <w:sz w:val="28"/>
          <w:sz w:val="28"/>
          <w:szCs w:val="28"/>
          <w:rtl w:val="true"/>
          <w:lang w:bidi="ar-SA"/>
        </w:rPr>
        <w:t>التمسّح والتدهّن حملٌ بعيد جدّاً، و من أنّ مسح اليد بالرأس يقتضي نجاستها؛ لمكان نجاسة الرطوبة الملاقية له، ومن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حقيقاً أن تعيد الصلوات التي صلّيتهنّ بذلك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أنّه لو أحدث عقيب ذلك الوضوء وتوضّأ وضوءاً آخَر وصلّى لا يعيد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بالتزام عدم اشتراط طهارة محلّ الوضوء، وأنّ الماء الواحد يرفع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تحقّقت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وصول البول إلى غير محالّ الوضوء، وبأنّه يمكن أن يكون مسح الرأس على غير المحلّ النجس؛ لإمكان عدم استيعاب الدهن النجس للرأس، وبإمكان إرادة الوضوء النوعي الخاصّ الواقع بعد التدهّن وقبل تطهير البدن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الوضوء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تكلّفٌ بعيدٌ لا يساعده دليل ولا ظهور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فصلاحيّة الرواية للشهادة بجمع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الإجمال والاختلال بعيدةٌ عن الخيال ، كما أنّ الاقتحام على حمل الروايات الآمرة بالإعادة على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ووضوحها، وشذوذ العامل بغيرها ممّا دلّ على عدم الإعادة مطلقاً أو دلّ على التفصيل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لطريقة الفقهاء والفقاهة، بعيدٌ عن 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النجاسة في الأثناء، وقد علم سبقها فنسيها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هاهنا وجوب الإعادة وبطلان الصلاة؛ لما تقدّم من وجوب الإعادة على الناسي، ولفقدان الشرط في الجزء فيبطل الكلّ، 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 وهو في صلاته أنّه لم يستنجِ،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ينصرف ويستنجي ويعيد الصلاة</w:t>
      </w:r>
      <w:r>
        <w:rPr>
          <w:rFonts w:eastAsia="Amiri" w:cs="Amiri" w:ascii="Amiri" w:hAnsi="Amiri"/>
          <w:color w:val="111111"/>
          <w:sz w:val="28"/>
          <w:szCs w:val="28"/>
          <w:rtl w:val="true"/>
          <w:lang w:bidi="ar-SA"/>
        </w:rPr>
        <w:t>»</w:t>
      </w:r>
      <w:r>
        <w:rPr>
          <w:rStyle w:val="FootnoteAnchor"/>
          <w:rtl w:val="true"/>
        </w:rPr>
        <w:footnoteReference w:id="3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رأيته قبل أن تصلّي فلم تغسله ثمّ رأيته بعد وأنت في صلاتك فانصرف واغسله وأعد صلاتك</w:t>
      </w:r>
      <w:r>
        <w:rPr>
          <w:rFonts w:eastAsia="Amiri" w:cs="Amiri" w:ascii="Amiri" w:hAnsi="Amiri"/>
          <w:color w:val="111111"/>
          <w:sz w:val="28"/>
          <w:szCs w:val="28"/>
          <w:rtl w:val="true"/>
          <w:lang w:bidi="ar-SA"/>
        </w:rPr>
        <w:t>»</w:t>
      </w:r>
      <w:r>
        <w:rPr>
          <w:rStyle w:val="FootnoteAnchor"/>
          <w:rtl w:val="true"/>
        </w:rPr>
        <w:footnoteReference w:id="3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 والمني،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رأيته في ثوبي وأنا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w:t>
      </w:r>
      <w:r>
        <w:rPr>
          <w:rFonts w:eastAsia="Amiri" w:cs="Amiri" w:ascii="Amiri" w:hAnsi="Amiri"/>
          <w:color w:val="111111"/>
          <w:sz w:val="28"/>
          <w:szCs w:val="28"/>
          <w:rtl w:val="true"/>
          <w:lang w:bidi="ar-SA"/>
        </w:rPr>
        <w:t>»</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حتّى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 عقوبةً لنسيانه</w:t>
      </w:r>
      <w:r>
        <w:rPr>
          <w:rFonts w:eastAsia="Amiri" w:cs="Amiri" w:ascii="Amiri" w:hAnsi="Amiri"/>
          <w:color w:val="111111"/>
          <w:sz w:val="28"/>
          <w:szCs w:val="28"/>
          <w:rtl w:val="true"/>
          <w:lang w:bidi="ar-SA"/>
        </w:rPr>
        <w:t>»</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دلّ على بطلان الصلاة في الأثناء مع رؤية النجاسة وكان جاهلاً بها </w:t>
      </w:r>
      <w:r>
        <w:rPr>
          <w:rStyle w:val="FootnoteAnchor"/>
          <w:rtl w:val="true"/>
        </w:rPr>
        <w:footnoteReference w:id="3427"/>
      </w:r>
      <w:r>
        <w:rPr>
          <w:rFonts w:ascii="Amiri" w:hAnsi="Amiri" w:eastAsia="Amiri" w:cs="Amiri"/>
          <w:color w:val="111111"/>
          <w:sz w:val="28"/>
          <w:sz w:val="28"/>
          <w:szCs w:val="28"/>
          <w:rtl w:val="true"/>
          <w:lang w:bidi="ar-SA"/>
        </w:rPr>
        <w:t>تدلّ على صورة النسيان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يراها في الأثناء ويعلم بحدوثها، أو لا يعلم بسبقها أو حدوثها حين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هنا والأشهر أنّه إن أمكنه إزالتها بغسل وشبهه، أو طرح الثوب مع لبس غيره أو بقاء غيره، وجب ذلك وصحّت صلاته واستمرّ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 إزالتها إلّا بفعل القاطع الصلاته من المنافيات لها، وجب القطع والإعادة؛ لأنّ النجاسة إن كانت سابقة فهو جاهل بالنجاسة والجاهل لا إعادة عليه مع فعل الكلّ، فالبعض بالطريق الأولى والباقي تداركه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حدثت في الأثناء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يقضي به أصل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مصلّى بالنجاسة سابقاً ولا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تشكّ ثمّ رأيته رطباً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وغسلته ثمّ بنيت على الصلاة؛ لأنّك لا تدري لعلّه شيء أُوقع عليك</w:t>
      </w:r>
      <w:r>
        <w:rPr>
          <w:rFonts w:eastAsia="Amiri" w:cs="Amiri" w:ascii="Amiri" w:hAnsi="Amiri"/>
          <w:color w:val="111111"/>
          <w:sz w:val="28"/>
          <w:szCs w:val="28"/>
          <w:rtl w:val="true"/>
          <w:lang w:bidi="ar-SA"/>
        </w:rPr>
        <w:t>»</w:t>
      </w:r>
      <w:r>
        <w:rPr>
          <w:rStyle w:val="FootnoteAnchor"/>
          <w:rtl w:val="true"/>
        </w:rPr>
        <w:footnoteReference w:id="3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وللحسن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رأيته وعليك ثوب غيره فاطرحه وصل، وإن لم يكن عليك غيره</w:t>
      </w:r>
    </w:p>
    <w:p>
      <w:pPr>
        <w:pStyle w:val="BookText"/>
        <w:rPr/>
      </w:pPr>
      <w:r>
        <w:rPr>
          <w:rFonts w:ascii="Amiri" w:hAnsi="Amiri" w:eastAsia="Amiri" w:cs="Amiri"/>
          <w:color w:val="111111"/>
          <w:sz w:val="28"/>
          <w:sz w:val="28"/>
          <w:szCs w:val="28"/>
          <w:rtl w:val="true"/>
          <w:lang w:bidi="ar-SA"/>
        </w:rPr>
        <w:t>فامض في صلاتك ولا إعادة عليك</w:t>
      </w:r>
      <w:r>
        <w:rPr>
          <w:rFonts w:eastAsia="Amiri" w:cs="Amiri" w:ascii="Amiri" w:hAnsi="Amiri"/>
          <w:color w:val="111111"/>
          <w:sz w:val="28"/>
          <w:szCs w:val="28"/>
          <w:rtl w:val="true"/>
          <w:lang w:bidi="ar-SA"/>
        </w:rPr>
        <w:t>»</w:t>
      </w:r>
      <w:r>
        <w:rPr>
          <w:rStyle w:val="FootnoteAnchor"/>
          <w:rtl w:val="true"/>
        </w:rPr>
        <w:footnoteReference w:id="3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آخره ما لا نقول به لا ينافي الاستدلال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 عن الرجل يأخذه الرعاف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ينفتل منها فيغسل أنفه ويعود في صلاته، فإن تكلّم فليعد صلاته</w:t>
      </w:r>
      <w:r>
        <w:rPr>
          <w:rFonts w:eastAsia="Amiri" w:cs="Amiri" w:ascii="Amiri" w:hAnsi="Amiri"/>
          <w:color w:val="111111"/>
          <w:sz w:val="28"/>
          <w:szCs w:val="28"/>
          <w:rtl w:val="true"/>
          <w:lang w:bidi="ar-SA"/>
        </w:rPr>
        <w:t>»</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الصحيح الآخر</w:t>
      </w:r>
      <w:r>
        <w:rPr>
          <w:rStyle w:val="FootnoteAnchor"/>
          <w:rtl w:val="true"/>
        </w:rPr>
        <w:footnoteReference w:id="3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وإن أطلقا البناء مع عدم الكلام إلا أنه يلحق به غيره من</w:t>
      </w:r>
    </w:p>
    <w:p>
      <w:pPr>
        <w:pStyle w:val="BookText"/>
        <w:rPr/>
      </w:pPr>
      <w:r>
        <w:rPr>
          <w:rFonts w:ascii="Amiri" w:hAnsi="Amiri" w:eastAsia="Amiri" w:cs="Amiri"/>
          <w:color w:val="111111"/>
          <w:sz w:val="28"/>
          <w:sz w:val="28"/>
          <w:szCs w:val="28"/>
          <w:rtl w:val="true"/>
          <w:lang w:bidi="ar-SA"/>
        </w:rPr>
        <w:t>المبطلات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وبمفهوم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رعف في صلاته وكان عنده ماء أو من يشير إليه بماء فيتناوله فمال برأسه فغسله فليبن على صلاته ولا يقطعها</w:t>
      </w:r>
      <w:r>
        <w:rPr>
          <w:rFonts w:eastAsia="Amiri" w:cs="Amiri" w:ascii="Amiri" w:hAnsi="Amiri"/>
          <w:color w:val="111111"/>
          <w:sz w:val="28"/>
          <w:szCs w:val="28"/>
          <w:rtl w:val="true"/>
          <w:lang w:bidi="ar-SA"/>
        </w:rPr>
        <w:t>»</w:t>
      </w:r>
      <w:r>
        <w:rPr>
          <w:rStyle w:val="FootnoteAnchor"/>
          <w:rtl w:val="true"/>
        </w:rPr>
        <w:footnoteReference w:id="3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لزوم القطع إن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 عدم إمكان التطهير والبناء يلزم عليه الصلاة بالنجاسة الدالّة على منعها عمومات الأدلّة وخصوصاتها</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المانع الشرعي كالمانع العقلي فيكون مضطرّاً للصلاة بالنجاسة ضعيف؛ لأنّ هذا بطلان فيها لا إبطال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بها في الأثناء ويعلم بسبقها على حالة علمه، إمّا في ابتداء صلاته أو في أثنائها، وهنا يقوى القول بلزوم الإبطال والإعادة من رأس، سواء أمكن إزالتها من دون فعل مناف أو لم يمكن؛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 وأنا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w:t>
      </w:r>
      <w:r>
        <w:rPr>
          <w:rFonts w:eastAsia="Amiri" w:cs="Amiri" w:ascii="Amiri" w:hAnsi="Amiri"/>
          <w:color w:val="111111"/>
          <w:sz w:val="28"/>
          <w:szCs w:val="28"/>
          <w:rtl w:val="true"/>
          <w:lang w:bidi="ar-SA"/>
        </w:rPr>
        <w:t xml:space="preserve">» </w:t>
      </w:r>
      <w:r>
        <w:rPr>
          <w:rStyle w:val="FootnoteAnchor"/>
          <w:rtl w:val="true"/>
        </w:rPr>
        <w:footnoteReference w:id="3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المني قبل أو بعد ما تدخل في الصلاة فعليك إعادة الصلاة</w:t>
      </w:r>
      <w:r>
        <w:rPr>
          <w:rFonts w:eastAsia="Amiri" w:cs="Amiri" w:ascii="Amiri" w:hAnsi="Amiri"/>
          <w:color w:val="111111"/>
          <w:sz w:val="28"/>
          <w:szCs w:val="28"/>
          <w:rtl w:val="true"/>
          <w:lang w:bidi="ar-SA"/>
        </w:rPr>
        <w:t>»</w:t>
      </w:r>
      <w:r>
        <w:rPr>
          <w:rStyle w:val="FootnoteAnchor"/>
          <w:rtl w:val="true"/>
        </w:rPr>
        <w:footnoteReference w:id="3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حملهما على الصلاة مع عدم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بعض المتأخّرين</w:t>
      </w:r>
      <w:r>
        <w:rPr>
          <w:rStyle w:val="FootnoteAnchor"/>
          <w:rtl w:val="true"/>
        </w:rPr>
        <w:footnoteReference w:id="3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بثوب فيه جنابة ركعتين ثمّ علم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w:t>
      </w:r>
      <w:r>
        <w:rPr>
          <w:rStyle w:val="FootnoteAnchor"/>
          <w:rtl w:val="true"/>
        </w:rPr>
        <w:footnoteReference w:id="3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الحسن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رأيته وعليك ثوب غيره فاطرحه وصلِّ</w:t>
      </w:r>
      <w:r>
        <w:rPr>
          <w:rFonts w:eastAsia="Amiri" w:cs="Amiri" w:ascii="Amiri" w:hAnsi="Amiri"/>
          <w:color w:val="111111"/>
          <w:sz w:val="28"/>
          <w:szCs w:val="28"/>
          <w:rtl w:val="true"/>
          <w:lang w:bidi="ar-SA"/>
        </w:rPr>
        <w:t>»</w:t>
      </w:r>
      <w:r>
        <w:rPr>
          <w:rStyle w:val="FootnoteAnchor"/>
          <w:rtl w:val="true"/>
        </w:rPr>
        <w:footnoteReference w:id="3437"/>
      </w:r>
      <w:r>
        <w:rPr>
          <w:rFonts w:ascii="Amiri" w:hAnsi="Amiri" w:eastAsia="Amiri" w:cs="Amiri"/>
          <w:color w:val="111111"/>
          <w:sz w:val="28"/>
          <w:sz w:val="28"/>
          <w:szCs w:val="28"/>
          <w:rtl w:val="true"/>
          <w:lang w:bidi="ar-SA"/>
        </w:rPr>
        <w:t>لحمله على عدم العلم بالسبق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وتعيد إذا شككت في موضع منه ثمّ رأيته، وإن لم تشكّ ثمّ رأيته رطباً قطعت الصلاة وغسلته ثمّ بنيت على الصلاة، لأنّك لا تدري لعلّه شيء أُوقع عليك</w:t>
      </w:r>
      <w:r>
        <w:rPr>
          <w:rFonts w:eastAsia="Amiri" w:cs="Amiri" w:ascii="Amiri" w:hAnsi="Amiri"/>
          <w:color w:val="111111"/>
          <w:sz w:val="28"/>
          <w:szCs w:val="28"/>
          <w:rtl w:val="true"/>
          <w:lang w:bidi="ar-SA"/>
        </w:rPr>
        <w:t>»</w:t>
      </w:r>
      <w:r>
        <w:rPr>
          <w:rStyle w:val="FootnoteAnchor"/>
          <w:rtl w:val="true"/>
        </w:rPr>
        <w:footnoteReference w:id="3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للمشهور</w:t>
      </w:r>
      <w:r>
        <w:rPr>
          <w:rStyle w:val="FootnoteAnchor"/>
          <w:rtl w:val="true"/>
        </w:rPr>
        <w:footnoteReference w:id="34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 أمكنه النزع والغسل بلا فعل منافٍ لزمه ذلك وصحّت صلاته، وإلّا وجب عليه القطع والاستئناف</w:t>
      </w:r>
      <w:r>
        <w:rPr>
          <w:rStyle w:val="FootnoteAnchor"/>
          <w:rtl w:val="true"/>
        </w:rPr>
        <w:footnoteReference w:id="3440"/>
      </w:r>
      <w:r>
        <w:rPr>
          <w:rFonts w:ascii="Amiri" w:hAnsi="Amiri" w:eastAsia="Amiri" w:cs="Amiri"/>
          <w:color w:val="111111"/>
          <w:sz w:val="28"/>
          <w:sz w:val="28"/>
          <w:szCs w:val="28"/>
          <w:rtl w:val="true"/>
          <w:lang w:bidi="ar-SA"/>
        </w:rPr>
        <w:t>لإطلاق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رأيته وعليك ثوب غيره فاطرحه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ولفحوى الأخبار الحاكمة بعدم الإعادة على الجاهل بالنجاسة حتّى فرغ من صلاته </w:t>
      </w:r>
      <w:r>
        <w:rPr>
          <w:rStyle w:val="FootnoteAnchor"/>
          <w:rtl w:val="true"/>
        </w:rPr>
        <w:footnoteReference w:id="3441"/>
      </w:r>
      <w:r>
        <w:rPr>
          <w:rFonts w:ascii="Amiri" w:hAnsi="Amiri" w:eastAsia="Amiri" w:cs="Amiri"/>
          <w:color w:val="111111"/>
          <w:sz w:val="28"/>
          <w:sz w:val="28"/>
          <w:szCs w:val="28"/>
          <w:rtl w:val="true"/>
          <w:lang w:bidi="ar-SA"/>
        </w:rPr>
        <w:t>لأولويّة المعذوريّة في البعض، مع إمكان تدارك الباقي بالطهارة من المعذوريّة في مجموع العبادة</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لولا الأخبار المتقدّمة المائزة بين الصورتين، والملزمة بعدم الإعادة في الصورة الأُولى والإعادة في هذه الصورة، فحمل الحسنة على الصورة الأُولى والأخذ بالأخبار الموافقة </w:t>
      </w:r>
    </w:p>
    <w:p>
      <w:pPr>
        <w:pStyle w:val="BookText"/>
        <w:rPr/>
      </w:pPr>
      <w:r>
        <w:rPr>
          <w:rFonts w:ascii="Amiri" w:hAnsi="Amiri" w:eastAsia="Amiri" w:cs="Amiri"/>
          <w:color w:val="111111"/>
          <w:sz w:val="28"/>
          <w:sz w:val="28"/>
          <w:szCs w:val="28"/>
          <w:rtl w:val="true"/>
          <w:lang w:bidi="ar-SA"/>
        </w:rPr>
        <w:t>للاحتياط أولى على أنّ الشهرة غير محقّقة ، ومع ذلك فالجمع بين الأخبار بما ذكرنا ممّا لا ينبغي المحيص عنه، والملازمة المذكورة بين الكلّ والأبعاض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ذكرناه إنّما يجري في حال الاختيار، وأمّا في حال الاضطرار وعدم إمكان التطهير فالصلاة صحيحة في النجس؛ للإجماع،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والجنابة وليس عنده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إذا اضطرّ إليه</w:t>
      </w:r>
      <w:r>
        <w:rPr>
          <w:rFonts w:eastAsia="Amiri" w:cs="Amiri" w:ascii="Amiri" w:hAnsi="Amiri"/>
          <w:color w:val="111111"/>
          <w:sz w:val="28"/>
          <w:szCs w:val="28"/>
          <w:rtl w:val="true"/>
          <w:lang w:bidi="ar-SA"/>
        </w:rPr>
        <w:t>»</w:t>
      </w:r>
      <w:r>
        <w:rPr>
          <w:rStyle w:val="FootnoteAnchor"/>
          <w:rtl w:val="true"/>
        </w:rPr>
        <w:footnoteReference w:id="3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الحال بين كونه عالماً أو جاهلاً أو ناسياً ، كما إذا صلّى مع الجهل والنسيان فتبيّن أنّه غير متمكّن من التطهير أو الإبدال، أو الصلاة عارياً؛ بناءً على تقديم الصلاة عارياً على الصلاة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المسألة على أنّ من لم يجد إلّا الثوب النجس وأمكن نزعه فهل يقدّم الصلاة بالنجس؛ للاهتمام بتحصيل الشرائط والأجزاء مهما أمكن، وللأخبار المستفيضة الدالّة على أنّه يصلّي في الثوب ولا يصلّي عِرياناً </w:t>
      </w:r>
      <w:r>
        <w:rPr>
          <w:rStyle w:val="FootnoteAnchor"/>
          <w:rtl w:val="true"/>
        </w:rPr>
        <w:footnoteReference w:id="3443"/>
      </w:r>
      <w:r>
        <w:rPr>
          <w:rFonts w:ascii="Amiri" w:hAnsi="Amiri" w:eastAsia="Amiri" w:cs="Amiri"/>
          <w:color w:val="111111"/>
          <w:sz w:val="28"/>
          <w:sz w:val="28"/>
          <w:szCs w:val="28"/>
          <w:rtl w:val="true"/>
          <w:lang w:bidi="ar-SA"/>
        </w:rPr>
        <w:t>؟ أو يقدّم الصلاة عرياناً؛ للأخبار الدالّة على لزوم الصلاة عارياً وطرح النجس</w:t>
      </w:r>
      <w:r>
        <w:rPr>
          <w:rStyle w:val="FootnoteAnchor"/>
          <w:rtl w:val="true"/>
        </w:rPr>
        <w:footnoteReference w:id="3444"/>
      </w:r>
      <w:r>
        <w:rPr>
          <w:rFonts w:ascii="Amiri" w:hAnsi="Amiri" w:eastAsia="Amiri" w:cs="Amiri"/>
          <w:color w:val="111111"/>
          <w:sz w:val="28"/>
          <w:sz w:val="28"/>
          <w:szCs w:val="28"/>
          <w:rtl w:val="true"/>
          <w:lang w:bidi="ar-SA"/>
        </w:rPr>
        <w:t>، المنجبرة بفتوى المشهور والإجماع المنقول؟ أو يتخيّر بين الصلاة عارياً والصلاة في الثوب النجس؛ جمعاً بين الصحاح الدالّة على الصلاة في الثوب والأخبار المنجبرة الدالّة على الصلاة عارياً؟ وهو الأقوى في النظر لو حصل التكافؤ، إلّا أنّ حصوله في معارضة المشهور لا يخلو عن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ممّا ذكرنا إنّما يجري في حال السعة، وأمّا حال الضيق عن الاستئناف بحيث لم يبقَ من الوقت مقدار ركعة، أو حال الضيق عن إزالة النجاسة أو تبديل الثوب، فالظاهر صحّة صلاة العالم بالنجاسة في الأثناء إذا لم يسبق له علم قبل دخوله في الصلاة، سواء علم سبقها أو لحوقها أو لم يعلم؛ للأدلّة القطعيّة الدالّة على وجوب الصلاة في أوقاتها المعيّنة</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واشتراطها بإزالة النجاسة على هذا الوجه غير معلوم، بل الاستقراء القطعي الحاصل من تتبّع العفو من الشارع عن كثير من الشرائط والأجزاء لتحصيل الصلاة في وقتها، يدلّ على صحة الصلاة عند الضيق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دلّ على وجوب الإزالة وإلّا فالاستئناف </w:t>
      </w:r>
      <w:r>
        <w:rPr>
          <w:rStyle w:val="FootnoteAnchor"/>
          <w:rtl w:val="true"/>
        </w:rPr>
        <w:footnoteReference w:id="3445"/>
      </w:r>
      <w:r>
        <w:rPr>
          <w:rFonts w:ascii="Amiri" w:hAnsi="Amiri" w:eastAsia="Amiri" w:cs="Amiri"/>
          <w:color w:val="111111"/>
          <w:sz w:val="28"/>
          <w:sz w:val="28"/>
          <w:szCs w:val="28"/>
          <w:rtl w:val="true"/>
          <w:lang w:bidi="ar-SA"/>
        </w:rPr>
        <w:t>لا ينصرف لهذا الفرد الخفي، بل هو ظاهر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يحمل عليه قوله في الرجل يصلّي فأبصر في ثوبه 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3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في ثوبك دماً وأنت تصلّي ولم تكن رأيته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صلاتك</w:t>
      </w:r>
      <w:r>
        <w:rPr>
          <w:rFonts w:eastAsia="Amiri" w:cs="Amiri" w:ascii="Amiri" w:hAnsi="Amiri"/>
          <w:color w:val="111111"/>
          <w:sz w:val="28"/>
          <w:szCs w:val="28"/>
          <w:rtl w:val="true"/>
          <w:lang w:bidi="ar-SA"/>
        </w:rPr>
        <w:t>»</w:t>
      </w:r>
      <w:r>
        <w:rPr>
          <w:rStyle w:val="FootnoteAnchor"/>
          <w:rtl w:val="true"/>
        </w:rPr>
        <w:footnoteReference w:id="3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تصحّ صلاة الناسي إذا قلنا بلزوم الإعادة عليه وقتاً وخارجاً، كما يدلّ عليه تمام الخبر المتقدّم،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رأيته قبل أن تصلّي فلم تغسله ثمّ رأيته بعد وأنت في صلاتك فانصرف واغسله وأعد صلاتك</w:t>
      </w:r>
      <w:r>
        <w:rPr>
          <w:rFonts w:eastAsia="Amiri" w:cs="Amiri" w:ascii="Amiri" w:hAnsi="Amiri"/>
          <w:color w:val="111111"/>
          <w:sz w:val="28"/>
          <w:szCs w:val="28"/>
          <w:rtl w:val="true"/>
          <w:lang w:bidi="ar-SA"/>
        </w:rPr>
        <w:t>»</w:t>
      </w:r>
      <w:r>
        <w:rPr>
          <w:rStyle w:val="FootnoteAnchor"/>
          <w:rtl w:val="true"/>
        </w:rPr>
        <w:footnoteReference w:id="3448"/>
      </w:r>
      <w:r>
        <w:rPr>
          <w:rFonts w:ascii="Amiri" w:hAnsi="Amiri" w:eastAsia="Amiri" w:cs="Amiri"/>
          <w:color w:val="111111"/>
          <w:sz w:val="28"/>
          <w:sz w:val="28"/>
          <w:szCs w:val="28"/>
          <w:rtl w:val="true"/>
          <w:lang w:bidi="ar-SA"/>
        </w:rPr>
        <w:t>، فإنّه بإطلاقه شامل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بلزوم الإعادة عليه في الوقت فقط دون خارجه، قوي أيضاً القول بصحّة صلاته الضيق بحيث لا يمكنه إدراك ركعة من الوقت عند الاستئناف الصيرورة تذكّره بمنزلة التذكّر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بالنجاسة عن جهل بالحكم ولكن مع العذر الشرعي لاشتباه في تقليد أو اجتهاد، فالظاهر أنّ عليه الإعادة كالجاهل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بالنجاسة معتقداً تطهيرها بنفسه أو بغيره فبان خطؤه، فإن كان لا عن طريق شرعي فالظاهر أنّه كالناسي، وإن كان عن طريق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عدلين أو إخبار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كالجاهل ليس عليه إعادة</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أنّي آمر الجارية فتغسل ثوبي من المنيّ فلا تبالغ في غسله فأُصلّي فيه فإذا هو يابس،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صلاتك، أمّا أنّك لو كنت أنت غسلت لم يكن عليك شيء</w:t>
      </w:r>
      <w:r>
        <w:rPr>
          <w:rFonts w:eastAsia="Amiri" w:cs="Amiri" w:ascii="Amiri" w:hAnsi="Amiri"/>
          <w:color w:val="111111"/>
          <w:sz w:val="28"/>
          <w:szCs w:val="28"/>
          <w:rtl w:val="true"/>
          <w:lang w:bidi="ar-SA"/>
        </w:rPr>
        <w:t>»</w:t>
      </w:r>
      <w:r>
        <w:rPr>
          <w:rStyle w:val="FootnoteAnchor"/>
          <w:rtl w:val="true"/>
        </w:rPr>
        <w:footnoteReference w:id="3449"/>
      </w:r>
      <w:r>
        <w:rPr>
          <w:rFonts w:ascii="Amiri" w:hAnsi="Amiri" w:eastAsia="Amiri" w:cs="Amiri"/>
          <w:color w:val="111111"/>
          <w:sz w:val="28"/>
          <w:sz w:val="28"/>
          <w:szCs w:val="28"/>
          <w:rtl w:val="true"/>
          <w:lang w:bidi="ar-SA"/>
        </w:rPr>
        <w:t>فمحمول على صلاته فيه قبل إخبارها له، أو على اطّلاعه على عدم المبالغة فيه قبل غسله بحيث حصل له الظنّ ببقاء النجاسة قبل صلاته، ويراد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 باشرت غسله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الشيء نفي بقاء النجاسة في المحلّ ؛ لأنّه لو تولّاها الأصيل لم يبقَ في المحلّ شيئاً</w:t>
      </w:r>
      <w:r>
        <w:rPr>
          <w:rFonts w:eastAsia="Amiri" w:cs="Amiri" w:ascii="Amiri" w:hAnsi="Amiri"/>
          <w:color w:val="111111"/>
          <w:sz w:val="28"/>
          <w:szCs w:val="28"/>
          <w:rtl w:val="true"/>
          <w:lang w:bidi="ar-SA"/>
        </w:rPr>
        <w:t xml:space="preserve">. </w:t>
      </w:r>
      <w:bookmarkStart w:id="1433" w:name="pg18988_203777"/>
    </w:p>
    <w:p>
      <w:pPr>
        <w:pStyle w:val="BookText"/>
        <w:rPr/>
      </w:pPr>
      <w:bookmarkEnd w:id="1433"/>
      <w:r>
        <w:rPr>
          <w:rFonts w:ascii="Amiri" w:hAnsi="Amiri" w:eastAsia="Amiri" w:cs="Amiri"/>
          <w:color w:val="111111"/>
          <w:sz w:val="28"/>
          <w:sz w:val="28"/>
          <w:szCs w:val="28"/>
          <w:rtl w:val="true"/>
          <w:lang w:bidi="ar-SA"/>
        </w:rPr>
        <w:t xml:space="preserve">ولو صلّى بالنجاسة معتقداً لجواز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لتقيّة أو مرض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خطأ، فالأظهر أنّه كالناسي؛ لأنّ الشرائط تدور مدار الواقع، ولخبر أبي بصير</w:t>
      </w:r>
      <w:r>
        <w:rPr>
          <w:rStyle w:val="FootnoteAnchor"/>
          <w:rtl w:val="true"/>
        </w:rPr>
        <w:footnoteReference w:id="3450"/>
      </w:r>
      <w:r>
        <w:rPr>
          <w:rFonts w:ascii="Amiri" w:hAnsi="Amiri" w:eastAsia="Amiri" w:cs="Amiri"/>
          <w:color w:val="111111"/>
          <w:sz w:val="28"/>
          <w:sz w:val="28"/>
          <w:szCs w:val="28"/>
          <w:rtl w:val="true"/>
          <w:lang w:bidi="ar-SA"/>
        </w:rPr>
        <w:t>الدالّ على الإعادة مع العلم، وعدمه إذا علم بها، وفي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كي يهتمّ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عقوبة لنسيانه</w:t>
      </w:r>
      <w:r>
        <w:rPr>
          <w:rFonts w:eastAsia="Amiri" w:cs="Amiri" w:ascii="Amiri" w:hAnsi="Amiri"/>
          <w:color w:val="111111"/>
          <w:sz w:val="28"/>
          <w:szCs w:val="28"/>
          <w:rtl w:val="true"/>
          <w:lang w:bidi="ar-SA"/>
        </w:rPr>
        <w:t>»</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المفصّلة بين الطلب للنجاسة والنظر والاجتهاد فلا إعادة، وبين عدمها فالإعادة</w:t>
      </w:r>
      <w:r>
        <w:rPr>
          <w:rStyle w:val="FootnoteAnchor"/>
          <w:rtl w:val="true"/>
        </w:rPr>
        <w:footnoteReference w:id="3452"/>
      </w:r>
      <w:r>
        <w:rPr>
          <w:rFonts w:ascii="Amiri" w:hAnsi="Amiri" w:eastAsia="Amiri" w:cs="Amiri"/>
          <w:color w:val="111111"/>
          <w:sz w:val="28"/>
          <w:sz w:val="28"/>
          <w:szCs w:val="28"/>
          <w:rtl w:val="true"/>
          <w:lang w:bidi="ar-SA"/>
        </w:rPr>
        <w:t>، والأخبار العامّة الدالّة على شرطيّة الطهارة للصلاة والإعادة مع النجاسة على سبيل الإطلاق</w:t>
      </w:r>
      <w:r>
        <w:rPr>
          <w:rStyle w:val="FootnoteAnchor"/>
          <w:rtl w:val="true"/>
        </w:rPr>
        <w:footnoteReference w:id="3453"/>
      </w:r>
      <w:r>
        <w:rPr>
          <w:rFonts w:ascii="Amiri" w:hAnsi="Amiri" w:eastAsia="Amiri" w:cs="Amiri"/>
          <w:color w:val="111111"/>
          <w:sz w:val="28"/>
          <w:sz w:val="28"/>
          <w:szCs w:val="28"/>
          <w:rtl w:val="true"/>
          <w:lang w:bidi="ar-SA"/>
        </w:rPr>
        <w:t>، كلّها تدلّ على أنّ الأصل الإعادة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بالوقت وخارجه هو ظرفيّة الوقت للتذكّر ، فإن تذكّر فيه أعاد فيه، ولو لم يعد وجب عليه القضاء خارج الوقت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التذكّر في الوقت موجب للإعادة في الوقت دون خارجه، وإن تذكّر في خارجه لم يجب عليه القضاء لو قلنا بإيجاب التذكّر للفعل في الوقت دون خارجه، وإن قلنا بإيجابه لهما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التذكّر في الوقت ولكن في زمن لا يمكنه تدارك العمل ولو ركعة منه، فالظاهر أنّ حكمه حكم من تذكّر خارج الوقت كما إذا تذكّر سابقةً في الوقت المختصّ باللاحقة، ولو تذكّر في أثناء العمل الذي يعاد في الوقت دون خارجه عند ضيق وقته عن الاستئناف والإعادة، فلا يبعد صحّة العمل ووجوب إتمامه وعدم الإعادة؛ لأنّه بمنزلة من تذكّر خارج الوقت، ومن تذكّر خارج الوقت صحّ عمله في الوقت</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3198449_1280447820"/>
      <w:bookmarkStart w:id="1435" w:name="_Toc551"/>
      <w:bookmarkEnd w:id="1434"/>
      <w:r>
        <w:rPr>
          <w:rtl w:val="true"/>
        </w:rPr>
        <w:t xml:space="preserve">سابعها </w:t>
      </w:r>
      <w:r>
        <w:rPr>
          <w:rtl w:val="true"/>
        </w:rPr>
        <w:t>:</w:t>
      </w:r>
      <w:r>
        <w:rPr>
          <w:rtl w:val="true"/>
        </w:rPr>
        <w:t>طهارۀ أواني الكفّار و سائر ما يستعملونه ما لم تعلم نجاسته</w:t>
      </w:r>
      <w:bookmarkEnd w:id="1435"/>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الكفّار و سائر ما يستعملونه طاهرة إذا لم تعلم نجاسته، وإن ظهرت أو ظنّ بها، عدا الجلود الغير معلوم تذكيتها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الطهارة الأصل، وعمومات الأدلّة</w:t>
      </w:r>
      <w:r>
        <w:rPr>
          <w:rStyle w:val="FootnoteAnchor"/>
          <w:rtl w:val="true"/>
        </w:rPr>
        <w:footnoteReference w:id="3455"/>
      </w:r>
      <w:r>
        <w:rPr>
          <w:rFonts w:ascii="IRNazanin" w:hAnsi="IRNazanin" w:eastAsia="IRNazanin"/>
          <w:color w:val="111111"/>
          <w:sz w:val="28"/>
          <w:sz w:val="28"/>
          <w:szCs w:val="28"/>
          <w:rtl w:val="true"/>
          <w:lang w:bidi="fa-IR"/>
        </w:rPr>
        <w:t>، والإجماع المنقول</w:t>
      </w:r>
      <w:r>
        <w:rPr>
          <w:rStyle w:val="FootnoteAnchor"/>
          <w:rtl w:val="true"/>
        </w:rPr>
        <w:footnoteReference w:id="3456"/>
      </w:r>
      <w:r>
        <w:rPr>
          <w:rFonts w:ascii="Amiri" w:hAnsi="Amiri" w:eastAsia="Amiri" w:cs="Amiri"/>
          <w:color w:val="111111"/>
          <w:sz w:val="28"/>
          <w:sz w:val="28"/>
          <w:szCs w:val="28"/>
          <w:rtl w:val="true"/>
          <w:lang w:bidi="ar-SA"/>
        </w:rPr>
        <w:t xml:space="preserve">بل ربما يدّعى أنّه </w:t>
      </w:r>
      <w:bookmarkStart w:id="1436" w:name="pg18988_203778"/>
    </w:p>
    <w:p>
      <w:pPr>
        <w:pStyle w:val="BookText"/>
        <w:rPr/>
      </w:pPr>
      <w:bookmarkEnd w:id="1436"/>
      <w:r>
        <w:rPr>
          <w:rFonts w:ascii="Amiri" w:hAnsi="Amiri" w:eastAsia="Amiri" w:cs="Amiri"/>
          <w:color w:val="111111"/>
          <w:sz w:val="28"/>
          <w:sz w:val="28"/>
          <w:szCs w:val="28"/>
          <w:rtl w:val="true"/>
          <w:lang w:bidi="ar-SA"/>
        </w:rPr>
        <w:t>محصّل</w:t>
      </w:r>
      <w:r>
        <w:rPr>
          <w:rStyle w:val="FootnoteAnchor"/>
          <w:rtl w:val="true"/>
        </w:rPr>
        <w:footnoteReference w:id="3457"/>
      </w:r>
      <w:r>
        <w:rPr>
          <w:rFonts w:ascii="Amiri" w:hAnsi="Amiri" w:eastAsia="Amiri" w:cs="Amiri"/>
          <w:color w:val="111111"/>
          <w:sz w:val="28"/>
          <w:sz w:val="28"/>
          <w:szCs w:val="28"/>
          <w:rtl w:val="true"/>
          <w:lang w:bidi="ar-SA"/>
        </w:rPr>
        <w:t xml:space="preserve">، والأخبار المستفيضة الدالّة على جواز استعمال ما استعملوه من ثوب ونحوه </w:t>
      </w:r>
      <w:r>
        <w:rPr>
          <w:rStyle w:val="FootnoteAnchor"/>
          <w:rtl w:val="true"/>
        </w:rPr>
        <w:footnoteReference w:id="3458"/>
      </w:r>
      <w:r>
        <w:rPr>
          <w:rFonts w:ascii="Amiri" w:hAnsi="Amiri" w:eastAsia="Amiri" w:cs="Amiri"/>
          <w:color w:val="111111"/>
          <w:sz w:val="28"/>
          <w:sz w:val="28"/>
          <w:szCs w:val="28"/>
          <w:rtl w:val="true"/>
          <w:lang w:bidi="ar-SA"/>
        </w:rPr>
        <w:t>، ولا قائل بالفرق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الشيخ النهي عن استعمال أواني المشركين، ونقل عليه الإجماع</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ما قاله الأخبار الناهية عن الأكل من طعامهم الذي يطبخونه، والأكل والشرب في أوانيهم</w:t>
      </w:r>
      <w:r>
        <w:rPr>
          <w:rStyle w:val="FootnoteAnchor"/>
          <w:rtl w:val="true"/>
        </w:rPr>
        <w:footnoteReference w:id="3460"/>
      </w:r>
      <w:r>
        <w:rPr>
          <w:rFonts w:ascii="Amiri" w:hAnsi="Amiri" w:eastAsia="Amiri" w:cs="Amiri"/>
          <w:color w:val="111111"/>
          <w:sz w:val="28"/>
          <w:sz w:val="28"/>
          <w:szCs w:val="28"/>
          <w:rtl w:val="true"/>
          <w:lang w:bidi="ar-SA"/>
        </w:rPr>
        <w:t>، والآمرة بغسل الثوب المُعار للذمّي</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إذ الإجماع المنقول في مقابلة فتوى معظم الفحول لا يفيد وَهْماً في الحكم فضلاً عن الظنّ، والأخبار قاصرة عن معارضة تلك الأخبار المعتضدة بفتاوى الأخيار، فلا بدّ من حملها على الندب، أو على حال العلم بالمباشرة وحصول التنجيس، بل هو الظاهر لدى كلّ ماهر</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3198451_1280447820"/>
      <w:bookmarkStart w:id="1438" w:name="_Toc552"/>
      <w:bookmarkEnd w:id="1437"/>
      <w:r>
        <w:rPr>
          <w:rtl w:val="true"/>
        </w:rPr>
        <w:t>ثامنها</w:t>
      </w:r>
      <w:r>
        <w:rPr>
          <w:rtl w:val="true"/>
        </w:rPr>
        <w:t xml:space="preserve">: </w:t>
      </w:r>
      <w:r>
        <w:rPr>
          <w:rtl w:val="true"/>
        </w:rPr>
        <w:t>حرمۀ أواني الذهب والفضّة في الأكل و الشرب بل في مطلق الاستعمال</w:t>
      </w:r>
      <w:bookmarkEnd w:id="1438"/>
    </w:p>
    <w:p>
      <w:pPr>
        <w:pStyle w:val="BookText"/>
        <w:rPr/>
      </w:pPr>
      <w:r>
        <w:rPr>
          <w:rFonts w:ascii="Amiri" w:hAnsi="Amiri" w:eastAsia="Amiri" w:cs="Amiri"/>
          <w:color w:val="111111"/>
          <w:sz w:val="28"/>
          <w:sz w:val="28"/>
          <w:szCs w:val="28"/>
          <w:rtl w:val="true"/>
          <w:lang w:bidi="ar-SA"/>
        </w:rPr>
        <w:t>يلحق بأحكام النجاسات تحريم أواني الذهب والفضّة، وتحريمهما في الأكل و الشرب ، بل في مطلق الاستعمال ممّا دلّت عليه الأخبار</w:t>
      </w:r>
      <w:r>
        <w:rPr>
          <w:rStyle w:val="FootnoteAnchor"/>
          <w:rtl w:val="true"/>
        </w:rPr>
        <w:footnoteReference w:id="3462"/>
      </w:r>
      <w:r>
        <w:rPr>
          <w:rFonts w:ascii="Amiri" w:hAnsi="Amiri" w:eastAsia="Amiri" w:cs="Amiri"/>
          <w:color w:val="111111"/>
          <w:sz w:val="28"/>
          <w:sz w:val="28"/>
          <w:szCs w:val="28"/>
          <w:rtl w:val="true"/>
          <w:lang w:bidi="ar-SA"/>
        </w:rPr>
        <w:t>، ونقلت عليه الإجماعات</w:t>
      </w:r>
      <w:r>
        <w:rPr>
          <w:rStyle w:val="FootnoteAnchor"/>
          <w:rtl w:val="true"/>
        </w:rPr>
        <w:footnoteReference w:id="3463"/>
      </w:r>
      <w:r>
        <w:rPr>
          <w:rFonts w:ascii="IRNazanin" w:hAnsi="IRNazanin" w:eastAsia="IRNazanin"/>
          <w:color w:val="111111"/>
          <w:sz w:val="28"/>
          <w:sz w:val="28"/>
          <w:szCs w:val="28"/>
          <w:rtl w:val="true"/>
          <w:lang w:bidi="fa-IR"/>
        </w:rPr>
        <w:t>، وأفتى به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فدعوى اختصاص التحريم بالأكل والشرب،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أنّهما متاع الذين لا يوقنون</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يحرم استعمال المفضّض والمذهّب؛ للأصل، وفتوى مشهور المتأخّرين،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القدَح فيه ظبّة من فضّة،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يشرب الرجل في القدح المفضّض واعزل فمك عن موضع الفضّة</w:t>
      </w:r>
      <w:r>
        <w:rPr>
          <w:rFonts w:eastAsia="Amiri" w:cs="Amiri" w:ascii="Amiri" w:hAnsi="Amiri"/>
          <w:color w:val="111111"/>
          <w:sz w:val="28"/>
          <w:szCs w:val="28"/>
          <w:rtl w:val="true"/>
          <w:lang w:bidi="ar-SA"/>
        </w:rPr>
        <w:t>»</w:t>
      </w:r>
      <w:r>
        <w:rPr>
          <w:rStyle w:val="FootnoteAnchor"/>
          <w:rtl w:val="true"/>
        </w:rPr>
        <w:footnoteReference w:id="3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ورد من النهي عن المفضّض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وشرباً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أو الحسن والموثّق</w:t>
      </w:r>
      <w:r>
        <w:rPr>
          <w:rStyle w:val="FootnoteAnchor"/>
          <w:rtl w:val="true"/>
        </w:rPr>
        <w:footnoteReference w:id="3467"/>
      </w:r>
      <w:r>
        <w:rPr>
          <w:rFonts w:ascii="Amiri" w:hAnsi="Amiri" w:eastAsia="Amiri" w:cs="Amiri"/>
          <w:color w:val="111111"/>
          <w:sz w:val="28"/>
          <w:sz w:val="28"/>
          <w:szCs w:val="28"/>
          <w:rtl w:val="true"/>
          <w:lang w:bidi="ar-SA"/>
        </w:rPr>
        <w:t>، محمول على الكراهة جمعاً؛ لعدم قوّته على ما دلّ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عزل الفم عن موضع الفضّة؛ للأمر به في الحسن</w:t>
      </w:r>
      <w:r>
        <w:rPr>
          <w:rStyle w:val="FootnoteAnchor"/>
          <w:rtl w:val="true"/>
        </w:rPr>
        <w:footnoteReference w:id="3468"/>
      </w:r>
      <w:r>
        <w:rPr>
          <w:rFonts w:ascii="IRNazanin" w:hAnsi="IRNazanin" w:eastAsia="IRNazanin"/>
          <w:color w:val="111111"/>
          <w:sz w:val="28"/>
          <w:sz w:val="28"/>
          <w:szCs w:val="28"/>
          <w:rtl w:val="true"/>
          <w:lang w:bidi="fa-IR"/>
        </w:rPr>
        <w:t xml:space="preserve">، وفتوى جمع من الأصحاب به </w:t>
      </w:r>
      <w:r>
        <w:rPr>
          <w:rStyle w:val="FootnoteAnchor"/>
          <w:rtl w:val="true"/>
        </w:rPr>
        <w:footnoteReference w:id="3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وإطلاق الصحيح، بل عمومه الناشئ من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المذهّب كالمفضّض، بل أقوى منه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والمخلوط منهما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والمخلوط بغيرهما لا بأس به ما لم يكن الخليط مستهلكاً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الإناء المركّب من أحدهما ومن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أعلاه فضّة وأسفله معدناً آخر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والمرصّع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موضوعاً على غير وضع الآنية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يكون لا أسفل له أو يكون مخرّماً لا يصلح لكونه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اجتنابه؛ لكونه متاع الذين لا يوقنون</w:t>
      </w:r>
      <w:r>
        <w:rPr>
          <w:rStyle w:val="FootnoteAnchor"/>
          <w:rtl w:val="true"/>
        </w:rPr>
        <w:footnoteReference w:id="3470"/>
      </w:r>
      <w:r>
        <w:rPr>
          <w:rFonts w:ascii="Amiri" w:hAnsi="Amiri" w:eastAsia="Amiri" w:cs="Amiri"/>
          <w:color w:val="111111"/>
          <w:sz w:val="28"/>
          <w:sz w:val="28"/>
          <w:szCs w:val="28"/>
          <w:rtl w:val="true"/>
          <w:lang w:bidi="ar-SA"/>
        </w:rPr>
        <w:t>، ولفتوى جملة من الأصحاب</w:t>
      </w:r>
      <w:r>
        <w:rPr>
          <w:rStyle w:val="FootnoteAnchor"/>
          <w:rtl w:val="true"/>
        </w:rPr>
        <w:footnoteReference w:id="3471"/>
      </w:r>
      <w:r>
        <w:rPr>
          <w:rFonts w:ascii="Amiri" w:hAnsi="Amiri" w:eastAsia="Amiri" w:cs="Amiri"/>
          <w:color w:val="111111"/>
          <w:sz w:val="28"/>
          <w:sz w:val="28"/>
          <w:szCs w:val="28"/>
          <w:rtl w:val="true"/>
          <w:lang w:bidi="ar-SA"/>
        </w:rPr>
        <w:t>، ولورود النهي عنها</w:t>
      </w:r>
      <w:r>
        <w:rPr>
          <w:rStyle w:val="FootnoteAnchor"/>
          <w:rtl w:val="true"/>
        </w:rPr>
        <w:footnoteReference w:id="3472"/>
      </w:r>
      <w:r>
        <w:rPr>
          <w:rFonts w:ascii="Amiri" w:hAnsi="Amiri" w:eastAsia="Amiri" w:cs="Amiri"/>
          <w:color w:val="111111"/>
          <w:sz w:val="28"/>
          <w:sz w:val="28"/>
          <w:szCs w:val="28"/>
          <w:rtl w:val="true"/>
          <w:lang w:bidi="ar-SA"/>
        </w:rPr>
        <w:t>المتعلّق بالذات فيشمل جميع الانتفاعات والاقتناءات</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بالآنية ما تسمّى عرفاً بذلك من ظروف أو أوعية، كثر استعمالها أو قلّ، كانت من المتداولة في البيت أم لا، كانت لها أسماء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كصحن وكمكة وصينيّة وإبريق وحبّ ومعجنة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أنّها عبارة عمّا جمعت أُموراً من الظرفية وكون المظروف ممّا يرفع ويوضع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بفصّ الخاتم، وعكوز الرمح، وظبّة السيف، والخلخال الموضوع فيه شيء، والحرز كحرز الجواد، وقاب الساعة المتّصل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غير جزء للمظروف كقاب الساعة الفوقاني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على صورة أواني متاع البيوت من أكل وشرب وطبخ وإحراز، فلا بأس برأس الشطب ورأس النارجيل، وما كان على طريقة الثياب أو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المكحلة، وظرف الغالية، وأواني الروائح والطيب المتّخذة للنساء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الطعام التي لا حاشية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الآنية، كأواني القهوة المتّخذة لوضع الأواني فيها، والجاون، وبيت الرحى وشبههما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توضّاً من آنية فضّة أثم مع العلم فإن كان لا يمكنه الوضوء من غيرها فسد وضوؤه؛ لتعلّق الخطاب به بالتيمّم، وإن أمكنه احتمل الصحّة؛ لتعلّق النهي بالاستعمال الذي هو الإخراج والإدخال دون نفس الأفعال، وهو أمر خارج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البطلان؛ لتعلّق النهي بالمقدّمة، فلا يكون ذوها مأموراً به فيفسد؛ لعدم تعلّق الأمر، أو لأنّ نفس الوضوء استعمال وهو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أحوط،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الطهارة ويتلوه كتاب الصلاة إن شاء الله تعالى</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الثاني كتاب الصلاة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في الطبقات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مالك بن الحارث بن عبد يغوث بن مسلمة بن ربيعة الأشتر النخعي المذحجي، كان من زعماء العراق الأقوياء، فارساً بطلاً صنديداً، رئيس أركان جيش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حليماً كريماً شجاعاً حازماً خطيباً لاذعاً، أدبياً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معركة اليرموك وشترت عينه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شترت عينه في حروب الردّة مع أبي مسيلمة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 وترك فيها نسلاً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معدوداً في التابعين وعلى جانب كبير من الزهد والتعفّف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إلى مصر لمّا اضطربت الأوضاع على محمّد بن أبي بكر، فسُمّ في الطريق من قبل أعوان معاوية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نقل الدكتور جودت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كتاب العبقات العنبريّة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عشائر العراق للأُستاذ عبّاس العزّاوي، وكتاب تصحيح الأوهام في أنساب الأعلام للأُستاذ عبدالستّار درويش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آل كاشف الغطاء بيت من بيوت آل عليّ من بني مالك، إحدى عشائر المنتفق الذين يرجعون إلى عامر بن صعصعة، وهم من العرب المعزّية العدنانية، وليس مالك الأشتر منهم، فهو نخعي يماني من القبائل القحطانيّة انظر 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النجاة سيّد صادق بن سيّد عليّ بن الحسين بن هاشم الحسيني الأعرجي النجفي المعروف بالفحّام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قرى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أديباً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المؤلّفات شرح شرائع الإسلام، شواهد قطر الندى مع بعض الحواشي عليه، الرحلة الرضويّة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بن خضر بن يحيى الجناجي المالكي المولود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فقيهاً أصولياً،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المنتشرة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وقع خطأ في سنة وفاته فذكر الثلاثين بدل الأربعين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كاشف الغطاء في 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ولده الوحيد الفريد الشيخ عباس قصّة زواجه مع والدته ونبذة عن ترجمة نفسه، من أراد الاطّلاع فليراجع 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142:2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طبقات أعلام الشيعة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الكرام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الحيلولة السند عند الرجاليّين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بهم الإمام العسكري والهادي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ابن السيّد حسن ابن السيّد أحمد بن محمّد بن ميرقاسم الحسيني الشهير بالقزويني النجفي الحلّي، ولد في النجف سنة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مشكور بن محمّد بن صقر الحولاوي الخاقاني النجفي، ولد في حدود عام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ابن الشيخ حسين ابن الحاج نجف التبريزي النجفي من أكابر علماء عصره ومشاهيرهم بالزهد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في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آغا بزرك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ملّا عليّ ابن الميرزا خليل الرازي الطهراني النجفي المولود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الحاج ميرزا حسين ابن الميرزا خليل الرازي الطهراني النجفي، توفّي في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ابن الشيخ عبد الله بن أحمد الدجيلي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الأشرف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ابن الشيخ محمّد عليّ ابن الشيخ عبّاس ابن الشيخ حسن بن عبّاس ابن الشيخ محمّد عليّ الكبير ابن الشيخ حسن البلاغي النجفي، توفّي في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الصحن الشريف من جهة باب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ابن الشيخ عليّ ابن الشيخ محمّد حسين ابن الشيخ محمد عليّ بن الحسين بن محمّد الأعسم النجفي، توفّي شهيداً في الدغارة يوم عاشوراء سنة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إسماعيل ابن السيّد نصر الله البهبهاني ابن السيّد محمّد شفيع ابن السيّد يوسف بن حسين بن عبد الله البلادي بن علوي، توفّي في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هـ، وأعقب ولداً هو السيّد عبد الله البهبهاني قتيل حزب الدستور الإيراني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ابن الشيخ محمّد أمين ابن الشيخ مرتضى ابن الشيخ شمس الدين بن أحمد بن نور الدين بن محمّد صادق الأنصاري التسترى النجفي، ولد في دزفول سنة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هـ، وتوفّي في النجف الأشرف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الكوهكمري نسبة إلى كوه كمر قرية كلّها سادات أشراف من أعمال تبريز عاصمة آذربيجان وإليها ينسب السيّد حسين الكوهكمري ، توفّي في النجف الأشرف سنة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ملّا محمّد بن محمّد باقر الإيرواني التركي النجفي، ولد حدود عام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هـ، وتوفّي في النجف الأشرف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هـوأعقب كلاًّ من الشيخ جواد والشيخ محمود والشيخ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بن علي الطهراني المعروف بشيخ العراقين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توفّي في بلدة الكاظمية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ابن السيد رضا ابن السيد محمّد مهديّ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هـ في النجف الأشرف، وتوفّي في النجف الأشرف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نقيّ ابن السيّد حسين ابن السيد محمّد المجاهد ابن السيّد مير عليّ صاحب الرياض الطباطبائي الحائري، توفّي في كربلاء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بن محمّد عليّ التستري توفّي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عودته من خراسان إلى النجف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راضي ابن الشيخ محمّد ابن الشيخ محسن ابن الشيخ خضر بن يحيى النجفي، علّامة الأواخر فقيه العراق، بل فقيه القرن الثالث عشر الذي اعترف ببراعته في الفقه جلّ العلماء المحقّقين، تتلمذ في الفقه على خاليه الشيخ صاحب الخيارات والشيخ حسن كاشف الغطاء، ومن تلامذته الشيخ محمّد كاظم الآخوند الخراساني صاحب الكفاية في الأُصول، والسيّد محمّد كاظم الطباطبائي اليزدي النجفي، والشيخ إبراهيم الغراوي صاحب شرح المختصر النافع، والشيخ عليّ الخاقاني إلى غيرهم من الأعاظم، توفّي في النجف الأشرف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مهديّ ابن الشيخ علي ابن الشيخ جعفر كاشف الغطاء النجفي، ولد في النجف الأشرف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هـ، وكان مقدّم العلماء ورئيس الفقهاء، انتقلت إليه المرجعيّة بعد وفاة الشيخ مرتضى الأنصاري، تتلمذ على والده الشيخ عليّ صاحب الخيارات، وعلى عمّه الشيخ حسن صاحب أنوار الفقاهة، وأخيه الشيخ محمّد، وتتلمذ عليه الكثير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المامقاني، والسيّد إسماعيل الصدر، والشيخ جواد الرشتي، والسيّد محمّد كاظم الطباطبائي، ألف كتاب الخيارات في شرح خيارات كتاب الشرائع، والمكاسب المحرّمة، ورسالة في الصوم، ورسالة في العبادات لعمل مقلّديه، توفّي في النجف الأشرف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علماء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36:5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علماء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علماء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المشار إليها انتقل إلى المكتبة العامة للمرحوم آية الله المرعشي في قم، وعرّفت في المجلّد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14723/1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ابن السيّد حسن ابن السيّد محسن الأعرجي الكاظمي، ولد في الكاظميّة سنة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وتلمذ على صاحب الجواهر، والشيخ حسن صاحب أنوار الفقاهة، وله من الأخير إجازة وصفه فيها بالسيّد السند،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يشكّ في فضيلته وغزارة علمه، وزيادة تقواه وكثرة ورعه، وطول باعه ومزيد اطلّاعه ،ولا شبهة في أنّ له ملكة مستقيمة وقوّة عظيمة في مسائل الحلال والحرام في طريق 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في أواخر عمره جصّان وبها توفّي، ونقل إلى الكاظميّة، ودفن مع جدّه في مقبرته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تكملة أمل الآمل </w:t>
      </w:r>
      <w:r>
        <w:rPr>
          <w:rFonts w:eastAsia="IRNazanin" w:cs="IRNazanin"/>
          <w:b w:val="false"/>
          <w:bCs w:val="false"/>
          <w:i w:val="false"/>
          <w:iCs w:val="false"/>
          <w:color w:val="333333"/>
          <w:sz w:val="20"/>
          <w:szCs w:val="20"/>
        </w:rPr>
        <w:t>496:5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الواقعة المعروفة بغدير دم في السنة المؤرّخة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نبذة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صالح كبّة هو جدّ أُسرة آل كبّة البغداديّة، وهي من الأُسر الثرية في العراق، ولهم الفضل في إنشاء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المخصّصة لاستراحة المسافرين بين المدن العراقيّة عندما كانت وسائل النقل لا تزال بدائية، وتقديم الرعاية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المسعودي أحد جسور بغداد، ويُسمّى في العصر الحاضر بجسر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للفرزدق وقد ورد على هذا النحو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الخطيب البغدادي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معاهد التنصيص على شواهد التلخيص لعبد الرحمن العبّاسي المتوفى سنة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وثبت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حَيْصَ 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وشدّة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الملك الظاهر ركن الدين بيبرس العلائي البندقداري، ولد سنة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وتولّى حكم مصر والشام سنة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وهو رابع سلاطين الدولة المملوكيّة ومؤسّسها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بدمشق يوم الخميس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وبنيت حول مرقده المكتبة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في بعض الألفاظ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وراجع أيضاً 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العبقات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الأربع، خطبة جامع الحلّة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مخطوطات مؤسسة الشيخ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مخطوطات مركز إحياء التراث الإسلامي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مركز إحياء التراث الإسلامي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مكتبة الروضة الرضويّة المقدّسة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مكتبة الروضة الرضوية المقدّسة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مخطوطات مكتبة الروضة الرضويّة المقدّسة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مكتبة الروضة الرضويّة المقدّسة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مكتبة الروضة الرضوية المقدسة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مخطوطات مكتبة آية الله الجليلي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مكتبة آية الله الجليلي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مخطوطات مكتبة آية الله الجليلي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 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أبواب الوضوء، الأحاديث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16:1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16:1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الأخيار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73:1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والنراقي في مستند الشيعة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الحبل المتين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59:1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الإصبهاني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فخر الإسلام في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 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 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عجز بيت نقله 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ج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هكذا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تفسير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الشاعر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م 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كثرة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كما في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بأنّ الماء القليل لا ينجس إلا بتغيّره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336:1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التطهير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التطهير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66:1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الفاضل الإصبهاني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ووالده كما 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والده في 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الحاشية على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البحراني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وراجع المعتبر </w:t>
      </w:r>
      <w:r>
        <w:rPr>
          <w:rFonts w:eastAsia="IRNazanin" w:cs="IRNazanin"/>
          <w:b w:val="false"/>
          <w:bCs w:val="false"/>
          <w:i w:val="false"/>
          <w:iCs w:val="false"/>
          <w:color w:val="333333"/>
          <w:sz w:val="20"/>
          <w:szCs w:val="20"/>
        </w:rPr>
        <w:t>46:1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32:1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وعرفاً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الفاضل الإصبهاني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فقه اللغة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الخليل في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 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 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مفتاح الكرامة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لزهير، 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أدري وسوف إخال أدري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 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الإصبهاني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اللغة والغريب ومهذّب الأسماء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كما نقله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الشهيد في ذكرى الشيعة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علي بن بابويه كما نقله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علي بن بابويه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الفاضل الإصبهاني في كشف اللثام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سائلاً غير ثابت،لسان العرب </w:t>
      </w:r>
      <w:r>
        <w:rPr>
          <w:rFonts w:eastAsia="IRNazanin" w:cs="IRNazanin"/>
          <w:b w:val="false"/>
          <w:bCs w:val="false"/>
          <w:i w:val="false"/>
          <w:iCs w:val="false"/>
          <w:color w:val="333333"/>
          <w:sz w:val="20"/>
          <w:szCs w:val="20"/>
        </w:rPr>
        <w:t>714:11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ی 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يزيل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وحكاه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الخلافيّة للمفيد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 في مصباحه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الحلّي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المرتضى في 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86:1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وابن بابويه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جُمل العلم والعمل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 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الطوسي إلى المنع عن سؤر الجلال وآكل الجيف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الفهم العلية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44:1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106:1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تفاسير البطون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الخلوة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93:1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غسله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هنا سقطاً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الحلّى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نجاسات البدن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عين النجاسة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البول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يستنجي من البول ثلاث مرّات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نشيط، الثاني المتقدّم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منعه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ابن الجنيد كما حكاه عنه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بوجود الشكّ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154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عظيم في العراق بين سنجار وتكريت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أفتى بذلك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دريرة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سيلانه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وراجع أيضاً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للجنّة والنار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للعبادة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أجزائه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بُعيد هذا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يوم وليلة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وحكاه الشهيد في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الأغال المسنونة،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86:1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استدل به القائل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الثاني في بعض تحقيقاته كما حكاه عنه البحراني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ذيل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 في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البهائي في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دغ</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زرارة المتقدمة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كما نقله أيضاً عن ابن الجنيد؛ والمحقّق الكركي في حاشية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42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244:3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نقلاً عن القاموس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السبزواري في ذخيرة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شراح قانون الطبّ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ذيل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526:1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36:2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مدارك الأحكام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وادّعى المحقّق الكركي الإجماع على ذلك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الأردبيلي في مجمع الفائدة والبرهان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الناصية بقصاص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 و</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 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البحراني عن شيخه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54:2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56:1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هشام في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وحكاه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 في مسائل الخلاف</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الكاشاني في مفاتيح الشرائع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ذيل مفتاح </w:t>
      </w:r>
      <w:r>
        <w:rPr>
          <w:rFonts w:eastAsia="IRNazanin" w:cs="IRNazanin"/>
          <w:b w:val="false"/>
          <w:bCs w:val="false"/>
          <w:i w:val="false"/>
          <w:iCs w:val="false"/>
          <w:color w:val="333333"/>
          <w:sz w:val="20"/>
          <w:szCs w:val="20"/>
        </w:rPr>
        <w:t>50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المبسوط،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فائت الجمهرة لأبي عمر و الزاهد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فائت الجمهرة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وقد تقدّم نقله عنها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والحر العاملي في بداية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والأردبيلي في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بهامش جامع البيان،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البهائي في 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جالينوس والشيخ الرئيس وشرّاح القانون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الجوهري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 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الحلى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مستندين للاحتياط</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218</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218</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218</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217</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البحراني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ثلج تخاف على رجليك</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3</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والمحتمل هو صريح المحقق الحلّي في المعتبر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إدريس في الفتاوى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وهو ظاهر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الخلاف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بعضهم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 السادس</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اليمين لمن غسل شماله قبل يمينه في النسخ الخطية والظاهر زيادته؛ حيث ذكره آنفاً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 السابع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5718</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 الثامن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فاغسلوا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231</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232</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وحكاه الصدوق عن والده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رسالته؛ ونسبه إليهما الطباطبائي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الفاضل الإصبهائي في كشف اللثام </w:t>
      </w:r>
      <w:r>
        <w:rPr>
          <w:rFonts w:eastAsia="IRNazanin" w:cs="IRNazanin"/>
          <w:b w:val="false"/>
          <w:bCs w:val="false"/>
          <w:i w:val="false"/>
          <w:iCs w:val="false"/>
          <w:color w:val="333333"/>
          <w:sz w:val="20"/>
          <w:szCs w:val="20"/>
        </w:rPr>
        <w:t>556:1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مع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والظاهر زيادته، حيث ينقل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جواز الوضوء بماء الورد للضرورة لا مطلقاً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الحلّي في مختلف الشيعة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الطوسي في المبسوط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ويمسح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w:t>
      </w:r>
      <w:r>
        <w:rPr>
          <w:rFonts w:eastAsia="IRNazanin" w:cs="IRNazanin"/>
          <w:b w:val="false"/>
          <w:bCs w:val="false"/>
          <w:i w:val="false"/>
          <w:iCs w:val="false"/>
          <w:color w:val="333333"/>
          <w:sz w:val="20"/>
          <w:szCs w:val="20"/>
        </w:rPr>
        <w:t>94:1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حاشية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مسلم تقدّم آنفاً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الموثّقة بابن بكير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الصحيح</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409:3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 عن إسماعيل بن جابر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254</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254</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الشكّ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ويظهر أنّ في العبارة سقطاً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ابن طاوس كما حكاه عنه 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البحراني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البحراني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17847</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والكيذري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في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 في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المرتضى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والفيومي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رج</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الصدوق والشيخ الطوسي وظاهر سلار؛ راجع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الحلّي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الإحكام </w:t>
      </w:r>
      <w:r>
        <w:rPr>
          <w:rFonts w:eastAsia="IRNazanin" w:cs="IRNazanin"/>
          <w:b w:val="false"/>
          <w:bCs w:val="false"/>
          <w:i w:val="false"/>
          <w:iCs w:val="false"/>
          <w:color w:val="333333"/>
          <w:sz w:val="20"/>
          <w:szCs w:val="20"/>
        </w:rPr>
        <w:t>96:1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27337</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269</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269</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جميلة المفضل بن صالح الواقع في سند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هلال الواقع في سند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السندي الواقع في سند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هلال الواقع في سند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مستندين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البحراني في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أكثر الأصحاب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البحراني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أكثر الأصحاب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38:2</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279</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202</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المعضد من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 ل ج</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البحراني في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 من متأخري المتأخرين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الثالث؛ وابن الجنيد كما حكاه عنه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 ح</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278</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13</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290</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290</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ي ض</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وحكاه ابن إدريس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ابن الأعرابي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ر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القواعد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302</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ب ط</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ب ط</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القريّة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307</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إليهم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على فتوى العامّة راجع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309</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11</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مدارك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المتأخرين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312</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312</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316</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317</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256:1</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ونقله عنه العاملي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96</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مفاتيح الشرائع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76:1</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إفادات السيّد بحر العلوم المطبوعة في آخر الوجيزة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وانظر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والسيد المرتضى كما حكاه عنه العلّامة الحلّي في مختلف الشيعة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38:1</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الحلّي في المعتبر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إدريس في السرائر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فهد الحلّي في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رواية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الأصحاب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زهرة في غنية النزوع </w:t>
      </w:r>
      <w:r>
        <w:rPr>
          <w:rFonts w:eastAsia="IRNazanin" w:cs="IRNazanin"/>
          <w:b w:val="false"/>
          <w:bCs w:val="false"/>
          <w:i w:val="false"/>
          <w:iCs w:val="false"/>
          <w:color w:val="333333"/>
          <w:sz w:val="20"/>
          <w:szCs w:val="20"/>
        </w:rPr>
        <w:t>38:1</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مصابيح الظلام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226:1</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340</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39:1</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وفقه القرآن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يأتي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300:1</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فيما بين أيدينا من المصادر على الناسب له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وابن أبي عقيل وابن الجنيد كما حكاه عنهما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ظاهر الأصحاب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البحراني في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17</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336:1</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المحقق الكركي في جامع المقاصد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وتقلّبه في بطن أُمّه،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والعلامة الحلّي في قواعد الأحكام</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أن الإيمان يشرك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407:3</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تغسيله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بابويه على ما 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والسيّد المرتضى في شرح الرسالة له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462:1</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464:1</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380</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قصب الطيب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 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384</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485</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العلّامة الحلّي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السيّد المرتضى على 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w:t>
      </w:r>
      <w:r>
        <w:rPr>
          <w:rFonts w:eastAsia="IRNazanin" w:cs="IRNazanin"/>
          <w:b w:val="false"/>
          <w:bCs w:val="false"/>
          <w:i w:val="false"/>
          <w:iCs w:val="false"/>
          <w:color w:val="333333"/>
          <w:sz w:val="20"/>
          <w:szCs w:val="20"/>
        </w:rPr>
        <w:t>1</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 ورق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401</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عقيل كما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491</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558</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 بعد الفحص في مظانّه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557</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المرتضى والجعفي وابن أبي عقيل</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واحدة الهوامّ، وهي ما له سُمٍّ يقتل كالحيّة، وقد تطلق على ما لا يقتل كالحشرات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 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عنها الشهيد في ذكرى الشيعة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531</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ذيل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الجمهرة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عبيدة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والاكتفاء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والاجتزاء</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283</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420</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ابن الجنيد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432</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ونسبه إليهما الطباطبائي في رياض المسائل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التيمّم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فارس في 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ونشوان في شمس العلوم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51:1</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أبو عبيدة عن الأصمعي على ما في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وحكاه ابن دريد عن أبي عبيدة في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في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والفيّومي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وثعلب على ما حكاه عنه الجوهري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البحراني في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دريد في 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 د </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439</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لعمر بن أبي ربيعة، وصدره هكذا</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أبي عقيل 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الصيمري في كشف الالتباس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والسيّد المرتضى في 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على ما 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الطباطبائي في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وانظر 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وابن أبي عقيل والمفيد في الرسالة العزّيّة على ما حكاه عنهم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على 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والمفيد في كتاب الأركان على ما حكاه عنه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بابويه في الرسالة على ما حكاه عنها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عليّ بن بابويه على 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455</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459</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وحكاه فيه أيضاً عن ابن الجنيد</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هذا الموثّق آنفاً </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أبي عقيل؛ وإليه وابن الجنيد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المحقّق الحلّى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الرسالة له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ونسبه إليه الفاضل الإصبهاني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الفاضل الإصبهاني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الفاضل الإصبهاني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يعيد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 والظاهر زيادتها </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المحقّق الحلّي في المعتبر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السبزواري في كفاية الفقه </w:t>
      </w:r>
      <w:r>
        <w:rPr>
          <w:rFonts w:eastAsia="IRNazanin" w:cs="IRNazanin"/>
          <w:b w:val="false"/>
          <w:bCs w:val="false"/>
          <w:i w:val="false"/>
          <w:iCs w:val="false"/>
          <w:color w:val="333333"/>
          <w:sz w:val="20"/>
          <w:szCs w:val="20"/>
        </w:rPr>
        <w:t>46:1</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ونسبه إليهما الطباطبائي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والجعفي على ما حكاه عنه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39:1</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والرواية في المصدر عن أبي الأغرّ النحّاس،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46:5</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232</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ف ح</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ف ح</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المقطوع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هنا سقطاً في الكلام</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الوسائل</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في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483</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497</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الرسالة العزّيّة على ما حكاه عنها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وابن الجنيد وابن أبي عقيل كما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 م</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الإيمان يشرك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فيه نكت ونتف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البحراني في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505</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الأطفال، 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على 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وهو غير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 ر</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ر </w:t>
      </w:r>
      <w:r>
        <w:rPr>
          <w:rFonts w:eastAsia="IRNazanin" w:cs="IRNazanin"/>
          <w:b w:val="false"/>
          <w:bCs w:val="false"/>
          <w:i w:val="false"/>
          <w:iCs w:val="false"/>
          <w:color w:val="333333"/>
          <w:sz w:val="20"/>
          <w:szCs w:val="20"/>
          <w:rtl w:val="true"/>
        </w:rPr>
        <w:t>»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ر </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 ر</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الطبرسي في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ر </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 ع</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خ ت ج</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 ا</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ولاحظ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الموثّق</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أبي بصير</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ص ر</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1548</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73</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236</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520</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ذيل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والأردبيلي في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الطوسي كما نقله الطباطبائي في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إليه صاحب المدارك فيه؛ وكذا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466:1</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نفس الباب</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الخلاف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الرواية مع تخريجها آنفاً في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435:1</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روض الجنان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76:1</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549</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550</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ض ح</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436:1</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555</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القاصّ من الشافعيّة</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437:1</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قدامة في المغني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شبرمة</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39:1</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558</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558</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393:2</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558</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492:5</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368:25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564</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الإصبهاني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564</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84</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456:2</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الشيخ حسن في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المعتبر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في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فرض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الحلّي في 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558:3</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576</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579</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النسخ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الخبر</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96:2</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96:2</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الحفاظ أو كيس يأخذها صاحب السلس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 ر</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حسن في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نعمة الله الجزائري في شرح كتاب عوالي اللآلي على ما حكاه عنه البحراني في الدرر النجفية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كتب الشيخ الطوسي</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يعيد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لنسيانه</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w:t>
      </w:r>
      <w:r>
        <w:rPr>
          <w:rFonts w:eastAsia="IRNazanin" w:cs="IRNazanin"/>
          <w:b w:val="false"/>
          <w:bCs w:val="false"/>
          <w:i w:val="false"/>
          <w:iCs w:val="false"/>
          <w:color w:val="333333"/>
          <w:sz w:val="20"/>
          <w:szCs w:val="20"/>
        </w:rPr>
        <w:t>38:1</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لنسيانه</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سادسها في ص </w:t>
      </w:r>
      <w:r>
        <w:rPr>
          <w:rFonts w:eastAsia="IRNazanin" w:cs="IRNazanin"/>
          <w:b w:val="false"/>
          <w:bCs w:val="false"/>
          <w:i w:val="false"/>
          <w:iCs w:val="false"/>
          <w:color w:val="333333"/>
          <w:sz w:val="20"/>
          <w:szCs w:val="20"/>
        </w:rPr>
        <w:t>590</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244:2</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146:2</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البحراني في الحدائق الناضرة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141:2</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وابن سعيد الحلّي في الجامع للشرائع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نهاية الإحكام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موسى بن بكير،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3.jpeg"/><Relationship Id="rId119" Type="http://schemas.openxmlformats.org/officeDocument/2006/relationships/image" Target="media/image3.jpeg"/><Relationship Id="rId120" Type="http://schemas.openxmlformats.org/officeDocument/2006/relationships/footer" Target="footer113.xml"/><Relationship Id="rId121" Type="http://schemas.openxmlformats.org/officeDocument/2006/relationships/image" Target="media/image4.jpeg"/><Relationship Id="rId122" Type="http://schemas.openxmlformats.org/officeDocument/2006/relationships/image" Target="media/image4.jpeg"/><Relationship Id="rId123" Type="http://schemas.openxmlformats.org/officeDocument/2006/relationships/footer" Target="footer114.xml"/><Relationship Id="rId124" Type="http://schemas.openxmlformats.org/officeDocument/2006/relationships/image" Target="media/image5.jpeg"/><Relationship Id="rId125" Type="http://schemas.openxmlformats.org/officeDocument/2006/relationships/image" Target="media/image5.jpeg"/><Relationship Id="rId126" Type="http://schemas.openxmlformats.org/officeDocument/2006/relationships/footer" Target="footer115.xml"/><Relationship Id="rId127" Type="http://schemas.openxmlformats.org/officeDocument/2006/relationships/image" Target="media/image6.jpeg"/><Relationship Id="rId128" Type="http://schemas.openxmlformats.org/officeDocument/2006/relationships/image" Target="media/image6.jpeg"/><Relationship Id="rId129" Type="http://schemas.openxmlformats.org/officeDocument/2006/relationships/footer" Target="footer116.xml"/><Relationship Id="rId130" Type="http://schemas.openxmlformats.org/officeDocument/2006/relationships/image" Target="media/image7.jpeg"/><Relationship Id="rId131" Type="http://schemas.openxmlformats.org/officeDocument/2006/relationships/image" Target="media/image7.jpeg"/><Relationship Id="rId132" Type="http://schemas.openxmlformats.org/officeDocument/2006/relationships/footer" Target="footer117.xml"/><Relationship Id="rId133" Type="http://schemas.openxmlformats.org/officeDocument/2006/relationships/image" Target="media/image8.jpeg"/><Relationship Id="rId134" Type="http://schemas.openxmlformats.org/officeDocument/2006/relationships/image" Target="media/image8.jpeg"/><Relationship Id="rId135" Type="http://schemas.openxmlformats.org/officeDocument/2006/relationships/footer" Target="footer118.xml"/><Relationship Id="rId136" Type="http://schemas.openxmlformats.org/officeDocument/2006/relationships/image" Target="media/image9.jpeg"/><Relationship Id="rId137" Type="http://schemas.openxmlformats.org/officeDocument/2006/relationships/image" Target="media/image9.jpeg"/><Relationship Id="rId138" Type="http://schemas.openxmlformats.org/officeDocument/2006/relationships/footer" Target="footer119.xml"/><Relationship Id="rId139" Type="http://schemas.openxmlformats.org/officeDocument/2006/relationships/image" Target="media/image10.jpeg"/><Relationship Id="rId140" Type="http://schemas.openxmlformats.org/officeDocument/2006/relationships/image" Target="media/image10.jpeg"/><Relationship Id="rId141" Type="http://schemas.openxmlformats.org/officeDocument/2006/relationships/footer" Target="footer120.xml"/><Relationship Id="rId142" Type="http://schemas.openxmlformats.org/officeDocument/2006/relationships/image" Target="media/image11.jpeg"/><Relationship Id="rId143" Type="http://schemas.openxmlformats.org/officeDocument/2006/relationships/image" Target="media/image11.jpeg"/><Relationship Id="rId144" Type="http://schemas.openxmlformats.org/officeDocument/2006/relationships/footer" Target="footer121.xml"/><Relationship Id="rId145" Type="http://schemas.openxmlformats.org/officeDocument/2006/relationships/image" Target="media/image12.jpeg"/><Relationship Id="rId146" Type="http://schemas.openxmlformats.org/officeDocument/2006/relationships/image" Target="media/image12.jpeg"/><Relationship Id="rId147" Type="http://schemas.openxmlformats.org/officeDocument/2006/relationships/footer" Target="footer122.xml"/><Relationship Id="rId148" Type="http://schemas.openxmlformats.org/officeDocument/2006/relationships/image" Target="media/image13.jpeg"/><Relationship Id="rId149" Type="http://schemas.openxmlformats.org/officeDocument/2006/relationships/image" Target="media/image13.jpeg"/><Relationship Id="rId150" Type="http://schemas.openxmlformats.org/officeDocument/2006/relationships/footer" Target="footer123.xml"/><Relationship Id="rId151" Type="http://schemas.openxmlformats.org/officeDocument/2006/relationships/image" Target="media/image14.jpeg"/><Relationship Id="rId152" Type="http://schemas.openxmlformats.org/officeDocument/2006/relationships/image" Target="media/image14.jpeg"/><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footer" Target="footer623.xml"/><Relationship Id="rId653" Type="http://schemas.openxmlformats.org/officeDocument/2006/relationships/footer" Target="footer624.xml"/><Relationship Id="rId654" Type="http://schemas.openxmlformats.org/officeDocument/2006/relationships/footer" Target="footer625.xml"/><Relationship Id="rId655" Type="http://schemas.openxmlformats.org/officeDocument/2006/relationships/footer" Target="footer626.xml"/><Relationship Id="rId656" Type="http://schemas.openxmlformats.org/officeDocument/2006/relationships/footer" Target="footer627.xml"/><Relationship Id="rId657" Type="http://schemas.openxmlformats.org/officeDocument/2006/relationships/footer" Target="footer628.xml"/><Relationship Id="rId658" Type="http://schemas.openxmlformats.org/officeDocument/2006/relationships/footer" Target="footer629.xml"/><Relationship Id="rId659" Type="http://schemas.openxmlformats.org/officeDocument/2006/relationships/footer" Target="footer630.xml"/><Relationship Id="rId660" Type="http://schemas.openxmlformats.org/officeDocument/2006/relationships/footer" Target="footer631.xml"/><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footer" Target="footer634.xml"/><Relationship Id="rId664" Type="http://schemas.openxmlformats.org/officeDocument/2006/relationships/footer" Target="footer635.xml"/><Relationship Id="rId665" Type="http://schemas.openxmlformats.org/officeDocument/2006/relationships/footer" Target="footer636.xml"/><Relationship Id="rId666" Type="http://schemas.openxmlformats.org/officeDocument/2006/relationships/footer" Target="footer637.xml"/><Relationship Id="rId667" Type="http://schemas.openxmlformats.org/officeDocument/2006/relationships/footer" Target="footer638.xml"/><Relationship Id="rId668" Type="http://schemas.openxmlformats.org/officeDocument/2006/relationships/footer" Target="footer639.xml"/><Relationship Id="rId669" Type="http://schemas.openxmlformats.org/officeDocument/2006/relationships/footer" Target="footer640.xml"/><Relationship Id="rId670" Type="http://schemas.openxmlformats.org/officeDocument/2006/relationships/footer" Target="footer641.xml"/><Relationship Id="rId671" Type="http://schemas.openxmlformats.org/officeDocument/2006/relationships/footer" Target="footer642.xml"/><Relationship Id="rId672" Type="http://schemas.openxmlformats.org/officeDocument/2006/relationships/footer" Target="footer643.xml"/><Relationship Id="rId673" Type="http://schemas.openxmlformats.org/officeDocument/2006/relationships/footer" Target="footer644.xml"/><Relationship Id="rId674" Type="http://schemas.openxmlformats.org/officeDocument/2006/relationships/footer" Target="footer645.xml"/><Relationship Id="rId675" Type="http://schemas.openxmlformats.org/officeDocument/2006/relationships/footer" Target="footer646.xml"/><Relationship Id="rId676" Type="http://schemas.openxmlformats.org/officeDocument/2006/relationships/footer" Target="footer647.xml"/><Relationship Id="rId677" Type="http://schemas.openxmlformats.org/officeDocument/2006/relationships/footer" Target="footer648.xml"/><Relationship Id="rId678" Type="http://schemas.openxmlformats.org/officeDocument/2006/relationships/footer" Target="footer649.xml"/><Relationship Id="rId679" Type="http://schemas.openxmlformats.org/officeDocument/2006/relationships/footer" Target="footer650.xml"/><Relationship Id="rId680" Type="http://schemas.openxmlformats.org/officeDocument/2006/relationships/footer" Target="footer651.xml"/><Relationship Id="rId681" Type="http://schemas.openxmlformats.org/officeDocument/2006/relationships/footer" Target="footer652.xml"/><Relationship Id="rId682" Type="http://schemas.openxmlformats.org/officeDocument/2006/relationships/footer" Target="footer653.xml"/><Relationship Id="rId683" Type="http://schemas.openxmlformats.org/officeDocument/2006/relationships/footer" Target="footer654.xml"/><Relationship Id="rId684" Type="http://schemas.openxmlformats.org/officeDocument/2006/relationships/footer" Target="footer655.xml"/><Relationship Id="rId685" Type="http://schemas.openxmlformats.org/officeDocument/2006/relationships/footer" Target="footer656.xml"/><Relationship Id="rId686" Type="http://schemas.openxmlformats.org/officeDocument/2006/relationships/footer" Target="footer657.xml"/><Relationship Id="rId687" Type="http://schemas.openxmlformats.org/officeDocument/2006/relationships/footer" Target="footer658.xml"/><Relationship Id="rId688" Type="http://schemas.openxmlformats.org/officeDocument/2006/relationships/footer" Target="footer659.xml"/><Relationship Id="rId689" Type="http://schemas.openxmlformats.org/officeDocument/2006/relationships/footer" Target="footer660.xml"/><Relationship Id="rId690" Type="http://schemas.openxmlformats.org/officeDocument/2006/relationships/footer" Target="footer661.xml"/><Relationship Id="rId691" Type="http://schemas.openxmlformats.org/officeDocument/2006/relationships/footer" Target="footer662.xml"/><Relationship Id="rId692" Type="http://schemas.openxmlformats.org/officeDocument/2006/relationships/footer" Target="footer663.xml"/><Relationship Id="rId693" Type="http://schemas.openxmlformats.org/officeDocument/2006/relationships/footer" Target="footer664.xml"/><Relationship Id="rId694" Type="http://schemas.openxmlformats.org/officeDocument/2006/relationships/footer" Target="footer665.xml"/><Relationship Id="rId695" Type="http://schemas.openxmlformats.org/officeDocument/2006/relationships/footer" Target="footer666.xml"/><Relationship Id="rId696" Type="http://schemas.openxmlformats.org/officeDocument/2006/relationships/footer" Target="footer667.xml"/><Relationship Id="rId697" Type="http://schemas.openxmlformats.org/officeDocument/2006/relationships/footer" Target="footer668.xml"/><Relationship Id="rId698" Type="http://schemas.openxmlformats.org/officeDocument/2006/relationships/footer" Target="footer669.xml"/><Relationship Id="rId699" Type="http://schemas.openxmlformats.org/officeDocument/2006/relationships/footer" Target="footer670.xml"/><Relationship Id="rId700" Type="http://schemas.openxmlformats.org/officeDocument/2006/relationships/footer" Target="footer671.xml"/><Relationship Id="rId701" Type="http://schemas.openxmlformats.org/officeDocument/2006/relationships/footer" Target="footer672.xml"/><Relationship Id="rId702" Type="http://schemas.openxmlformats.org/officeDocument/2006/relationships/footer" Target="footer673.xml"/><Relationship Id="rId703" Type="http://schemas.openxmlformats.org/officeDocument/2006/relationships/footer" Target="footer674.xml"/><Relationship Id="rId704" Type="http://schemas.openxmlformats.org/officeDocument/2006/relationships/footer" Target="footer675.xml"/><Relationship Id="rId705" Type="http://schemas.openxmlformats.org/officeDocument/2006/relationships/footer" Target="footer676.xml"/><Relationship Id="rId706" Type="http://schemas.openxmlformats.org/officeDocument/2006/relationships/footer" Target="footer677.xml"/><Relationship Id="rId707" Type="http://schemas.openxmlformats.org/officeDocument/2006/relationships/footer" Target="footer678.xml"/><Relationship Id="rId708" Type="http://schemas.openxmlformats.org/officeDocument/2006/relationships/footer" Target="footer679.xml"/><Relationship Id="rId709" Type="http://schemas.openxmlformats.org/officeDocument/2006/relationships/footer" Target="footer680.xml"/><Relationship Id="rId710" Type="http://schemas.openxmlformats.org/officeDocument/2006/relationships/footer" Target="footer681.xml"/><Relationship Id="rId711" Type="http://schemas.openxmlformats.org/officeDocument/2006/relationships/footer" Target="footer682.xml"/><Relationship Id="rId712" Type="http://schemas.openxmlformats.org/officeDocument/2006/relationships/footer" Target="footer683.xml"/><Relationship Id="rId713" Type="http://schemas.openxmlformats.org/officeDocument/2006/relationships/footer" Target="footer684.xml"/><Relationship Id="rId714" Type="http://schemas.openxmlformats.org/officeDocument/2006/relationships/footer" Target="footer685.xml"/><Relationship Id="rId715" Type="http://schemas.openxmlformats.org/officeDocument/2006/relationships/footer" Target="footer686.xml"/><Relationship Id="rId716" Type="http://schemas.openxmlformats.org/officeDocument/2006/relationships/footer" Target="footer687.xml"/><Relationship Id="rId717" Type="http://schemas.openxmlformats.org/officeDocument/2006/relationships/footer" Target="footer688.xml"/><Relationship Id="rId718" Type="http://schemas.openxmlformats.org/officeDocument/2006/relationships/footer" Target="footer689.xml"/><Relationship Id="rId719" Type="http://schemas.openxmlformats.org/officeDocument/2006/relationships/footer" Target="footer690.xml"/><Relationship Id="rId720" Type="http://schemas.openxmlformats.org/officeDocument/2006/relationships/footer" Target="footer691.xml"/><Relationship Id="rId721" Type="http://schemas.openxmlformats.org/officeDocument/2006/relationships/footer" Target="footer692.xml"/><Relationship Id="rId722" Type="http://schemas.openxmlformats.org/officeDocument/2006/relationships/footer" Target="footer693.xml"/><Relationship Id="rId723" Type="http://schemas.openxmlformats.org/officeDocument/2006/relationships/footer" Target="footer694.xml"/><Relationship Id="rId724" Type="http://schemas.openxmlformats.org/officeDocument/2006/relationships/footer" Target="footer695.xml"/><Relationship Id="rId725" Type="http://schemas.openxmlformats.org/officeDocument/2006/relationships/footer" Target="footer696.xml"/><Relationship Id="rId726" Type="http://schemas.openxmlformats.org/officeDocument/2006/relationships/footer" Target="footer697.xml"/><Relationship Id="rId727" Type="http://schemas.openxmlformats.org/officeDocument/2006/relationships/footer" Target="footer698.xml"/><Relationship Id="rId728" Type="http://schemas.openxmlformats.org/officeDocument/2006/relationships/footer" Target="footer699.xml"/><Relationship Id="rId729" Type="http://schemas.openxmlformats.org/officeDocument/2006/relationships/footer" Target="footer700.xml"/><Relationship Id="rId730" Type="http://schemas.openxmlformats.org/officeDocument/2006/relationships/footer" Target="footer701.xml"/><Relationship Id="rId731" Type="http://schemas.openxmlformats.org/officeDocument/2006/relationships/footer" Target="footer702.xml"/><Relationship Id="rId732" Type="http://schemas.openxmlformats.org/officeDocument/2006/relationships/footer" Target="footer703.xml"/><Relationship Id="rId733" Type="http://schemas.openxmlformats.org/officeDocument/2006/relationships/footer" Target="footer704.xml"/><Relationship Id="rId734" Type="http://schemas.openxmlformats.org/officeDocument/2006/relationships/footer" Target="footer705.xml"/><Relationship Id="rId735" Type="http://schemas.openxmlformats.org/officeDocument/2006/relationships/footer" Target="footer706.xml"/><Relationship Id="rId736" Type="http://schemas.openxmlformats.org/officeDocument/2006/relationships/footer" Target="footer707.xml"/><Relationship Id="rId737" Type="http://schemas.openxmlformats.org/officeDocument/2006/relationships/footer" Target="footer708.xml"/><Relationship Id="rId738" Type="http://schemas.openxmlformats.org/officeDocument/2006/relationships/footer" Target="footer709.xml"/><Relationship Id="rId739" Type="http://schemas.openxmlformats.org/officeDocument/2006/relationships/footer" Target="footer710.xml"/><Relationship Id="rId740" Type="http://schemas.openxmlformats.org/officeDocument/2006/relationships/footer" Target="footer711.xml"/><Relationship Id="rId741" Type="http://schemas.openxmlformats.org/officeDocument/2006/relationships/footer" Target="footer712.xml"/><Relationship Id="rId742" Type="http://schemas.openxmlformats.org/officeDocument/2006/relationships/footer" Target="footer713.xml"/><Relationship Id="rId743" Type="http://schemas.openxmlformats.org/officeDocument/2006/relationships/footer" Target="footer714.xml"/><Relationship Id="rId744" Type="http://schemas.openxmlformats.org/officeDocument/2006/relationships/footer" Target="footer715.xml"/><Relationship Id="rId745" Type="http://schemas.openxmlformats.org/officeDocument/2006/relationships/footer" Target="footer716.xml"/><Relationship Id="rId746" Type="http://schemas.openxmlformats.org/officeDocument/2006/relationships/footer" Target="footer717.xml"/><Relationship Id="rId747" Type="http://schemas.openxmlformats.org/officeDocument/2006/relationships/footer" Target="footer718.xml"/><Relationship Id="rId748" Type="http://schemas.openxmlformats.org/officeDocument/2006/relationships/footer" Target="footer719.xml"/><Relationship Id="rId749" Type="http://schemas.openxmlformats.org/officeDocument/2006/relationships/footer" Target="footer720.xml"/><Relationship Id="rId750" Type="http://schemas.openxmlformats.org/officeDocument/2006/relationships/footer" Target="footer721.xml"/><Relationship Id="rId751" Type="http://schemas.openxmlformats.org/officeDocument/2006/relationships/footer" Target="footer722.xml"/><Relationship Id="rId752" Type="http://schemas.openxmlformats.org/officeDocument/2006/relationships/footer" Target="footer723.xml"/><Relationship Id="rId753" Type="http://schemas.openxmlformats.org/officeDocument/2006/relationships/footer" Target="footer724.xml"/><Relationship Id="rId754" Type="http://schemas.openxmlformats.org/officeDocument/2006/relationships/footer" Target="footer725.xml"/><Relationship Id="rId755" Type="http://schemas.openxmlformats.org/officeDocument/2006/relationships/footer" Target="footer726.xml"/><Relationship Id="rId756" Type="http://schemas.openxmlformats.org/officeDocument/2006/relationships/footer" Target="footer727.xml"/><Relationship Id="rId757" Type="http://schemas.openxmlformats.org/officeDocument/2006/relationships/footer" Target="footer728.xml"/><Relationship Id="rId758" Type="http://schemas.openxmlformats.org/officeDocument/2006/relationships/image" Target="media/image2.jpeg"/><Relationship Id="rId759" Type="http://schemas.openxmlformats.org/officeDocument/2006/relationships/image" Target="media/image2.jpeg"/><Relationship Id="rId760" Type="http://schemas.openxmlformats.org/officeDocument/2006/relationships/footer" Target="footer729.xml"/><Relationship Id="rId761" Type="http://schemas.openxmlformats.org/officeDocument/2006/relationships/footnotes" Target="footnotes.xml"/><Relationship Id="rId762" Type="http://schemas.openxmlformats.org/officeDocument/2006/relationships/numbering" Target="numbering.xml"/><Relationship Id="rId763" Type="http://schemas.openxmlformats.org/officeDocument/2006/relationships/fontTable" Target="fontTable.xml"/><Relationship Id="rId764" Type="http://schemas.openxmlformats.org/officeDocument/2006/relationships/settings" Target="settings.xml"/><Relationship Id="rId7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747</Pages>
  <Words>44856</Words>
  <Characters>204032</Characters>
  <CharactersWithSpaces>247533</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2026-08-25T17:30:51Z</dcterms:created>
  <dc:creator>ghaemiyeh.com</dc:creator>
  <dc:description/>
  <dc:language>en-US</dc:language>
  <cp:lastModifiedBy/>
  <dcterms:modified xsi:type="dcterms:W3CDTF">2026-08-25T21:01:37Z</dcterms:modified>
  <cp:revision>1</cp:revision>
  <dc:subject/>
  <dc:title>أنوار الفقاهة کاشف الغطاء جلد 1</dc:title>
</cp:coreProperties>
</file>

<file path=docProps/custom.xml><?xml version="1.0" encoding="utf-8"?>
<Properties xmlns="http://schemas.openxmlformats.org/officeDocument/2006/custom-properties" xmlns:vt="http://schemas.openxmlformats.org/officeDocument/2006/docPropsVTypes"/>
</file>