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7.jpeg" ContentType="image/jpeg"/>
  <Override PartName="/word/media/image6.jpeg" ContentType="image/jpeg"/>
  <Override PartName="/word/media/image7.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5.jpeg" ContentType="image/jpeg"/>
  <Override PartName="/word/media/image26.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media/image20.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الولایة و الحکومة الإسلامیة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99590_1280447820">
            <w:r>
              <w:rPr>
                <w:webHidden/>
                <w:rStyle w:val="IndexLink"/>
                <w:rtl w:val="true"/>
              </w:rPr>
              <w:t>هوية الكتاب</w:t>
            </w:r>
            <w:r>
              <w:rPr>
                <w:rStyle w:val="IndexLink"/>
                <w:rtl w:val="true"/>
              </w:rPr>
              <w:tab/>
            </w:r>
            <w:r>
              <w:rPr>
                <w:rStyle w:val="IndexLink"/>
              </w:rPr>
              <w:t>14</w:t>
            </w:r>
          </w:hyperlink>
        </w:p>
        <w:p>
          <w:pPr>
            <w:pStyle w:val="Contents2"/>
            <w:tabs>
              <w:tab w:val="clear" w:pos="8743"/>
              <w:tab w:val="right" w:pos="9026" w:leader="dot"/>
            </w:tabs>
            <w:rPr/>
          </w:pPr>
          <w:hyperlink w:anchor="__RefHeading___Toc13099592_1280447820">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3099594_1280447820">
            <w:r>
              <w:rPr>
                <w:webHidden/>
                <w:rStyle w:val="IndexLink"/>
                <w:rtl w:val="true"/>
              </w:rPr>
              <w:t>الفهرس الإجمالى</w:t>
            </w:r>
            <w:r>
              <w:rPr>
                <w:rStyle w:val="IndexLink"/>
                <w:rtl w:val="true"/>
              </w:rPr>
              <w:tab/>
            </w:r>
            <w:r>
              <w:rPr>
                <w:rStyle w:val="IndexLink"/>
              </w:rPr>
              <w:t>18</w:t>
            </w:r>
          </w:hyperlink>
        </w:p>
        <w:p>
          <w:pPr>
            <w:pStyle w:val="Contents2"/>
            <w:tabs>
              <w:tab w:val="clear" w:pos="8743"/>
              <w:tab w:val="right" w:pos="9026" w:leader="dot"/>
            </w:tabs>
            <w:rPr/>
          </w:pPr>
          <w:hyperlink w:anchor="__RefHeading___Toc13099596_1280447820">
            <w:r>
              <w:rPr>
                <w:webHidden/>
                <w:rStyle w:val="IndexLink"/>
                <w:rtl w:val="true"/>
              </w:rPr>
              <w:t>تصديرٌ</w:t>
            </w:r>
            <w:r>
              <w:rPr>
                <w:rStyle w:val="IndexLink"/>
                <w:rtl w:val="true"/>
              </w:rPr>
              <w:tab/>
            </w:r>
            <w:r>
              <w:rPr>
                <w:rStyle w:val="IndexLink"/>
              </w:rPr>
              <w:t>22</w:t>
            </w:r>
          </w:hyperlink>
        </w:p>
        <w:p>
          <w:pPr>
            <w:pStyle w:val="Contents2"/>
            <w:tabs>
              <w:tab w:val="clear" w:pos="8743"/>
              <w:tab w:val="right" w:pos="9026" w:leader="dot"/>
            </w:tabs>
            <w:rPr/>
          </w:pPr>
          <w:hyperlink w:anchor="__RefHeading___Toc13099598_1280447820">
            <w:r>
              <w:rPr>
                <w:webHidden/>
                <w:rStyle w:val="IndexLink"/>
                <w:rtl w:val="true"/>
              </w:rPr>
              <w:t>كلمة المقرِّر</w:t>
            </w:r>
            <w:r>
              <w:rPr>
                <w:rStyle w:val="IndexLink"/>
                <w:rtl w:val="true"/>
              </w:rPr>
              <w:tab/>
            </w:r>
            <w:r>
              <w:rPr>
                <w:rStyle w:val="IndexLink"/>
              </w:rPr>
              <w:t>24</w:t>
            </w:r>
          </w:hyperlink>
        </w:p>
        <w:p>
          <w:pPr>
            <w:pStyle w:val="Contents2"/>
            <w:tabs>
              <w:tab w:val="clear" w:pos="8743"/>
              <w:tab w:val="right" w:pos="9026" w:leader="dot"/>
            </w:tabs>
            <w:rPr/>
          </w:pPr>
          <w:hyperlink w:anchor="__RefHeading___Toc13099600_1280447820">
            <w:r>
              <w:rPr>
                <w:webHidden/>
                <w:rStyle w:val="IndexLink"/>
                <w:rtl w:val="true"/>
              </w:rPr>
              <w:t xml:space="preserve">تقريظُ سماحة آية اللّٰه العظمى المظاهرى </w:t>
            </w:r>
            <w:r>
              <w:rPr>
                <w:rStyle w:val="IndexLink"/>
                <w:rtl w:val="true"/>
              </w:rPr>
              <w:t xml:space="preserve">- </w:t>
            </w:r>
            <w:r>
              <w:rPr>
                <w:rStyle w:val="IndexLink"/>
                <w:rtl w:val="true"/>
              </w:rPr>
              <w:t xml:space="preserve">أدام اللّٰه ظلّه </w:t>
            </w:r>
            <w:r>
              <w:rPr>
                <w:rStyle w:val="IndexLink"/>
                <w:rtl w:val="true"/>
              </w:rPr>
              <w:t>-</w:t>
              <w:tab/>
            </w:r>
            <w:r>
              <w:rPr>
                <w:rStyle w:val="IndexLink"/>
              </w:rPr>
              <w:t>31</w:t>
            </w:r>
          </w:hyperlink>
        </w:p>
        <w:p>
          <w:pPr>
            <w:pStyle w:val="Contents2"/>
            <w:tabs>
              <w:tab w:val="clear" w:pos="8743"/>
              <w:tab w:val="right" w:pos="9026" w:leader="dot"/>
            </w:tabs>
            <w:rPr/>
          </w:pPr>
          <w:hyperlink w:anchor="__RefHeading___Toc13099602_1280447820">
            <w:r>
              <w:rPr>
                <w:webHidden/>
                <w:rStyle w:val="IndexLink"/>
                <w:rtl w:val="true"/>
              </w:rPr>
              <w:t>ولاية الفقيه و تحليلها</w:t>
            </w:r>
            <w:r>
              <w:rPr>
                <w:rStyle w:val="IndexLink"/>
                <w:rtl w:val="true"/>
              </w:rPr>
              <w:tab/>
            </w:r>
            <w:r>
              <w:rPr>
                <w:rStyle w:val="IndexLink"/>
              </w:rPr>
              <w:t>32</w:t>
            </w:r>
          </w:hyperlink>
        </w:p>
        <w:p>
          <w:pPr>
            <w:pStyle w:val="Contents3"/>
            <w:tabs>
              <w:tab w:val="clear" w:pos="8459"/>
              <w:tab w:val="right" w:pos="9026" w:leader="dot"/>
            </w:tabs>
            <w:rPr/>
          </w:pPr>
          <w:hyperlink w:anchor="__RefHeading___Toc13099604_1280447820">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13099606_1280447820">
            <w:r>
              <w:rPr>
                <w:webHidden/>
                <w:rStyle w:val="IndexLink"/>
                <w:rtl w:val="true"/>
              </w:rPr>
              <w:t>الفصل الاوّل مباحث تمهيديّة</w:t>
            </w:r>
            <w:r>
              <w:rPr>
                <w:rStyle w:val="IndexLink"/>
                <w:rtl w:val="true"/>
              </w:rPr>
              <w:tab/>
            </w:r>
            <w:r>
              <w:rPr>
                <w:rStyle w:val="IndexLink"/>
              </w:rPr>
              <w:t>34</w:t>
            </w:r>
          </w:hyperlink>
        </w:p>
        <w:p>
          <w:pPr>
            <w:pStyle w:val="Contents4"/>
            <w:tabs>
              <w:tab w:val="clear" w:pos="8176"/>
              <w:tab w:val="right" w:pos="9026" w:leader="dot"/>
            </w:tabs>
            <w:rPr/>
          </w:pPr>
          <w:hyperlink w:anchor="__RefHeading___Toc13099608_128044782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13099610_1280447820">
            <w:r>
              <w:rPr>
                <w:webHidden/>
                <w:rStyle w:val="IndexLink"/>
                <w:rtl w:val="true"/>
              </w:rPr>
              <w:t>المقدّمة الأوليٰأقسام الولاية</w:t>
            </w:r>
            <w:r>
              <w:rPr>
                <w:rStyle w:val="IndexLink"/>
                <w:rtl w:val="true"/>
              </w:rPr>
              <w:tab/>
            </w:r>
            <w:r>
              <w:rPr>
                <w:rStyle w:val="IndexLink"/>
              </w:rPr>
              <w:t>36</w:t>
            </w:r>
          </w:hyperlink>
        </w:p>
        <w:p>
          <w:pPr>
            <w:pStyle w:val="Contents5"/>
            <w:tabs>
              <w:tab w:val="clear" w:pos="7892"/>
              <w:tab w:val="right" w:pos="9026" w:leader="dot"/>
            </w:tabs>
            <w:rPr/>
          </w:pPr>
          <w:hyperlink w:anchor="__RefHeading___Toc13099612_1280447820">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13099614_1280447820">
            <w:r>
              <w:rPr>
                <w:webHidden/>
                <w:rStyle w:val="IndexLink"/>
              </w:rPr>
              <w:t>1</w:t>
            </w:r>
            <w:r>
              <w:rPr>
                <w:rStyle w:val="IndexLink"/>
                <w:rtl w:val="true"/>
              </w:rPr>
              <w:t xml:space="preserve"> - </w:t>
            </w:r>
            <w:r>
              <w:rPr>
                <w:rStyle w:val="IndexLink"/>
                <w:rtl w:val="true"/>
              </w:rPr>
              <w:t>الولاية التكوينيّة</w:t>
            </w:r>
            <w:r>
              <w:rPr>
                <w:rStyle w:val="IndexLink"/>
                <w:rtl w:val="true"/>
              </w:rPr>
              <w:t>:</w:t>
              <w:tab/>
            </w:r>
            <w:r>
              <w:rPr>
                <w:rStyle w:val="IndexLink"/>
              </w:rPr>
              <w:t>37</w:t>
            </w:r>
          </w:hyperlink>
        </w:p>
        <w:p>
          <w:pPr>
            <w:pStyle w:val="Contents5"/>
            <w:tabs>
              <w:tab w:val="clear" w:pos="7892"/>
              <w:tab w:val="right" w:pos="9026" w:leader="dot"/>
            </w:tabs>
            <w:rPr/>
          </w:pPr>
          <w:hyperlink w:anchor="__RefHeading___Toc13099616_1280447820">
            <w:r>
              <w:rPr>
                <w:webHidden/>
                <w:rStyle w:val="IndexLink"/>
              </w:rPr>
              <w:t>2</w:t>
            </w:r>
            <w:r>
              <w:rPr>
                <w:rStyle w:val="IndexLink"/>
                <w:rtl w:val="true"/>
              </w:rPr>
              <w:t xml:space="preserve"> - </w:t>
            </w:r>
            <w:r>
              <w:rPr>
                <w:rStyle w:val="IndexLink"/>
                <w:rtl w:val="true"/>
              </w:rPr>
              <w:t>الولاية التشريعيّة</w:t>
            </w:r>
            <w:r>
              <w:rPr>
                <w:rStyle w:val="IndexLink"/>
                <w:rtl w:val="true"/>
              </w:rPr>
              <w:t>:</w:t>
              <w:tab/>
            </w:r>
            <w:r>
              <w:rPr>
                <w:rStyle w:val="IndexLink"/>
              </w:rPr>
              <w:t>37</w:t>
            </w:r>
          </w:hyperlink>
        </w:p>
        <w:p>
          <w:pPr>
            <w:pStyle w:val="Contents5"/>
            <w:tabs>
              <w:tab w:val="clear" w:pos="7892"/>
              <w:tab w:val="right" w:pos="9026" w:leader="dot"/>
            </w:tabs>
            <w:rPr/>
          </w:pPr>
          <w:hyperlink w:anchor="__RefHeading___Toc13099618_1280447820">
            <w:r>
              <w:rPr>
                <w:webHidden/>
                <w:rStyle w:val="IndexLink"/>
              </w:rPr>
              <w:t>3</w:t>
            </w:r>
            <w:r>
              <w:rPr>
                <w:rStyle w:val="IndexLink"/>
                <w:rtl w:val="true"/>
              </w:rPr>
              <w:t xml:space="preserve"> - </w:t>
            </w:r>
            <w:r>
              <w:rPr>
                <w:rStyle w:val="IndexLink"/>
                <w:rtl w:val="true"/>
              </w:rPr>
              <w:t>الولاية العنائيّة</w:t>
            </w:r>
            <w:r>
              <w:rPr>
                <w:rStyle w:val="IndexLink"/>
                <w:rtl w:val="true"/>
              </w:rPr>
              <w:tab/>
            </w:r>
            <w:r>
              <w:rPr>
                <w:rStyle w:val="IndexLink"/>
              </w:rPr>
              <w:t>37</w:t>
            </w:r>
          </w:hyperlink>
        </w:p>
        <w:p>
          <w:pPr>
            <w:pStyle w:val="Contents4"/>
            <w:tabs>
              <w:tab w:val="clear" w:pos="8176"/>
              <w:tab w:val="right" w:pos="9026" w:leader="dot"/>
            </w:tabs>
            <w:rPr/>
          </w:pPr>
          <w:hyperlink w:anchor="__RefHeading___Toc13099620_1280447820">
            <w:r>
              <w:rPr>
                <w:webHidden/>
                <w:rStyle w:val="IndexLink"/>
                <w:rtl w:val="true"/>
              </w:rPr>
              <w:t>توضيحٌ موجزٌحول كلّ واحدٍ من الأقسام التسعة</w:t>
            </w:r>
            <w:r>
              <w:rPr>
                <w:rStyle w:val="IndexLink"/>
                <w:rtl w:val="true"/>
              </w:rPr>
              <w:tab/>
            </w:r>
            <w:r>
              <w:rPr>
                <w:rStyle w:val="IndexLink"/>
              </w:rPr>
              <w:t>38</w:t>
            </w:r>
          </w:hyperlink>
        </w:p>
        <w:p>
          <w:pPr>
            <w:pStyle w:val="Contents5"/>
            <w:tabs>
              <w:tab w:val="clear" w:pos="7892"/>
              <w:tab w:val="right" w:pos="9026" w:leader="dot"/>
            </w:tabs>
            <w:rPr/>
          </w:pPr>
          <w:hyperlink w:anchor="__RefHeading___Toc13099622_1280447820">
            <w:r>
              <w:rPr>
                <w:webHidden/>
                <w:rStyle w:val="IndexLink"/>
              </w:rPr>
              <w:t>1-1</w:t>
            </w:r>
            <w:r>
              <w:rPr>
                <w:rStyle w:val="IndexLink"/>
                <w:rtl w:val="true"/>
              </w:rPr>
              <w:t xml:space="preserve">: </w:t>
            </w:r>
            <w:r>
              <w:rPr>
                <w:rStyle w:val="IndexLink"/>
                <w:rtl w:val="true"/>
              </w:rPr>
              <w:t>الولاية التكوينيّة بمعنى صحّة التصرّف في التكوين</w:t>
            </w:r>
            <w:r>
              <w:rPr>
                <w:rStyle w:val="IndexLink"/>
                <w:rtl w:val="true"/>
              </w:rPr>
              <w:tab/>
            </w:r>
            <w:r>
              <w:rPr>
                <w:rStyle w:val="IndexLink"/>
              </w:rPr>
              <w:t>38</w:t>
            </w:r>
          </w:hyperlink>
        </w:p>
        <w:p>
          <w:pPr>
            <w:pStyle w:val="Contents5"/>
            <w:tabs>
              <w:tab w:val="clear" w:pos="7892"/>
              <w:tab w:val="right" w:pos="9026" w:leader="dot"/>
            </w:tabs>
            <w:rPr/>
          </w:pPr>
          <w:hyperlink w:anchor="__RefHeading___Toc13099624_1280447820">
            <w:r>
              <w:rPr>
                <w:webHidden/>
                <w:rStyle w:val="IndexLink"/>
              </w:rPr>
              <w:t>1-2</w:t>
            </w:r>
            <w:r>
              <w:rPr>
                <w:rStyle w:val="IndexLink"/>
                <w:rtl w:val="true"/>
              </w:rPr>
              <w:t xml:space="preserve">: </w:t>
            </w:r>
            <w:r>
              <w:rPr>
                <w:rStyle w:val="IndexLink"/>
                <w:rtl w:val="true"/>
              </w:rPr>
              <w:t>الولاية التكوينيّة بمعنى زعامة الناس في سيرهم الكماليّ‌</w:t>
            </w:r>
            <w:r>
              <w:rPr>
                <w:rStyle w:val="IndexLink"/>
                <w:rtl w:val="true"/>
              </w:rPr>
              <w:tab/>
            </w:r>
            <w:r>
              <w:rPr>
                <w:rStyle w:val="IndexLink"/>
              </w:rPr>
              <w:t>40</w:t>
            </w:r>
          </w:hyperlink>
        </w:p>
        <w:p>
          <w:pPr>
            <w:pStyle w:val="Contents5"/>
            <w:tabs>
              <w:tab w:val="clear" w:pos="7892"/>
              <w:tab w:val="right" w:pos="9026" w:leader="dot"/>
            </w:tabs>
            <w:rPr/>
          </w:pPr>
          <w:hyperlink w:anchor="__RefHeading___Toc13099626_1280447820">
            <w:r>
              <w:rPr>
                <w:webHidden/>
                <w:rStyle w:val="IndexLink"/>
              </w:rPr>
              <w:t>1-3</w:t>
            </w:r>
            <w:r>
              <w:rPr>
                <w:rStyle w:val="IndexLink"/>
                <w:rtl w:val="true"/>
              </w:rPr>
              <w:t xml:space="preserve">: </w:t>
            </w:r>
            <w:r>
              <w:rPr>
                <w:rStyle w:val="IndexLink"/>
                <w:rtl w:val="true"/>
              </w:rPr>
              <w:t>الولاية التكوينيّة بمعنى زعامة رَكْب الوجود في مدرج الحياة</w:t>
            </w:r>
            <w:r>
              <w:rPr>
                <w:rStyle w:val="IndexLink"/>
                <w:rtl w:val="true"/>
              </w:rPr>
              <w:tab/>
            </w:r>
            <w:r>
              <w:rPr>
                <w:rStyle w:val="IndexLink"/>
              </w:rPr>
              <w:t>42</w:t>
            </w:r>
          </w:hyperlink>
        </w:p>
        <w:p>
          <w:pPr>
            <w:pStyle w:val="Contents5"/>
            <w:tabs>
              <w:tab w:val="clear" w:pos="7892"/>
              <w:tab w:val="right" w:pos="9026" w:leader="dot"/>
            </w:tabs>
            <w:rPr/>
          </w:pPr>
          <w:hyperlink w:anchor="__RefHeading___Toc13099628_1280447820">
            <w:r>
              <w:rPr>
                <w:webHidden/>
                <w:rStyle w:val="IndexLink"/>
              </w:rPr>
              <w:t>1-4</w:t>
            </w:r>
            <w:r>
              <w:rPr>
                <w:rStyle w:val="IndexLink"/>
                <w:rtl w:val="true"/>
              </w:rPr>
              <w:t xml:space="preserve">: </w:t>
            </w:r>
            <w:r>
              <w:rPr>
                <w:rStyle w:val="IndexLink"/>
                <w:rtl w:val="true"/>
              </w:rPr>
              <w:t xml:space="preserve">الولاية التكوينيّة بمعنى تعلّق حياة العالَم بالأئمّة </w:t>
            </w:r>
            <w:r>
              <w:rPr>
                <w:rStyle w:val="IndexLink"/>
                <w:rtl w:val="true"/>
              </w:rPr>
              <w:t xml:space="preserve">- </w:t>
            </w:r>
            <w:r>
              <w:rPr>
                <w:rStyle w:val="IndexLink"/>
                <w:rtl w:val="true"/>
              </w:rPr>
              <w:t xml:space="preserve">عليهم السلام </w:t>
            </w:r>
            <w:r>
              <w:rPr>
                <w:rStyle w:val="IndexLink"/>
                <w:rtl w:val="true"/>
              </w:rPr>
              <w:t>-</w:t>
              <w:tab/>
            </w:r>
            <w:r>
              <w:rPr>
                <w:rStyle w:val="IndexLink"/>
              </w:rPr>
              <w:t>44</w:t>
            </w:r>
          </w:hyperlink>
        </w:p>
        <w:p>
          <w:pPr>
            <w:pStyle w:val="Contents5"/>
            <w:tabs>
              <w:tab w:val="clear" w:pos="7892"/>
              <w:tab w:val="right" w:pos="9026" w:leader="dot"/>
            </w:tabs>
            <w:rPr/>
          </w:pPr>
          <w:hyperlink w:anchor="__RefHeading___Toc13099630_1280447820">
            <w:r>
              <w:rPr>
                <w:webHidden/>
                <w:rStyle w:val="IndexLink"/>
              </w:rPr>
              <w:t>2-1</w:t>
            </w:r>
            <w:r>
              <w:rPr>
                <w:rStyle w:val="IndexLink"/>
                <w:rtl w:val="true"/>
              </w:rPr>
              <w:t xml:space="preserve">: </w:t>
            </w:r>
            <w:r>
              <w:rPr>
                <w:rStyle w:val="IndexLink"/>
                <w:rtl w:val="true"/>
              </w:rPr>
              <w:t>الولاية التشريعيّة بمعنى الولاية في التقنين و السنّ‌</w:t>
            </w:r>
            <w:r>
              <w:rPr>
                <w:rStyle w:val="IndexLink"/>
                <w:rtl w:val="true"/>
              </w:rPr>
              <w:tab/>
            </w:r>
            <w:r>
              <w:rPr>
                <w:rStyle w:val="IndexLink"/>
              </w:rPr>
              <w:t>45</w:t>
            </w:r>
          </w:hyperlink>
        </w:p>
        <w:p>
          <w:pPr>
            <w:pStyle w:val="Contents5"/>
            <w:tabs>
              <w:tab w:val="clear" w:pos="7892"/>
              <w:tab w:val="right" w:pos="9026" w:leader="dot"/>
            </w:tabs>
            <w:rPr/>
          </w:pPr>
          <w:hyperlink w:anchor="__RefHeading___Toc13099632_1280447820">
            <w:r>
              <w:rPr>
                <w:webHidden/>
                <w:rStyle w:val="IndexLink"/>
              </w:rPr>
              <w:t>2-2</w:t>
            </w:r>
            <w:r>
              <w:rPr>
                <w:rStyle w:val="IndexLink"/>
                <w:rtl w:val="true"/>
              </w:rPr>
              <w:t xml:space="preserve">: </w:t>
            </w:r>
            <w:r>
              <w:rPr>
                <w:rStyle w:val="IndexLink"/>
                <w:rtl w:val="true"/>
              </w:rPr>
              <w:t>الولاية التشريعيّة بمعنى الولاية في القضاء و الفصل</w:t>
            </w:r>
            <w:r>
              <w:rPr>
                <w:rStyle w:val="IndexLink"/>
                <w:rtl w:val="true"/>
              </w:rPr>
              <w:tab/>
            </w:r>
            <w:r>
              <w:rPr>
                <w:rStyle w:val="IndexLink"/>
              </w:rPr>
              <w:t>47</w:t>
            </w:r>
          </w:hyperlink>
        </w:p>
        <w:p>
          <w:pPr>
            <w:pStyle w:val="Contents5"/>
            <w:tabs>
              <w:tab w:val="clear" w:pos="7892"/>
              <w:tab w:val="right" w:pos="9026" w:leader="dot"/>
            </w:tabs>
            <w:rPr/>
          </w:pPr>
          <w:hyperlink w:anchor="__RefHeading___Toc13099634_1280447820">
            <w:r>
              <w:rPr>
                <w:webHidden/>
                <w:rStyle w:val="IndexLink"/>
              </w:rPr>
              <w:t>2-3</w:t>
            </w:r>
            <w:r>
              <w:rPr>
                <w:rStyle w:val="IndexLink"/>
                <w:rtl w:val="true"/>
              </w:rPr>
              <w:t xml:space="preserve">: </w:t>
            </w:r>
            <w:r>
              <w:rPr>
                <w:rStyle w:val="IndexLink"/>
                <w:rtl w:val="true"/>
              </w:rPr>
              <w:t>الولاية التشريعيّة بمعنى الولاية في الطاعة و الانقياد و الامتثال</w:t>
            </w:r>
            <w:r>
              <w:rPr>
                <w:rStyle w:val="IndexLink"/>
                <w:rtl w:val="true"/>
              </w:rPr>
              <w:tab/>
            </w:r>
            <w:r>
              <w:rPr>
                <w:rStyle w:val="IndexLink"/>
              </w:rPr>
              <w:t>48</w:t>
            </w:r>
          </w:hyperlink>
        </w:p>
        <w:p>
          <w:pPr>
            <w:pStyle w:val="Contents5"/>
            <w:tabs>
              <w:tab w:val="clear" w:pos="7892"/>
              <w:tab w:val="right" w:pos="9026" w:leader="dot"/>
            </w:tabs>
            <w:rPr/>
          </w:pPr>
          <w:hyperlink w:anchor="__RefHeading___Toc13099636_1280447820">
            <w:r>
              <w:rPr>
                <w:webHidden/>
                <w:rStyle w:val="IndexLink"/>
              </w:rPr>
              <w:t>2-4</w:t>
            </w:r>
            <w:r>
              <w:rPr>
                <w:rStyle w:val="IndexLink"/>
                <w:rtl w:val="true"/>
              </w:rPr>
              <w:t xml:space="preserve">: </w:t>
            </w:r>
            <w:r>
              <w:rPr>
                <w:rStyle w:val="IndexLink"/>
                <w:rtl w:val="true"/>
              </w:rPr>
              <w:t>الولاية التشريعيّة بمعنى الأمارة و مرتبة رئاسة المجتمع</w:t>
            </w:r>
            <w:r>
              <w:rPr>
                <w:rStyle w:val="IndexLink"/>
                <w:rtl w:val="true"/>
              </w:rPr>
              <w:tab/>
            </w:r>
            <w:r>
              <w:rPr>
                <w:rStyle w:val="IndexLink"/>
              </w:rPr>
              <w:t>49</w:t>
            </w:r>
          </w:hyperlink>
        </w:p>
        <w:p>
          <w:pPr>
            <w:pStyle w:val="Contents5"/>
            <w:tabs>
              <w:tab w:val="clear" w:pos="7892"/>
              <w:tab w:val="right" w:pos="9026" w:leader="dot"/>
            </w:tabs>
            <w:rPr/>
          </w:pPr>
          <w:hyperlink w:anchor="__RefHeading___Toc13099638_1280447820">
            <w:r>
              <w:rPr>
                <w:webHidden/>
                <w:rStyle w:val="IndexLink"/>
              </w:rPr>
              <w:t>3</w:t>
            </w:r>
            <w:r>
              <w:rPr>
                <w:rStyle w:val="IndexLink"/>
                <w:rtl w:val="true"/>
              </w:rPr>
              <w:t xml:space="preserve"> - </w:t>
            </w:r>
            <w:r>
              <w:rPr>
                <w:rStyle w:val="IndexLink"/>
                <w:rtl w:val="true"/>
              </w:rPr>
              <w:t>الولاية العنائيّة أو الالتفاتيّة</w:t>
            </w:r>
            <w:r>
              <w:rPr>
                <w:rStyle w:val="IndexLink"/>
                <w:rtl w:val="true"/>
              </w:rPr>
              <w:tab/>
            </w:r>
            <w:r>
              <w:rPr>
                <w:rStyle w:val="IndexLink"/>
              </w:rPr>
              <w:t>50</w:t>
            </w:r>
          </w:hyperlink>
        </w:p>
        <w:p>
          <w:pPr>
            <w:pStyle w:val="Contents4"/>
            <w:tabs>
              <w:tab w:val="clear" w:pos="8176"/>
              <w:tab w:val="right" w:pos="9026" w:leader="dot"/>
            </w:tabs>
            <w:rPr/>
          </w:pPr>
          <w:hyperlink w:anchor="__RefHeading___Toc13099640_1280447820">
            <w:r>
              <w:rPr>
                <w:webHidden/>
                <w:rStyle w:val="IndexLink"/>
                <w:rtl w:val="true"/>
              </w:rPr>
              <w:t>المقدّمة الثّانية مصاديق أقسام الولاية</w:t>
            </w:r>
            <w:r>
              <w:rPr>
                <w:rStyle w:val="IndexLink"/>
                <w:rtl w:val="true"/>
              </w:rPr>
              <w:tab/>
            </w:r>
            <w:r>
              <w:rPr>
                <w:rStyle w:val="IndexLink"/>
              </w:rPr>
              <w:t>52</w:t>
            </w:r>
          </w:hyperlink>
        </w:p>
        <w:p>
          <w:pPr>
            <w:pStyle w:val="Contents4"/>
            <w:tabs>
              <w:tab w:val="clear" w:pos="8176"/>
              <w:tab w:val="right" w:pos="9026" w:leader="dot"/>
            </w:tabs>
            <w:rPr/>
          </w:pPr>
          <w:hyperlink w:anchor="__RefHeading___Toc13099642_1280447820">
            <w:r>
              <w:rPr>
                <w:webHidden/>
                <w:rStyle w:val="IndexLink"/>
                <w:rtl w:val="true"/>
              </w:rPr>
              <w:t>المقدّمة الثّالثة ما هي سابقة و قدمة مسألة ولاية الفقيه تاريخيّاً؟</w:t>
            </w:r>
            <w:r>
              <w:rPr>
                <w:rStyle w:val="IndexLink"/>
                <w:rtl w:val="true"/>
              </w:rPr>
              <w:tab/>
            </w:r>
            <w:r>
              <w:rPr>
                <w:rStyle w:val="IndexLink"/>
              </w:rPr>
              <w:t>68</w:t>
            </w:r>
          </w:hyperlink>
        </w:p>
        <w:p>
          <w:pPr>
            <w:pStyle w:val="Contents5"/>
            <w:tabs>
              <w:tab w:val="clear" w:pos="7892"/>
              <w:tab w:val="right" w:pos="9026" w:leader="dot"/>
            </w:tabs>
            <w:rPr/>
          </w:pPr>
          <w:hyperlink w:anchor="__RefHeading___Toc13099644_1280447820">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3099646_1280447820">
            <w:r>
              <w:rPr>
                <w:webHidden/>
                <w:rStyle w:val="IndexLink"/>
                <w:rtl w:val="true"/>
              </w:rPr>
              <w:t>سرد كلمات بعضٍ من فقهائنا في المسألة</w:t>
            </w:r>
            <w:r>
              <w:rPr>
                <w:rStyle w:val="IndexLink"/>
                <w:rtl w:val="true"/>
              </w:rPr>
              <w:tab/>
            </w:r>
            <w:r>
              <w:rPr>
                <w:rStyle w:val="IndexLink"/>
              </w:rPr>
              <w:t>69</w:t>
            </w:r>
          </w:hyperlink>
        </w:p>
        <w:p>
          <w:pPr>
            <w:pStyle w:val="Contents6"/>
            <w:tabs>
              <w:tab w:val="clear" w:pos="7609"/>
              <w:tab w:val="right" w:pos="9026" w:leader="dot"/>
            </w:tabs>
            <w:rPr/>
          </w:pPr>
          <w:hyperlink w:anchor="__RefHeading___Toc13099648_1280447820">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13099650_1280447820">
            <w:r>
              <w:rPr>
                <w:webHidden/>
                <w:rStyle w:val="IndexLink"/>
              </w:rPr>
              <w:t>1</w:t>
            </w:r>
            <w:r>
              <w:rPr>
                <w:rStyle w:val="IndexLink"/>
                <w:rtl w:val="true"/>
              </w:rPr>
              <w:t xml:space="preserve"> - </w:t>
            </w:r>
            <w:r>
              <w:rPr>
                <w:rStyle w:val="IndexLink"/>
                <w:rtl w:val="true"/>
              </w:rPr>
              <w:t>قول الشيخ المفيد رحمه الله في المقنعة</w:t>
            </w:r>
            <w:r>
              <w:rPr>
                <w:rStyle w:val="IndexLink"/>
                <w:rtl w:val="true"/>
              </w:rPr>
              <w:tab/>
            </w:r>
            <w:r>
              <w:rPr>
                <w:rStyle w:val="IndexLink"/>
              </w:rPr>
              <w:t>69</w:t>
            </w:r>
          </w:hyperlink>
        </w:p>
        <w:p>
          <w:pPr>
            <w:pStyle w:val="Contents6"/>
            <w:tabs>
              <w:tab w:val="clear" w:pos="7609"/>
              <w:tab w:val="right" w:pos="9026" w:leader="dot"/>
            </w:tabs>
            <w:rPr/>
          </w:pPr>
          <w:hyperlink w:anchor="__RefHeading___Toc13099652_1280447820">
            <w:r>
              <w:rPr>
                <w:webHidden/>
                <w:rStyle w:val="IndexLink"/>
              </w:rPr>
              <w:t>2</w:t>
            </w:r>
            <w:r>
              <w:rPr>
                <w:rStyle w:val="IndexLink"/>
                <w:rtl w:val="true"/>
              </w:rPr>
              <w:t xml:space="preserve"> - </w:t>
            </w:r>
            <w:r>
              <w:rPr>
                <w:rStyle w:val="IndexLink"/>
                <w:rtl w:val="true"/>
              </w:rPr>
              <w:t>قول الشيخ الطوسيّ رحمه الله في النهاية</w:t>
            </w:r>
            <w:r>
              <w:rPr>
                <w:rStyle w:val="IndexLink"/>
                <w:rtl w:val="true"/>
              </w:rPr>
              <w:tab/>
            </w:r>
            <w:r>
              <w:rPr>
                <w:rStyle w:val="IndexLink"/>
              </w:rPr>
              <w:t>69</w:t>
            </w:r>
          </w:hyperlink>
        </w:p>
        <w:p>
          <w:pPr>
            <w:pStyle w:val="Contents6"/>
            <w:tabs>
              <w:tab w:val="clear" w:pos="7609"/>
              <w:tab w:val="right" w:pos="9026" w:leader="dot"/>
            </w:tabs>
            <w:rPr/>
          </w:pPr>
          <w:hyperlink w:anchor="__RefHeading___Toc13099654_1280447820">
            <w:r>
              <w:rPr>
                <w:webHidden/>
                <w:rStyle w:val="IndexLink"/>
              </w:rPr>
              <w:t>3</w:t>
            </w:r>
            <w:r>
              <w:rPr>
                <w:rStyle w:val="IndexLink"/>
                <w:rtl w:val="true"/>
              </w:rPr>
              <w:t xml:space="preserve"> - </w:t>
            </w:r>
            <w:r>
              <w:rPr>
                <w:rStyle w:val="IndexLink"/>
                <w:rtl w:val="true"/>
              </w:rPr>
              <w:t>قول سالار الديلميّ رحمه الله في المراسم</w:t>
            </w:r>
            <w:r>
              <w:rPr>
                <w:rStyle w:val="IndexLink"/>
                <w:rtl w:val="true"/>
              </w:rPr>
              <w:tab/>
            </w:r>
            <w:r>
              <w:rPr>
                <w:rStyle w:val="IndexLink"/>
              </w:rPr>
              <w:t>70</w:t>
            </w:r>
          </w:hyperlink>
        </w:p>
        <w:p>
          <w:pPr>
            <w:pStyle w:val="Contents6"/>
            <w:tabs>
              <w:tab w:val="clear" w:pos="7609"/>
              <w:tab w:val="right" w:pos="9026" w:leader="dot"/>
            </w:tabs>
            <w:rPr/>
          </w:pPr>
          <w:hyperlink w:anchor="__RefHeading___Toc13099656_1280447820">
            <w:r>
              <w:rPr>
                <w:webHidden/>
                <w:rStyle w:val="IndexLink"/>
              </w:rPr>
              <w:t>4</w:t>
            </w:r>
            <w:r>
              <w:rPr>
                <w:rStyle w:val="IndexLink"/>
                <w:rtl w:val="true"/>
              </w:rPr>
              <w:t xml:space="preserve"> - </w:t>
            </w:r>
            <w:r>
              <w:rPr>
                <w:rStyle w:val="IndexLink"/>
                <w:rtl w:val="true"/>
              </w:rPr>
              <w:t>قول أبي صلاح الحلبيّ رحمه الله في الكافي</w:t>
            </w:r>
            <w:r>
              <w:rPr>
                <w:rStyle w:val="IndexLink"/>
                <w:rtl w:val="true"/>
              </w:rPr>
              <w:tab/>
            </w:r>
            <w:r>
              <w:rPr>
                <w:rStyle w:val="IndexLink"/>
              </w:rPr>
              <w:t>70</w:t>
            </w:r>
          </w:hyperlink>
        </w:p>
        <w:p>
          <w:pPr>
            <w:pStyle w:val="Contents6"/>
            <w:tabs>
              <w:tab w:val="clear" w:pos="7609"/>
              <w:tab w:val="right" w:pos="9026" w:leader="dot"/>
            </w:tabs>
            <w:rPr/>
          </w:pPr>
          <w:hyperlink w:anchor="__RefHeading___Toc13099658_1280447820">
            <w:r>
              <w:rPr>
                <w:webHidden/>
                <w:rStyle w:val="IndexLink"/>
              </w:rPr>
              <w:t>5</w:t>
            </w:r>
            <w:r>
              <w:rPr>
                <w:rStyle w:val="IndexLink"/>
                <w:rtl w:val="true"/>
              </w:rPr>
              <w:t xml:space="preserve"> - </w:t>
            </w:r>
            <w:r>
              <w:rPr>
                <w:rStyle w:val="IndexLink"/>
                <w:rtl w:val="true"/>
              </w:rPr>
              <w:t>قول ابن ادريس رحمه الله في السرائر</w:t>
            </w:r>
            <w:r>
              <w:rPr>
                <w:rStyle w:val="IndexLink"/>
                <w:rtl w:val="true"/>
              </w:rPr>
              <w:tab/>
            </w:r>
            <w:r>
              <w:rPr>
                <w:rStyle w:val="IndexLink"/>
              </w:rPr>
              <w:t>72</w:t>
            </w:r>
          </w:hyperlink>
        </w:p>
        <w:p>
          <w:pPr>
            <w:pStyle w:val="Contents6"/>
            <w:tabs>
              <w:tab w:val="clear" w:pos="7609"/>
              <w:tab w:val="right" w:pos="9026" w:leader="dot"/>
            </w:tabs>
            <w:rPr/>
          </w:pPr>
          <w:hyperlink w:anchor="__RefHeading___Toc13099660_1280447820">
            <w:r>
              <w:rPr>
                <w:webHidden/>
                <w:rStyle w:val="IndexLink"/>
              </w:rPr>
              <w:t>6</w:t>
            </w:r>
            <w:r>
              <w:rPr>
                <w:rStyle w:val="IndexLink"/>
                <w:rtl w:val="true"/>
              </w:rPr>
              <w:t xml:space="preserve"> - </w:t>
            </w:r>
            <w:r>
              <w:rPr>
                <w:rStyle w:val="IndexLink"/>
                <w:rtl w:val="true"/>
              </w:rPr>
              <w:t>قول المحقّق نجم الدين رحمه الله في الشرايع</w:t>
            </w:r>
            <w:r>
              <w:rPr>
                <w:rStyle w:val="IndexLink"/>
                <w:rtl w:val="true"/>
              </w:rPr>
              <w:tab/>
            </w:r>
            <w:r>
              <w:rPr>
                <w:rStyle w:val="IndexLink"/>
              </w:rPr>
              <w:t>72</w:t>
            </w:r>
          </w:hyperlink>
        </w:p>
        <w:p>
          <w:pPr>
            <w:pStyle w:val="Contents6"/>
            <w:tabs>
              <w:tab w:val="clear" w:pos="7609"/>
              <w:tab w:val="right" w:pos="9026" w:leader="dot"/>
            </w:tabs>
            <w:rPr/>
          </w:pPr>
          <w:hyperlink w:anchor="__RefHeading___Toc13099662_1280447820">
            <w:r>
              <w:rPr>
                <w:webHidden/>
                <w:rStyle w:val="IndexLink"/>
              </w:rPr>
              <w:t>7</w:t>
            </w:r>
            <w:r>
              <w:rPr>
                <w:rStyle w:val="IndexLink"/>
                <w:rtl w:val="true"/>
              </w:rPr>
              <w:t xml:space="preserve"> - </w:t>
            </w:r>
            <w:r>
              <w:rPr>
                <w:rStyle w:val="IndexLink"/>
                <w:rtl w:val="true"/>
              </w:rPr>
              <w:t>قول العلّامة رحمه الله في قواعدالأحكام</w:t>
            </w:r>
            <w:r>
              <w:rPr>
                <w:rStyle w:val="IndexLink"/>
                <w:rtl w:val="true"/>
              </w:rPr>
              <w:tab/>
            </w:r>
            <w:r>
              <w:rPr>
                <w:rStyle w:val="IndexLink"/>
              </w:rPr>
              <w:t>73</w:t>
            </w:r>
          </w:hyperlink>
        </w:p>
        <w:p>
          <w:pPr>
            <w:pStyle w:val="Contents6"/>
            <w:tabs>
              <w:tab w:val="clear" w:pos="7609"/>
              <w:tab w:val="right" w:pos="9026" w:leader="dot"/>
            </w:tabs>
            <w:rPr/>
          </w:pPr>
          <w:hyperlink w:anchor="__RefHeading___Toc13099664_1280447820">
            <w:r>
              <w:rPr>
                <w:webHidden/>
                <w:rStyle w:val="IndexLink"/>
              </w:rPr>
              <w:t>8</w:t>
            </w:r>
            <w:r>
              <w:rPr>
                <w:rStyle w:val="IndexLink"/>
                <w:rtl w:val="true"/>
              </w:rPr>
              <w:t xml:space="preserve"> - </w:t>
            </w:r>
            <w:r>
              <w:rPr>
                <w:rStyle w:val="IndexLink"/>
                <w:rtl w:val="true"/>
              </w:rPr>
              <w:t>قول الشهيد الأوّل رحمه الله في الذكرىٰ‌</w:t>
            </w:r>
            <w:r>
              <w:rPr>
                <w:rStyle w:val="IndexLink"/>
                <w:rtl w:val="true"/>
              </w:rPr>
              <w:tab/>
            </w:r>
            <w:r>
              <w:rPr>
                <w:rStyle w:val="IndexLink"/>
              </w:rPr>
              <w:t>73</w:t>
            </w:r>
          </w:hyperlink>
        </w:p>
        <w:p>
          <w:pPr>
            <w:pStyle w:val="Contents6"/>
            <w:tabs>
              <w:tab w:val="clear" w:pos="7609"/>
              <w:tab w:val="right" w:pos="9026" w:leader="dot"/>
            </w:tabs>
            <w:rPr/>
          </w:pPr>
          <w:hyperlink w:anchor="__RefHeading___Toc13099666_1280447820">
            <w:r>
              <w:rPr>
                <w:webHidden/>
                <w:rStyle w:val="IndexLink"/>
              </w:rPr>
              <w:t>9</w:t>
            </w:r>
            <w:r>
              <w:rPr>
                <w:rStyle w:val="IndexLink"/>
                <w:rtl w:val="true"/>
              </w:rPr>
              <w:t xml:space="preserve"> - </w:t>
            </w:r>
            <w:r>
              <w:rPr>
                <w:rStyle w:val="IndexLink"/>
                <w:rtl w:val="true"/>
              </w:rPr>
              <w:t>قول ثاني الشهيدين رحمه الله في المسالك</w:t>
            </w:r>
            <w:r>
              <w:rPr>
                <w:rStyle w:val="IndexLink"/>
                <w:rtl w:val="true"/>
              </w:rPr>
              <w:tab/>
            </w:r>
            <w:r>
              <w:rPr>
                <w:rStyle w:val="IndexLink"/>
              </w:rPr>
              <w:t>74</w:t>
            </w:r>
          </w:hyperlink>
        </w:p>
        <w:p>
          <w:pPr>
            <w:pStyle w:val="Contents6"/>
            <w:tabs>
              <w:tab w:val="clear" w:pos="7609"/>
              <w:tab w:val="right" w:pos="9026" w:leader="dot"/>
            </w:tabs>
            <w:rPr/>
          </w:pPr>
          <w:hyperlink w:anchor="__RefHeading___Toc13099668_1280447820">
            <w:r>
              <w:rPr>
                <w:webHidden/>
                <w:rStyle w:val="IndexLink"/>
              </w:rPr>
              <w:t>10</w:t>
            </w:r>
            <w:r>
              <w:rPr>
                <w:rStyle w:val="IndexLink"/>
                <w:rtl w:val="true"/>
              </w:rPr>
              <w:t xml:space="preserve"> - </w:t>
            </w:r>
            <w:r>
              <w:rPr>
                <w:rStyle w:val="IndexLink"/>
                <w:rtl w:val="true"/>
              </w:rPr>
              <w:t>قول ثاني المحقّقين رحمه الله في جامع المقاصد</w:t>
            </w:r>
            <w:r>
              <w:rPr>
                <w:rStyle w:val="IndexLink"/>
                <w:rtl w:val="true"/>
              </w:rPr>
              <w:tab/>
            </w:r>
            <w:r>
              <w:rPr>
                <w:rStyle w:val="IndexLink"/>
              </w:rPr>
              <w:t>74</w:t>
            </w:r>
          </w:hyperlink>
        </w:p>
        <w:p>
          <w:pPr>
            <w:pStyle w:val="Contents6"/>
            <w:tabs>
              <w:tab w:val="clear" w:pos="7609"/>
              <w:tab w:val="right" w:pos="9026" w:leader="dot"/>
            </w:tabs>
            <w:rPr/>
          </w:pPr>
          <w:hyperlink w:anchor="__RefHeading___Toc13099670_1280447820">
            <w:r>
              <w:rPr>
                <w:webHidden/>
                <w:rStyle w:val="IndexLink"/>
              </w:rPr>
              <w:t>11</w:t>
            </w:r>
            <w:r>
              <w:rPr>
                <w:rStyle w:val="IndexLink"/>
                <w:rtl w:val="true"/>
              </w:rPr>
              <w:t xml:space="preserve"> - </w:t>
            </w:r>
            <w:r>
              <w:rPr>
                <w:rStyle w:val="IndexLink"/>
                <w:rtl w:val="true"/>
              </w:rPr>
              <w:t>قول الشيخ جعفر النجفيّ رحمه الله في كشف الغطاء</w:t>
            </w:r>
            <w:r>
              <w:rPr>
                <w:rStyle w:val="IndexLink"/>
                <w:rtl w:val="true"/>
              </w:rPr>
              <w:tab/>
            </w:r>
            <w:r>
              <w:rPr>
                <w:rStyle w:val="IndexLink"/>
              </w:rPr>
              <w:t>74</w:t>
            </w:r>
          </w:hyperlink>
        </w:p>
        <w:p>
          <w:pPr>
            <w:pStyle w:val="Contents6"/>
            <w:tabs>
              <w:tab w:val="clear" w:pos="7609"/>
              <w:tab w:val="right" w:pos="9026" w:leader="dot"/>
            </w:tabs>
            <w:rPr/>
          </w:pPr>
          <w:hyperlink w:anchor="__RefHeading___Toc13099672_1280447820">
            <w:r>
              <w:rPr>
                <w:webHidden/>
                <w:rStyle w:val="IndexLink"/>
              </w:rPr>
              <w:t>12</w:t>
            </w:r>
            <w:r>
              <w:rPr>
                <w:rStyle w:val="IndexLink"/>
                <w:rtl w:val="true"/>
              </w:rPr>
              <w:t xml:space="preserve"> - </w:t>
            </w:r>
            <w:r>
              <w:rPr>
                <w:rStyle w:val="IndexLink"/>
                <w:rtl w:val="true"/>
              </w:rPr>
              <w:t>قول المحقّق العامليّ رحمه الله في مفتاح الكرامة</w:t>
            </w:r>
            <w:r>
              <w:rPr>
                <w:rStyle w:val="IndexLink"/>
                <w:rtl w:val="true"/>
              </w:rPr>
              <w:tab/>
            </w:r>
            <w:r>
              <w:rPr>
                <w:rStyle w:val="IndexLink"/>
              </w:rPr>
              <w:t>75</w:t>
            </w:r>
          </w:hyperlink>
        </w:p>
        <w:p>
          <w:pPr>
            <w:pStyle w:val="Contents6"/>
            <w:tabs>
              <w:tab w:val="clear" w:pos="7609"/>
              <w:tab w:val="right" w:pos="9026" w:leader="dot"/>
            </w:tabs>
            <w:rPr/>
          </w:pPr>
          <w:hyperlink w:anchor="__RefHeading___Toc13099674_1280447820">
            <w:r>
              <w:rPr>
                <w:webHidden/>
                <w:rStyle w:val="IndexLink"/>
              </w:rPr>
              <w:t>13</w:t>
            </w:r>
            <w:r>
              <w:rPr>
                <w:rStyle w:val="IndexLink"/>
                <w:rtl w:val="true"/>
              </w:rPr>
              <w:t xml:space="preserve"> - </w:t>
            </w:r>
            <w:r>
              <w:rPr>
                <w:rStyle w:val="IndexLink"/>
                <w:rtl w:val="true"/>
              </w:rPr>
              <w:t>قول المحقّق ثاني النراقيّين رحمه الله في عوائدالأيّام</w:t>
            </w:r>
            <w:r>
              <w:rPr>
                <w:rStyle w:val="IndexLink"/>
                <w:rtl w:val="true"/>
              </w:rPr>
              <w:tab/>
            </w:r>
            <w:r>
              <w:rPr>
                <w:rStyle w:val="IndexLink"/>
              </w:rPr>
              <w:t>75</w:t>
            </w:r>
          </w:hyperlink>
        </w:p>
        <w:p>
          <w:pPr>
            <w:pStyle w:val="Contents6"/>
            <w:tabs>
              <w:tab w:val="clear" w:pos="7609"/>
              <w:tab w:val="right" w:pos="9026" w:leader="dot"/>
            </w:tabs>
            <w:rPr/>
          </w:pPr>
          <w:hyperlink w:anchor="__RefHeading___Toc13099676_1280447820">
            <w:r>
              <w:rPr>
                <w:webHidden/>
                <w:rStyle w:val="IndexLink"/>
              </w:rPr>
              <w:t>14</w:t>
            </w:r>
            <w:r>
              <w:rPr>
                <w:rStyle w:val="IndexLink"/>
                <w:rtl w:val="true"/>
              </w:rPr>
              <w:t xml:space="preserve"> - </w:t>
            </w:r>
            <w:r>
              <w:rPr>
                <w:rStyle w:val="IndexLink"/>
                <w:rtl w:val="true"/>
              </w:rPr>
              <w:t>قول الشيخ محمّد حسن النجفيّ رحمه الله في جواهرالكلام</w:t>
            </w:r>
            <w:r>
              <w:rPr>
                <w:rStyle w:val="IndexLink"/>
                <w:rtl w:val="true"/>
              </w:rPr>
              <w:tab/>
            </w:r>
            <w:r>
              <w:rPr>
                <w:rStyle w:val="IndexLink"/>
              </w:rPr>
              <w:t>76</w:t>
            </w:r>
          </w:hyperlink>
        </w:p>
        <w:p>
          <w:pPr>
            <w:pStyle w:val="Contents6"/>
            <w:tabs>
              <w:tab w:val="clear" w:pos="7609"/>
              <w:tab w:val="right" w:pos="9026" w:leader="dot"/>
            </w:tabs>
            <w:rPr/>
          </w:pPr>
          <w:hyperlink w:anchor="__RefHeading___Toc13099678_1280447820">
            <w:r>
              <w:rPr>
                <w:webHidden/>
                <w:rStyle w:val="IndexLink"/>
              </w:rPr>
              <w:t>15</w:t>
            </w:r>
            <w:r>
              <w:rPr>
                <w:rStyle w:val="IndexLink"/>
                <w:rtl w:val="true"/>
              </w:rPr>
              <w:t xml:space="preserve"> - </w:t>
            </w:r>
            <w:r>
              <w:rPr>
                <w:rStyle w:val="IndexLink"/>
                <w:rtl w:val="true"/>
              </w:rPr>
              <w:t>قول الشيخ الأنصاريّ رحمه الله في كتاب المكاسب</w:t>
            </w:r>
            <w:r>
              <w:rPr>
                <w:rStyle w:val="IndexLink"/>
                <w:rtl w:val="true"/>
              </w:rPr>
              <w:tab/>
            </w:r>
            <w:r>
              <w:rPr>
                <w:rStyle w:val="IndexLink"/>
              </w:rPr>
              <w:t>76</w:t>
            </w:r>
          </w:hyperlink>
        </w:p>
        <w:p>
          <w:pPr>
            <w:pStyle w:val="Contents6"/>
            <w:tabs>
              <w:tab w:val="clear" w:pos="7609"/>
              <w:tab w:val="right" w:pos="9026" w:leader="dot"/>
            </w:tabs>
            <w:rPr/>
          </w:pPr>
          <w:hyperlink w:anchor="__RefHeading___Toc13099680_1280447820">
            <w:r>
              <w:rPr>
                <w:webHidden/>
                <w:rStyle w:val="IndexLink"/>
              </w:rPr>
              <w:t>16</w:t>
            </w:r>
            <w:r>
              <w:rPr>
                <w:rStyle w:val="IndexLink"/>
                <w:rtl w:val="true"/>
              </w:rPr>
              <w:t xml:space="preserve"> - </w:t>
            </w:r>
            <w:r>
              <w:rPr>
                <w:rStyle w:val="IndexLink"/>
                <w:rtl w:val="true"/>
              </w:rPr>
              <w:t>قول المحقّق الهمدانيّ رحمه الله في مصباح الفقيه</w:t>
            </w:r>
            <w:r>
              <w:rPr>
                <w:rStyle w:val="IndexLink"/>
                <w:rtl w:val="true"/>
              </w:rPr>
              <w:tab/>
            </w:r>
            <w:r>
              <w:rPr>
                <w:rStyle w:val="IndexLink"/>
              </w:rPr>
              <w:t>78</w:t>
            </w:r>
          </w:hyperlink>
        </w:p>
        <w:p>
          <w:pPr>
            <w:pStyle w:val="Contents6"/>
            <w:tabs>
              <w:tab w:val="clear" w:pos="7609"/>
              <w:tab w:val="right" w:pos="9026" w:leader="dot"/>
            </w:tabs>
            <w:rPr/>
          </w:pPr>
          <w:hyperlink w:anchor="__RefHeading___Toc13099682_1280447820">
            <w:r>
              <w:rPr>
                <w:webHidden/>
                <w:rStyle w:val="IndexLink"/>
              </w:rPr>
              <w:t>17</w:t>
            </w:r>
            <w:r>
              <w:rPr>
                <w:rStyle w:val="IndexLink"/>
                <w:rtl w:val="true"/>
              </w:rPr>
              <w:t xml:space="preserve"> - </w:t>
            </w:r>
            <w:r>
              <w:rPr>
                <w:rStyle w:val="IndexLink"/>
                <w:rtl w:val="true"/>
              </w:rPr>
              <w:t>قول الميرزه الشيرازيّ رحمه الله</w:t>
            </w:r>
            <w:r>
              <w:rPr>
                <w:rStyle w:val="IndexLink"/>
                <w:rtl w:val="true"/>
              </w:rPr>
              <w:tab/>
            </w:r>
            <w:r>
              <w:rPr>
                <w:rStyle w:val="IndexLink"/>
              </w:rPr>
              <w:t>78</w:t>
            </w:r>
          </w:hyperlink>
        </w:p>
        <w:p>
          <w:pPr>
            <w:pStyle w:val="Contents6"/>
            <w:tabs>
              <w:tab w:val="clear" w:pos="7609"/>
              <w:tab w:val="right" w:pos="9026" w:leader="dot"/>
            </w:tabs>
            <w:rPr/>
          </w:pPr>
          <w:hyperlink w:anchor="__RefHeading___Toc13099684_1280447820">
            <w:r>
              <w:rPr>
                <w:webHidden/>
                <w:rStyle w:val="IndexLink"/>
              </w:rPr>
              <w:t>18</w:t>
            </w:r>
            <w:r>
              <w:rPr>
                <w:rStyle w:val="IndexLink"/>
                <w:rtl w:val="true"/>
              </w:rPr>
              <w:t xml:space="preserve"> - </w:t>
            </w:r>
            <w:r>
              <w:rPr>
                <w:rStyle w:val="IndexLink"/>
                <w:rtl w:val="true"/>
              </w:rPr>
              <w:t>قول المحقّق اليزديّ رحمه الله في العروة الوثقىٰ‌</w:t>
            </w:r>
            <w:r>
              <w:rPr>
                <w:rStyle w:val="IndexLink"/>
                <w:rtl w:val="true"/>
              </w:rPr>
              <w:tab/>
            </w:r>
            <w:r>
              <w:rPr>
                <w:rStyle w:val="IndexLink"/>
              </w:rPr>
              <w:t>78</w:t>
            </w:r>
          </w:hyperlink>
        </w:p>
        <w:p>
          <w:pPr>
            <w:pStyle w:val="Contents6"/>
            <w:tabs>
              <w:tab w:val="clear" w:pos="7609"/>
              <w:tab w:val="right" w:pos="9026" w:leader="dot"/>
            </w:tabs>
            <w:rPr/>
          </w:pPr>
          <w:hyperlink w:anchor="__RefHeading___Toc13099686_1280447820">
            <w:r>
              <w:rPr>
                <w:webHidden/>
                <w:rStyle w:val="IndexLink"/>
              </w:rPr>
              <w:t>19</w:t>
            </w:r>
            <w:r>
              <w:rPr>
                <w:rStyle w:val="IndexLink"/>
                <w:rtl w:val="true"/>
              </w:rPr>
              <w:t xml:space="preserve"> - </w:t>
            </w:r>
            <w:r>
              <w:rPr>
                <w:rStyle w:val="IndexLink"/>
                <w:rtl w:val="true"/>
              </w:rPr>
              <w:t>قول المحقّق النائينيّ رحمه الله في تنبيه الأمّة</w:t>
            </w:r>
            <w:r>
              <w:rPr>
                <w:rStyle w:val="IndexLink"/>
                <w:rtl w:val="true"/>
              </w:rPr>
              <w:tab/>
            </w:r>
            <w:r>
              <w:rPr>
                <w:rStyle w:val="IndexLink"/>
              </w:rPr>
              <w:t>79</w:t>
            </w:r>
          </w:hyperlink>
        </w:p>
        <w:p>
          <w:pPr>
            <w:pStyle w:val="Contents6"/>
            <w:tabs>
              <w:tab w:val="clear" w:pos="7609"/>
              <w:tab w:val="right" w:pos="9026" w:leader="dot"/>
            </w:tabs>
            <w:rPr/>
          </w:pPr>
          <w:hyperlink w:anchor="__RefHeading___Toc13099688_1280447820">
            <w:r>
              <w:rPr>
                <w:webHidden/>
                <w:rStyle w:val="IndexLink"/>
              </w:rPr>
              <w:t>20</w:t>
            </w:r>
            <w:r>
              <w:rPr>
                <w:rStyle w:val="IndexLink"/>
                <w:rtl w:val="true"/>
              </w:rPr>
              <w:t xml:space="preserve"> - </w:t>
            </w:r>
            <w:r>
              <w:rPr>
                <w:rStyle w:val="IndexLink"/>
                <w:rtl w:val="true"/>
              </w:rPr>
              <w:t>قول سيّدنا الأستاذ المحقّق البروجرديّ رحمه الله</w:t>
            </w:r>
            <w:r>
              <w:rPr>
                <w:rStyle w:val="IndexLink"/>
                <w:rtl w:val="true"/>
              </w:rPr>
              <w:tab/>
            </w:r>
            <w:r>
              <w:rPr>
                <w:rStyle w:val="IndexLink"/>
              </w:rPr>
              <w:t>79</w:t>
            </w:r>
          </w:hyperlink>
        </w:p>
        <w:p>
          <w:pPr>
            <w:pStyle w:val="Contents6"/>
            <w:tabs>
              <w:tab w:val="clear" w:pos="7609"/>
              <w:tab w:val="right" w:pos="9026" w:leader="dot"/>
            </w:tabs>
            <w:rPr/>
          </w:pPr>
          <w:hyperlink w:anchor="__RefHeading___Toc13099690_1280447820">
            <w:r>
              <w:rPr>
                <w:webHidden/>
                <w:rStyle w:val="IndexLink"/>
              </w:rPr>
              <w:t>21</w:t>
            </w:r>
            <w:r>
              <w:rPr>
                <w:rStyle w:val="IndexLink"/>
                <w:rtl w:val="true"/>
              </w:rPr>
              <w:t xml:space="preserve"> - </w:t>
            </w:r>
            <w:r>
              <w:rPr>
                <w:rStyle w:val="IndexLink"/>
                <w:rtl w:val="true"/>
              </w:rPr>
              <w:t>قول سيّدنا الأستاذ الإمام الخميني رحمه الله</w:t>
            </w:r>
            <w:r>
              <w:rPr>
                <w:rStyle w:val="IndexLink"/>
                <w:rtl w:val="true"/>
              </w:rPr>
              <w:tab/>
            </w:r>
            <w:r>
              <w:rPr>
                <w:rStyle w:val="IndexLink"/>
              </w:rPr>
              <w:t>80</w:t>
            </w:r>
          </w:hyperlink>
        </w:p>
        <w:p>
          <w:pPr>
            <w:pStyle w:val="Contents6"/>
            <w:tabs>
              <w:tab w:val="clear" w:pos="7609"/>
              <w:tab w:val="right" w:pos="9026" w:leader="dot"/>
            </w:tabs>
            <w:rPr/>
          </w:pPr>
          <w:hyperlink w:anchor="__RefHeading___Toc13099692_1280447820">
            <w:r>
              <w:rPr>
                <w:webHidden/>
                <w:rStyle w:val="IndexLink"/>
              </w:rPr>
              <w:t>22</w:t>
            </w:r>
            <w:r>
              <w:rPr>
                <w:rStyle w:val="IndexLink"/>
                <w:rtl w:val="true"/>
              </w:rPr>
              <w:t xml:space="preserve"> - </w:t>
            </w:r>
            <w:r>
              <w:rPr>
                <w:rStyle w:val="IndexLink"/>
                <w:rtl w:val="true"/>
              </w:rPr>
              <w:t>قول المحقّق الخوئيّ رحمه الله</w:t>
            </w:r>
            <w:r>
              <w:rPr>
                <w:rStyle w:val="IndexLink"/>
                <w:rtl w:val="true"/>
              </w:rPr>
              <w:tab/>
            </w:r>
            <w:r>
              <w:rPr>
                <w:rStyle w:val="IndexLink"/>
              </w:rPr>
              <w:t>80</w:t>
            </w:r>
          </w:hyperlink>
        </w:p>
        <w:p>
          <w:pPr>
            <w:pStyle w:val="Contents6"/>
            <w:tabs>
              <w:tab w:val="clear" w:pos="7609"/>
              <w:tab w:val="right" w:pos="9026" w:leader="dot"/>
            </w:tabs>
            <w:rPr/>
          </w:pPr>
          <w:hyperlink w:anchor="__RefHeading___Toc13099694_1280447820">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13099696_1280447820">
            <w:r>
              <w:rPr>
                <w:webHidden/>
                <w:rStyle w:val="IndexLink"/>
                <w:rtl w:val="true"/>
              </w:rPr>
              <w:t>القول الأوّل</w:t>
            </w:r>
            <w:r>
              <w:rPr>
                <w:rStyle w:val="IndexLink"/>
                <w:rtl w:val="true"/>
              </w:rPr>
              <w:t>:</w:t>
              <w:tab/>
            </w:r>
            <w:r>
              <w:rPr>
                <w:rStyle w:val="IndexLink"/>
              </w:rPr>
              <w:t>80</w:t>
            </w:r>
          </w:hyperlink>
        </w:p>
        <w:p>
          <w:pPr>
            <w:pStyle w:val="Contents6"/>
            <w:tabs>
              <w:tab w:val="clear" w:pos="7609"/>
              <w:tab w:val="right" w:pos="9026" w:leader="dot"/>
            </w:tabs>
            <w:rPr/>
          </w:pPr>
          <w:hyperlink w:anchor="__RefHeading___Toc13099698_1280447820">
            <w:r>
              <w:rPr>
                <w:webHidden/>
                <w:rStyle w:val="IndexLink"/>
                <w:rtl w:val="true"/>
              </w:rPr>
              <w:t>القول الثّاني</w:t>
            </w:r>
            <w:r>
              <w:rPr>
                <w:rStyle w:val="IndexLink"/>
                <w:rtl w:val="true"/>
              </w:rPr>
              <w:t>:</w:t>
              <w:tab/>
            </w:r>
            <w:r>
              <w:rPr>
                <w:rStyle w:val="IndexLink"/>
              </w:rPr>
              <w:t>80</w:t>
            </w:r>
          </w:hyperlink>
        </w:p>
        <w:p>
          <w:pPr>
            <w:pStyle w:val="Contents6"/>
            <w:tabs>
              <w:tab w:val="clear" w:pos="7609"/>
              <w:tab w:val="right" w:pos="9026" w:leader="dot"/>
            </w:tabs>
            <w:rPr/>
          </w:pPr>
          <w:hyperlink w:anchor="__RefHeading___Toc13099700_1280447820">
            <w:r>
              <w:rPr>
                <w:webHidden/>
                <w:rStyle w:val="IndexLink"/>
                <w:rtl w:val="true"/>
              </w:rPr>
              <w:t>القول الثّالث</w:t>
            </w:r>
            <w:r>
              <w:rPr>
                <w:rStyle w:val="IndexLink"/>
                <w:rtl w:val="true"/>
              </w:rPr>
              <w:t>:</w:t>
              <w:tab/>
            </w:r>
            <w:r>
              <w:rPr>
                <w:rStyle w:val="IndexLink"/>
              </w:rPr>
              <w:t>81</w:t>
            </w:r>
          </w:hyperlink>
        </w:p>
        <w:p>
          <w:pPr>
            <w:pStyle w:val="Contents4"/>
            <w:tabs>
              <w:tab w:val="clear" w:pos="8176"/>
              <w:tab w:val="right" w:pos="9026" w:leader="dot"/>
            </w:tabs>
            <w:rPr/>
          </w:pPr>
          <w:hyperlink w:anchor="__RefHeading___Toc13099702_1280447820">
            <w:r>
              <w:rPr>
                <w:webHidden/>
                <w:rStyle w:val="IndexLink"/>
                <w:rtl w:val="true"/>
              </w:rPr>
              <w:t>المقدّمة الرّابعة قاعدة الحِسبَة</w:t>
            </w:r>
            <w:r>
              <w:rPr>
                <w:rStyle w:val="IndexLink"/>
                <w:rtl w:val="true"/>
              </w:rPr>
              <w:tab/>
            </w:r>
            <w:r>
              <w:rPr>
                <w:rStyle w:val="IndexLink"/>
              </w:rPr>
              <w:t>84</w:t>
            </w:r>
          </w:hyperlink>
        </w:p>
        <w:p>
          <w:pPr>
            <w:pStyle w:val="Contents5"/>
            <w:tabs>
              <w:tab w:val="clear" w:pos="7892"/>
              <w:tab w:val="right" w:pos="9026" w:leader="dot"/>
            </w:tabs>
            <w:rPr/>
          </w:pPr>
          <w:hyperlink w:anchor="__RefHeading___Toc13099704_1280447820">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13099706_1280447820">
            <w:r>
              <w:rPr>
                <w:webHidden/>
                <w:rStyle w:val="IndexLink"/>
                <w:rtl w:val="true"/>
              </w:rPr>
              <w:t>الف</w:t>
            </w:r>
            <w:r>
              <w:rPr>
                <w:rStyle w:val="IndexLink"/>
                <w:rtl w:val="true"/>
              </w:rPr>
              <w:t xml:space="preserve">: </w:t>
            </w:r>
            <w:r>
              <w:rPr>
                <w:rStyle w:val="IndexLink"/>
                <w:rtl w:val="true"/>
              </w:rPr>
              <w:t>اشتقاق اسم القاعدة</w:t>
            </w:r>
            <w:r>
              <w:rPr>
                <w:rStyle w:val="IndexLink"/>
                <w:rtl w:val="true"/>
              </w:rPr>
              <w:tab/>
            </w:r>
            <w:r>
              <w:rPr>
                <w:rStyle w:val="IndexLink"/>
              </w:rPr>
              <w:t>84</w:t>
            </w:r>
          </w:hyperlink>
        </w:p>
        <w:p>
          <w:pPr>
            <w:pStyle w:val="Contents6"/>
            <w:tabs>
              <w:tab w:val="clear" w:pos="7609"/>
              <w:tab w:val="right" w:pos="9026" w:leader="dot"/>
            </w:tabs>
            <w:rPr/>
          </w:pPr>
          <w:hyperlink w:anchor="__RefHeading___Toc13099708_1280447820">
            <w:r>
              <w:rPr>
                <w:webHidden/>
                <w:rStyle w:val="IndexLink"/>
                <w:rtl w:val="true"/>
              </w:rPr>
              <w:t>القول الأوّل</w:t>
            </w:r>
            <w:r>
              <w:rPr>
                <w:rStyle w:val="IndexLink"/>
                <w:rtl w:val="true"/>
              </w:rPr>
              <w:t>:</w:t>
              <w:tab/>
            </w:r>
            <w:r>
              <w:rPr>
                <w:rStyle w:val="IndexLink"/>
              </w:rPr>
              <w:t>84</w:t>
            </w:r>
          </w:hyperlink>
        </w:p>
        <w:p>
          <w:pPr>
            <w:pStyle w:val="Contents6"/>
            <w:tabs>
              <w:tab w:val="clear" w:pos="7609"/>
              <w:tab w:val="right" w:pos="9026" w:leader="dot"/>
            </w:tabs>
            <w:rPr/>
          </w:pPr>
          <w:hyperlink w:anchor="__RefHeading___Toc13099710_1280447820">
            <w:r>
              <w:rPr>
                <w:webHidden/>
                <w:rStyle w:val="IndexLink"/>
                <w:rtl w:val="true"/>
              </w:rPr>
              <w:t>القول الثّاني</w:t>
            </w:r>
            <w:r>
              <w:rPr>
                <w:rStyle w:val="IndexLink"/>
                <w:rtl w:val="true"/>
              </w:rPr>
              <w:t>:</w:t>
              <w:tab/>
            </w:r>
            <w:r>
              <w:rPr>
                <w:rStyle w:val="IndexLink"/>
              </w:rPr>
              <w:t>84</w:t>
            </w:r>
          </w:hyperlink>
        </w:p>
        <w:p>
          <w:pPr>
            <w:pStyle w:val="Contents5"/>
            <w:tabs>
              <w:tab w:val="clear" w:pos="7892"/>
              <w:tab w:val="right" w:pos="9026" w:leader="dot"/>
            </w:tabs>
            <w:rPr/>
          </w:pPr>
          <w:hyperlink w:anchor="__RefHeading___Toc13099712_1280447820">
            <w:r>
              <w:rPr>
                <w:webHidden/>
                <w:rStyle w:val="IndexLink"/>
                <w:rtl w:val="true"/>
              </w:rPr>
              <w:t>ب</w:t>
            </w:r>
            <w:r>
              <w:rPr>
                <w:rStyle w:val="IndexLink"/>
                <w:rtl w:val="true"/>
              </w:rPr>
              <w:t xml:space="preserve">: </w:t>
            </w:r>
            <w:r>
              <w:rPr>
                <w:rStyle w:val="IndexLink"/>
                <w:rtl w:val="true"/>
              </w:rPr>
              <w:t>معنى القاعدة</w:t>
            </w:r>
            <w:r>
              <w:rPr>
                <w:rStyle w:val="IndexLink"/>
                <w:rtl w:val="true"/>
              </w:rPr>
              <w:tab/>
            </w:r>
            <w:r>
              <w:rPr>
                <w:rStyle w:val="IndexLink"/>
              </w:rPr>
              <w:t>85</w:t>
            </w:r>
          </w:hyperlink>
        </w:p>
        <w:p>
          <w:pPr>
            <w:pStyle w:val="Contents4"/>
            <w:tabs>
              <w:tab w:val="clear" w:pos="8176"/>
              <w:tab w:val="right" w:pos="9026" w:leader="dot"/>
            </w:tabs>
            <w:rPr/>
          </w:pPr>
          <w:hyperlink w:anchor="__RefHeading___Toc13099714_1280447820">
            <w:r>
              <w:rPr>
                <w:webHidden/>
                <w:rStyle w:val="IndexLink"/>
                <w:rtl w:val="true"/>
              </w:rPr>
              <w:t>المقدّمة الخامسة لزوم وجود الدولة في كلّ مجتمعٍ‌</w:t>
            </w:r>
            <w:r>
              <w:rPr>
                <w:rStyle w:val="IndexLink"/>
                <w:rtl w:val="true"/>
              </w:rPr>
              <w:tab/>
            </w:r>
            <w:r>
              <w:rPr>
                <w:rStyle w:val="IndexLink"/>
              </w:rPr>
              <w:t>90</w:t>
            </w:r>
          </w:hyperlink>
        </w:p>
        <w:p>
          <w:pPr>
            <w:pStyle w:val="Contents4"/>
            <w:tabs>
              <w:tab w:val="clear" w:pos="8176"/>
              <w:tab w:val="right" w:pos="9026" w:leader="dot"/>
            </w:tabs>
            <w:rPr/>
          </w:pPr>
          <w:hyperlink w:anchor="__RefHeading___Toc13099716_1280447820">
            <w:r>
              <w:rPr>
                <w:webHidden/>
                <w:rStyle w:val="IndexLink"/>
                <w:rtl w:val="true"/>
              </w:rPr>
              <w:t>المقدّمة السادسة أصالة عدم تسلّط أحدٍ على أحدٍ</w:t>
            </w:r>
            <w:r>
              <w:rPr>
                <w:rStyle w:val="IndexLink"/>
                <w:rtl w:val="true"/>
              </w:rPr>
              <w:tab/>
            </w:r>
            <w:r>
              <w:rPr>
                <w:rStyle w:val="IndexLink"/>
              </w:rPr>
              <w:t>102</w:t>
            </w:r>
          </w:hyperlink>
        </w:p>
        <w:p>
          <w:pPr>
            <w:pStyle w:val="Contents4"/>
            <w:tabs>
              <w:tab w:val="clear" w:pos="8176"/>
              <w:tab w:val="right" w:pos="9026" w:leader="dot"/>
            </w:tabs>
            <w:rPr/>
          </w:pPr>
          <w:hyperlink w:anchor="__RefHeading___Toc13099718_1280447820">
            <w:r>
              <w:rPr>
                <w:webHidden/>
                <w:rStyle w:val="IndexLink"/>
                <w:rtl w:val="true"/>
              </w:rPr>
              <w:t>المقدّمة السّابعة أجناس الحكومة و الدولة و أنواعها</w:t>
            </w:r>
            <w:r>
              <w:rPr>
                <w:rStyle w:val="IndexLink"/>
                <w:rtl w:val="true"/>
              </w:rPr>
              <w:tab/>
            </w:r>
            <w:r>
              <w:rPr>
                <w:rStyle w:val="IndexLink"/>
              </w:rPr>
              <w:t>106</w:t>
            </w:r>
          </w:hyperlink>
        </w:p>
        <w:p>
          <w:pPr>
            <w:pStyle w:val="Contents5"/>
            <w:tabs>
              <w:tab w:val="clear" w:pos="7892"/>
              <w:tab w:val="right" w:pos="9026" w:leader="dot"/>
            </w:tabs>
            <w:rPr/>
          </w:pPr>
          <w:hyperlink w:anchor="__RefHeading___Toc13099720_1280447820">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13099722_1280447820">
            <w:r>
              <w:rPr>
                <w:webHidden/>
                <w:rStyle w:val="IndexLink"/>
                <w:rtl w:val="true"/>
              </w:rPr>
              <w:t>ما هي الحكومة الإختياريّة؟</w:t>
            </w:r>
            <w:r>
              <w:rPr>
                <w:rStyle w:val="IndexLink"/>
                <w:rtl w:val="true"/>
              </w:rPr>
              <w:tab/>
            </w:r>
            <w:r>
              <w:rPr>
                <w:rStyle w:val="IndexLink"/>
              </w:rPr>
              <w:t>107</w:t>
            </w:r>
          </w:hyperlink>
        </w:p>
        <w:p>
          <w:pPr>
            <w:pStyle w:val="Contents6"/>
            <w:tabs>
              <w:tab w:val="clear" w:pos="7609"/>
              <w:tab w:val="right" w:pos="9026" w:leader="dot"/>
            </w:tabs>
            <w:rPr/>
          </w:pPr>
          <w:hyperlink w:anchor="__RefHeading___Toc13099724_1280447820">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13099726_1280447820">
            <w:r>
              <w:rPr>
                <w:webHidden/>
                <w:rStyle w:val="IndexLink"/>
                <w:rtl w:val="true"/>
              </w:rPr>
              <w:t>البيان أو البلاغ الأوّل</w:t>
            </w:r>
            <w:r>
              <w:rPr>
                <w:rStyle w:val="IndexLink"/>
                <w:rtl w:val="true"/>
              </w:rPr>
              <w:tab/>
            </w:r>
            <w:r>
              <w:rPr>
                <w:rStyle w:val="IndexLink"/>
              </w:rPr>
              <w:t>107</w:t>
            </w:r>
          </w:hyperlink>
        </w:p>
        <w:p>
          <w:pPr>
            <w:pStyle w:val="Contents6"/>
            <w:tabs>
              <w:tab w:val="clear" w:pos="7609"/>
              <w:tab w:val="right" w:pos="9026" w:leader="dot"/>
            </w:tabs>
            <w:rPr/>
          </w:pPr>
          <w:hyperlink w:anchor="__RefHeading___Toc13099728_1280447820">
            <w:r>
              <w:rPr>
                <w:webHidden/>
                <w:rStyle w:val="IndexLink"/>
                <w:rtl w:val="true"/>
              </w:rPr>
              <w:t>البيان أو البلاغ الثّاني</w:t>
            </w:r>
            <w:r>
              <w:rPr>
                <w:rStyle w:val="IndexLink"/>
                <w:rtl w:val="true"/>
              </w:rPr>
              <w:tab/>
            </w:r>
            <w:r>
              <w:rPr>
                <w:rStyle w:val="IndexLink"/>
              </w:rPr>
              <w:t>108</w:t>
            </w:r>
          </w:hyperlink>
        </w:p>
        <w:p>
          <w:pPr>
            <w:pStyle w:val="Contents6"/>
            <w:tabs>
              <w:tab w:val="clear" w:pos="7609"/>
              <w:tab w:val="right" w:pos="9026" w:leader="dot"/>
            </w:tabs>
            <w:rPr/>
          </w:pPr>
          <w:hyperlink w:anchor="__RefHeading___Toc13099730_1280447820">
            <w:r>
              <w:rPr>
                <w:webHidden/>
                <w:rStyle w:val="IndexLink"/>
                <w:rtl w:val="true"/>
              </w:rPr>
              <w:t>البيان أو البلاغ الثّالث</w:t>
            </w:r>
            <w:r>
              <w:rPr>
                <w:rStyle w:val="IndexLink"/>
                <w:rtl w:val="true"/>
              </w:rPr>
              <w:tab/>
            </w:r>
            <w:r>
              <w:rPr>
                <w:rStyle w:val="IndexLink"/>
              </w:rPr>
              <w:t>108</w:t>
            </w:r>
          </w:hyperlink>
        </w:p>
        <w:p>
          <w:pPr>
            <w:pStyle w:val="Contents5"/>
            <w:tabs>
              <w:tab w:val="clear" w:pos="7892"/>
              <w:tab w:val="right" w:pos="9026" w:leader="dot"/>
            </w:tabs>
            <w:rPr/>
          </w:pPr>
          <w:hyperlink w:anchor="__RefHeading___Toc13099732_1280447820">
            <w:r>
              <w:rPr>
                <w:webHidden/>
                <w:rStyle w:val="IndexLink"/>
                <w:rtl w:val="true"/>
              </w:rPr>
              <w:t>الأدلّة الّتي استُدلّت بها على صحّة الدولة الإختياريّة</w:t>
            </w:r>
            <w:r>
              <w:rPr>
                <w:rStyle w:val="IndexLink"/>
                <w:rtl w:val="true"/>
              </w:rPr>
              <w:tab/>
            </w:r>
            <w:r>
              <w:rPr>
                <w:rStyle w:val="IndexLink"/>
              </w:rPr>
              <w:t>110</w:t>
            </w:r>
          </w:hyperlink>
        </w:p>
        <w:p>
          <w:pPr>
            <w:pStyle w:val="Contents6"/>
            <w:tabs>
              <w:tab w:val="clear" w:pos="7609"/>
              <w:tab w:val="right" w:pos="9026" w:leader="dot"/>
            </w:tabs>
            <w:rPr/>
          </w:pPr>
          <w:hyperlink w:anchor="__RefHeading___Toc13099734_1280447820">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13099736_1280447820">
            <w:r>
              <w:rPr>
                <w:webHidden/>
                <w:rStyle w:val="IndexLink"/>
              </w:rPr>
              <w:t>1</w:t>
            </w:r>
            <w:r>
              <w:rPr>
                <w:rStyle w:val="IndexLink"/>
                <w:rtl w:val="true"/>
              </w:rPr>
              <w:t xml:space="preserve"> - </w:t>
            </w:r>
            <w:r>
              <w:rPr>
                <w:rStyle w:val="IndexLink"/>
                <w:rtl w:val="true"/>
              </w:rPr>
              <w:t>القرآن الكريم</w:t>
            </w:r>
            <w:r>
              <w:rPr>
                <w:rStyle w:val="IndexLink"/>
                <w:rtl w:val="true"/>
              </w:rPr>
              <w:tab/>
            </w:r>
            <w:r>
              <w:rPr>
                <w:rStyle w:val="IndexLink"/>
              </w:rPr>
              <w:t>110</w:t>
            </w:r>
          </w:hyperlink>
        </w:p>
        <w:p>
          <w:pPr>
            <w:pStyle w:val="Contents6"/>
            <w:tabs>
              <w:tab w:val="clear" w:pos="7609"/>
              <w:tab w:val="right" w:pos="9026" w:leader="dot"/>
            </w:tabs>
            <w:rPr/>
          </w:pPr>
          <w:hyperlink w:anchor="__RefHeading___Toc13099738_1280447820">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13099740_1280447820">
            <w:r>
              <w:rPr>
                <w:webHidden/>
                <w:rStyle w:val="IndexLink"/>
                <w:rtl w:val="true"/>
              </w:rPr>
              <w:t>الصنف الأوّل</w:t>
            </w:r>
            <w:r>
              <w:rPr>
                <w:rStyle w:val="IndexLink"/>
                <w:rtl w:val="true"/>
              </w:rPr>
              <w:t xml:space="preserve">: </w:t>
            </w:r>
            <w:r>
              <w:rPr>
                <w:rStyle w:val="IndexLink"/>
                <w:rtl w:val="true"/>
              </w:rPr>
              <w:t>آيات البيعة</w:t>
            </w:r>
            <w:r>
              <w:rPr>
                <w:rStyle w:val="IndexLink"/>
                <w:rtl w:val="true"/>
              </w:rPr>
              <w:tab/>
            </w:r>
            <w:r>
              <w:rPr>
                <w:rStyle w:val="IndexLink"/>
              </w:rPr>
              <w:t>110</w:t>
            </w:r>
          </w:hyperlink>
        </w:p>
        <w:p>
          <w:pPr>
            <w:pStyle w:val="Contents6"/>
            <w:tabs>
              <w:tab w:val="clear" w:pos="7609"/>
              <w:tab w:val="right" w:pos="9026" w:leader="dot"/>
            </w:tabs>
            <w:rPr/>
          </w:pPr>
          <w:hyperlink w:anchor="__RefHeading___Toc13099742_1280447820">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13099744_1280447820">
            <w:r>
              <w:rPr>
                <w:webHidden/>
                <w:rStyle w:val="IndexLink"/>
                <w:rtl w:val="true"/>
              </w:rPr>
              <w:t>و لنا فيه نظرٌ</w:t>
            </w:r>
            <w:r>
              <w:rPr>
                <w:rStyle w:val="IndexLink"/>
                <w:rtl w:val="true"/>
              </w:rPr>
              <w:t>:</w:t>
              <w:tab/>
            </w:r>
            <w:r>
              <w:rPr>
                <w:rStyle w:val="IndexLink"/>
              </w:rPr>
              <w:t>110</w:t>
            </w:r>
          </w:hyperlink>
        </w:p>
        <w:p>
          <w:pPr>
            <w:pStyle w:val="Contents6"/>
            <w:tabs>
              <w:tab w:val="clear" w:pos="7609"/>
              <w:tab w:val="right" w:pos="9026" w:leader="dot"/>
            </w:tabs>
            <w:rPr/>
          </w:pPr>
          <w:hyperlink w:anchor="__RefHeading___Toc13099746_1280447820">
            <w:r>
              <w:rPr>
                <w:webHidden/>
                <w:rStyle w:val="IndexLink"/>
                <w:rtl w:val="true"/>
              </w:rPr>
              <w:t>الصنف الثّاني</w:t>
            </w:r>
            <w:r>
              <w:rPr>
                <w:rStyle w:val="IndexLink"/>
                <w:rtl w:val="true"/>
              </w:rPr>
              <w:t xml:space="preserve">: </w:t>
            </w:r>
            <w:r>
              <w:rPr>
                <w:rStyle w:val="IndexLink"/>
                <w:rtl w:val="true"/>
              </w:rPr>
              <w:t>آيات الشورىٰ‌</w:t>
            </w:r>
            <w:r>
              <w:rPr>
                <w:rStyle w:val="IndexLink"/>
                <w:rtl w:val="true"/>
              </w:rPr>
              <w:tab/>
            </w:r>
            <w:r>
              <w:rPr>
                <w:rStyle w:val="IndexLink"/>
              </w:rPr>
              <w:t>111</w:t>
            </w:r>
          </w:hyperlink>
        </w:p>
        <w:p>
          <w:pPr>
            <w:pStyle w:val="Contents6"/>
            <w:tabs>
              <w:tab w:val="clear" w:pos="7609"/>
              <w:tab w:val="right" w:pos="9026" w:leader="dot"/>
            </w:tabs>
            <w:rPr/>
          </w:pPr>
          <w:hyperlink w:anchor="__RefHeading___Toc13099748_1280447820">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13099750_1280447820">
            <w:r>
              <w:rPr>
                <w:webHidden/>
                <w:rStyle w:val="IndexLink"/>
                <w:rtl w:val="true"/>
              </w:rPr>
              <w:t>و لنا فيه نظران</w:t>
            </w:r>
            <w:r>
              <w:rPr>
                <w:rStyle w:val="IndexLink"/>
                <w:rtl w:val="true"/>
              </w:rPr>
              <w:t>:</w:t>
              <w:tab/>
            </w:r>
            <w:r>
              <w:rPr>
                <w:rStyle w:val="IndexLink"/>
              </w:rPr>
              <w:t>111</w:t>
            </w:r>
          </w:hyperlink>
        </w:p>
        <w:p>
          <w:pPr>
            <w:pStyle w:val="Contents6"/>
            <w:tabs>
              <w:tab w:val="clear" w:pos="7609"/>
              <w:tab w:val="right" w:pos="9026" w:leader="dot"/>
            </w:tabs>
            <w:rPr/>
          </w:pPr>
          <w:hyperlink w:anchor="__RefHeading___Toc13099752_1280447820">
            <w:r>
              <w:rPr>
                <w:webHidden/>
                <w:rStyle w:val="IndexLink"/>
                <w:rtl w:val="true"/>
              </w:rPr>
              <w:t>الصنف الثّالث</w:t>
            </w:r>
            <w:r>
              <w:rPr>
                <w:rStyle w:val="IndexLink"/>
                <w:rtl w:val="true"/>
              </w:rPr>
              <w:t xml:space="preserve">: </w:t>
            </w:r>
            <w:r>
              <w:rPr>
                <w:rStyle w:val="IndexLink"/>
                <w:rtl w:val="true"/>
              </w:rPr>
              <w:t>الآيات الّتي تبيّن منزلة الإنسان و مكانته</w:t>
            </w:r>
            <w:r>
              <w:rPr>
                <w:rStyle w:val="IndexLink"/>
                <w:rtl w:val="true"/>
              </w:rPr>
              <w:tab/>
            </w:r>
            <w:r>
              <w:rPr>
                <w:rStyle w:val="IndexLink"/>
              </w:rPr>
              <w:t>113</w:t>
            </w:r>
          </w:hyperlink>
        </w:p>
        <w:p>
          <w:pPr>
            <w:pStyle w:val="Contents6"/>
            <w:tabs>
              <w:tab w:val="clear" w:pos="7609"/>
              <w:tab w:val="right" w:pos="9026" w:leader="dot"/>
            </w:tabs>
            <w:rPr/>
          </w:pPr>
          <w:hyperlink w:anchor="__RefHeading___Toc13099754_1280447820">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13099756_1280447820">
            <w:r>
              <w:rPr>
                <w:webHidden/>
                <w:rStyle w:val="IndexLink"/>
                <w:rtl w:val="true"/>
              </w:rPr>
              <w:t>و لنا فيه نظرٌ</w:t>
            </w:r>
            <w:r>
              <w:rPr>
                <w:rStyle w:val="IndexLink"/>
                <w:rtl w:val="true"/>
              </w:rPr>
              <w:t>:</w:t>
              <w:tab/>
            </w:r>
            <w:r>
              <w:rPr>
                <w:rStyle w:val="IndexLink"/>
              </w:rPr>
              <w:t>113</w:t>
            </w:r>
          </w:hyperlink>
        </w:p>
        <w:p>
          <w:pPr>
            <w:pStyle w:val="Contents6"/>
            <w:tabs>
              <w:tab w:val="clear" w:pos="7609"/>
              <w:tab w:val="right" w:pos="9026" w:leader="dot"/>
            </w:tabs>
            <w:rPr/>
          </w:pPr>
          <w:hyperlink w:anchor="__RefHeading___Toc13099758_1280447820">
            <w:r>
              <w:rPr>
                <w:webHidden/>
                <w:rStyle w:val="IndexLink"/>
                <w:rtl w:val="true"/>
              </w:rPr>
              <w:t>الصنف الرّابع</w:t>
            </w:r>
            <w:r>
              <w:rPr>
                <w:rStyle w:val="IndexLink"/>
                <w:rtl w:val="true"/>
              </w:rPr>
              <w:t xml:space="preserve">: </w:t>
            </w:r>
            <w:r>
              <w:rPr>
                <w:rStyle w:val="IndexLink"/>
                <w:rtl w:val="true"/>
              </w:rPr>
              <w:t>الآيات الّتي خاطبت الناس فيما يرتبط بالمجتمع</w:t>
            </w:r>
            <w:r>
              <w:rPr>
                <w:rStyle w:val="IndexLink"/>
                <w:rtl w:val="true"/>
              </w:rPr>
              <w:tab/>
            </w:r>
            <w:r>
              <w:rPr>
                <w:rStyle w:val="IndexLink"/>
              </w:rPr>
              <w:t>113</w:t>
            </w:r>
          </w:hyperlink>
        </w:p>
        <w:p>
          <w:pPr>
            <w:pStyle w:val="Contents6"/>
            <w:tabs>
              <w:tab w:val="clear" w:pos="7609"/>
              <w:tab w:val="right" w:pos="9026" w:leader="dot"/>
            </w:tabs>
            <w:rPr/>
          </w:pPr>
          <w:hyperlink w:anchor="__RefHeading___Toc13099760_1280447820">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13099762_1280447820">
            <w:r>
              <w:rPr>
                <w:webHidden/>
                <w:rStyle w:val="IndexLink"/>
                <w:rtl w:val="true"/>
              </w:rPr>
              <w:t>و لنا فيه نظرٌ</w:t>
            </w:r>
            <w:r>
              <w:rPr>
                <w:rStyle w:val="IndexLink"/>
                <w:rtl w:val="true"/>
              </w:rPr>
              <w:t>:</w:t>
              <w:tab/>
            </w:r>
            <w:r>
              <w:rPr>
                <w:rStyle w:val="IndexLink"/>
              </w:rPr>
              <w:t>114</w:t>
            </w:r>
          </w:hyperlink>
        </w:p>
        <w:p>
          <w:pPr>
            <w:pStyle w:val="Contents6"/>
            <w:tabs>
              <w:tab w:val="clear" w:pos="7609"/>
              <w:tab w:val="right" w:pos="9026" w:leader="dot"/>
            </w:tabs>
            <w:rPr/>
          </w:pPr>
          <w:hyperlink w:anchor="__RefHeading___Toc13099764_1280447820">
            <w:r>
              <w:rPr>
                <w:webHidden/>
                <w:rStyle w:val="IndexLink"/>
              </w:rPr>
              <w:t>2</w:t>
            </w:r>
            <w:r>
              <w:rPr>
                <w:rStyle w:val="IndexLink"/>
                <w:rtl w:val="true"/>
              </w:rPr>
              <w:t xml:space="preserve"> - </w:t>
            </w:r>
            <w:r>
              <w:rPr>
                <w:rStyle w:val="IndexLink"/>
                <w:rtl w:val="true"/>
              </w:rPr>
              <w:t>السنّة الشريفة</w:t>
            </w:r>
            <w:r>
              <w:rPr>
                <w:rStyle w:val="IndexLink"/>
                <w:rtl w:val="true"/>
              </w:rPr>
              <w:tab/>
            </w:r>
            <w:r>
              <w:rPr>
                <w:rStyle w:val="IndexLink"/>
              </w:rPr>
              <w:t>115</w:t>
            </w:r>
          </w:hyperlink>
        </w:p>
        <w:p>
          <w:pPr>
            <w:pStyle w:val="Contents6"/>
            <w:tabs>
              <w:tab w:val="clear" w:pos="7609"/>
              <w:tab w:val="right" w:pos="9026" w:leader="dot"/>
            </w:tabs>
            <w:rPr/>
          </w:pPr>
          <w:hyperlink w:anchor="__RefHeading___Toc13099766_1280447820">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13099768_1280447820">
            <w:r>
              <w:rPr>
                <w:webHidden/>
                <w:rStyle w:val="IndexLink"/>
                <w:rtl w:val="true"/>
              </w:rPr>
              <w:t>و لنا فيه نظران</w:t>
            </w:r>
            <w:r>
              <w:rPr>
                <w:rStyle w:val="IndexLink"/>
                <w:rtl w:val="true"/>
              </w:rPr>
              <w:tab/>
            </w:r>
            <w:r>
              <w:rPr>
                <w:rStyle w:val="IndexLink"/>
              </w:rPr>
              <w:t>116</w:t>
            </w:r>
          </w:hyperlink>
        </w:p>
        <w:p>
          <w:pPr>
            <w:pStyle w:val="Contents6"/>
            <w:tabs>
              <w:tab w:val="clear" w:pos="7609"/>
              <w:tab w:val="right" w:pos="9026" w:leader="dot"/>
            </w:tabs>
            <w:rPr/>
          </w:pPr>
          <w:hyperlink w:anchor="__RefHeading___Toc13099770_1280447820">
            <w:r>
              <w:rPr>
                <w:webHidden/>
                <w:rStyle w:val="IndexLink"/>
              </w:rPr>
              <w:t>3</w:t>
            </w:r>
            <w:r>
              <w:rPr>
                <w:rStyle w:val="IndexLink"/>
                <w:rtl w:val="true"/>
              </w:rPr>
              <w:t xml:space="preserve"> - </w:t>
            </w:r>
            <w:r>
              <w:rPr>
                <w:rStyle w:val="IndexLink"/>
                <w:rtl w:val="true"/>
              </w:rPr>
              <w:t>العقل</w:t>
            </w:r>
            <w:r>
              <w:rPr>
                <w:rStyle w:val="IndexLink"/>
                <w:rtl w:val="true"/>
              </w:rPr>
              <w:tab/>
            </w:r>
            <w:r>
              <w:rPr>
                <w:rStyle w:val="IndexLink"/>
              </w:rPr>
              <w:t>119</w:t>
            </w:r>
          </w:hyperlink>
        </w:p>
        <w:p>
          <w:pPr>
            <w:pStyle w:val="Contents6"/>
            <w:tabs>
              <w:tab w:val="clear" w:pos="7609"/>
              <w:tab w:val="right" w:pos="9026" w:leader="dot"/>
            </w:tabs>
            <w:rPr/>
          </w:pPr>
          <w:hyperlink w:anchor="__RefHeading___Toc13099772_1280447820">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13099774_1280447820">
            <w:r>
              <w:rPr>
                <w:webHidden/>
                <w:rStyle w:val="IndexLink"/>
                <w:rtl w:val="true"/>
              </w:rPr>
              <w:t>بيان كيفيّة الاستدلال بالعقل النظريّ‌</w:t>
            </w:r>
            <w:r>
              <w:rPr>
                <w:rStyle w:val="IndexLink"/>
                <w:rtl w:val="true"/>
              </w:rPr>
              <w:tab/>
            </w:r>
            <w:r>
              <w:rPr>
                <w:rStyle w:val="IndexLink"/>
              </w:rPr>
              <w:t>119</w:t>
            </w:r>
          </w:hyperlink>
        </w:p>
        <w:p>
          <w:pPr>
            <w:pStyle w:val="Contents6"/>
            <w:tabs>
              <w:tab w:val="clear" w:pos="7609"/>
              <w:tab w:val="right" w:pos="9026" w:leader="dot"/>
            </w:tabs>
            <w:rPr/>
          </w:pPr>
          <w:hyperlink w:anchor="__RefHeading___Toc13099776_1280447820">
            <w:r>
              <w:rPr>
                <w:webHidden/>
                <w:rStyle w:val="IndexLink"/>
                <w:rtl w:val="true"/>
              </w:rPr>
              <w:t>بيان كيفيّة الاستدلال بالعقل العمليّ‌</w:t>
            </w:r>
            <w:r>
              <w:rPr>
                <w:rStyle w:val="IndexLink"/>
                <w:rtl w:val="true"/>
              </w:rPr>
              <w:tab/>
            </w:r>
            <w:r>
              <w:rPr>
                <w:rStyle w:val="IndexLink"/>
              </w:rPr>
              <w:t>119</w:t>
            </w:r>
          </w:hyperlink>
        </w:p>
        <w:p>
          <w:pPr>
            <w:pStyle w:val="Contents6"/>
            <w:tabs>
              <w:tab w:val="clear" w:pos="7609"/>
              <w:tab w:val="right" w:pos="9026" w:leader="dot"/>
            </w:tabs>
            <w:rPr/>
          </w:pPr>
          <w:hyperlink w:anchor="__RefHeading___Toc13099778_1280447820">
            <w:r>
              <w:rPr>
                <w:webHidden/>
                <w:rStyle w:val="IndexLink"/>
                <w:rtl w:val="true"/>
              </w:rPr>
              <w:t>و لنا في التقريرين أنظار،</w:t>
            </w:r>
            <w:r>
              <w:rPr>
                <w:rStyle w:val="IndexLink"/>
                <w:rtl w:val="true"/>
              </w:rPr>
              <w:tab/>
            </w:r>
            <w:r>
              <w:rPr>
                <w:rStyle w:val="IndexLink"/>
              </w:rPr>
              <w:t>120</w:t>
            </w:r>
          </w:hyperlink>
        </w:p>
        <w:p>
          <w:pPr>
            <w:pStyle w:val="Contents6"/>
            <w:tabs>
              <w:tab w:val="clear" w:pos="7609"/>
              <w:tab w:val="right" w:pos="9026" w:leader="dot"/>
            </w:tabs>
            <w:rPr/>
          </w:pPr>
          <w:hyperlink w:anchor="__RefHeading___Toc13099780_1280447820">
            <w:r>
              <w:rPr>
                <w:webHidden/>
                <w:rStyle w:val="IndexLink"/>
              </w:rPr>
              <w:t>4</w:t>
            </w:r>
            <w:r>
              <w:rPr>
                <w:rStyle w:val="IndexLink"/>
                <w:rtl w:val="true"/>
              </w:rPr>
              <w:t xml:space="preserve"> - </w:t>
            </w:r>
            <w:r>
              <w:rPr>
                <w:rStyle w:val="IndexLink"/>
                <w:rtl w:val="true"/>
              </w:rPr>
              <w:t>الإجماع</w:t>
            </w:r>
            <w:r>
              <w:rPr>
                <w:rStyle w:val="IndexLink"/>
                <w:rtl w:val="true"/>
              </w:rPr>
              <w:tab/>
            </w:r>
            <w:r>
              <w:rPr>
                <w:rStyle w:val="IndexLink"/>
              </w:rPr>
              <w:t>121</w:t>
            </w:r>
          </w:hyperlink>
        </w:p>
        <w:p>
          <w:pPr>
            <w:pStyle w:val="Contents6"/>
            <w:tabs>
              <w:tab w:val="clear" w:pos="7609"/>
              <w:tab w:val="right" w:pos="9026" w:leader="dot"/>
            </w:tabs>
            <w:rPr/>
          </w:pPr>
          <w:hyperlink w:anchor="__RefHeading___Toc13099782_1280447820">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13099784_1280447820">
            <w:r>
              <w:rPr>
                <w:webHidden/>
                <w:rStyle w:val="IndexLink"/>
                <w:rtl w:val="true"/>
              </w:rPr>
              <w:t>و لنا فيه نظرٌ</w:t>
            </w:r>
            <w:r>
              <w:rPr>
                <w:rStyle w:val="IndexLink"/>
                <w:rtl w:val="true"/>
              </w:rPr>
              <w:t>:</w:t>
              <w:tab/>
            </w:r>
            <w:r>
              <w:rPr>
                <w:rStyle w:val="IndexLink"/>
              </w:rPr>
              <w:t>121</w:t>
            </w:r>
          </w:hyperlink>
        </w:p>
        <w:p>
          <w:pPr>
            <w:pStyle w:val="Contents5"/>
            <w:tabs>
              <w:tab w:val="clear" w:pos="7892"/>
              <w:tab w:val="right" w:pos="9026" w:leader="dot"/>
            </w:tabs>
            <w:rPr/>
          </w:pPr>
          <w:hyperlink w:anchor="__RefHeading___Toc13099786_1280447820">
            <w:r>
              <w:rPr>
                <w:webHidden/>
                <w:rStyle w:val="IndexLink"/>
                <w:rtl w:val="true"/>
              </w:rPr>
              <w:t>اشكالاتٌ على نظريّة الدّولة الإختياريّة</w:t>
            </w:r>
            <w:r>
              <w:rPr>
                <w:rStyle w:val="IndexLink"/>
                <w:rtl w:val="true"/>
              </w:rPr>
              <w:tab/>
            </w:r>
            <w:r>
              <w:rPr>
                <w:rStyle w:val="IndexLink"/>
              </w:rPr>
              <w:t>122</w:t>
            </w:r>
          </w:hyperlink>
        </w:p>
        <w:p>
          <w:pPr>
            <w:pStyle w:val="Contents6"/>
            <w:tabs>
              <w:tab w:val="clear" w:pos="7609"/>
              <w:tab w:val="right" w:pos="9026" w:leader="dot"/>
            </w:tabs>
            <w:rPr/>
          </w:pPr>
          <w:hyperlink w:anchor="__RefHeading___Toc13099788_1280447820">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13099790_1280447820">
            <w:r>
              <w:rPr>
                <w:webHidden/>
                <w:rStyle w:val="IndexLink"/>
              </w:rPr>
              <w:t>1</w:t>
            </w:r>
            <w:r>
              <w:rPr>
                <w:rStyle w:val="IndexLink"/>
                <w:rtl w:val="true"/>
              </w:rPr>
              <w:t xml:space="preserve"> - </w:t>
            </w:r>
            <w:r>
              <w:rPr>
                <w:rStyle w:val="IndexLink"/>
                <w:rtl w:val="true"/>
              </w:rPr>
              <w:t>الإشكال الأوّل</w:t>
            </w:r>
            <w:r>
              <w:rPr>
                <w:rStyle w:val="IndexLink"/>
                <w:rtl w:val="true"/>
              </w:rPr>
              <w:t>:</w:t>
              <w:tab/>
            </w:r>
            <w:r>
              <w:rPr>
                <w:rStyle w:val="IndexLink"/>
              </w:rPr>
              <w:t>122</w:t>
            </w:r>
          </w:hyperlink>
        </w:p>
        <w:p>
          <w:pPr>
            <w:pStyle w:val="Contents6"/>
            <w:tabs>
              <w:tab w:val="clear" w:pos="7609"/>
              <w:tab w:val="right" w:pos="9026" w:leader="dot"/>
            </w:tabs>
            <w:rPr/>
          </w:pPr>
          <w:hyperlink w:anchor="__RefHeading___Toc13099792_1280447820">
            <w:r>
              <w:rPr>
                <w:webHidden/>
                <w:rStyle w:val="IndexLink"/>
              </w:rPr>
              <w:t>2</w:t>
            </w:r>
            <w:r>
              <w:rPr>
                <w:rStyle w:val="IndexLink"/>
                <w:rtl w:val="true"/>
              </w:rPr>
              <w:t xml:space="preserve"> - </w:t>
            </w:r>
            <w:r>
              <w:rPr>
                <w:rStyle w:val="IndexLink"/>
                <w:rtl w:val="true"/>
              </w:rPr>
              <w:t>الإشكال الثّاني</w:t>
            </w:r>
            <w:r>
              <w:rPr>
                <w:rStyle w:val="IndexLink"/>
                <w:rtl w:val="true"/>
              </w:rPr>
              <w:t>:</w:t>
              <w:tab/>
            </w:r>
            <w:r>
              <w:rPr>
                <w:rStyle w:val="IndexLink"/>
              </w:rPr>
              <w:t>122</w:t>
            </w:r>
          </w:hyperlink>
        </w:p>
        <w:p>
          <w:pPr>
            <w:pStyle w:val="Contents6"/>
            <w:tabs>
              <w:tab w:val="clear" w:pos="7609"/>
              <w:tab w:val="right" w:pos="9026" w:leader="dot"/>
            </w:tabs>
            <w:rPr/>
          </w:pPr>
          <w:hyperlink w:anchor="__RefHeading___Toc13099794_1280447820">
            <w:r>
              <w:rPr>
                <w:webHidden/>
                <w:rStyle w:val="IndexLink"/>
              </w:rPr>
              <w:t>3</w:t>
            </w:r>
            <w:r>
              <w:rPr>
                <w:rStyle w:val="IndexLink"/>
                <w:rtl w:val="true"/>
              </w:rPr>
              <w:t xml:space="preserve"> - </w:t>
            </w:r>
            <w:r>
              <w:rPr>
                <w:rStyle w:val="IndexLink"/>
                <w:rtl w:val="true"/>
              </w:rPr>
              <w:t>الإشكال الثّالث</w:t>
            </w:r>
            <w:r>
              <w:rPr>
                <w:rStyle w:val="IndexLink"/>
                <w:rtl w:val="true"/>
              </w:rPr>
              <w:t>:</w:t>
              <w:tab/>
            </w:r>
            <w:r>
              <w:rPr>
                <w:rStyle w:val="IndexLink"/>
              </w:rPr>
              <w:t>123</w:t>
            </w:r>
          </w:hyperlink>
        </w:p>
        <w:p>
          <w:pPr>
            <w:pStyle w:val="Contents6"/>
            <w:tabs>
              <w:tab w:val="clear" w:pos="7609"/>
              <w:tab w:val="right" w:pos="9026" w:leader="dot"/>
            </w:tabs>
            <w:rPr/>
          </w:pPr>
          <w:hyperlink w:anchor="__RefHeading___Toc13099796_1280447820">
            <w:r>
              <w:rPr>
                <w:webHidden/>
                <w:rStyle w:val="IndexLink"/>
              </w:rPr>
              <w:t>4</w:t>
            </w:r>
            <w:r>
              <w:rPr>
                <w:rStyle w:val="IndexLink"/>
                <w:rtl w:val="true"/>
              </w:rPr>
              <w:t xml:space="preserve"> - </w:t>
            </w:r>
            <w:r>
              <w:rPr>
                <w:rStyle w:val="IndexLink"/>
                <w:rtl w:val="true"/>
              </w:rPr>
              <w:t>الإشكال الرّابع</w:t>
            </w:r>
            <w:r>
              <w:rPr>
                <w:rStyle w:val="IndexLink"/>
                <w:rtl w:val="true"/>
              </w:rPr>
              <w:t>:</w:t>
              <w:tab/>
            </w:r>
            <w:r>
              <w:rPr>
                <w:rStyle w:val="IndexLink"/>
              </w:rPr>
              <w:t>123</w:t>
            </w:r>
          </w:hyperlink>
        </w:p>
        <w:p>
          <w:pPr>
            <w:pStyle w:val="Contents6"/>
            <w:tabs>
              <w:tab w:val="clear" w:pos="7609"/>
              <w:tab w:val="right" w:pos="9026" w:leader="dot"/>
            </w:tabs>
            <w:rPr/>
          </w:pPr>
          <w:hyperlink w:anchor="__RefHeading___Toc13099798_1280447820">
            <w:r>
              <w:rPr>
                <w:webHidden/>
                <w:rStyle w:val="IndexLink"/>
              </w:rPr>
              <w:t>5</w:t>
            </w:r>
            <w:r>
              <w:rPr>
                <w:rStyle w:val="IndexLink"/>
                <w:rtl w:val="true"/>
              </w:rPr>
              <w:t xml:space="preserve"> - </w:t>
            </w:r>
            <w:r>
              <w:rPr>
                <w:rStyle w:val="IndexLink"/>
                <w:rtl w:val="true"/>
              </w:rPr>
              <w:t>الإشكال الخامس</w:t>
            </w:r>
            <w:r>
              <w:rPr>
                <w:rStyle w:val="IndexLink"/>
                <w:rtl w:val="true"/>
              </w:rPr>
              <w:t>:</w:t>
              <w:tab/>
            </w:r>
            <w:r>
              <w:rPr>
                <w:rStyle w:val="IndexLink"/>
              </w:rPr>
              <w:t>124</w:t>
            </w:r>
          </w:hyperlink>
        </w:p>
        <w:p>
          <w:pPr>
            <w:pStyle w:val="Contents6"/>
            <w:tabs>
              <w:tab w:val="clear" w:pos="7609"/>
              <w:tab w:val="right" w:pos="9026" w:leader="dot"/>
            </w:tabs>
            <w:rPr/>
          </w:pPr>
          <w:hyperlink w:anchor="__RefHeading___Toc13099800_1280447820">
            <w:r>
              <w:rPr>
                <w:webHidden/>
                <w:rStyle w:val="IndexLink"/>
              </w:rPr>
              <w:t>6</w:t>
            </w:r>
            <w:r>
              <w:rPr>
                <w:rStyle w:val="IndexLink"/>
                <w:rtl w:val="true"/>
              </w:rPr>
              <w:t xml:space="preserve"> - </w:t>
            </w:r>
            <w:r>
              <w:rPr>
                <w:rStyle w:val="IndexLink"/>
                <w:rtl w:val="true"/>
              </w:rPr>
              <w:t>الإشكال السّادس</w:t>
            </w:r>
            <w:r>
              <w:rPr>
                <w:rStyle w:val="IndexLink"/>
                <w:rtl w:val="true"/>
              </w:rPr>
              <w:t>:</w:t>
              <w:tab/>
            </w:r>
            <w:r>
              <w:rPr>
                <w:rStyle w:val="IndexLink"/>
              </w:rPr>
              <w:t>124</w:t>
            </w:r>
          </w:hyperlink>
        </w:p>
        <w:p>
          <w:pPr>
            <w:pStyle w:val="Contents6"/>
            <w:tabs>
              <w:tab w:val="clear" w:pos="7609"/>
              <w:tab w:val="right" w:pos="9026" w:leader="dot"/>
            </w:tabs>
            <w:rPr/>
          </w:pPr>
          <w:hyperlink w:anchor="__RefHeading___Toc13099802_1280447820">
            <w:r>
              <w:rPr>
                <w:webHidden/>
                <w:rStyle w:val="IndexLink"/>
              </w:rPr>
              <w:t>7</w:t>
            </w:r>
            <w:r>
              <w:rPr>
                <w:rStyle w:val="IndexLink"/>
                <w:rtl w:val="true"/>
              </w:rPr>
              <w:t xml:space="preserve"> - </w:t>
            </w:r>
            <w:r>
              <w:rPr>
                <w:rStyle w:val="IndexLink"/>
                <w:rtl w:val="true"/>
              </w:rPr>
              <w:t>الإشكال السّابع</w:t>
            </w:r>
            <w:r>
              <w:rPr>
                <w:rStyle w:val="IndexLink"/>
                <w:rtl w:val="true"/>
              </w:rPr>
              <w:t>:</w:t>
              <w:tab/>
            </w:r>
            <w:r>
              <w:rPr>
                <w:rStyle w:val="IndexLink"/>
              </w:rPr>
              <w:t>125</w:t>
            </w:r>
          </w:hyperlink>
        </w:p>
        <w:p>
          <w:pPr>
            <w:pStyle w:val="Contents6"/>
            <w:tabs>
              <w:tab w:val="clear" w:pos="7609"/>
              <w:tab w:val="right" w:pos="9026" w:leader="dot"/>
            </w:tabs>
            <w:rPr/>
          </w:pPr>
          <w:hyperlink w:anchor="__RefHeading___Toc13099804_1280447820">
            <w:r>
              <w:rPr>
                <w:webHidden/>
                <w:rStyle w:val="IndexLink"/>
              </w:rPr>
              <w:t>8</w:t>
            </w:r>
            <w:r>
              <w:rPr>
                <w:rStyle w:val="IndexLink"/>
                <w:rtl w:val="true"/>
              </w:rPr>
              <w:t xml:space="preserve"> - </w:t>
            </w:r>
            <w:r>
              <w:rPr>
                <w:rStyle w:val="IndexLink"/>
                <w:rtl w:val="true"/>
              </w:rPr>
              <w:t>الإشكال الثامن</w:t>
            </w:r>
            <w:r>
              <w:rPr>
                <w:rStyle w:val="IndexLink"/>
                <w:rtl w:val="true"/>
              </w:rPr>
              <w:t>:</w:t>
              <w:tab/>
            </w:r>
            <w:r>
              <w:rPr>
                <w:rStyle w:val="IndexLink"/>
              </w:rPr>
              <w:t>125</w:t>
            </w:r>
          </w:hyperlink>
        </w:p>
        <w:p>
          <w:pPr>
            <w:pStyle w:val="Contents6"/>
            <w:tabs>
              <w:tab w:val="clear" w:pos="7609"/>
              <w:tab w:val="right" w:pos="9026" w:leader="dot"/>
            </w:tabs>
            <w:rPr/>
          </w:pPr>
          <w:hyperlink w:anchor="__RefHeading___Toc13099806_1280447820">
            <w:r>
              <w:rPr>
                <w:webHidden/>
                <w:rStyle w:val="IndexLink"/>
              </w:rPr>
              <w:t>9</w:t>
            </w:r>
            <w:r>
              <w:rPr>
                <w:rStyle w:val="IndexLink"/>
                <w:rtl w:val="true"/>
              </w:rPr>
              <w:t xml:space="preserve"> - </w:t>
            </w:r>
            <w:r>
              <w:rPr>
                <w:rStyle w:val="IndexLink"/>
                <w:rtl w:val="true"/>
              </w:rPr>
              <w:t>الإشكال التّاسع</w:t>
            </w:r>
            <w:r>
              <w:rPr>
                <w:rStyle w:val="IndexLink"/>
                <w:rtl w:val="true"/>
              </w:rPr>
              <w:t>:</w:t>
              <w:tab/>
            </w:r>
            <w:r>
              <w:rPr>
                <w:rStyle w:val="IndexLink"/>
              </w:rPr>
              <w:t>126</w:t>
            </w:r>
          </w:hyperlink>
        </w:p>
        <w:p>
          <w:pPr>
            <w:pStyle w:val="Contents6"/>
            <w:tabs>
              <w:tab w:val="clear" w:pos="7609"/>
              <w:tab w:val="right" w:pos="9026" w:leader="dot"/>
            </w:tabs>
            <w:rPr/>
          </w:pPr>
          <w:hyperlink w:anchor="__RefHeading___Toc13099808_1280447820">
            <w:r>
              <w:rPr>
                <w:webHidden/>
                <w:rStyle w:val="IndexLink"/>
              </w:rPr>
              <w:t>10</w:t>
            </w:r>
            <w:r>
              <w:rPr>
                <w:rStyle w:val="IndexLink"/>
                <w:rtl w:val="true"/>
              </w:rPr>
              <w:t xml:space="preserve"> - </w:t>
            </w:r>
            <w:r>
              <w:rPr>
                <w:rStyle w:val="IndexLink"/>
                <w:rtl w:val="true"/>
              </w:rPr>
              <w:t>الإشكال العاشر</w:t>
            </w:r>
            <w:r>
              <w:rPr>
                <w:rStyle w:val="IndexLink"/>
                <w:rtl w:val="true"/>
              </w:rPr>
              <w:t>:</w:t>
              <w:tab/>
            </w:r>
            <w:r>
              <w:rPr>
                <w:rStyle w:val="IndexLink"/>
              </w:rPr>
              <w:t>126</w:t>
            </w:r>
          </w:hyperlink>
        </w:p>
        <w:p>
          <w:pPr>
            <w:pStyle w:val="Contents6"/>
            <w:tabs>
              <w:tab w:val="clear" w:pos="7609"/>
              <w:tab w:val="right" w:pos="9026" w:leader="dot"/>
            </w:tabs>
            <w:rPr/>
          </w:pPr>
          <w:hyperlink w:anchor="__RefHeading___Toc13099810_1280447820">
            <w:r>
              <w:rPr>
                <w:webHidden/>
                <w:rStyle w:val="IndexLink"/>
              </w:rPr>
              <w:t>11</w:t>
            </w:r>
            <w:r>
              <w:rPr>
                <w:rStyle w:val="IndexLink"/>
                <w:rtl w:val="true"/>
              </w:rPr>
              <w:t xml:space="preserve"> - </w:t>
            </w:r>
            <w:r>
              <w:rPr>
                <w:rStyle w:val="IndexLink"/>
                <w:rtl w:val="true"/>
              </w:rPr>
              <w:t>الإشكال الحادي عشر</w:t>
            </w:r>
            <w:r>
              <w:rPr>
                <w:rStyle w:val="IndexLink"/>
                <w:rtl w:val="true"/>
              </w:rPr>
              <w:t>:</w:t>
              <w:tab/>
            </w:r>
            <w:r>
              <w:rPr>
                <w:rStyle w:val="IndexLink"/>
              </w:rPr>
              <w:t>127</w:t>
            </w:r>
          </w:hyperlink>
        </w:p>
        <w:p>
          <w:pPr>
            <w:pStyle w:val="Contents6"/>
            <w:tabs>
              <w:tab w:val="clear" w:pos="7609"/>
              <w:tab w:val="right" w:pos="9026" w:leader="dot"/>
            </w:tabs>
            <w:rPr/>
          </w:pPr>
          <w:hyperlink w:anchor="__RefHeading___Toc13099812_1280447820">
            <w:r>
              <w:rPr>
                <w:webHidden/>
                <w:rStyle w:val="IndexLink"/>
              </w:rPr>
              <w:t>12</w:t>
            </w:r>
            <w:r>
              <w:rPr>
                <w:rStyle w:val="IndexLink"/>
                <w:rtl w:val="true"/>
              </w:rPr>
              <w:t xml:space="preserve"> - </w:t>
            </w:r>
            <w:r>
              <w:rPr>
                <w:rStyle w:val="IndexLink"/>
                <w:rtl w:val="true"/>
              </w:rPr>
              <w:t>الإشكال الثّاني عشر</w:t>
            </w:r>
            <w:r>
              <w:rPr>
                <w:rStyle w:val="IndexLink"/>
                <w:rtl w:val="true"/>
              </w:rPr>
              <w:t>:</w:t>
              <w:tab/>
            </w:r>
            <w:r>
              <w:rPr>
                <w:rStyle w:val="IndexLink"/>
              </w:rPr>
              <w:t>128</w:t>
            </w:r>
          </w:hyperlink>
        </w:p>
        <w:p>
          <w:pPr>
            <w:pStyle w:val="Contents4"/>
            <w:tabs>
              <w:tab w:val="clear" w:pos="8176"/>
              <w:tab w:val="right" w:pos="9026" w:leader="dot"/>
            </w:tabs>
            <w:rPr/>
          </w:pPr>
          <w:hyperlink w:anchor="__RefHeading___Toc13099814_1280447820">
            <w:r>
              <w:rPr>
                <w:webHidden/>
                <w:rStyle w:val="IndexLink"/>
                <w:rtl w:val="true"/>
              </w:rPr>
              <w:t>المقدّمة الثّامنة أنواع الولاية و أجناسها في فقه الشيعة الإماميّة</w:t>
            </w:r>
            <w:r>
              <w:rPr>
                <w:rStyle w:val="IndexLink"/>
                <w:rtl w:val="true"/>
              </w:rPr>
              <w:tab/>
            </w:r>
            <w:r>
              <w:rPr>
                <w:rStyle w:val="IndexLink"/>
              </w:rPr>
              <w:t>130</w:t>
            </w:r>
          </w:hyperlink>
        </w:p>
        <w:p>
          <w:pPr>
            <w:pStyle w:val="Contents5"/>
            <w:tabs>
              <w:tab w:val="clear" w:pos="7892"/>
              <w:tab w:val="right" w:pos="9026" w:leader="dot"/>
            </w:tabs>
            <w:rPr/>
          </w:pPr>
          <w:hyperlink w:anchor="__RefHeading___Toc13099816_1280447820">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13099818_1280447820">
            <w:r>
              <w:rPr>
                <w:webHidden/>
                <w:rStyle w:val="IndexLink"/>
                <w:rtl w:val="true"/>
              </w:rPr>
              <w:t>ثبَتٌ لأقسام الولاية فى فقه الإماميّة</w:t>
            </w:r>
            <w:r>
              <w:rPr>
                <w:rStyle w:val="IndexLink"/>
                <w:rtl w:val="true"/>
              </w:rPr>
              <w:tab/>
            </w:r>
            <w:r>
              <w:rPr>
                <w:rStyle w:val="IndexLink"/>
              </w:rPr>
              <w:t>130</w:t>
            </w:r>
          </w:hyperlink>
        </w:p>
        <w:p>
          <w:pPr>
            <w:pStyle w:val="Contents6"/>
            <w:tabs>
              <w:tab w:val="clear" w:pos="7609"/>
              <w:tab w:val="right" w:pos="9026" w:leader="dot"/>
            </w:tabs>
            <w:rPr/>
          </w:pPr>
          <w:hyperlink w:anchor="__RefHeading___Toc13099820_1280447820">
            <w:r>
              <w:rPr>
                <w:webHidden/>
                <w:rStyle w:val="IndexLink"/>
              </w:rPr>
              <w:t>1</w:t>
            </w:r>
            <w:r>
              <w:rPr>
                <w:rStyle w:val="IndexLink"/>
                <w:rtl w:val="true"/>
              </w:rPr>
              <w:t xml:space="preserve"> - </w:t>
            </w:r>
            <w:r>
              <w:rPr>
                <w:rStyle w:val="IndexLink"/>
                <w:rtl w:val="true"/>
              </w:rPr>
              <w:t>ولاية الأب و الجدّ على الصغير و المجنون و السفيه</w:t>
            </w:r>
            <w:r>
              <w:rPr>
                <w:rStyle w:val="IndexLink"/>
                <w:rtl w:val="true"/>
              </w:rPr>
              <w:tab/>
            </w:r>
            <w:r>
              <w:rPr>
                <w:rStyle w:val="IndexLink"/>
              </w:rPr>
              <w:t>130</w:t>
            </w:r>
          </w:hyperlink>
        </w:p>
        <w:p>
          <w:pPr>
            <w:pStyle w:val="Contents6"/>
            <w:tabs>
              <w:tab w:val="clear" w:pos="7609"/>
              <w:tab w:val="right" w:pos="9026" w:leader="dot"/>
            </w:tabs>
            <w:rPr/>
          </w:pPr>
          <w:hyperlink w:anchor="__RefHeading___Toc13099822_1280447820">
            <w:r>
              <w:rPr>
                <w:webHidden/>
                <w:rStyle w:val="IndexLink"/>
              </w:rPr>
              <w:t>2</w:t>
            </w:r>
            <w:r>
              <w:rPr>
                <w:rStyle w:val="IndexLink"/>
                <w:rtl w:val="true"/>
              </w:rPr>
              <w:t xml:space="preserve"> - </w:t>
            </w:r>
            <w:r>
              <w:rPr>
                <w:rStyle w:val="IndexLink"/>
                <w:rtl w:val="true"/>
              </w:rPr>
              <w:t>ولاية أولياء الميّت على جسده</w:t>
            </w:r>
            <w:r>
              <w:rPr>
                <w:rStyle w:val="IndexLink"/>
                <w:rtl w:val="true"/>
              </w:rPr>
              <w:tab/>
            </w:r>
            <w:r>
              <w:rPr>
                <w:rStyle w:val="IndexLink"/>
              </w:rPr>
              <w:t>131</w:t>
            </w:r>
          </w:hyperlink>
        </w:p>
        <w:p>
          <w:pPr>
            <w:pStyle w:val="Contents6"/>
            <w:tabs>
              <w:tab w:val="clear" w:pos="7609"/>
              <w:tab w:val="right" w:pos="9026" w:leader="dot"/>
            </w:tabs>
            <w:rPr/>
          </w:pPr>
          <w:hyperlink w:anchor="__RefHeading___Toc13099824_1280447820">
            <w:r>
              <w:rPr>
                <w:webHidden/>
                <w:rStyle w:val="IndexLink"/>
              </w:rPr>
              <w:t>3</w:t>
            </w:r>
            <w:r>
              <w:rPr>
                <w:rStyle w:val="IndexLink"/>
                <w:rtl w:val="true"/>
              </w:rPr>
              <w:t xml:space="preserve"> - </w:t>
            </w:r>
            <w:r>
              <w:rPr>
                <w:rStyle w:val="IndexLink"/>
                <w:rtl w:val="true"/>
              </w:rPr>
              <w:t>ولاية أولياء المقتول على دمه</w:t>
            </w:r>
            <w:r>
              <w:rPr>
                <w:rStyle w:val="IndexLink"/>
                <w:rtl w:val="true"/>
              </w:rPr>
              <w:tab/>
            </w:r>
            <w:r>
              <w:rPr>
                <w:rStyle w:val="IndexLink"/>
              </w:rPr>
              <w:t>131</w:t>
            </w:r>
          </w:hyperlink>
        </w:p>
        <w:p>
          <w:pPr>
            <w:pStyle w:val="Contents6"/>
            <w:tabs>
              <w:tab w:val="clear" w:pos="7609"/>
              <w:tab w:val="right" w:pos="9026" w:leader="dot"/>
            </w:tabs>
            <w:rPr/>
          </w:pPr>
          <w:hyperlink w:anchor="__RefHeading___Toc13099826_1280447820">
            <w:r>
              <w:rPr>
                <w:webHidden/>
                <w:rStyle w:val="IndexLink"/>
              </w:rPr>
              <w:t>4</w:t>
            </w:r>
            <w:r>
              <w:rPr>
                <w:rStyle w:val="IndexLink"/>
                <w:rtl w:val="true"/>
              </w:rPr>
              <w:t xml:space="preserve"> - </w:t>
            </w:r>
            <w:r>
              <w:rPr>
                <w:rStyle w:val="IndexLink"/>
                <w:rtl w:val="true"/>
              </w:rPr>
              <w:t>ولاية الوصيّ على أموال الموصيّ‌</w:t>
            </w:r>
            <w:r>
              <w:rPr>
                <w:rStyle w:val="IndexLink"/>
                <w:rtl w:val="true"/>
              </w:rPr>
              <w:tab/>
            </w:r>
            <w:r>
              <w:rPr>
                <w:rStyle w:val="IndexLink"/>
              </w:rPr>
              <w:t>131</w:t>
            </w:r>
          </w:hyperlink>
        </w:p>
        <w:p>
          <w:pPr>
            <w:pStyle w:val="Contents6"/>
            <w:tabs>
              <w:tab w:val="clear" w:pos="7609"/>
              <w:tab w:val="right" w:pos="9026" w:leader="dot"/>
            </w:tabs>
            <w:rPr/>
          </w:pPr>
          <w:hyperlink w:anchor="__RefHeading___Toc13099828_1280447820">
            <w:r>
              <w:rPr>
                <w:webHidden/>
                <w:rStyle w:val="IndexLink"/>
              </w:rPr>
              <w:t>5</w:t>
            </w:r>
            <w:r>
              <w:rPr>
                <w:rStyle w:val="IndexLink"/>
                <w:rtl w:val="true"/>
              </w:rPr>
              <w:t xml:space="preserve"> - </w:t>
            </w:r>
            <w:r>
              <w:rPr>
                <w:rStyle w:val="IndexLink"/>
                <w:rtl w:val="true"/>
              </w:rPr>
              <w:t>ولاية القيّم على الصغار و السفهاء</w:t>
            </w:r>
            <w:r>
              <w:rPr>
                <w:rStyle w:val="IndexLink"/>
                <w:rtl w:val="true"/>
              </w:rPr>
              <w:tab/>
            </w:r>
            <w:r>
              <w:rPr>
                <w:rStyle w:val="IndexLink"/>
              </w:rPr>
              <w:t>132</w:t>
            </w:r>
          </w:hyperlink>
        </w:p>
        <w:p>
          <w:pPr>
            <w:pStyle w:val="Contents6"/>
            <w:tabs>
              <w:tab w:val="clear" w:pos="7609"/>
              <w:tab w:val="right" w:pos="9026" w:leader="dot"/>
            </w:tabs>
            <w:rPr/>
          </w:pPr>
          <w:hyperlink w:anchor="__RefHeading___Toc13099830_1280447820">
            <w:r>
              <w:rPr>
                <w:webHidden/>
                <w:rStyle w:val="IndexLink"/>
              </w:rPr>
              <w:t>6</w:t>
            </w:r>
            <w:r>
              <w:rPr>
                <w:rStyle w:val="IndexLink"/>
                <w:rtl w:val="true"/>
              </w:rPr>
              <w:t xml:space="preserve"> - </w:t>
            </w:r>
            <w:r>
              <w:rPr>
                <w:rStyle w:val="IndexLink"/>
                <w:rtl w:val="true"/>
              </w:rPr>
              <w:t>الولاية على الوقف</w:t>
            </w:r>
            <w:r>
              <w:rPr>
                <w:rStyle w:val="IndexLink"/>
                <w:rtl w:val="true"/>
              </w:rPr>
              <w:tab/>
            </w:r>
            <w:r>
              <w:rPr>
                <w:rStyle w:val="IndexLink"/>
              </w:rPr>
              <w:t>132</w:t>
            </w:r>
          </w:hyperlink>
        </w:p>
        <w:p>
          <w:pPr>
            <w:pStyle w:val="Contents6"/>
            <w:tabs>
              <w:tab w:val="clear" w:pos="7609"/>
              <w:tab w:val="right" w:pos="9026" w:leader="dot"/>
            </w:tabs>
            <w:rPr/>
          </w:pPr>
          <w:hyperlink w:anchor="__RefHeading___Toc13099832_1280447820">
            <w:r>
              <w:rPr>
                <w:webHidden/>
                <w:rStyle w:val="IndexLink"/>
              </w:rPr>
              <w:t>7</w:t>
            </w:r>
            <w:r>
              <w:rPr>
                <w:rStyle w:val="IndexLink"/>
                <w:rtl w:val="true"/>
              </w:rPr>
              <w:t xml:space="preserve"> - </w:t>
            </w:r>
            <w:r>
              <w:rPr>
                <w:rStyle w:val="IndexLink"/>
                <w:rtl w:val="true"/>
              </w:rPr>
              <w:t>ولاية الأب و الجدّ على نكاح الأبكار</w:t>
            </w:r>
            <w:r>
              <w:rPr>
                <w:rStyle w:val="IndexLink"/>
                <w:rtl w:val="true"/>
              </w:rPr>
              <w:tab/>
            </w:r>
            <w:r>
              <w:rPr>
                <w:rStyle w:val="IndexLink"/>
              </w:rPr>
              <w:t>132</w:t>
            </w:r>
          </w:hyperlink>
        </w:p>
        <w:p>
          <w:pPr>
            <w:pStyle w:val="Contents6"/>
            <w:tabs>
              <w:tab w:val="clear" w:pos="7609"/>
              <w:tab w:val="right" w:pos="9026" w:leader="dot"/>
            </w:tabs>
            <w:rPr/>
          </w:pPr>
          <w:hyperlink w:anchor="__RefHeading___Toc13099834_1280447820">
            <w:r>
              <w:rPr>
                <w:webHidden/>
                <w:rStyle w:val="IndexLink"/>
              </w:rPr>
              <w:t>8</w:t>
            </w:r>
            <w:r>
              <w:rPr>
                <w:rStyle w:val="IndexLink"/>
                <w:rtl w:val="true"/>
              </w:rPr>
              <w:t xml:space="preserve"> - </w:t>
            </w:r>
            <w:r>
              <w:rPr>
                <w:rStyle w:val="IndexLink"/>
                <w:rtl w:val="true"/>
              </w:rPr>
              <w:t>ولاية المؤمنين كلٍّ على الآخر في الأمر بالمعروف و النهي عن المنكر</w:t>
            </w:r>
            <w:r>
              <w:rPr>
                <w:rStyle w:val="IndexLink"/>
                <w:rtl w:val="true"/>
              </w:rPr>
              <w:tab/>
            </w:r>
            <w:r>
              <w:rPr>
                <w:rStyle w:val="IndexLink"/>
              </w:rPr>
              <w:t>132</w:t>
            </w:r>
          </w:hyperlink>
        </w:p>
        <w:p>
          <w:pPr>
            <w:pStyle w:val="Contents6"/>
            <w:tabs>
              <w:tab w:val="clear" w:pos="7609"/>
              <w:tab w:val="right" w:pos="9026" w:leader="dot"/>
            </w:tabs>
            <w:rPr/>
          </w:pPr>
          <w:hyperlink w:anchor="__RefHeading___Toc13099836_1280447820">
            <w:r>
              <w:rPr>
                <w:webHidden/>
                <w:rStyle w:val="IndexLink"/>
              </w:rPr>
              <w:t>9</w:t>
            </w:r>
            <w:r>
              <w:rPr>
                <w:rStyle w:val="IndexLink"/>
                <w:rtl w:val="true"/>
              </w:rPr>
              <w:t xml:space="preserve"> - </w:t>
            </w:r>
            <w:r>
              <w:rPr>
                <w:rStyle w:val="IndexLink"/>
                <w:rtl w:val="true"/>
              </w:rPr>
              <w:t>ولاية المؤمنين على أموال الصغار و على ما يُعدّ من الأمور الحسبيّة</w:t>
            </w:r>
            <w:r>
              <w:rPr>
                <w:rStyle w:val="IndexLink"/>
                <w:rtl w:val="true"/>
              </w:rPr>
              <w:tab/>
            </w:r>
            <w:r>
              <w:rPr>
                <w:rStyle w:val="IndexLink"/>
              </w:rPr>
              <w:t>133</w:t>
            </w:r>
          </w:hyperlink>
        </w:p>
        <w:p>
          <w:pPr>
            <w:pStyle w:val="Contents6"/>
            <w:tabs>
              <w:tab w:val="clear" w:pos="7609"/>
              <w:tab w:val="right" w:pos="9026" w:leader="dot"/>
            </w:tabs>
            <w:rPr/>
          </w:pPr>
          <w:hyperlink w:anchor="__RefHeading___Toc13099838_1280447820">
            <w:r>
              <w:rPr>
                <w:webHidden/>
                <w:rStyle w:val="IndexLink"/>
              </w:rPr>
              <w:t>10</w:t>
            </w:r>
            <w:r>
              <w:rPr>
                <w:rStyle w:val="IndexLink"/>
                <w:rtl w:val="true"/>
              </w:rPr>
              <w:t xml:space="preserve"> - </w:t>
            </w:r>
            <w:r>
              <w:rPr>
                <w:rStyle w:val="IndexLink"/>
                <w:rtl w:val="true"/>
              </w:rPr>
              <w:t>ولاية المولىٰ على العبيد و الإماء</w:t>
            </w:r>
            <w:r>
              <w:rPr>
                <w:rStyle w:val="IndexLink"/>
                <w:rtl w:val="true"/>
              </w:rPr>
              <w:tab/>
            </w:r>
            <w:r>
              <w:rPr>
                <w:rStyle w:val="IndexLink"/>
              </w:rPr>
              <w:t>133</w:t>
            </w:r>
          </w:hyperlink>
        </w:p>
        <w:p>
          <w:pPr>
            <w:pStyle w:val="Contents6"/>
            <w:tabs>
              <w:tab w:val="clear" w:pos="7609"/>
              <w:tab w:val="right" w:pos="9026" w:leader="dot"/>
            </w:tabs>
            <w:rPr/>
          </w:pPr>
          <w:hyperlink w:anchor="__RefHeading___Toc13099840_1280447820">
            <w:r>
              <w:rPr>
                <w:webHidden/>
                <w:rStyle w:val="IndexLink"/>
              </w:rPr>
              <w:t>11</w:t>
            </w:r>
            <w:r>
              <w:rPr>
                <w:rStyle w:val="IndexLink"/>
                <w:rtl w:val="true"/>
              </w:rPr>
              <w:t xml:space="preserve"> - </w:t>
            </w:r>
            <w:r>
              <w:rPr>
                <w:rStyle w:val="IndexLink"/>
                <w:rtl w:val="true"/>
              </w:rPr>
              <w:t>ولاية الزوج على الزوجة</w:t>
            </w:r>
            <w:r>
              <w:rPr>
                <w:rStyle w:val="IndexLink"/>
                <w:rtl w:val="true"/>
              </w:rPr>
              <w:tab/>
            </w:r>
            <w:r>
              <w:rPr>
                <w:rStyle w:val="IndexLink"/>
              </w:rPr>
              <w:t>134</w:t>
            </w:r>
          </w:hyperlink>
        </w:p>
        <w:p>
          <w:pPr>
            <w:pStyle w:val="Contents6"/>
            <w:tabs>
              <w:tab w:val="clear" w:pos="7609"/>
              <w:tab w:val="right" w:pos="9026" w:leader="dot"/>
            </w:tabs>
            <w:rPr/>
          </w:pPr>
          <w:hyperlink w:anchor="__RefHeading___Toc13099842_1280447820">
            <w:r>
              <w:rPr>
                <w:webHidden/>
                <w:rStyle w:val="IndexLink"/>
              </w:rPr>
              <w:t>12</w:t>
            </w:r>
            <w:r>
              <w:rPr>
                <w:rStyle w:val="IndexLink"/>
                <w:rtl w:val="true"/>
              </w:rPr>
              <w:t xml:space="preserve"> - </w:t>
            </w:r>
            <w:r>
              <w:rPr>
                <w:rStyle w:val="IndexLink"/>
                <w:rtl w:val="true"/>
              </w:rPr>
              <w:t>ولاية الفقيه على غيره</w:t>
            </w:r>
            <w:r>
              <w:rPr>
                <w:rStyle w:val="IndexLink"/>
                <w:rtl w:val="true"/>
              </w:rPr>
              <w:tab/>
            </w:r>
            <w:r>
              <w:rPr>
                <w:rStyle w:val="IndexLink"/>
              </w:rPr>
              <w:t>134</w:t>
            </w:r>
          </w:hyperlink>
        </w:p>
        <w:p>
          <w:pPr>
            <w:pStyle w:val="Contents4"/>
            <w:tabs>
              <w:tab w:val="clear" w:pos="8176"/>
              <w:tab w:val="right" w:pos="9026" w:leader="dot"/>
            </w:tabs>
            <w:rPr/>
          </w:pPr>
          <w:hyperlink w:anchor="__RefHeading___Toc13099844_1280447820">
            <w:r>
              <w:rPr>
                <w:webHidden/>
                <w:rStyle w:val="IndexLink"/>
                <w:rtl w:val="true"/>
              </w:rPr>
              <w:t>المقدّمة التّاسعة الفروق و التباينات بين الولاية و الوكالة</w:t>
            </w:r>
            <w:r>
              <w:rPr>
                <w:rStyle w:val="IndexLink"/>
                <w:rtl w:val="true"/>
              </w:rPr>
              <w:tab/>
            </w:r>
            <w:r>
              <w:rPr>
                <w:rStyle w:val="IndexLink"/>
              </w:rPr>
              <w:t>136</w:t>
            </w:r>
          </w:hyperlink>
        </w:p>
        <w:p>
          <w:pPr>
            <w:pStyle w:val="Contents5"/>
            <w:tabs>
              <w:tab w:val="clear" w:pos="7892"/>
              <w:tab w:val="right" w:pos="9026" w:leader="dot"/>
            </w:tabs>
            <w:rPr/>
          </w:pPr>
          <w:hyperlink w:anchor="__RefHeading___Toc13099846_1280447820">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13099848_1280447820">
            <w:r>
              <w:rPr>
                <w:webHidden/>
                <w:rStyle w:val="IndexLink"/>
              </w:rPr>
              <w:t>1</w:t>
            </w:r>
            <w:r>
              <w:rPr>
                <w:rStyle w:val="IndexLink"/>
                <w:rtl w:val="true"/>
              </w:rPr>
              <w:t xml:space="preserve"> - </w:t>
            </w:r>
            <w:r>
              <w:rPr>
                <w:rStyle w:val="IndexLink"/>
                <w:rtl w:val="true"/>
              </w:rPr>
              <w:t>الوكالة عقدٌ، و الولاية حكمٌ‌</w:t>
            </w:r>
            <w:r>
              <w:rPr>
                <w:rStyle w:val="IndexLink"/>
                <w:rtl w:val="true"/>
              </w:rPr>
              <w:tab/>
            </w:r>
            <w:r>
              <w:rPr>
                <w:rStyle w:val="IndexLink"/>
              </w:rPr>
              <w:t>136</w:t>
            </w:r>
          </w:hyperlink>
        </w:p>
        <w:p>
          <w:pPr>
            <w:pStyle w:val="Contents5"/>
            <w:tabs>
              <w:tab w:val="clear" w:pos="7892"/>
              <w:tab w:val="right" w:pos="9026" w:leader="dot"/>
            </w:tabs>
            <w:rPr/>
          </w:pPr>
          <w:hyperlink w:anchor="__RefHeading___Toc13099850_1280447820">
            <w:r>
              <w:rPr>
                <w:webHidden/>
                <w:rStyle w:val="IndexLink"/>
              </w:rPr>
              <w:t>2</w:t>
            </w:r>
            <w:r>
              <w:rPr>
                <w:rStyle w:val="IndexLink"/>
                <w:rtl w:val="true"/>
              </w:rPr>
              <w:t xml:space="preserve"> - </w:t>
            </w:r>
            <w:r>
              <w:rPr>
                <w:rStyle w:val="IndexLink"/>
                <w:rtl w:val="true"/>
              </w:rPr>
              <w:t>الرضا و القبول شرطٌ في الوكالة، لا في الولاية</w:t>
            </w:r>
            <w:r>
              <w:rPr>
                <w:rStyle w:val="IndexLink"/>
                <w:rtl w:val="true"/>
              </w:rPr>
              <w:tab/>
            </w:r>
            <w:r>
              <w:rPr>
                <w:rStyle w:val="IndexLink"/>
              </w:rPr>
              <w:t>137</w:t>
            </w:r>
          </w:hyperlink>
        </w:p>
        <w:p>
          <w:pPr>
            <w:pStyle w:val="Contents5"/>
            <w:tabs>
              <w:tab w:val="clear" w:pos="7892"/>
              <w:tab w:val="right" w:pos="9026" w:leader="dot"/>
            </w:tabs>
            <w:rPr/>
          </w:pPr>
          <w:hyperlink w:anchor="__RefHeading___Toc13099852_1280447820">
            <w:r>
              <w:rPr>
                <w:webHidden/>
                <w:rStyle w:val="IndexLink"/>
              </w:rPr>
              <w:t>3</w:t>
            </w:r>
            <w:r>
              <w:rPr>
                <w:rStyle w:val="IndexLink"/>
                <w:rtl w:val="true"/>
              </w:rPr>
              <w:t xml:space="preserve"> - </w:t>
            </w:r>
            <w:r>
              <w:rPr>
                <w:rStyle w:val="IndexLink"/>
                <w:rtl w:val="true"/>
              </w:rPr>
              <w:t>تُعيَّن سعة الوكالة، لا سعة الولاية</w:t>
            </w:r>
            <w:r>
              <w:rPr>
                <w:rStyle w:val="IndexLink"/>
                <w:rtl w:val="true"/>
              </w:rPr>
              <w:tab/>
            </w:r>
            <w:r>
              <w:rPr>
                <w:rStyle w:val="IndexLink"/>
              </w:rPr>
              <w:t>137</w:t>
            </w:r>
          </w:hyperlink>
        </w:p>
        <w:p>
          <w:pPr>
            <w:pStyle w:val="Contents5"/>
            <w:tabs>
              <w:tab w:val="clear" w:pos="7892"/>
              <w:tab w:val="right" w:pos="9026" w:leader="dot"/>
            </w:tabs>
            <w:rPr/>
          </w:pPr>
          <w:hyperlink w:anchor="__RefHeading___Toc13099854_1280447820">
            <w:r>
              <w:rPr>
                <w:webHidden/>
                <w:rStyle w:val="IndexLink"/>
              </w:rPr>
              <w:t>4</w:t>
            </w:r>
            <w:r>
              <w:rPr>
                <w:rStyle w:val="IndexLink"/>
                <w:rtl w:val="true"/>
              </w:rPr>
              <w:t xml:space="preserve"> - </w:t>
            </w:r>
            <w:r>
              <w:rPr>
                <w:rStyle w:val="IndexLink"/>
                <w:rtl w:val="true"/>
              </w:rPr>
              <w:t>للموكّل حقّ التصرّف، لاللمولّى عليه</w:t>
            </w:r>
            <w:r>
              <w:rPr>
                <w:rStyle w:val="IndexLink"/>
                <w:rtl w:val="true"/>
              </w:rPr>
              <w:tab/>
            </w:r>
            <w:r>
              <w:rPr>
                <w:rStyle w:val="IndexLink"/>
              </w:rPr>
              <w:t>137</w:t>
            </w:r>
          </w:hyperlink>
        </w:p>
        <w:p>
          <w:pPr>
            <w:pStyle w:val="Contents5"/>
            <w:tabs>
              <w:tab w:val="clear" w:pos="7892"/>
              <w:tab w:val="right" w:pos="9026" w:leader="dot"/>
            </w:tabs>
            <w:rPr/>
          </w:pPr>
          <w:hyperlink w:anchor="__RefHeading___Toc13099856_1280447820">
            <w:r>
              <w:rPr>
                <w:webHidden/>
                <w:rStyle w:val="IndexLink"/>
              </w:rPr>
              <w:t>5</w:t>
            </w:r>
            <w:r>
              <w:rPr>
                <w:rStyle w:val="IndexLink"/>
                <w:rtl w:val="true"/>
              </w:rPr>
              <w:t xml:space="preserve"> - </w:t>
            </w:r>
            <w:r>
              <w:rPr>
                <w:rStyle w:val="IndexLink"/>
                <w:rtl w:val="true"/>
              </w:rPr>
              <w:t>البلوغ سنّ الرشد شرطٌ في الوكالة، لا في الولاية</w:t>
            </w:r>
            <w:r>
              <w:rPr>
                <w:rStyle w:val="IndexLink"/>
                <w:rtl w:val="true"/>
              </w:rPr>
              <w:tab/>
            </w:r>
            <w:r>
              <w:rPr>
                <w:rStyle w:val="IndexLink"/>
              </w:rPr>
              <w:t>138</w:t>
            </w:r>
          </w:hyperlink>
        </w:p>
        <w:p>
          <w:pPr>
            <w:pStyle w:val="Contents5"/>
            <w:tabs>
              <w:tab w:val="clear" w:pos="7892"/>
              <w:tab w:val="right" w:pos="9026" w:leader="dot"/>
            </w:tabs>
            <w:rPr/>
          </w:pPr>
          <w:hyperlink w:anchor="__RefHeading___Toc13099858_1280447820">
            <w:r>
              <w:rPr>
                <w:webHidden/>
                <w:rStyle w:val="IndexLink"/>
              </w:rPr>
              <w:t>6</w:t>
            </w:r>
            <w:r>
              <w:rPr>
                <w:rStyle w:val="IndexLink"/>
                <w:rtl w:val="true"/>
              </w:rPr>
              <w:t xml:space="preserve"> - </w:t>
            </w:r>
            <w:r>
              <w:rPr>
                <w:rStyle w:val="IndexLink"/>
                <w:rtl w:val="true"/>
              </w:rPr>
              <w:t>الإقالة جائزةٌ في الوكالة، لا في الولاية</w:t>
            </w:r>
            <w:r>
              <w:rPr>
                <w:rStyle w:val="IndexLink"/>
                <w:rtl w:val="true"/>
              </w:rPr>
              <w:tab/>
            </w:r>
            <w:r>
              <w:rPr>
                <w:rStyle w:val="IndexLink"/>
              </w:rPr>
              <w:t>138</w:t>
            </w:r>
          </w:hyperlink>
        </w:p>
        <w:p>
          <w:pPr>
            <w:pStyle w:val="Contents5"/>
            <w:tabs>
              <w:tab w:val="clear" w:pos="7892"/>
              <w:tab w:val="right" w:pos="9026" w:leader="dot"/>
            </w:tabs>
            <w:rPr/>
          </w:pPr>
          <w:hyperlink w:anchor="__RefHeading___Toc13099860_1280447820">
            <w:r>
              <w:rPr>
                <w:webHidden/>
                <w:rStyle w:val="IndexLink"/>
              </w:rPr>
              <w:t>7</w:t>
            </w:r>
            <w:r>
              <w:rPr>
                <w:rStyle w:val="IndexLink"/>
                <w:rtl w:val="true"/>
              </w:rPr>
              <w:t xml:space="preserve"> - </w:t>
            </w:r>
            <w:r>
              <w:rPr>
                <w:rStyle w:val="IndexLink"/>
                <w:rtl w:val="true"/>
              </w:rPr>
              <w:t>الاستفسار و الاستنطاق يجوز في الوكالة، لا في الولاية</w:t>
            </w:r>
            <w:r>
              <w:rPr>
                <w:rStyle w:val="IndexLink"/>
                <w:rtl w:val="true"/>
              </w:rPr>
              <w:tab/>
            </w:r>
            <w:r>
              <w:rPr>
                <w:rStyle w:val="IndexLink"/>
              </w:rPr>
              <w:t>138</w:t>
            </w:r>
          </w:hyperlink>
        </w:p>
        <w:p>
          <w:pPr>
            <w:pStyle w:val="Contents5"/>
            <w:tabs>
              <w:tab w:val="clear" w:pos="7892"/>
              <w:tab w:val="right" w:pos="9026" w:leader="dot"/>
            </w:tabs>
            <w:rPr/>
          </w:pPr>
          <w:hyperlink w:anchor="__RefHeading___Toc13099862_1280447820">
            <w:r>
              <w:rPr>
                <w:webHidden/>
                <w:rStyle w:val="IndexLink"/>
              </w:rPr>
              <w:t>8</w:t>
            </w:r>
            <w:r>
              <w:rPr>
                <w:rStyle w:val="IndexLink"/>
                <w:rtl w:val="true"/>
              </w:rPr>
              <w:t xml:space="preserve"> - </w:t>
            </w:r>
            <w:r>
              <w:rPr>
                <w:rStyle w:val="IndexLink"/>
                <w:rtl w:val="true"/>
              </w:rPr>
              <w:t>الوكالة موقّتةٌ، والولاية دائمةٌ‌</w:t>
            </w:r>
            <w:r>
              <w:rPr>
                <w:rStyle w:val="IndexLink"/>
                <w:rtl w:val="true"/>
              </w:rPr>
              <w:tab/>
            </w:r>
            <w:r>
              <w:rPr>
                <w:rStyle w:val="IndexLink"/>
              </w:rPr>
              <w:t>139</w:t>
            </w:r>
          </w:hyperlink>
        </w:p>
        <w:p>
          <w:pPr>
            <w:pStyle w:val="Contents5"/>
            <w:tabs>
              <w:tab w:val="clear" w:pos="7892"/>
              <w:tab w:val="right" w:pos="9026" w:leader="dot"/>
            </w:tabs>
            <w:rPr/>
          </w:pPr>
          <w:hyperlink w:anchor="__RefHeading___Toc13099864_1280447820">
            <w:r>
              <w:rPr>
                <w:webHidden/>
                <w:rStyle w:val="IndexLink"/>
              </w:rPr>
              <w:t>9</w:t>
            </w:r>
            <w:r>
              <w:rPr>
                <w:rStyle w:val="IndexLink"/>
                <w:rtl w:val="true"/>
              </w:rPr>
              <w:t xml:space="preserve"> - </w:t>
            </w:r>
            <w:r>
              <w:rPr>
                <w:rStyle w:val="IndexLink"/>
                <w:rtl w:val="true"/>
              </w:rPr>
              <w:t>الموت يبطل الوكالة، لا الولاية</w:t>
            </w:r>
            <w:r>
              <w:rPr>
                <w:rStyle w:val="IndexLink"/>
                <w:rtl w:val="true"/>
              </w:rPr>
              <w:tab/>
            </w:r>
            <w:r>
              <w:rPr>
                <w:rStyle w:val="IndexLink"/>
              </w:rPr>
              <w:t>139</w:t>
            </w:r>
          </w:hyperlink>
        </w:p>
        <w:p>
          <w:pPr>
            <w:pStyle w:val="Contents5"/>
            <w:tabs>
              <w:tab w:val="clear" w:pos="7892"/>
              <w:tab w:val="right" w:pos="9026" w:leader="dot"/>
            </w:tabs>
            <w:rPr/>
          </w:pPr>
          <w:hyperlink w:anchor="__RefHeading___Toc13099866_1280447820">
            <w:r>
              <w:rPr>
                <w:webHidden/>
                <w:rStyle w:val="IndexLink"/>
              </w:rPr>
              <w:t>10</w:t>
            </w:r>
            <w:r>
              <w:rPr>
                <w:rStyle w:val="IndexLink"/>
                <w:rtl w:val="true"/>
              </w:rPr>
              <w:t xml:space="preserve"> - </w:t>
            </w:r>
            <w:r>
              <w:rPr>
                <w:rStyle w:val="IndexLink"/>
                <w:rtl w:val="true"/>
              </w:rPr>
              <w:t>الاختيار في الردّ و القبول ثابتٌ للوكيل، لا للوليّ‌</w:t>
            </w:r>
            <w:r>
              <w:rPr>
                <w:rStyle w:val="IndexLink"/>
                <w:rtl w:val="true"/>
              </w:rPr>
              <w:tab/>
            </w:r>
            <w:r>
              <w:rPr>
                <w:rStyle w:val="IndexLink"/>
              </w:rPr>
              <w:t>139</w:t>
            </w:r>
          </w:hyperlink>
        </w:p>
        <w:p>
          <w:pPr>
            <w:pStyle w:val="Contents4"/>
            <w:tabs>
              <w:tab w:val="clear" w:pos="8176"/>
              <w:tab w:val="right" w:pos="9026" w:leader="dot"/>
            </w:tabs>
            <w:rPr/>
          </w:pPr>
          <w:hyperlink w:anchor="__RefHeading___Toc13099868_1280447820">
            <w:r>
              <w:rPr>
                <w:webHidden/>
                <w:rStyle w:val="IndexLink"/>
                <w:rtl w:val="true"/>
              </w:rPr>
              <w:t>المقدّمة العاشرة الخاتميّة سند الدولة الانتصابيّة</w:t>
            </w:r>
            <w:r>
              <w:rPr>
                <w:rStyle w:val="IndexLink"/>
                <w:rtl w:val="true"/>
              </w:rPr>
              <w:tab/>
            </w:r>
            <w:r>
              <w:rPr>
                <w:rStyle w:val="IndexLink"/>
              </w:rPr>
              <w:t>140</w:t>
            </w:r>
          </w:hyperlink>
        </w:p>
        <w:p>
          <w:pPr>
            <w:pStyle w:val="Contents4"/>
            <w:tabs>
              <w:tab w:val="clear" w:pos="8176"/>
              <w:tab w:val="right" w:pos="9026" w:leader="dot"/>
            </w:tabs>
            <w:rPr/>
          </w:pPr>
          <w:hyperlink w:anchor="__RefHeading___Toc13099870_1280447820">
            <w:r>
              <w:rPr>
                <w:webHidden/>
                <w:rStyle w:val="IndexLink"/>
                <w:rtl w:val="true"/>
              </w:rPr>
              <w:t>المقدّمة الحادية عشرة وضعة مسألة ولاية الفقيه و مكانتها العلميّة</w:t>
            </w:r>
            <w:r>
              <w:rPr>
                <w:rStyle w:val="IndexLink"/>
                <w:rtl w:val="true"/>
              </w:rPr>
              <w:tab/>
            </w:r>
            <w:r>
              <w:rPr>
                <w:rStyle w:val="IndexLink"/>
              </w:rPr>
              <w:t>142</w:t>
            </w:r>
          </w:hyperlink>
        </w:p>
        <w:p>
          <w:pPr>
            <w:pStyle w:val="Contents5"/>
            <w:tabs>
              <w:tab w:val="clear" w:pos="7892"/>
              <w:tab w:val="right" w:pos="9026" w:leader="dot"/>
            </w:tabs>
            <w:rPr/>
          </w:pPr>
          <w:hyperlink w:anchor="__RefHeading___Toc13099872_1280447820">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13099874_1280447820">
            <w:r>
              <w:rPr>
                <w:webHidden/>
                <w:rStyle w:val="IndexLink"/>
              </w:rPr>
              <w:t>1</w:t>
            </w:r>
            <w:r>
              <w:rPr>
                <w:rStyle w:val="IndexLink"/>
                <w:rtl w:val="true"/>
              </w:rPr>
              <w:t xml:space="preserve"> - </w:t>
            </w:r>
            <w:r>
              <w:rPr>
                <w:rStyle w:val="IndexLink"/>
                <w:rtl w:val="true"/>
              </w:rPr>
              <w:t>المنظر الفقهيّ‌</w:t>
            </w:r>
            <w:r>
              <w:rPr>
                <w:rStyle w:val="IndexLink"/>
                <w:rtl w:val="true"/>
              </w:rPr>
              <w:tab/>
            </w:r>
            <w:r>
              <w:rPr>
                <w:rStyle w:val="IndexLink"/>
              </w:rPr>
              <w:t>142</w:t>
            </w:r>
          </w:hyperlink>
        </w:p>
        <w:p>
          <w:pPr>
            <w:pStyle w:val="Contents5"/>
            <w:tabs>
              <w:tab w:val="clear" w:pos="7892"/>
              <w:tab w:val="right" w:pos="9026" w:leader="dot"/>
            </w:tabs>
            <w:rPr/>
          </w:pPr>
          <w:hyperlink w:anchor="__RefHeading___Toc13099876_1280447820">
            <w:r>
              <w:rPr>
                <w:webHidden/>
                <w:rStyle w:val="IndexLink"/>
              </w:rPr>
              <w:t>2</w:t>
            </w:r>
            <w:r>
              <w:rPr>
                <w:rStyle w:val="IndexLink"/>
                <w:rtl w:val="true"/>
              </w:rPr>
              <w:t xml:space="preserve"> - </w:t>
            </w:r>
            <w:r>
              <w:rPr>
                <w:rStyle w:val="IndexLink"/>
                <w:rtl w:val="true"/>
              </w:rPr>
              <w:t>المنظر الكلاميّ‌</w:t>
            </w:r>
            <w:r>
              <w:rPr>
                <w:rStyle w:val="IndexLink"/>
                <w:rtl w:val="true"/>
              </w:rPr>
              <w:tab/>
            </w:r>
            <w:r>
              <w:rPr>
                <w:rStyle w:val="IndexLink"/>
              </w:rPr>
              <w:t>143</w:t>
            </w:r>
          </w:hyperlink>
        </w:p>
        <w:p>
          <w:pPr>
            <w:pStyle w:val="Contents5"/>
            <w:tabs>
              <w:tab w:val="clear" w:pos="7892"/>
              <w:tab w:val="right" w:pos="9026" w:leader="dot"/>
            </w:tabs>
            <w:rPr/>
          </w:pPr>
          <w:hyperlink w:anchor="__RefHeading___Toc13099878_1280447820">
            <w:r>
              <w:rPr>
                <w:webHidden/>
                <w:rStyle w:val="IndexLink"/>
              </w:rPr>
              <w:t>3</w:t>
            </w:r>
            <w:r>
              <w:rPr>
                <w:rStyle w:val="IndexLink"/>
                <w:rtl w:val="true"/>
              </w:rPr>
              <w:t xml:space="preserve"> - </w:t>
            </w:r>
            <w:r>
              <w:rPr>
                <w:rStyle w:val="IndexLink"/>
                <w:rtl w:val="true"/>
              </w:rPr>
              <w:t>المنظر التفسيريّ‌</w:t>
            </w:r>
            <w:r>
              <w:rPr>
                <w:rStyle w:val="IndexLink"/>
                <w:rtl w:val="true"/>
              </w:rPr>
              <w:tab/>
            </w:r>
            <w:r>
              <w:rPr>
                <w:rStyle w:val="IndexLink"/>
              </w:rPr>
              <w:t>143</w:t>
            </w:r>
          </w:hyperlink>
        </w:p>
        <w:p>
          <w:pPr>
            <w:pStyle w:val="Contents4"/>
            <w:tabs>
              <w:tab w:val="clear" w:pos="8176"/>
              <w:tab w:val="right" w:pos="9026" w:leader="dot"/>
            </w:tabs>
            <w:rPr/>
          </w:pPr>
          <w:hyperlink w:anchor="__RefHeading___Toc13099880_1280447820">
            <w:r>
              <w:rPr>
                <w:webHidden/>
                <w:rStyle w:val="IndexLink"/>
                <w:rtl w:val="true"/>
              </w:rPr>
              <w:t>المقدّمة الثّانية عشرة الولاء والولاية نظرةٌ لغويّةٌ، قرآنيّةٌ، روائيّةٌ و فقهيّةٌ‌</w:t>
            </w:r>
            <w:r>
              <w:rPr>
                <w:rStyle w:val="IndexLink"/>
                <w:rtl w:val="true"/>
              </w:rPr>
              <w:tab/>
            </w:r>
            <w:r>
              <w:rPr>
                <w:rStyle w:val="IndexLink"/>
              </w:rPr>
              <w:t>144</w:t>
            </w:r>
          </w:hyperlink>
        </w:p>
        <w:p>
          <w:pPr>
            <w:pStyle w:val="Contents5"/>
            <w:tabs>
              <w:tab w:val="clear" w:pos="7892"/>
              <w:tab w:val="right" w:pos="9026" w:leader="dot"/>
            </w:tabs>
            <w:rPr/>
          </w:pPr>
          <w:hyperlink w:anchor="__RefHeading___Toc13099882_1280447820">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3099884_1280447820">
            <w:r>
              <w:rPr>
                <w:webHidden/>
                <w:rStyle w:val="IndexLink"/>
                <w:rtl w:val="true"/>
              </w:rPr>
              <w:t>الوجهة اللغويّة</w:t>
            </w:r>
            <w:r>
              <w:rPr>
                <w:rStyle w:val="IndexLink"/>
                <w:rtl w:val="true"/>
              </w:rPr>
              <w:t>:</w:t>
              <w:tab/>
            </w:r>
            <w:r>
              <w:rPr>
                <w:rStyle w:val="IndexLink"/>
              </w:rPr>
              <w:t>144</w:t>
            </w:r>
          </w:hyperlink>
        </w:p>
        <w:p>
          <w:pPr>
            <w:pStyle w:val="Contents5"/>
            <w:tabs>
              <w:tab w:val="clear" w:pos="7892"/>
              <w:tab w:val="right" w:pos="9026" w:leader="dot"/>
            </w:tabs>
            <w:rPr/>
          </w:pPr>
          <w:hyperlink w:anchor="__RefHeading___Toc13099886_1280447820">
            <w:r>
              <w:rPr>
                <w:webHidden/>
                <w:rStyle w:val="IndexLink"/>
                <w:rtl w:val="true"/>
              </w:rPr>
              <w:t>الوجهة القرآنيّة</w:t>
            </w:r>
            <w:r>
              <w:rPr>
                <w:rStyle w:val="IndexLink"/>
                <w:rtl w:val="true"/>
              </w:rPr>
              <w:t>:</w:t>
              <w:tab/>
            </w:r>
            <w:r>
              <w:rPr>
                <w:rStyle w:val="IndexLink"/>
              </w:rPr>
              <w:t>146</w:t>
            </w:r>
          </w:hyperlink>
        </w:p>
        <w:p>
          <w:pPr>
            <w:pStyle w:val="Contents5"/>
            <w:tabs>
              <w:tab w:val="clear" w:pos="7892"/>
              <w:tab w:val="right" w:pos="9026" w:leader="dot"/>
            </w:tabs>
            <w:rPr/>
          </w:pPr>
          <w:hyperlink w:anchor="__RefHeading___Toc13099888_1280447820">
            <w:r>
              <w:rPr>
                <w:webHidden/>
                <w:rStyle w:val="IndexLink"/>
                <w:rtl w:val="true"/>
              </w:rPr>
              <w:t>الوجهة الروائيّة</w:t>
            </w:r>
            <w:r>
              <w:rPr>
                <w:rStyle w:val="IndexLink"/>
                <w:rtl w:val="true"/>
              </w:rPr>
              <w:t>:</w:t>
              <w:tab/>
            </w:r>
            <w:r>
              <w:rPr>
                <w:rStyle w:val="IndexLink"/>
              </w:rPr>
              <w:t>147</w:t>
            </w:r>
          </w:hyperlink>
        </w:p>
        <w:p>
          <w:pPr>
            <w:pStyle w:val="Contents5"/>
            <w:tabs>
              <w:tab w:val="clear" w:pos="7892"/>
              <w:tab w:val="right" w:pos="9026" w:leader="dot"/>
            </w:tabs>
            <w:rPr/>
          </w:pPr>
          <w:hyperlink w:anchor="__RefHeading___Toc13099890_1280447820">
            <w:r>
              <w:rPr>
                <w:webHidden/>
                <w:rStyle w:val="IndexLink"/>
                <w:rtl w:val="true"/>
              </w:rPr>
              <w:t>الوجهة الفقهيّة</w:t>
            </w:r>
            <w:r>
              <w:rPr>
                <w:rStyle w:val="IndexLink"/>
                <w:rtl w:val="true"/>
              </w:rPr>
              <w:t>:</w:t>
              <w:tab/>
            </w:r>
            <w:r>
              <w:rPr>
                <w:rStyle w:val="IndexLink"/>
              </w:rPr>
              <w:t>150</w:t>
            </w:r>
          </w:hyperlink>
        </w:p>
        <w:p>
          <w:pPr>
            <w:pStyle w:val="Contents4"/>
            <w:tabs>
              <w:tab w:val="clear" w:pos="8176"/>
              <w:tab w:val="right" w:pos="9026" w:leader="dot"/>
            </w:tabs>
            <w:rPr/>
          </w:pPr>
          <w:hyperlink w:anchor="__RefHeading___Toc13099892_1280447820">
            <w:r>
              <w:rPr>
                <w:webHidden/>
                <w:rStyle w:val="IndexLink"/>
                <w:rtl w:val="true"/>
              </w:rPr>
              <w:t>المقدّمة الثّالثة عشرة بحثٌ ثبوتيٌّ حول حدود المسألة</w:t>
            </w:r>
            <w:r>
              <w:rPr>
                <w:rStyle w:val="IndexLink"/>
                <w:rtl w:val="true"/>
              </w:rPr>
              <w:tab/>
            </w:r>
            <w:r>
              <w:rPr>
                <w:rStyle w:val="IndexLink"/>
              </w:rPr>
              <w:t>152</w:t>
            </w:r>
          </w:hyperlink>
        </w:p>
        <w:p>
          <w:pPr>
            <w:pStyle w:val="Contents5"/>
            <w:tabs>
              <w:tab w:val="clear" w:pos="7892"/>
              <w:tab w:val="right" w:pos="9026" w:leader="dot"/>
            </w:tabs>
            <w:rPr/>
          </w:pPr>
          <w:hyperlink w:anchor="__RefHeading___Toc13099894_1280447820">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13099896_1280447820">
            <w:r>
              <w:rPr>
                <w:webHidden/>
                <w:rStyle w:val="IndexLink"/>
              </w:rPr>
              <w:t>1</w:t>
            </w:r>
            <w:r>
              <w:rPr>
                <w:rStyle w:val="IndexLink"/>
                <w:rtl w:val="true"/>
              </w:rPr>
              <w:t xml:space="preserve"> - </w:t>
            </w:r>
            <w:r>
              <w:rPr>
                <w:rStyle w:val="IndexLink"/>
                <w:rtl w:val="true"/>
              </w:rPr>
              <w:t>الدعوى الأولىٰ‌</w:t>
            </w:r>
            <w:r>
              <w:rPr>
                <w:rStyle w:val="IndexLink"/>
                <w:rtl w:val="true"/>
              </w:rPr>
              <w:tab/>
            </w:r>
            <w:r>
              <w:rPr>
                <w:rStyle w:val="IndexLink"/>
              </w:rPr>
              <w:t>152</w:t>
            </w:r>
          </w:hyperlink>
        </w:p>
        <w:p>
          <w:pPr>
            <w:pStyle w:val="Contents5"/>
            <w:tabs>
              <w:tab w:val="clear" w:pos="7892"/>
              <w:tab w:val="right" w:pos="9026" w:leader="dot"/>
            </w:tabs>
            <w:rPr/>
          </w:pPr>
          <w:hyperlink w:anchor="__RefHeading___Toc13099898_1280447820">
            <w:r>
              <w:rPr>
                <w:webHidden/>
                <w:rStyle w:val="IndexLink"/>
              </w:rPr>
              <w:t>2</w:t>
            </w:r>
            <w:r>
              <w:rPr>
                <w:rStyle w:val="IndexLink"/>
                <w:rtl w:val="true"/>
              </w:rPr>
              <w:t xml:space="preserve"> - </w:t>
            </w:r>
            <w:r>
              <w:rPr>
                <w:rStyle w:val="IndexLink"/>
                <w:rtl w:val="true"/>
              </w:rPr>
              <w:t>الدعوى الثّانية</w:t>
            </w:r>
            <w:r>
              <w:rPr>
                <w:rStyle w:val="IndexLink"/>
                <w:rtl w:val="true"/>
              </w:rPr>
              <w:tab/>
            </w:r>
            <w:r>
              <w:rPr>
                <w:rStyle w:val="IndexLink"/>
              </w:rPr>
              <w:t>153</w:t>
            </w:r>
          </w:hyperlink>
        </w:p>
        <w:p>
          <w:pPr>
            <w:pStyle w:val="Contents5"/>
            <w:tabs>
              <w:tab w:val="clear" w:pos="7892"/>
              <w:tab w:val="right" w:pos="9026" w:leader="dot"/>
            </w:tabs>
            <w:rPr/>
          </w:pPr>
          <w:hyperlink w:anchor="__RefHeading___Toc13099900_1280447820">
            <w:r>
              <w:rPr>
                <w:webHidden/>
                <w:rStyle w:val="IndexLink"/>
              </w:rPr>
              <w:t>3</w:t>
            </w:r>
            <w:r>
              <w:rPr>
                <w:rStyle w:val="IndexLink"/>
                <w:rtl w:val="true"/>
              </w:rPr>
              <w:t xml:space="preserve"> - </w:t>
            </w:r>
            <w:r>
              <w:rPr>
                <w:rStyle w:val="IndexLink"/>
                <w:rtl w:val="true"/>
              </w:rPr>
              <w:t>الدعوى الثّالثة</w:t>
            </w:r>
            <w:r>
              <w:rPr>
                <w:rStyle w:val="IndexLink"/>
                <w:rtl w:val="true"/>
              </w:rPr>
              <w:tab/>
            </w:r>
            <w:r>
              <w:rPr>
                <w:rStyle w:val="IndexLink"/>
              </w:rPr>
              <w:t>153</w:t>
            </w:r>
          </w:hyperlink>
        </w:p>
        <w:p>
          <w:pPr>
            <w:pStyle w:val="Contents5"/>
            <w:tabs>
              <w:tab w:val="clear" w:pos="7892"/>
              <w:tab w:val="right" w:pos="9026" w:leader="dot"/>
            </w:tabs>
            <w:rPr/>
          </w:pPr>
          <w:hyperlink w:anchor="__RefHeading___Toc13099902_1280447820">
            <w:r>
              <w:rPr>
                <w:webHidden/>
                <w:rStyle w:val="IndexLink"/>
              </w:rPr>
              <w:t>4</w:t>
            </w:r>
            <w:r>
              <w:rPr>
                <w:rStyle w:val="IndexLink"/>
                <w:rtl w:val="true"/>
              </w:rPr>
              <w:t xml:space="preserve"> - </w:t>
            </w:r>
            <w:r>
              <w:rPr>
                <w:rStyle w:val="IndexLink"/>
                <w:rtl w:val="true"/>
              </w:rPr>
              <w:t>الدعوى الرّابعة</w:t>
            </w:r>
            <w:r>
              <w:rPr>
                <w:rStyle w:val="IndexLink"/>
                <w:rtl w:val="true"/>
              </w:rPr>
              <w:tab/>
            </w:r>
            <w:r>
              <w:rPr>
                <w:rStyle w:val="IndexLink"/>
              </w:rPr>
              <w:t>153</w:t>
            </w:r>
          </w:hyperlink>
        </w:p>
        <w:p>
          <w:pPr>
            <w:pStyle w:val="Contents5"/>
            <w:tabs>
              <w:tab w:val="clear" w:pos="7892"/>
              <w:tab w:val="right" w:pos="9026" w:leader="dot"/>
            </w:tabs>
            <w:rPr/>
          </w:pPr>
          <w:hyperlink w:anchor="__RefHeading___Toc13099904_1280447820">
            <w:r>
              <w:rPr>
                <w:webHidden/>
                <w:rStyle w:val="IndexLink"/>
              </w:rPr>
              <w:t>5</w:t>
            </w:r>
            <w:r>
              <w:rPr>
                <w:rStyle w:val="IndexLink"/>
                <w:rtl w:val="true"/>
              </w:rPr>
              <w:t xml:space="preserve"> - </w:t>
            </w:r>
            <w:r>
              <w:rPr>
                <w:rStyle w:val="IndexLink"/>
                <w:rtl w:val="true"/>
              </w:rPr>
              <w:t>الدعوى الخامسة</w:t>
            </w:r>
            <w:r>
              <w:rPr>
                <w:rStyle w:val="IndexLink"/>
                <w:rtl w:val="true"/>
              </w:rPr>
              <w:tab/>
            </w:r>
            <w:r>
              <w:rPr>
                <w:rStyle w:val="IndexLink"/>
              </w:rPr>
              <w:t>153</w:t>
            </w:r>
          </w:hyperlink>
        </w:p>
        <w:p>
          <w:pPr>
            <w:pStyle w:val="Contents5"/>
            <w:tabs>
              <w:tab w:val="clear" w:pos="7892"/>
              <w:tab w:val="right" w:pos="9026" w:leader="dot"/>
            </w:tabs>
            <w:rPr/>
          </w:pPr>
          <w:hyperlink w:anchor="__RefHeading___Toc13099906_1280447820">
            <w:r>
              <w:rPr>
                <w:webHidden/>
                <w:rStyle w:val="IndexLink"/>
              </w:rPr>
              <w:t>6</w:t>
            </w:r>
            <w:r>
              <w:rPr>
                <w:rStyle w:val="IndexLink"/>
                <w:rtl w:val="true"/>
              </w:rPr>
              <w:t xml:space="preserve"> - </w:t>
            </w:r>
            <w:r>
              <w:rPr>
                <w:rStyle w:val="IndexLink"/>
                <w:rtl w:val="true"/>
              </w:rPr>
              <w:t>الدعوى السادسة</w:t>
            </w:r>
            <w:r>
              <w:rPr>
                <w:rStyle w:val="IndexLink"/>
                <w:rtl w:val="true"/>
              </w:rPr>
              <w:tab/>
            </w:r>
            <w:r>
              <w:rPr>
                <w:rStyle w:val="IndexLink"/>
              </w:rPr>
              <w:t>154</w:t>
            </w:r>
          </w:hyperlink>
        </w:p>
        <w:p>
          <w:pPr>
            <w:pStyle w:val="Contents5"/>
            <w:tabs>
              <w:tab w:val="clear" w:pos="7892"/>
              <w:tab w:val="right" w:pos="9026" w:leader="dot"/>
            </w:tabs>
            <w:rPr/>
          </w:pPr>
          <w:hyperlink w:anchor="__RefHeading___Toc13099908_1280447820">
            <w:r>
              <w:rPr>
                <w:webHidden/>
                <w:rStyle w:val="IndexLink"/>
              </w:rPr>
              <w:t>7</w:t>
            </w:r>
            <w:r>
              <w:rPr>
                <w:rStyle w:val="IndexLink"/>
                <w:rtl w:val="true"/>
              </w:rPr>
              <w:t xml:space="preserve"> - </w:t>
            </w:r>
            <w:r>
              <w:rPr>
                <w:rStyle w:val="IndexLink"/>
                <w:rtl w:val="true"/>
              </w:rPr>
              <w:t>الدعوى السابعة</w:t>
            </w:r>
            <w:r>
              <w:rPr>
                <w:rStyle w:val="IndexLink"/>
                <w:rtl w:val="true"/>
              </w:rPr>
              <w:tab/>
            </w:r>
            <w:r>
              <w:rPr>
                <w:rStyle w:val="IndexLink"/>
              </w:rPr>
              <w:t>154</w:t>
            </w:r>
          </w:hyperlink>
        </w:p>
        <w:p>
          <w:pPr>
            <w:pStyle w:val="Contents5"/>
            <w:tabs>
              <w:tab w:val="clear" w:pos="7892"/>
              <w:tab w:val="right" w:pos="9026" w:leader="dot"/>
            </w:tabs>
            <w:rPr/>
          </w:pPr>
          <w:hyperlink w:anchor="__RefHeading___Toc13099910_1280447820">
            <w:r>
              <w:rPr>
                <w:webHidden/>
                <w:rStyle w:val="IndexLink"/>
              </w:rPr>
              <w:t>8</w:t>
            </w:r>
            <w:r>
              <w:rPr>
                <w:rStyle w:val="IndexLink"/>
                <w:rtl w:val="true"/>
              </w:rPr>
              <w:t xml:space="preserve"> - </w:t>
            </w:r>
            <w:r>
              <w:rPr>
                <w:rStyle w:val="IndexLink"/>
                <w:rtl w:val="true"/>
              </w:rPr>
              <w:t>الدعوى الثّامنة</w:t>
            </w:r>
            <w:r>
              <w:rPr>
                <w:rStyle w:val="IndexLink"/>
                <w:rtl w:val="true"/>
              </w:rPr>
              <w:tab/>
            </w:r>
            <w:r>
              <w:rPr>
                <w:rStyle w:val="IndexLink"/>
              </w:rPr>
              <w:t>155</w:t>
            </w:r>
          </w:hyperlink>
        </w:p>
        <w:p>
          <w:pPr>
            <w:pStyle w:val="Contents5"/>
            <w:tabs>
              <w:tab w:val="clear" w:pos="7892"/>
              <w:tab w:val="right" w:pos="9026" w:leader="dot"/>
            </w:tabs>
            <w:rPr/>
          </w:pPr>
          <w:hyperlink w:anchor="__RefHeading___Toc13099912_1280447820">
            <w:r>
              <w:rPr>
                <w:webHidden/>
                <w:rStyle w:val="IndexLink"/>
              </w:rPr>
              <w:t>9</w:t>
            </w:r>
            <w:r>
              <w:rPr>
                <w:rStyle w:val="IndexLink"/>
                <w:rtl w:val="true"/>
              </w:rPr>
              <w:t xml:space="preserve"> - </w:t>
            </w:r>
            <w:r>
              <w:rPr>
                <w:rStyle w:val="IndexLink"/>
                <w:rtl w:val="true"/>
              </w:rPr>
              <w:t>الدعوى التّاسعة</w:t>
            </w:r>
            <w:r>
              <w:rPr>
                <w:rStyle w:val="IndexLink"/>
                <w:rtl w:val="true"/>
              </w:rPr>
              <w:tab/>
            </w:r>
            <w:r>
              <w:rPr>
                <w:rStyle w:val="IndexLink"/>
              </w:rPr>
              <w:t>155</w:t>
            </w:r>
          </w:hyperlink>
        </w:p>
        <w:p>
          <w:pPr>
            <w:pStyle w:val="Contents5"/>
            <w:tabs>
              <w:tab w:val="clear" w:pos="7892"/>
              <w:tab w:val="right" w:pos="9026" w:leader="dot"/>
            </w:tabs>
            <w:rPr/>
          </w:pPr>
          <w:hyperlink w:anchor="__RefHeading___Toc13099914_1280447820">
            <w:r>
              <w:rPr>
                <w:webHidden/>
                <w:rStyle w:val="IndexLink"/>
              </w:rPr>
              <w:t>10</w:t>
            </w:r>
            <w:r>
              <w:rPr>
                <w:rStyle w:val="IndexLink"/>
                <w:rtl w:val="true"/>
              </w:rPr>
              <w:t xml:space="preserve"> - </w:t>
            </w:r>
            <w:r>
              <w:rPr>
                <w:rStyle w:val="IndexLink"/>
                <w:rtl w:val="true"/>
              </w:rPr>
              <w:t>الدعوى العاشرة</w:t>
            </w:r>
            <w:r>
              <w:rPr>
                <w:rStyle w:val="IndexLink"/>
                <w:rtl w:val="true"/>
              </w:rPr>
              <w:tab/>
            </w:r>
            <w:r>
              <w:rPr>
                <w:rStyle w:val="IndexLink"/>
              </w:rPr>
              <w:t>155</w:t>
            </w:r>
          </w:hyperlink>
        </w:p>
        <w:p>
          <w:pPr>
            <w:pStyle w:val="Contents5"/>
            <w:tabs>
              <w:tab w:val="clear" w:pos="7892"/>
              <w:tab w:val="right" w:pos="9026" w:leader="dot"/>
            </w:tabs>
            <w:rPr/>
          </w:pPr>
          <w:hyperlink w:anchor="__RefHeading___Toc13099916_1280447820">
            <w:r>
              <w:rPr>
                <w:webHidden/>
                <w:rStyle w:val="IndexLink"/>
              </w:rPr>
              <w:t>11</w:t>
            </w:r>
            <w:r>
              <w:rPr>
                <w:rStyle w:val="IndexLink"/>
                <w:rtl w:val="true"/>
              </w:rPr>
              <w:t xml:space="preserve"> - </w:t>
            </w:r>
            <w:r>
              <w:rPr>
                <w:rStyle w:val="IndexLink"/>
                <w:rtl w:val="true"/>
              </w:rPr>
              <w:t>الدعوي الحادية عشرة</w:t>
            </w:r>
            <w:r>
              <w:rPr>
                <w:rStyle w:val="IndexLink"/>
                <w:rtl w:val="true"/>
              </w:rPr>
              <w:tab/>
            </w:r>
            <w:r>
              <w:rPr>
                <w:rStyle w:val="IndexLink"/>
              </w:rPr>
              <w:t>156</w:t>
            </w:r>
          </w:hyperlink>
        </w:p>
        <w:p>
          <w:pPr>
            <w:pStyle w:val="Contents5"/>
            <w:tabs>
              <w:tab w:val="clear" w:pos="7892"/>
              <w:tab w:val="right" w:pos="9026" w:leader="dot"/>
            </w:tabs>
            <w:rPr/>
          </w:pPr>
          <w:hyperlink w:anchor="__RefHeading___Toc13099918_1280447820">
            <w:r>
              <w:rPr>
                <w:webHidden/>
                <w:rStyle w:val="IndexLink"/>
              </w:rPr>
              <w:t>12</w:t>
            </w:r>
            <w:r>
              <w:rPr>
                <w:rStyle w:val="IndexLink"/>
                <w:rtl w:val="true"/>
              </w:rPr>
              <w:t xml:space="preserve"> - </w:t>
            </w:r>
            <w:r>
              <w:rPr>
                <w:rStyle w:val="IndexLink"/>
                <w:rtl w:val="true"/>
              </w:rPr>
              <w:t>الدعوى الثّانية عشرة</w:t>
            </w:r>
            <w:r>
              <w:rPr>
                <w:rStyle w:val="IndexLink"/>
                <w:rtl w:val="true"/>
              </w:rPr>
              <w:tab/>
            </w:r>
            <w:r>
              <w:rPr>
                <w:rStyle w:val="IndexLink"/>
              </w:rPr>
              <w:t>156</w:t>
            </w:r>
          </w:hyperlink>
        </w:p>
        <w:p>
          <w:pPr>
            <w:pStyle w:val="Contents3"/>
            <w:tabs>
              <w:tab w:val="clear" w:pos="8459"/>
              <w:tab w:val="right" w:pos="9026" w:leader="dot"/>
            </w:tabs>
            <w:rPr/>
          </w:pPr>
          <w:hyperlink w:anchor="__RefHeading___Toc13099920_1280447820">
            <w:r>
              <w:rPr>
                <w:webHidden/>
                <w:rStyle w:val="IndexLink"/>
                <w:rtl w:val="true"/>
              </w:rPr>
              <w:t>الفصل الثّاني الاستدلال بالأدلّة الأربعة على ثبوت الولاية للفقيه</w:t>
            </w:r>
            <w:r>
              <w:rPr>
                <w:rStyle w:val="IndexLink"/>
                <w:rtl w:val="true"/>
              </w:rPr>
              <w:tab/>
            </w:r>
            <w:r>
              <w:rPr>
                <w:rStyle w:val="IndexLink"/>
              </w:rPr>
              <w:t>158</w:t>
            </w:r>
          </w:hyperlink>
        </w:p>
        <w:p>
          <w:pPr>
            <w:pStyle w:val="Contents4"/>
            <w:tabs>
              <w:tab w:val="clear" w:pos="8176"/>
              <w:tab w:val="right" w:pos="9026" w:leader="dot"/>
            </w:tabs>
            <w:rPr/>
          </w:pPr>
          <w:hyperlink w:anchor="__RefHeading___Toc13099922_1280447820">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3099924_1280447820">
            <w:r>
              <w:rPr>
                <w:webHidden/>
                <w:rStyle w:val="IndexLink"/>
                <w:rtl w:val="true"/>
              </w:rPr>
              <w:t>الأوّل</w:t>
            </w:r>
            <w:r>
              <w:rPr>
                <w:rStyle w:val="IndexLink"/>
                <w:rtl w:val="true"/>
              </w:rPr>
              <w:t xml:space="preserve">: </w:t>
            </w:r>
            <w:r>
              <w:rPr>
                <w:rStyle w:val="IndexLink"/>
                <w:rtl w:val="true"/>
              </w:rPr>
              <w:t>الأدلّة العقليّة الدالّة على ثبوت الولاية للفقيه</w:t>
            </w:r>
            <w:r>
              <w:rPr>
                <w:rStyle w:val="IndexLink"/>
                <w:rtl w:val="true"/>
              </w:rPr>
              <w:tab/>
            </w:r>
            <w:r>
              <w:rPr>
                <w:rStyle w:val="IndexLink"/>
              </w:rPr>
              <w:t>161</w:t>
            </w:r>
          </w:hyperlink>
        </w:p>
        <w:p>
          <w:pPr>
            <w:pStyle w:val="Contents5"/>
            <w:tabs>
              <w:tab w:val="clear" w:pos="7892"/>
              <w:tab w:val="right" w:pos="9026" w:leader="dot"/>
            </w:tabs>
            <w:rPr/>
          </w:pPr>
          <w:hyperlink w:anchor="__RefHeading___Toc13099926_1280447820">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13099928_1280447820">
            <w:r>
              <w:rPr>
                <w:webHidden/>
                <w:rStyle w:val="IndexLink"/>
                <w:rtl w:val="true"/>
              </w:rPr>
              <w:t>الأوّل من الأدلّة العقليّة</w:t>
            </w:r>
            <w:r>
              <w:rPr>
                <w:rStyle w:val="IndexLink"/>
                <w:rtl w:val="true"/>
              </w:rPr>
              <w:tab/>
            </w:r>
            <w:r>
              <w:rPr>
                <w:rStyle w:val="IndexLink"/>
              </w:rPr>
              <w:t>161</w:t>
            </w:r>
          </w:hyperlink>
        </w:p>
        <w:p>
          <w:pPr>
            <w:pStyle w:val="Contents5"/>
            <w:tabs>
              <w:tab w:val="clear" w:pos="7892"/>
              <w:tab w:val="right" w:pos="9026" w:leader="dot"/>
            </w:tabs>
            <w:rPr/>
          </w:pPr>
          <w:hyperlink w:anchor="__RefHeading___Toc13099930_1280447820">
            <w:r>
              <w:rPr>
                <w:webHidden/>
                <w:rStyle w:val="IndexLink"/>
                <w:rtl w:val="true"/>
              </w:rPr>
              <w:t>الثّاني من الأدلّة العقليّة</w:t>
            </w:r>
            <w:r>
              <w:rPr>
                <w:rStyle w:val="IndexLink"/>
                <w:rtl w:val="true"/>
              </w:rPr>
              <w:tab/>
            </w:r>
            <w:r>
              <w:rPr>
                <w:rStyle w:val="IndexLink"/>
              </w:rPr>
              <w:t>164</w:t>
            </w:r>
          </w:hyperlink>
        </w:p>
        <w:p>
          <w:pPr>
            <w:pStyle w:val="Contents5"/>
            <w:tabs>
              <w:tab w:val="clear" w:pos="7892"/>
              <w:tab w:val="right" w:pos="9026" w:leader="dot"/>
            </w:tabs>
            <w:rPr/>
          </w:pPr>
          <w:hyperlink w:anchor="__RefHeading___Toc13099932_1280447820">
            <w:r>
              <w:rPr>
                <w:webHidden/>
                <w:rStyle w:val="IndexLink"/>
                <w:rtl w:val="true"/>
              </w:rPr>
              <w:t>الثّالث من الأدلّة العقليّة</w:t>
            </w:r>
            <w:r>
              <w:rPr>
                <w:rStyle w:val="IndexLink"/>
                <w:rtl w:val="true"/>
              </w:rPr>
              <w:tab/>
            </w:r>
            <w:r>
              <w:rPr>
                <w:rStyle w:val="IndexLink"/>
              </w:rPr>
              <w:t>169</w:t>
            </w:r>
          </w:hyperlink>
        </w:p>
        <w:p>
          <w:pPr>
            <w:pStyle w:val="Contents5"/>
            <w:tabs>
              <w:tab w:val="clear" w:pos="7892"/>
              <w:tab w:val="right" w:pos="9026" w:leader="dot"/>
            </w:tabs>
            <w:rPr/>
          </w:pPr>
          <w:hyperlink w:anchor="__RefHeading___Toc13099934_1280447820">
            <w:r>
              <w:rPr>
                <w:webHidden/>
                <w:rStyle w:val="IndexLink"/>
                <w:rtl w:val="true"/>
              </w:rPr>
              <w:t>الرّابع من الأدلّة العقليّة</w:t>
            </w:r>
            <w:r>
              <w:rPr>
                <w:rStyle w:val="IndexLink"/>
                <w:rtl w:val="true"/>
              </w:rPr>
              <w:tab/>
            </w:r>
            <w:r>
              <w:rPr>
                <w:rStyle w:val="IndexLink"/>
              </w:rPr>
              <w:t>171</w:t>
            </w:r>
          </w:hyperlink>
        </w:p>
        <w:p>
          <w:pPr>
            <w:pStyle w:val="Contents5"/>
            <w:tabs>
              <w:tab w:val="clear" w:pos="7892"/>
              <w:tab w:val="right" w:pos="9026" w:leader="dot"/>
            </w:tabs>
            <w:rPr/>
          </w:pPr>
          <w:hyperlink w:anchor="__RefHeading___Toc13099936_1280447820">
            <w:r>
              <w:rPr>
                <w:webHidden/>
                <w:rStyle w:val="IndexLink"/>
                <w:rtl w:val="true"/>
              </w:rPr>
              <w:t>الخامس من الأدلّة العقليّة</w:t>
            </w:r>
            <w:r>
              <w:rPr>
                <w:rStyle w:val="IndexLink"/>
                <w:rtl w:val="true"/>
              </w:rPr>
              <w:tab/>
            </w:r>
            <w:r>
              <w:rPr>
                <w:rStyle w:val="IndexLink"/>
              </w:rPr>
              <w:t>171</w:t>
            </w:r>
          </w:hyperlink>
        </w:p>
        <w:p>
          <w:pPr>
            <w:pStyle w:val="Contents5"/>
            <w:tabs>
              <w:tab w:val="clear" w:pos="7892"/>
              <w:tab w:val="right" w:pos="9026" w:leader="dot"/>
            </w:tabs>
            <w:rPr/>
          </w:pPr>
          <w:hyperlink w:anchor="__RefHeading___Toc13099938_1280447820">
            <w:r>
              <w:rPr>
                <w:webHidden/>
                <w:rStyle w:val="IndexLink"/>
                <w:rtl w:val="true"/>
              </w:rPr>
              <w:t>السّادس من الأدلّة العقليّة</w:t>
            </w:r>
            <w:r>
              <w:rPr>
                <w:rStyle w:val="IndexLink"/>
                <w:rtl w:val="true"/>
              </w:rPr>
              <w:tab/>
            </w:r>
            <w:r>
              <w:rPr>
                <w:rStyle w:val="IndexLink"/>
              </w:rPr>
              <w:t>173</w:t>
            </w:r>
          </w:hyperlink>
        </w:p>
        <w:p>
          <w:pPr>
            <w:pStyle w:val="Contents4"/>
            <w:tabs>
              <w:tab w:val="clear" w:pos="8176"/>
              <w:tab w:val="right" w:pos="9026" w:leader="dot"/>
            </w:tabs>
            <w:rPr/>
          </w:pPr>
          <w:hyperlink w:anchor="__RefHeading___Toc13099940_1280447820">
            <w:r>
              <w:rPr>
                <w:webHidden/>
                <w:rStyle w:val="IndexLink"/>
                <w:rtl w:val="true"/>
              </w:rPr>
              <w:t>الثّاني</w:t>
            </w:r>
            <w:r>
              <w:rPr>
                <w:rStyle w:val="IndexLink"/>
                <w:rtl w:val="true"/>
              </w:rPr>
              <w:t xml:space="preserve">: </w:t>
            </w:r>
            <w:r>
              <w:rPr>
                <w:rStyle w:val="IndexLink"/>
                <w:rtl w:val="true"/>
              </w:rPr>
              <w:t>الاستدلال بالكتاب على ثبوت الولاية للفقيه</w:t>
            </w:r>
            <w:r>
              <w:rPr>
                <w:rStyle w:val="IndexLink"/>
                <w:rtl w:val="true"/>
              </w:rPr>
              <w:tab/>
            </w:r>
            <w:r>
              <w:rPr>
                <w:rStyle w:val="IndexLink"/>
              </w:rPr>
              <w:t>175</w:t>
            </w:r>
          </w:hyperlink>
        </w:p>
        <w:p>
          <w:pPr>
            <w:pStyle w:val="Contents5"/>
            <w:tabs>
              <w:tab w:val="clear" w:pos="7892"/>
              <w:tab w:val="right" w:pos="9026" w:leader="dot"/>
            </w:tabs>
            <w:rPr/>
          </w:pPr>
          <w:hyperlink w:anchor="__RefHeading___Toc13099942_1280447820">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13099944_1280447820">
            <w:r>
              <w:rPr>
                <w:webHidden/>
                <w:rStyle w:val="IndexLink"/>
                <w:rtl w:val="true"/>
              </w:rPr>
              <w:t>النكتة الأولى</w:t>
            </w:r>
            <w:r>
              <w:rPr>
                <w:rStyle w:val="IndexLink"/>
                <w:rtl w:val="true"/>
              </w:rPr>
              <w:t>:</w:t>
              <w:tab/>
            </w:r>
            <w:r>
              <w:rPr>
                <w:rStyle w:val="IndexLink"/>
              </w:rPr>
              <w:t>175</w:t>
            </w:r>
          </w:hyperlink>
        </w:p>
        <w:p>
          <w:pPr>
            <w:pStyle w:val="Contents5"/>
            <w:tabs>
              <w:tab w:val="clear" w:pos="7892"/>
              <w:tab w:val="right" w:pos="9026" w:leader="dot"/>
            </w:tabs>
            <w:rPr/>
          </w:pPr>
          <w:hyperlink w:anchor="__RefHeading___Toc13099946_1280447820">
            <w:r>
              <w:rPr>
                <w:webHidden/>
                <w:rStyle w:val="IndexLink"/>
                <w:rtl w:val="true"/>
              </w:rPr>
              <w:t>النكتة الثّانية</w:t>
            </w:r>
            <w:r>
              <w:rPr>
                <w:rStyle w:val="IndexLink"/>
                <w:rtl w:val="true"/>
              </w:rPr>
              <w:t>:</w:t>
              <w:tab/>
            </w:r>
            <w:r>
              <w:rPr>
                <w:rStyle w:val="IndexLink"/>
              </w:rPr>
              <w:t>175</w:t>
            </w:r>
          </w:hyperlink>
        </w:p>
        <w:p>
          <w:pPr>
            <w:pStyle w:val="Contents5"/>
            <w:tabs>
              <w:tab w:val="clear" w:pos="7892"/>
              <w:tab w:val="right" w:pos="9026" w:leader="dot"/>
            </w:tabs>
            <w:rPr/>
          </w:pPr>
          <w:hyperlink w:anchor="__RefHeading___Toc13099948_1280447820">
            <w:r>
              <w:rPr>
                <w:webHidden/>
                <w:rStyle w:val="IndexLink"/>
                <w:rtl w:val="true"/>
              </w:rPr>
              <w:t>الآية الأولى</w:t>
            </w:r>
            <w:r>
              <w:rPr>
                <w:rStyle w:val="IndexLink"/>
                <w:rtl w:val="true"/>
              </w:rPr>
              <w:tab/>
            </w:r>
            <w:r>
              <w:rPr>
                <w:rStyle w:val="IndexLink"/>
              </w:rPr>
              <w:t>176</w:t>
            </w:r>
          </w:hyperlink>
        </w:p>
        <w:p>
          <w:pPr>
            <w:pStyle w:val="Contents5"/>
            <w:tabs>
              <w:tab w:val="clear" w:pos="7892"/>
              <w:tab w:val="right" w:pos="9026" w:leader="dot"/>
            </w:tabs>
            <w:rPr/>
          </w:pPr>
          <w:hyperlink w:anchor="__RefHeading___Toc13099950_1280447820">
            <w:r>
              <w:rPr>
                <w:webHidden/>
                <w:rStyle w:val="IndexLink"/>
                <w:rtl w:val="true"/>
              </w:rPr>
              <w:t>الآية الثّانية</w:t>
            </w:r>
            <w:r>
              <w:rPr>
                <w:rStyle w:val="IndexLink"/>
                <w:rtl w:val="true"/>
              </w:rPr>
              <w:tab/>
            </w:r>
            <w:r>
              <w:rPr>
                <w:rStyle w:val="IndexLink"/>
              </w:rPr>
              <w:t>179</w:t>
            </w:r>
          </w:hyperlink>
        </w:p>
        <w:p>
          <w:pPr>
            <w:pStyle w:val="Contents5"/>
            <w:tabs>
              <w:tab w:val="clear" w:pos="7892"/>
              <w:tab w:val="right" w:pos="9026" w:leader="dot"/>
            </w:tabs>
            <w:rPr/>
          </w:pPr>
          <w:hyperlink w:anchor="__RefHeading___Toc13099952_1280447820">
            <w:r>
              <w:rPr>
                <w:webHidden/>
                <w:rStyle w:val="IndexLink"/>
                <w:rtl w:val="true"/>
              </w:rPr>
              <w:t>الآية الثّالثة</w:t>
            </w:r>
            <w:r>
              <w:rPr>
                <w:rStyle w:val="IndexLink"/>
                <w:rtl w:val="true"/>
              </w:rPr>
              <w:tab/>
            </w:r>
            <w:r>
              <w:rPr>
                <w:rStyle w:val="IndexLink"/>
              </w:rPr>
              <w:t>181</w:t>
            </w:r>
          </w:hyperlink>
        </w:p>
        <w:p>
          <w:pPr>
            <w:pStyle w:val="Contents6"/>
            <w:tabs>
              <w:tab w:val="clear" w:pos="7609"/>
              <w:tab w:val="right" w:pos="9026" w:leader="dot"/>
            </w:tabs>
            <w:rPr/>
          </w:pPr>
          <w:hyperlink w:anchor="__RefHeading___Toc13099954_1280447820">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13099956_1280447820">
            <w:r>
              <w:rPr>
                <w:webHidden/>
                <w:rStyle w:val="IndexLink"/>
                <w:rtl w:val="true"/>
              </w:rPr>
              <w:t>النكتة الأولى</w:t>
            </w:r>
            <w:r>
              <w:rPr>
                <w:rStyle w:val="IndexLink"/>
                <w:rtl w:val="true"/>
              </w:rPr>
              <w:t>:</w:t>
              <w:tab/>
            </w:r>
            <w:r>
              <w:rPr>
                <w:rStyle w:val="IndexLink"/>
              </w:rPr>
              <w:t>181</w:t>
            </w:r>
          </w:hyperlink>
        </w:p>
        <w:p>
          <w:pPr>
            <w:pStyle w:val="Contents6"/>
            <w:tabs>
              <w:tab w:val="clear" w:pos="7609"/>
              <w:tab w:val="right" w:pos="9026" w:leader="dot"/>
            </w:tabs>
            <w:rPr/>
          </w:pPr>
          <w:hyperlink w:anchor="__RefHeading___Toc13099958_1280447820">
            <w:r>
              <w:rPr>
                <w:webHidden/>
                <w:rStyle w:val="IndexLink"/>
                <w:rtl w:val="true"/>
              </w:rPr>
              <w:t>النكتة الثّانية</w:t>
            </w:r>
            <w:r>
              <w:rPr>
                <w:rStyle w:val="IndexLink"/>
                <w:rtl w:val="true"/>
              </w:rPr>
              <w:t>:</w:t>
              <w:tab/>
            </w:r>
            <w:r>
              <w:rPr>
                <w:rStyle w:val="IndexLink"/>
              </w:rPr>
              <w:t>181</w:t>
            </w:r>
          </w:hyperlink>
        </w:p>
        <w:p>
          <w:pPr>
            <w:pStyle w:val="Contents6"/>
            <w:tabs>
              <w:tab w:val="clear" w:pos="7609"/>
              <w:tab w:val="right" w:pos="9026" w:leader="dot"/>
            </w:tabs>
            <w:rPr/>
          </w:pPr>
          <w:hyperlink w:anchor="__RefHeading___Toc13099960_1280447820">
            <w:r>
              <w:rPr>
                <w:webHidden/>
                <w:rStyle w:val="IndexLink"/>
                <w:rtl w:val="true"/>
              </w:rPr>
              <w:t>النكتة الثّالثة</w:t>
            </w:r>
            <w:r>
              <w:rPr>
                <w:rStyle w:val="IndexLink"/>
                <w:rtl w:val="true"/>
              </w:rPr>
              <w:t>:</w:t>
              <w:tab/>
            </w:r>
            <w:r>
              <w:rPr>
                <w:rStyle w:val="IndexLink"/>
              </w:rPr>
              <w:t>181</w:t>
            </w:r>
          </w:hyperlink>
        </w:p>
        <w:p>
          <w:pPr>
            <w:pStyle w:val="Contents6"/>
            <w:tabs>
              <w:tab w:val="clear" w:pos="7609"/>
              <w:tab w:val="right" w:pos="9026" w:leader="dot"/>
            </w:tabs>
            <w:rPr/>
          </w:pPr>
          <w:hyperlink w:anchor="__RefHeading___Toc13099962_1280447820">
            <w:r>
              <w:rPr>
                <w:webHidden/>
                <w:rStyle w:val="IndexLink"/>
                <w:rtl w:val="true"/>
              </w:rPr>
              <w:t>النكتة الرّابعة</w:t>
            </w:r>
            <w:r>
              <w:rPr>
                <w:rStyle w:val="IndexLink"/>
                <w:rtl w:val="true"/>
              </w:rPr>
              <w:t>:</w:t>
              <w:tab/>
            </w:r>
            <w:r>
              <w:rPr>
                <w:rStyle w:val="IndexLink"/>
              </w:rPr>
              <w:t>182</w:t>
            </w:r>
          </w:hyperlink>
        </w:p>
        <w:p>
          <w:pPr>
            <w:pStyle w:val="Contents5"/>
            <w:tabs>
              <w:tab w:val="clear" w:pos="7892"/>
              <w:tab w:val="right" w:pos="9026" w:leader="dot"/>
            </w:tabs>
            <w:rPr/>
          </w:pPr>
          <w:hyperlink w:anchor="__RefHeading___Toc13099964_1280447820">
            <w:r>
              <w:rPr>
                <w:webHidden/>
                <w:rStyle w:val="IndexLink"/>
                <w:rtl w:val="true"/>
              </w:rPr>
              <w:t>الآية الرّابعة</w:t>
            </w:r>
            <w:r>
              <w:rPr>
                <w:rStyle w:val="IndexLink"/>
                <w:rtl w:val="true"/>
              </w:rPr>
              <w:tab/>
            </w:r>
            <w:r>
              <w:rPr>
                <w:rStyle w:val="IndexLink"/>
              </w:rPr>
              <w:t>182</w:t>
            </w:r>
          </w:hyperlink>
        </w:p>
        <w:p>
          <w:pPr>
            <w:pStyle w:val="Contents6"/>
            <w:tabs>
              <w:tab w:val="clear" w:pos="7609"/>
              <w:tab w:val="right" w:pos="9026" w:leader="dot"/>
            </w:tabs>
            <w:rPr/>
          </w:pPr>
          <w:hyperlink w:anchor="__RefHeading___Toc13099966_1280447820">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13099968_1280447820">
            <w:r>
              <w:rPr>
                <w:webHidden/>
                <w:rStyle w:val="IndexLink"/>
                <w:rtl w:val="true"/>
              </w:rPr>
              <w:t>النقطة الأولى</w:t>
            </w:r>
            <w:r>
              <w:rPr>
                <w:rStyle w:val="IndexLink"/>
                <w:rtl w:val="true"/>
              </w:rPr>
              <w:t>:</w:t>
              <w:tab/>
            </w:r>
            <w:r>
              <w:rPr>
                <w:rStyle w:val="IndexLink"/>
              </w:rPr>
              <w:t>183</w:t>
            </w:r>
          </w:hyperlink>
        </w:p>
        <w:p>
          <w:pPr>
            <w:pStyle w:val="Contents6"/>
            <w:tabs>
              <w:tab w:val="clear" w:pos="7609"/>
              <w:tab w:val="right" w:pos="9026" w:leader="dot"/>
            </w:tabs>
            <w:rPr/>
          </w:pPr>
          <w:hyperlink w:anchor="__RefHeading___Toc13099970_1280447820">
            <w:r>
              <w:rPr>
                <w:webHidden/>
                <w:rStyle w:val="IndexLink"/>
                <w:rtl w:val="true"/>
              </w:rPr>
              <w:t>النقطة الثّانية</w:t>
            </w:r>
            <w:r>
              <w:rPr>
                <w:rStyle w:val="IndexLink"/>
                <w:rtl w:val="true"/>
              </w:rPr>
              <w:t>:</w:t>
              <w:tab/>
            </w:r>
            <w:r>
              <w:rPr>
                <w:rStyle w:val="IndexLink"/>
              </w:rPr>
              <w:t>183</w:t>
            </w:r>
          </w:hyperlink>
        </w:p>
        <w:p>
          <w:pPr>
            <w:pStyle w:val="Contents6"/>
            <w:tabs>
              <w:tab w:val="clear" w:pos="7609"/>
              <w:tab w:val="right" w:pos="9026" w:leader="dot"/>
            </w:tabs>
            <w:rPr/>
          </w:pPr>
          <w:hyperlink w:anchor="__RefHeading___Toc13099972_1280447820">
            <w:r>
              <w:rPr>
                <w:webHidden/>
                <w:rStyle w:val="IndexLink"/>
                <w:rtl w:val="true"/>
              </w:rPr>
              <w:t>النقطة الثّالثة</w:t>
            </w:r>
            <w:r>
              <w:rPr>
                <w:rStyle w:val="IndexLink"/>
                <w:rtl w:val="true"/>
              </w:rPr>
              <w:t>:</w:t>
              <w:tab/>
            </w:r>
            <w:r>
              <w:rPr>
                <w:rStyle w:val="IndexLink"/>
              </w:rPr>
              <w:t>183</w:t>
            </w:r>
          </w:hyperlink>
        </w:p>
        <w:p>
          <w:pPr>
            <w:pStyle w:val="Contents6"/>
            <w:tabs>
              <w:tab w:val="clear" w:pos="7609"/>
              <w:tab w:val="right" w:pos="9026" w:leader="dot"/>
            </w:tabs>
            <w:rPr/>
          </w:pPr>
          <w:hyperlink w:anchor="__RefHeading___Toc13099974_1280447820">
            <w:r>
              <w:rPr>
                <w:webHidden/>
                <w:rStyle w:val="IndexLink"/>
                <w:rtl w:val="true"/>
              </w:rPr>
              <w:t>النقطة الرّابعة</w:t>
            </w:r>
            <w:r>
              <w:rPr>
                <w:rStyle w:val="IndexLink"/>
                <w:rtl w:val="true"/>
              </w:rPr>
              <w:t>:</w:t>
              <w:tab/>
            </w:r>
            <w:r>
              <w:rPr>
                <w:rStyle w:val="IndexLink"/>
              </w:rPr>
              <w:t>183</w:t>
            </w:r>
          </w:hyperlink>
        </w:p>
        <w:p>
          <w:pPr>
            <w:pStyle w:val="Contents6"/>
            <w:tabs>
              <w:tab w:val="clear" w:pos="7609"/>
              <w:tab w:val="right" w:pos="9026" w:leader="dot"/>
            </w:tabs>
            <w:rPr/>
          </w:pPr>
          <w:hyperlink w:anchor="__RefHeading___Toc13099976_1280447820">
            <w:r>
              <w:rPr>
                <w:webHidden/>
                <w:rStyle w:val="IndexLink"/>
                <w:rtl w:val="true"/>
              </w:rPr>
              <w:t>النقطة الخامسة</w:t>
            </w:r>
            <w:r>
              <w:rPr>
                <w:rStyle w:val="IndexLink"/>
                <w:rtl w:val="true"/>
              </w:rPr>
              <w:t>:</w:t>
              <w:tab/>
            </w:r>
            <w:r>
              <w:rPr>
                <w:rStyle w:val="IndexLink"/>
              </w:rPr>
              <w:t>183</w:t>
            </w:r>
          </w:hyperlink>
        </w:p>
        <w:p>
          <w:pPr>
            <w:pStyle w:val="Contents5"/>
            <w:tabs>
              <w:tab w:val="clear" w:pos="7892"/>
              <w:tab w:val="right" w:pos="9026" w:leader="dot"/>
            </w:tabs>
            <w:rPr/>
          </w:pPr>
          <w:hyperlink w:anchor="__RefHeading___Toc13099978_1280447820">
            <w:r>
              <w:rPr>
                <w:webHidden/>
                <w:rStyle w:val="IndexLink"/>
                <w:rtl w:val="true"/>
              </w:rPr>
              <w:t>الآية الخامسة</w:t>
            </w:r>
            <w:r>
              <w:rPr>
                <w:rStyle w:val="IndexLink"/>
                <w:rtl w:val="true"/>
              </w:rPr>
              <w:tab/>
            </w:r>
            <w:r>
              <w:rPr>
                <w:rStyle w:val="IndexLink"/>
              </w:rPr>
              <w:t>184</w:t>
            </w:r>
          </w:hyperlink>
        </w:p>
        <w:p>
          <w:pPr>
            <w:pStyle w:val="Contents5"/>
            <w:tabs>
              <w:tab w:val="clear" w:pos="7892"/>
              <w:tab w:val="right" w:pos="9026" w:leader="dot"/>
            </w:tabs>
            <w:rPr/>
          </w:pPr>
          <w:hyperlink w:anchor="__RefHeading___Toc13099980_1280447820">
            <w:r>
              <w:rPr>
                <w:webHidden/>
                <w:rStyle w:val="IndexLink"/>
                <w:rtl w:val="true"/>
              </w:rPr>
              <w:t>الآية السادسة</w:t>
            </w:r>
            <w:r>
              <w:rPr>
                <w:rStyle w:val="IndexLink"/>
                <w:rtl w:val="true"/>
              </w:rPr>
              <w:tab/>
            </w:r>
            <w:r>
              <w:rPr>
                <w:rStyle w:val="IndexLink"/>
              </w:rPr>
              <w:t>185</w:t>
            </w:r>
          </w:hyperlink>
        </w:p>
        <w:p>
          <w:pPr>
            <w:pStyle w:val="Contents5"/>
            <w:tabs>
              <w:tab w:val="clear" w:pos="7892"/>
              <w:tab w:val="right" w:pos="9026" w:leader="dot"/>
            </w:tabs>
            <w:rPr/>
          </w:pPr>
          <w:hyperlink w:anchor="__RefHeading___Toc13099982_1280447820">
            <w:r>
              <w:rPr>
                <w:webHidden/>
                <w:rStyle w:val="IndexLink"/>
                <w:rtl w:val="true"/>
              </w:rPr>
              <w:t>الآية السابعة</w:t>
            </w:r>
            <w:r>
              <w:rPr>
                <w:rStyle w:val="IndexLink"/>
                <w:rtl w:val="true"/>
              </w:rPr>
              <w:tab/>
            </w:r>
            <w:r>
              <w:rPr>
                <w:rStyle w:val="IndexLink"/>
              </w:rPr>
              <w:t>186</w:t>
            </w:r>
          </w:hyperlink>
        </w:p>
        <w:p>
          <w:pPr>
            <w:pStyle w:val="Contents6"/>
            <w:tabs>
              <w:tab w:val="clear" w:pos="7609"/>
              <w:tab w:val="right" w:pos="9026" w:leader="dot"/>
            </w:tabs>
            <w:rPr/>
          </w:pPr>
          <w:hyperlink w:anchor="__RefHeading___Toc13099984_1280447820">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13099986_1280447820">
            <w:r>
              <w:rPr>
                <w:webHidden/>
                <w:rStyle w:val="IndexLink"/>
                <w:rtl w:val="true"/>
              </w:rPr>
              <w:t>النكتة الأولى</w:t>
            </w:r>
            <w:r>
              <w:rPr>
                <w:rStyle w:val="IndexLink"/>
                <w:rtl w:val="true"/>
              </w:rPr>
              <w:t>:</w:t>
              <w:tab/>
            </w:r>
            <w:r>
              <w:rPr>
                <w:rStyle w:val="IndexLink"/>
              </w:rPr>
              <w:t>187</w:t>
            </w:r>
          </w:hyperlink>
        </w:p>
        <w:p>
          <w:pPr>
            <w:pStyle w:val="Contents6"/>
            <w:tabs>
              <w:tab w:val="clear" w:pos="7609"/>
              <w:tab w:val="right" w:pos="9026" w:leader="dot"/>
            </w:tabs>
            <w:rPr/>
          </w:pPr>
          <w:hyperlink w:anchor="__RefHeading___Toc13099988_1280447820">
            <w:r>
              <w:rPr>
                <w:webHidden/>
                <w:rStyle w:val="IndexLink"/>
                <w:rtl w:val="true"/>
              </w:rPr>
              <w:t>النكتة الثّانية</w:t>
            </w:r>
            <w:r>
              <w:rPr>
                <w:rStyle w:val="IndexLink"/>
                <w:rtl w:val="true"/>
              </w:rPr>
              <w:t>:</w:t>
              <w:tab/>
            </w:r>
            <w:r>
              <w:rPr>
                <w:rStyle w:val="IndexLink"/>
              </w:rPr>
              <w:t>187</w:t>
            </w:r>
          </w:hyperlink>
        </w:p>
        <w:p>
          <w:pPr>
            <w:pStyle w:val="Contents6"/>
            <w:tabs>
              <w:tab w:val="clear" w:pos="7609"/>
              <w:tab w:val="right" w:pos="9026" w:leader="dot"/>
            </w:tabs>
            <w:rPr/>
          </w:pPr>
          <w:hyperlink w:anchor="__RefHeading___Toc13099990_1280447820">
            <w:r>
              <w:rPr>
                <w:webHidden/>
                <w:rStyle w:val="IndexLink"/>
                <w:rtl w:val="true"/>
              </w:rPr>
              <w:t>النكتة الثّالثة</w:t>
            </w:r>
            <w:r>
              <w:rPr>
                <w:rStyle w:val="IndexLink"/>
                <w:rtl w:val="true"/>
              </w:rPr>
              <w:t>:</w:t>
              <w:tab/>
            </w:r>
            <w:r>
              <w:rPr>
                <w:rStyle w:val="IndexLink"/>
              </w:rPr>
              <w:t>187</w:t>
            </w:r>
          </w:hyperlink>
        </w:p>
        <w:p>
          <w:pPr>
            <w:pStyle w:val="Contents5"/>
            <w:tabs>
              <w:tab w:val="clear" w:pos="7892"/>
              <w:tab w:val="right" w:pos="9026" w:leader="dot"/>
            </w:tabs>
            <w:rPr/>
          </w:pPr>
          <w:hyperlink w:anchor="__RefHeading___Toc13099992_1280447820">
            <w:r>
              <w:rPr>
                <w:webHidden/>
                <w:rStyle w:val="IndexLink"/>
                <w:rtl w:val="true"/>
              </w:rPr>
              <w:t>الآية الثّامنة</w:t>
            </w:r>
            <w:r>
              <w:rPr>
                <w:rStyle w:val="IndexLink"/>
                <w:rtl w:val="true"/>
              </w:rPr>
              <w:tab/>
            </w:r>
            <w:r>
              <w:rPr>
                <w:rStyle w:val="IndexLink"/>
              </w:rPr>
              <w:t>188</w:t>
            </w:r>
          </w:hyperlink>
        </w:p>
        <w:p>
          <w:pPr>
            <w:pStyle w:val="Contents6"/>
            <w:tabs>
              <w:tab w:val="clear" w:pos="7609"/>
              <w:tab w:val="right" w:pos="9026" w:leader="dot"/>
            </w:tabs>
            <w:rPr/>
          </w:pPr>
          <w:hyperlink w:anchor="__RefHeading___Toc13099994_1280447820">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13099996_1280447820">
            <w:r>
              <w:rPr>
                <w:webHidden/>
                <w:rStyle w:val="IndexLink"/>
                <w:rtl w:val="true"/>
              </w:rPr>
              <w:t>أمّا المقدّمة الأولى</w:t>
            </w:r>
            <w:r>
              <w:rPr>
                <w:rStyle w:val="IndexLink"/>
                <w:rtl w:val="true"/>
              </w:rPr>
              <w:t>:</w:t>
              <w:tab/>
            </w:r>
            <w:r>
              <w:rPr>
                <w:rStyle w:val="IndexLink"/>
              </w:rPr>
              <w:t>188</w:t>
            </w:r>
          </w:hyperlink>
        </w:p>
        <w:p>
          <w:pPr>
            <w:pStyle w:val="Contents6"/>
            <w:tabs>
              <w:tab w:val="clear" w:pos="7609"/>
              <w:tab w:val="right" w:pos="9026" w:leader="dot"/>
            </w:tabs>
            <w:rPr/>
          </w:pPr>
          <w:hyperlink w:anchor="__RefHeading___Toc13099998_1280447820">
            <w:r>
              <w:rPr>
                <w:webHidden/>
                <w:rStyle w:val="IndexLink"/>
                <w:rtl w:val="true"/>
              </w:rPr>
              <w:t>أمّا المقدّمة الثّانية</w:t>
            </w:r>
            <w:r>
              <w:rPr>
                <w:rStyle w:val="IndexLink"/>
                <w:rtl w:val="true"/>
              </w:rPr>
              <w:t>:</w:t>
              <w:tab/>
            </w:r>
            <w:r>
              <w:rPr>
                <w:rStyle w:val="IndexLink"/>
              </w:rPr>
              <w:t>188</w:t>
            </w:r>
          </w:hyperlink>
        </w:p>
        <w:p>
          <w:pPr>
            <w:pStyle w:val="Contents5"/>
            <w:tabs>
              <w:tab w:val="clear" w:pos="7892"/>
              <w:tab w:val="right" w:pos="9026" w:leader="dot"/>
            </w:tabs>
            <w:rPr/>
          </w:pPr>
          <w:hyperlink w:anchor="__RefHeading___Toc13100000_1280447820">
            <w:r>
              <w:rPr>
                <w:webHidden/>
                <w:rStyle w:val="IndexLink"/>
                <w:rtl w:val="true"/>
              </w:rPr>
              <w:t>الآية التّاسعة</w:t>
            </w:r>
            <w:r>
              <w:rPr>
                <w:rStyle w:val="IndexLink"/>
                <w:rtl w:val="true"/>
              </w:rPr>
              <w:tab/>
            </w:r>
            <w:r>
              <w:rPr>
                <w:rStyle w:val="IndexLink"/>
              </w:rPr>
              <w:t>189</w:t>
            </w:r>
          </w:hyperlink>
        </w:p>
        <w:p>
          <w:pPr>
            <w:pStyle w:val="Contents6"/>
            <w:tabs>
              <w:tab w:val="clear" w:pos="7609"/>
              <w:tab w:val="right" w:pos="9026" w:leader="dot"/>
            </w:tabs>
            <w:rPr/>
          </w:pPr>
          <w:hyperlink w:anchor="__RefHeading___Toc13100002_1280447820">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13100004_1280447820">
            <w:r>
              <w:rPr>
                <w:webHidden/>
                <w:rStyle w:val="IndexLink"/>
                <w:rtl w:val="true"/>
              </w:rPr>
              <w:t>النكتة الأولى</w:t>
            </w:r>
            <w:r>
              <w:rPr>
                <w:rStyle w:val="IndexLink"/>
                <w:rtl w:val="true"/>
              </w:rPr>
              <w:t>:</w:t>
              <w:tab/>
            </w:r>
            <w:r>
              <w:rPr>
                <w:rStyle w:val="IndexLink"/>
              </w:rPr>
              <w:t>189</w:t>
            </w:r>
          </w:hyperlink>
        </w:p>
        <w:p>
          <w:pPr>
            <w:pStyle w:val="Contents6"/>
            <w:tabs>
              <w:tab w:val="clear" w:pos="7609"/>
              <w:tab w:val="right" w:pos="9026" w:leader="dot"/>
            </w:tabs>
            <w:rPr/>
          </w:pPr>
          <w:hyperlink w:anchor="__RefHeading___Toc13100006_1280447820">
            <w:r>
              <w:rPr>
                <w:webHidden/>
                <w:rStyle w:val="IndexLink"/>
                <w:rtl w:val="true"/>
              </w:rPr>
              <w:t>النكتة الثّانية</w:t>
            </w:r>
            <w:r>
              <w:rPr>
                <w:rStyle w:val="IndexLink"/>
                <w:rtl w:val="true"/>
              </w:rPr>
              <w:t>:</w:t>
              <w:tab/>
            </w:r>
            <w:r>
              <w:rPr>
                <w:rStyle w:val="IndexLink"/>
              </w:rPr>
              <w:t>190</w:t>
            </w:r>
          </w:hyperlink>
        </w:p>
        <w:p>
          <w:pPr>
            <w:pStyle w:val="Contents6"/>
            <w:tabs>
              <w:tab w:val="clear" w:pos="7609"/>
              <w:tab w:val="right" w:pos="9026" w:leader="dot"/>
            </w:tabs>
            <w:rPr/>
          </w:pPr>
          <w:hyperlink w:anchor="__RefHeading___Toc13100008_1280447820">
            <w:r>
              <w:rPr>
                <w:webHidden/>
                <w:rStyle w:val="IndexLink"/>
                <w:rtl w:val="true"/>
              </w:rPr>
              <w:t>النكتة الثّالثة</w:t>
            </w:r>
            <w:r>
              <w:rPr>
                <w:rStyle w:val="IndexLink"/>
                <w:rtl w:val="true"/>
              </w:rPr>
              <w:t>:</w:t>
              <w:tab/>
            </w:r>
            <w:r>
              <w:rPr>
                <w:rStyle w:val="IndexLink"/>
              </w:rPr>
              <w:t>190</w:t>
            </w:r>
          </w:hyperlink>
        </w:p>
        <w:p>
          <w:pPr>
            <w:pStyle w:val="Contents5"/>
            <w:tabs>
              <w:tab w:val="clear" w:pos="7892"/>
              <w:tab w:val="right" w:pos="9026" w:leader="dot"/>
            </w:tabs>
            <w:rPr/>
          </w:pPr>
          <w:hyperlink w:anchor="__RefHeading___Toc13100010_1280447820">
            <w:r>
              <w:rPr>
                <w:webHidden/>
                <w:rStyle w:val="IndexLink"/>
                <w:rtl w:val="true"/>
              </w:rPr>
              <w:t>الآية العاشرة</w:t>
            </w:r>
            <w:r>
              <w:rPr>
                <w:rStyle w:val="IndexLink"/>
                <w:rtl w:val="true"/>
              </w:rPr>
              <w:tab/>
            </w:r>
            <w:r>
              <w:rPr>
                <w:rStyle w:val="IndexLink"/>
              </w:rPr>
              <w:t>191</w:t>
            </w:r>
          </w:hyperlink>
        </w:p>
        <w:p>
          <w:pPr>
            <w:pStyle w:val="Contents6"/>
            <w:tabs>
              <w:tab w:val="clear" w:pos="7609"/>
              <w:tab w:val="right" w:pos="9026" w:leader="dot"/>
            </w:tabs>
            <w:rPr/>
          </w:pPr>
          <w:hyperlink w:anchor="__RefHeading___Toc13100012_1280447820">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13100014_1280447820">
            <w:r>
              <w:rPr>
                <w:webHidden/>
                <w:rStyle w:val="IndexLink"/>
                <w:rtl w:val="true"/>
              </w:rPr>
              <w:t>الأمر الأوّل</w:t>
            </w:r>
            <w:r>
              <w:rPr>
                <w:rStyle w:val="IndexLink"/>
                <w:rtl w:val="true"/>
              </w:rPr>
              <w:t>:</w:t>
              <w:tab/>
            </w:r>
            <w:r>
              <w:rPr>
                <w:rStyle w:val="IndexLink"/>
              </w:rPr>
              <w:t>191</w:t>
            </w:r>
          </w:hyperlink>
        </w:p>
        <w:p>
          <w:pPr>
            <w:pStyle w:val="Contents6"/>
            <w:tabs>
              <w:tab w:val="clear" w:pos="7609"/>
              <w:tab w:val="right" w:pos="9026" w:leader="dot"/>
            </w:tabs>
            <w:rPr/>
          </w:pPr>
          <w:hyperlink w:anchor="__RefHeading___Toc13100016_1280447820">
            <w:r>
              <w:rPr>
                <w:webHidden/>
                <w:rStyle w:val="IndexLink"/>
                <w:rtl w:val="true"/>
              </w:rPr>
              <w:t>الأمر الثّاني</w:t>
            </w:r>
            <w:r>
              <w:rPr>
                <w:rStyle w:val="IndexLink"/>
                <w:rtl w:val="true"/>
              </w:rPr>
              <w:t>:</w:t>
              <w:tab/>
            </w:r>
            <w:r>
              <w:rPr>
                <w:rStyle w:val="IndexLink"/>
              </w:rPr>
              <w:t>191</w:t>
            </w:r>
          </w:hyperlink>
        </w:p>
        <w:p>
          <w:pPr>
            <w:pStyle w:val="Contents6"/>
            <w:tabs>
              <w:tab w:val="clear" w:pos="7609"/>
              <w:tab w:val="right" w:pos="9026" w:leader="dot"/>
            </w:tabs>
            <w:rPr/>
          </w:pPr>
          <w:hyperlink w:anchor="__RefHeading___Toc13100018_1280447820">
            <w:r>
              <w:rPr>
                <w:webHidden/>
                <w:rStyle w:val="IndexLink"/>
                <w:rtl w:val="true"/>
              </w:rPr>
              <w:t>الأمر الثّالث</w:t>
            </w:r>
            <w:r>
              <w:rPr>
                <w:rStyle w:val="IndexLink"/>
                <w:rtl w:val="true"/>
              </w:rPr>
              <w:t>:</w:t>
              <w:tab/>
            </w:r>
            <w:r>
              <w:rPr>
                <w:rStyle w:val="IndexLink"/>
              </w:rPr>
              <w:t>191</w:t>
            </w:r>
          </w:hyperlink>
        </w:p>
        <w:p>
          <w:pPr>
            <w:pStyle w:val="Contents6"/>
            <w:tabs>
              <w:tab w:val="clear" w:pos="7609"/>
              <w:tab w:val="right" w:pos="9026" w:leader="dot"/>
            </w:tabs>
            <w:rPr/>
          </w:pPr>
          <w:hyperlink w:anchor="__RefHeading___Toc13100020_1280447820">
            <w:r>
              <w:rPr>
                <w:webHidden/>
                <w:rStyle w:val="IndexLink"/>
                <w:rtl w:val="true"/>
              </w:rPr>
              <w:t>الأمر الرّابع</w:t>
            </w:r>
            <w:r>
              <w:rPr>
                <w:rStyle w:val="IndexLink"/>
                <w:rtl w:val="true"/>
              </w:rPr>
              <w:t>:</w:t>
              <w:tab/>
            </w:r>
            <w:r>
              <w:rPr>
                <w:rStyle w:val="IndexLink"/>
              </w:rPr>
              <w:t>192</w:t>
            </w:r>
          </w:hyperlink>
        </w:p>
        <w:p>
          <w:pPr>
            <w:pStyle w:val="Contents6"/>
            <w:tabs>
              <w:tab w:val="clear" w:pos="7609"/>
              <w:tab w:val="right" w:pos="9026" w:leader="dot"/>
            </w:tabs>
            <w:rPr/>
          </w:pPr>
          <w:hyperlink w:anchor="__RefHeading___Toc13100022_1280447820">
            <w:r>
              <w:rPr>
                <w:webHidden/>
                <w:rStyle w:val="IndexLink"/>
                <w:rtl w:val="true"/>
              </w:rPr>
              <w:t>الأمر الخامس</w:t>
            </w:r>
            <w:r>
              <w:rPr>
                <w:rStyle w:val="IndexLink"/>
                <w:rtl w:val="true"/>
              </w:rPr>
              <w:t>:</w:t>
              <w:tab/>
            </w:r>
            <w:r>
              <w:rPr>
                <w:rStyle w:val="IndexLink"/>
              </w:rPr>
              <w:t>192</w:t>
            </w:r>
          </w:hyperlink>
        </w:p>
        <w:p>
          <w:pPr>
            <w:pStyle w:val="Contents4"/>
            <w:tabs>
              <w:tab w:val="clear" w:pos="8176"/>
              <w:tab w:val="right" w:pos="9026" w:leader="dot"/>
            </w:tabs>
            <w:rPr/>
          </w:pPr>
          <w:hyperlink w:anchor="__RefHeading___Toc13100024_1280447820">
            <w:r>
              <w:rPr>
                <w:webHidden/>
                <w:rStyle w:val="IndexLink"/>
                <w:rtl w:val="true"/>
              </w:rPr>
              <w:t>الثّالث</w:t>
            </w:r>
            <w:r>
              <w:rPr>
                <w:rStyle w:val="IndexLink"/>
                <w:rtl w:val="true"/>
              </w:rPr>
              <w:t xml:space="preserve">: </w:t>
            </w:r>
            <w:r>
              <w:rPr>
                <w:rStyle w:val="IndexLink"/>
                <w:rtl w:val="true"/>
              </w:rPr>
              <w:t>الاستدلال بالإجماع على ثبوت الولاية للفقيه</w:t>
            </w:r>
            <w:r>
              <w:rPr>
                <w:rStyle w:val="IndexLink"/>
                <w:rtl w:val="true"/>
              </w:rPr>
              <w:tab/>
            </w:r>
            <w:r>
              <w:rPr>
                <w:rStyle w:val="IndexLink"/>
              </w:rPr>
              <w:t>195</w:t>
            </w:r>
          </w:hyperlink>
        </w:p>
        <w:p>
          <w:pPr>
            <w:pStyle w:val="Contents4"/>
            <w:tabs>
              <w:tab w:val="clear" w:pos="8176"/>
              <w:tab w:val="right" w:pos="9026" w:leader="dot"/>
            </w:tabs>
            <w:rPr/>
          </w:pPr>
          <w:hyperlink w:anchor="__RefHeading___Toc13100026_1280447820">
            <w:r>
              <w:rPr>
                <w:webHidden/>
                <w:rStyle w:val="IndexLink"/>
                <w:rtl w:val="true"/>
              </w:rPr>
              <w:t>الرّابع الاستدلال بالروايات على ثبوت الولاية للفقيه و</w:t>
            </w:r>
            <w:r>
              <w:rPr>
                <w:rStyle w:val="IndexLink"/>
                <w:rtl w:val="true"/>
              </w:rPr>
              <w:tab/>
            </w:r>
            <w:r>
              <w:rPr>
                <w:rStyle w:val="IndexLink"/>
              </w:rPr>
              <w:t>198</w:t>
            </w:r>
          </w:hyperlink>
        </w:p>
        <w:p>
          <w:pPr>
            <w:pStyle w:val="Contents5"/>
            <w:tabs>
              <w:tab w:val="clear" w:pos="7892"/>
              <w:tab w:val="right" w:pos="9026" w:leader="dot"/>
            </w:tabs>
            <w:rPr/>
          </w:pPr>
          <w:hyperlink w:anchor="__RefHeading___Toc13100028_1280447820">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13100030_1280447820">
            <w:r>
              <w:rPr>
                <w:webHidden/>
                <w:rStyle w:val="IndexLink"/>
                <w:rtl w:val="true"/>
              </w:rPr>
              <w:t>النكتة الأولى</w:t>
            </w:r>
            <w:r>
              <w:rPr>
                <w:rStyle w:val="IndexLink"/>
                <w:rtl w:val="true"/>
              </w:rPr>
              <w:t>:</w:t>
              <w:tab/>
            </w:r>
            <w:r>
              <w:rPr>
                <w:rStyle w:val="IndexLink"/>
              </w:rPr>
              <w:t>198</w:t>
            </w:r>
          </w:hyperlink>
        </w:p>
        <w:p>
          <w:pPr>
            <w:pStyle w:val="Contents5"/>
            <w:tabs>
              <w:tab w:val="clear" w:pos="7892"/>
              <w:tab w:val="right" w:pos="9026" w:leader="dot"/>
            </w:tabs>
            <w:rPr/>
          </w:pPr>
          <w:hyperlink w:anchor="__RefHeading___Toc13100032_1280447820">
            <w:r>
              <w:rPr>
                <w:webHidden/>
                <w:rStyle w:val="IndexLink"/>
                <w:rtl w:val="true"/>
              </w:rPr>
              <w:t>النكتة الثّانية</w:t>
            </w:r>
            <w:r>
              <w:rPr>
                <w:rStyle w:val="IndexLink"/>
                <w:rtl w:val="true"/>
              </w:rPr>
              <w:t>:</w:t>
              <w:tab/>
            </w:r>
            <w:r>
              <w:rPr>
                <w:rStyle w:val="IndexLink"/>
              </w:rPr>
              <w:t>198</w:t>
            </w:r>
          </w:hyperlink>
        </w:p>
        <w:p>
          <w:pPr>
            <w:pStyle w:val="Contents5"/>
            <w:tabs>
              <w:tab w:val="clear" w:pos="7892"/>
              <w:tab w:val="right" w:pos="9026" w:leader="dot"/>
            </w:tabs>
            <w:rPr/>
          </w:pPr>
          <w:hyperlink w:anchor="__RefHeading___Toc13100034_1280447820">
            <w:r>
              <w:rPr>
                <w:webHidden/>
                <w:rStyle w:val="IndexLink"/>
                <w:rtl w:val="true"/>
              </w:rPr>
              <w:t>النكتة الثّالثة</w:t>
            </w:r>
            <w:r>
              <w:rPr>
                <w:rStyle w:val="IndexLink"/>
                <w:rtl w:val="true"/>
              </w:rPr>
              <w:t>:</w:t>
              <w:tab/>
            </w:r>
            <w:r>
              <w:rPr>
                <w:rStyle w:val="IndexLink"/>
              </w:rPr>
              <w:t>198</w:t>
            </w:r>
          </w:hyperlink>
        </w:p>
        <w:p>
          <w:pPr>
            <w:pStyle w:val="Contents5"/>
            <w:tabs>
              <w:tab w:val="clear" w:pos="7892"/>
              <w:tab w:val="right" w:pos="9026" w:leader="dot"/>
            </w:tabs>
            <w:rPr/>
          </w:pPr>
          <w:hyperlink w:anchor="__RefHeading___Toc13100036_1280447820">
            <w:r>
              <w:rPr>
                <w:webHidden/>
                <w:rStyle w:val="IndexLink"/>
                <w:rtl w:val="true"/>
              </w:rPr>
              <w:t>النكتة الرّابعة</w:t>
            </w:r>
            <w:r>
              <w:rPr>
                <w:rStyle w:val="IndexLink"/>
                <w:rtl w:val="true"/>
              </w:rPr>
              <w:t>:</w:t>
              <w:tab/>
            </w:r>
            <w:r>
              <w:rPr>
                <w:rStyle w:val="IndexLink"/>
              </w:rPr>
              <w:t>198</w:t>
            </w:r>
          </w:hyperlink>
        </w:p>
        <w:p>
          <w:pPr>
            <w:pStyle w:val="Contents5"/>
            <w:tabs>
              <w:tab w:val="clear" w:pos="7892"/>
              <w:tab w:val="right" w:pos="9026" w:leader="dot"/>
            </w:tabs>
            <w:rPr/>
          </w:pPr>
          <w:hyperlink w:anchor="__RefHeading___Toc13100038_1280447820">
            <w:r>
              <w:rPr>
                <w:webHidden/>
                <w:rStyle w:val="IndexLink"/>
                <w:rtl w:val="true"/>
              </w:rPr>
              <w:t>الرواية الأولى</w:t>
            </w:r>
            <w:r>
              <w:rPr>
                <w:rStyle w:val="IndexLink"/>
                <w:rtl w:val="true"/>
              </w:rPr>
              <w:tab/>
            </w:r>
            <w:r>
              <w:rPr>
                <w:rStyle w:val="IndexLink"/>
              </w:rPr>
              <w:t>199</w:t>
            </w:r>
          </w:hyperlink>
        </w:p>
        <w:p>
          <w:pPr>
            <w:pStyle w:val="Contents5"/>
            <w:tabs>
              <w:tab w:val="clear" w:pos="7892"/>
              <w:tab w:val="right" w:pos="9026" w:leader="dot"/>
            </w:tabs>
            <w:rPr/>
          </w:pPr>
          <w:hyperlink w:anchor="__RefHeading___Toc13100040_1280447820">
            <w:r>
              <w:rPr>
                <w:webHidden/>
                <w:rStyle w:val="IndexLink"/>
                <w:rtl w:val="true"/>
              </w:rPr>
              <w:t>و الجواب</w:t>
            </w:r>
            <w:r>
              <w:rPr>
                <w:rStyle w:val="IndexLink"/>
                <w:rtl w:val="true"/>
              </w:rPr>
              <w:t>:</w:t>
              <w:tab/>
            </w:r>
            <w:r>
              <w:rPr>
                <w:rStyle w:val="IndexLink"/>
              </w:rPr>
              <w:t>200</w:t>
            </w:r>
          </w:hyperlink>
        </w:p>
        <w:p>
          <w:pPr>
            <w:pStyle w:val="Contents5"/>
            <w:tabs>
              <w:tab w:val="clear" w:pos="7892"/>
              <w:tab w:val="right" w:pos="9026" w:leader="dot"/>
            </w:tabs>
            <w:rPr/>
          </w:pPr>
          <w:hyperlink w:anchor="__RefHeading___Toc13100042_1280447820">
            <w:r>
              <w:rPr>
                <w:webHidden/>
                <w:rStyle w:val="IndexLink"/>
                <w:rtl w:val="true"/>
              </w:rPr>
              <w:t>الثّاني</w:t>
            </w:r>
            <w:r>
              <w:rPr>
                <w:rStyle w:val="IndexLink"/>
                <w:rtl w:val="true"/>
              </w:rPr>
              <w:t>:</w:t>
              <w:tab/>
            </w:r>
            <w:r>
              <w:rPr>
                <w:rStyle w:val="IndexLink"/>
              </w:rPr>
              <w:t>201</w:t>
            </w:r>
          </w:hyperlink>
        </w:p>
        <w:p>
          <w:pPr>
            <w:pStyle w:val="Contents5"/>
            <w:tabs>
              <w:tab w:val="clear" w:pos="7892"/>
              <w:tab w:val="right" w:pos="9026" w:leader="dot"/>
            </w:tabs>
            <w:rPr/>
          </w:pPr>
          <w:hyperlink w:anchor="__RefHeading___Toc13100044_1280447820">
            <w:r>
              <w:rPr>
                <w:webHidden/>
                <w:rStyle w:val="IndexLink"/>
                <w:rtl w:val="true"/>
              </w:rPr>
              <w:t>و الجواب</w:t>
            </w:r>
            <w:r>
              <w:rPr>
                <w:rStyle w:val="IndexLink"/>
                <w:rtl w:val="true"/>
              </w:rPr>
              <w:t>:</w:t>
              <w:tab/>
            </w:r>
            <w:r>
              <w:rPr>
                <w:rStyle w:val="IndexLink"/>
              </w:rPr>
              <w:t>201</w:t>
            </w:r>
          </w:hyperlink>
        </w:p>
        <w:p>
          <w:pPr>
            <w:pStyle w:val="Contents5"/>
            <w:tabs>
              <w:tab w:val="clear" w:pos="7892"/>
              <w:tab w:val="right" w:pos="9026" w:leader="dot"/>
            </w:tabs>
            <w:rPr/>
          </w:pPr>
          <w:hyperlink w:anchor="__RefHeading___Toc13100046_1280447820">
            <w:r>
              <w:rPr>
                <w:webHidden/>
                <w:rStyle w:val="IndexLink"/>
                <w:rtl w:val="true"/>
              </w:rPr>
              <w:t>الرواية الثّانية</w:t>
            </w:r>
            <w:r>
              <w:rPr>
                <w:rStyle w:val="IndexLink"/>
                <w:rtl w:val="true"/>
              </w:rPr>
              <w:tab/>
            </w:r>
            <w:r>
              <w:rPr>
                <w:rStyle w:val="IndexLink"/>
              </w:rPr>
              <w:t>203</w:t>
            </w:r>
          </w:hyperlink>
        </w:p>
        <w:p>
          <w:pPr>
            <w:pStyle w:val="Contents6"/>
            <w:tabs>
              <w:tab w:val="clear" w:pos="7609"/>
              <w:tab w:val="right" w:pos="9026" w:leader="dot"/>
            </w:tabs>
            <w:rPr/>
          </w:pPr>
          <w:hyperlink w:anchor="__RefHeading___Toc13100048_1280447820">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13100050_1280447820">
            <w:r>
              <w:rPr>
                <w:webHidden/>
                <w:rStyle w:val="IndexLink"/>
                <w:rtl w:val="true"/>
              </w:rPr>
              <w:t>الإشكال الأوّل</w:t>
            </w:r>
            <w:r>
              <w:rPr>
                <w:rStyle w:val="IndexLink"/>
                <w:rtl w:val="true"/>
              </w:rPr>
              <w:t>:</w:t>
              <w:tab/>
            </w:r>
            <w:r>
              <w:rPr>
                <w:rStyle w:val="IndexLink"/>
              </w:rPr>
              <w:t>205</w:t>
            </w:r>
          </w:hyperlink>
        </w:p>
        <w:p>
          <w:pPr>
            <w:pStyle w:val="Contents6"/>
            <w:tabs>
              <w:tab w:val="clear" w:pos="7609"/>
              <w:tab w:val="right" w:pos="9026" w:leader="dot"/>
            </w:tabs>
            <w:rPr/>
          </w:pPr>
          <w:hyperlink w:anchor="__RefHeading___Toc13100052_1280447820">
            <w:r>
              <w:rPr>
                <w:webHidden/>
                <w:rStyle w:val="IndexLink"/>
                <w:rtl w:val="true"/>
              </w:rPr>
              <w:t>و الجواب</w:t>
            </w:r>
            <w:r>
              <w:rPr>
                <w:rStyle w:val="IndexLink"/>
                <w:rtl w:val="true"/>
              </w:rPr>
              <w:t>:</w:t>
              <w:tab/>
            </w:r>
            <w:r>
              <w:rPr>
                <w:rStyle w:val="IndexLink"/>
              </w:rPr>
              <w:t>205</w:t>
            </w:r>
          </w:hyperlink>
        </w:p>
        <w:p>
          <w:pPr>
            <w:pStyle w:val="Contents6"/>
            <w:tabs>
              <w:tab w:val="clear" w:pos="7609"/>
              <w:tab w:val="right" w:pos="9026" w:leader="dot"/>
            </w:tabs>
            <w:rPr/>
          </w:pPr>
          <w:hyperlink w:anchor="__RefHeading___Toc13100054_1280447820">
            <w:r>
              <w:rPr>
                <w:webHidden/>
                <w:rStyle w:val="IndexLink"/>
                <w:rtl w:val="true"/>
              </w:rPr>
              <w:t>الإشكال الثّاني</w:t>
            </w:r>
            <w:r>
              <w:rPr>
                <w:rStyle w:val="IndexLink"/>
                <w:rtl w:val="true"/>
              </w:rPr>
              <w:t>:</w:t>
              <w:tab/>
            </w:r>
            <w:r>
              <w:rPr>
                <w:rStyle w:val="IndexLink"/>
              </w:rPr>
              <w:t>205</w:t>
            </w:r>
          </w:hyperlink>
        </w:p>
        <w:p>
          <w:pPr>
            <w:pStyle w:val="Contents6"/>
            <w:tabs>
              <w:tab w:val="clear" w:pos="7609"/>
              <w:tab w:val="right" w:pos="9026" w:leader="dot"/>
            </w:tabs>
            <w:rPr/>
          </w:pPr>
          <w:hyperlink w:anchor="__RefHeading___Toc13100056_1280447820">
            <w:r>
              <w:rPr>
                <w:webHidden/>
                <w:rStyle w:val="IndexLink"/>
                <w:rtl w:val="true"/>
              </w:rPr>
              <w:t>و الجواب عنه</w:t>
            </w:r>
            <w:r>
              <w:rPr>
                <w:rStyle w:val="IndexLink"/>
                <w:rtl w:val="true"/>
              </w:rPr>
              <w:tab/>
            </w:r>
            <w:r>
              <w:rPr>
                <w:rStyle w:val="IndexLink"/>
              </w:rPr>
              <w:t>206</w:t>
            </w:r>
          </w:hyperlink>
        </w:p>
        <w:p>
          <w:pPr>
            <w:pStyle w:val="Contents6"/>
            <w:tabs>
              <w:tab w:val="clear" w:pos="7609"/>
              <w:tab w:val="right" w:pos="9026" w:leader="dot"/>
            </w:tabs>
            <w:rPr/>
          </w:pPr>
          <w:hyperlink w:anchor="__RefHeading___Toc13100058_1280447820">
            <w:r>
              <w:rPr>
                <w:webHidden/>
                <w:rStyle w:val="IndexLink"/>
                <w:rtl w:val="true"/>
              </w:rPr>
              <w:t>الإشكال الثّالث</w:t>
            </w:r>
            <w:r>
              <w:rPr>
                <w:rStyle w:val="IndexLink"/>
                <w:rtl w:val="true"/>
              </w:rPr>
              <w:tab/>
            </w:r>
            <w:r>
              <w:rPr>
                <w:rStyle w:val="IndexLink"/>
              </w:rPr>
              <w:t>206</w:t>
            </w:r>
          </w:hyperlink>
        </w:p>
        <w:p>
          <w:pPr>
            <w:pStyle w:val="Contents6"/>
            <w:tabs>
              <w:tab w:val="clear" w:pos="7609"/>
              <w:tab w:val="right" w:pos="9026" w:leader="dot"/>
            </w:tabs>
            <w:rPr/>
          </w:pPr>
          <w:hyperlink w:anchor="__RefHeading___Toc13100060_1280447820">
            <w:r>
              <w:rPr>
                <w:webHidden/>
                <w:rStyle w:val="IndexLink"/>
                <w:rtl w:val="true"/>
              </w:rPr>
              <w:t>و الجواب</w:t>
            </w:r>
            <w:r>
              <w:rPr>
                <w:rStyle w:val="IndexLink"/>
                <w:rtl w:val="true"/>
              </w:rPr>
              <w:t>:</w:t>
              <w:tab/>
            </w:r>
            <w:r>
              <w:rPr>
                <w:rStyle w:val="IndexLink"/>
              </w:rPr>
              <w:t>207</w:t>
            </w:r>
          </w:hyperlink>
        </w:p>
        <w:p>
          <w:pPr>
            <w:pStyle w:val="Contents5"/>
            <w:tabs>
              <w:tab w:val="clear" w:pos="7892"/>
              <w:tab w:val="right" w:pos="9026" w:leader="dot"/>
            </w:tabs>
            <w:rPr/>
          </w:pPr>
          <w:hyperlink w:anchor="__RefHeading___Toc13100062_1280447820">
            <w:r>
              <w:rPr>
                <w:webHidden/>
                <w:rStyle w:val="IndexLink"/>
                <w:rtl w:val="true"/>
              </w:rPr>
              <w:t>الرواية الثّالثة</w:t>
            </w:r>
            <w:r>
              <w:rPr>
                <w:rStyle w:val="IndexLink"/>
                <w:rtl w:val="true"/>
              </w:rPr>
              <w:tab/>
            </w:r>
            <w:r>
              <w:rPr>
                <w:rStyle w:val="IndexLink"/>
              </w:rPr>
              <w:t>208</w:t>
            </w:r>
          </w:hyperlink>
        </w:p>
        <w:p>
          <w:pPr>
            <w:pStyle w:val="Contents6"/>
            <w:tabs>
              <w:tab w:val="clear" w:pos="7609"/>
              <w:tab w:val="right" w:pos="9026" w:leader="dot"/>
            </w:tabs>
            <w:rPr/>
          </w:pPr>
          <w:hyperlink w:anchor="__RefHeading___Toc13100064_1280447820">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13100066_1280447820">
            <w:r>
              <w:rPr>
                <w:webHidden/>
                <w:rStyle w:val="IndexLink"/>
                <w:rtl w:val="true"/>
              </w:rPr>
              <w:t>النكتة الأولى</w:t>
            </w:r>
            <w:r>
              <w:rPr>
                <w:rStyle w:val="IndexLink"/>
                <w:rtl w:val="true"/>
              </w:rPr>
              <w:t>:</w:t>
              <w:tab/>
            </w:r>
            <w:r>
              <w:rPr>
                <w:rStyle w:val="IndexLink"/>
              </w:rPr>
              <w:t>212</w:t>
            </w:r>
          </w:hyperlink>
        </w:p>
        <w:p>
          <w:pPr>
            <w:pStyle w:val="Contents6"/>
            <w:tabs>
              <w:tab w:val="clear" w:pos="7609"/>
              <w:tab w:val="right" w:pos="9026" w:leader="dot"/>
            </w:tabs>
            <w:rPr/>
          </w:pPr>
          <w:hyperlink w:anchor="__RefHeading___Toc13100068_1280447820">
            <w:r>
              <w:rPr>
                <w:webHidden/>
                <w:rStyle w:val="IndexLink"/>
                <w:rtl w:val="true"/>
              </w:rPr>
              <w:t>النكتة الثّانية</w:t>
            </w:r>
            <w:r>
              <w:rPr>
                <w:rStyle w:val="IndexLink"/>
                <w:rtl w:val="true"/>
              </w:rPr>
              <w:t>:</w:t>
              <w:tab/>
            </w:r>
            <w:r>
              <w:rPr>
                <w:rStyle w:val="IndexLink"/>
              </w:rPr>
              <w:t>213</w:t>
            </w:r>
          </w:hyperlink>
        </w:p>
        <w:p>
          <w:pPr>
            <w:pStyle w:val="Contents5"/>
            <w:tabs>
              <w:tab w:val="clear" w:pos="7892"/>
              <w:tab w:val="right" w:pos="9026" w:leader="dot"/>
            </w:tabs>
            <w:rPr/>
          </w:pPr>
          <w:hyperlink w:anchor="__RefHeading___Toc13100070_1280447820">
            <w:r>
              <w:rPr>
                <w:webHidden/>
                <w:rStyle w:val="IndexLink"/>
                <w:rtl w:val="true"/>
              </w:rPr>
              <w:t>الرواية الرّابعة</w:t>
            </w:r>
            <w:r>
              <w:rPr>
                <w:rStyle w:val="IndexLink"/>
                <w:rtl w:val="true"/>
              </w:rPr>
              <w:tab/>
            </w:r>
            <w:r>
              <w:rPr>
                <w:rStyle w:val="IndexLink"/>
              </w:rPr>
              <w:t>213</w:t>
            </w:r>
          </w:hyperlink>
        </w:p>
        <w:p>
          <w:pPr>
            <w:pStyle w:val="Contents5"/>
            <w:tabs>
              <w:tab w:val="clear" w:pos="7892"/>
              <w:tab w:val="right" w:pos="9026" w:leader="dot"/>
            </w:tabs>
            <w:rPr/>
          </w:pPr>
          <w:hyperlink w:anchor="__RefHeading___Toc13100072_1280447820">
            <w:r>
              <w:rPr>
                <w:webHidden/>
                <w:rStyle w:val="IndexLink"/>
                <w:rtl w:val="true"/>
              </w:rPr>
              <w:t>الرواية الخامسة</w:t>
            </w:r>
            <w:r>
              <w:rPr>
                <w:rStyle w:val="IndexLink"/>
                <w:rtl w:val="true"/>
              </w:rPr>
              <w:tab/>
            </w:r>
            <w:r>
              <w:rPr>
                <w:rStyle w:val="IndexLink"/>
              </w:rPr>
              <w:t>216</w:t>
            </w:r>
          </w:hyperlink>
        </w:p>
        <w:p>
          <w:pPr>
            <w:pStyle w:val="Contents5"/>
            <w:tabs>
              <w:tab w:val="clear" w:pos="7892"/>
              <w:tab w:val="right" w:pos="9026" w:leader="dot"/>
            </w:tabs>
            <w:rPr/>
          </w:pPr>
          <w:hyperlink w:anchor="__RefHeading___Toc13100074_1280447820">
            <w:r>
              <w:rPr>
                <w:webHidden/>
                <w:rStyle w:val="IndexLink"/>
                <w:rtl w:val="true"/>
              </w:rPr>
              <w:t>الرواية السادسة</w:t>
            </w:r>
            <w:r>
              <w:rPr>
                <w:rStyle w:val="IndexLink"/>
                <w:rtl w:val="true"/>
              </w:rPr>
              <w:tab/>
            </w:r>
            <w:r>
              <w:rPr>
                <w:rStyle w:val="IndexLink"/>
              </w:rPr>
              <w:t>219</w:t>
            </w:r>
          </w:hyperlink>
        </w:p>
        <w:p>
          <w:pPr>
            <w:pStyle w:val="Contents6"/>
            <w:tabs>
              <w:tab w:val="clear" w:pos="7609"/>
              <w:tab w:val="right" w:pos="9026" w:leader="dot"/>
            </w:tabs>
            <w:rPr/>
          </w:pPr>
          <w:hyperlink w:anchor="__RefHeading___Toc13100076_1280447820">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13100078_1280447820">
            <w:r>
              <w:rPr>
                <w:webHidden/>
                <w:rStyle w:val="IndexLink"/>
                <w:rtl w:val="true"/>
              </w:rPr>
              <w:t>التقريب الأوّل</w:t>
            </w:r>
            <w:r>
              <w:rPr>
                <w:rStyle w:val="IndexLink"/>
                <w:rtl w:val="true"/>
              </w:rPr>
              <w:t>:</w:t>
              <w:tab/>
            </w:r>
            <w:r>
              <w:rPr>
                <w:rStyle w:val="IndexLink"/>
              </w:rPr>
              <w:t>222</w:t>
            </w:r>
          </w:hyperlink>
        </w:p>
        <w:p>
          <w:pPr>
            <w:pStyle w:val="Contents6"/>
            <w:tabs>
              <w:tab w:val="clear" w:pos="7609"/>
              <w:tab w:val="right" w:pos="9026" w:leader="dot"/>
            </w:tabs>
            <w:rPr/>
          </w:pPr>
          <w:hyperlink w:anchor="__RefHeading___Toc13100080_1280447820">
            <w:r>
              <w:rPr>
                <w:webHidden/>
                <w:rStyle w:val="IndexLink"/>
                <w:rtl w:val="true"/>
              </w:rPr>
              <w:t>التقريب الثّاني</w:t>
            </w:r>
            <w:r>
              <w:rPr>
                <w:rStyle w:val="IndexLink"/>
                <w:rtl w:val="true"/>
              </w:rPr>
              <w:t>:</w:t>
              <w:tab/>
            </w:r>
            <w:r>
              <w:rPr>
                <w:rStyle w:val="IndexLink"/>
              </w:rPr>
              <w:t>222</w:t>
            </w:r>
          </w:hyperlink>
        </w:p>
        <w:p>
          <w:pPr>
            <w:pStyle w:val="Contents5"/>
            <w:tabs>
              <w:tab w:val="clear" w:pos="7892"/>
              <w:tab w:val="right" w:pos="9026" w:leader="dot"/>
            </w:tabs>
            <w:rPr/>
          </w:pPr>
          <w:hyperlink w:anchor="__RefHeading___Toc13100082_1280447820">
            <w:r>
              <w:rPr>
                <w:webHidden/>
                <w:rStyle w:val="IndexLink"/>
                <w:rtl w:val="true"/>
              </w:rPr>
              <w:t>الرواية السابعة</w:t>
            </w:r>
            <w:r>
              <w:rPr>
                <w:rStyle w:val="IndexLink"/>
                <w:rtl w:val="true"/>
              </w:rPr>
              <w:tab/>
            </w:r>
            <w:r>
              <w:rPr>
                <w:rStyle w:val="IndexLink"/>
              </w:rPr>
              <w:t>223</w:t>
            </w:r>
          </w:hyperlink>
        </w:p>
        <w:p>
          <w:pPr>
            <w:pStyle w:val="Contents5"/>
            <w:tabs>
              <w:tab w:val="clear" w:pos="7892"/>
              <w:tab w:val="right" w:pos="9026" w:leader="dot"/>
            </w:tabs>
            <w:rPr/>
          </w:pPr>
          <w:hyperlink w:anchor="__RefHeading___Toc13100084_1280447820">
            <w:r>
              <w:rPr>
                <w:webHidden/>
                <w:rStyle w:val="IndexLink"/>
                <w:rtl w:val="true"/>
              </w:rPr>
              <w:t>الرواية الثّامنة</w:t>
            </w:r>
            <w:r>
              <w:rPr>
                <w:rStyle w:val="IndexLink"/>
                <w:rtl w:val="true"/>
              </w:rPr>
              <w:tab/>
            </w:r>
            <w:r>
              <w:rPr>
                <w:rStyle w:val="IndexLink"/>
              </w:rPr>
              <w:t>224</w:t>
            </w:r>
          </w:hyperlink>
        </w:p>
        <w:p>
          <w:pPr>
            <w:pStyle w:val="Contents6"/>
            <w:tabs>
              <w:tab w:val="clear" w:pos="7609"/>
              <w:tab w:val="right" w:pos="9026" w:leader="dot"/>
            </w:tabs>
            <w:rPr/>
          </w:pPr>
          <w:hyperlink w:anchor="__RefHeading___Toc13100086_1280447820">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13100088_1280447820">
            <w:r>
              <w:rPr>
                <w:webHidden/>
                <w:rStyle w:val="IndexLink"/>
                <w:rtl w:val="true"/>
              </w:rPr>
              <w:t>الإشكال الأوّل</w:t>
            </w:r>
            <w:r>
              <w:rPr>
                <w:rStyle w:val="IndexLink"/>
                <w:rtl w:val="true"/>
              </w:rPr>
              <w:t>:</w:t>
              <w:tab/>
            </w:r>
            <w:r>
              <w:rPr>
                <w:rStyle w:val="IndexLink"/>
              </w:rPr>
              <w:t>227</w:t>
            </w:r>
          </w:hyperlink>
        </w:p>
        <w:p>
          <w:pPr>
            <w:pStyle w:val="Contents6"/>
            <w:tabs>
              <w:tab w:val="clear" w:pos="7609"/>
              <w:tab w:val="right" w:pos="9026" w:leader="dot"/>
            </w:tabs>
            <w:rPr/>
          </w:pPr>
          <w:hyperlink w:anchor="__RefHeading___Toc13100090_1280447820">
            <w:r>
              <w:rPr>
                <w:webHidden/>
                <w:rStyle w:val="IndexLink"/>
                <w:rtl w:val="true"/>
              </w:rPr>
              <w:t>و الجواب</w:t>
            </w:r>
            <w:r>
              <w:rPr>
                <w:rStyle w:val="IndexLink"/>
                <w:rtl w:val="true"/>
              </w:rPr>
              <w:t>:</w:t>
              <w:tab/>
            </w:r>
            <w:r>
              <w:rPr>
                <w:rStyle w:val="IndexLink"/>
              </w:rPr>
              <w:t>227</w:t>
            </w:r>
          </w:hyperlink>
        </w:p>
        <w:p>
          <w:pPr>
            <w:pStyle w:val="Contents6"/>
            <w:tabs>
              <w:tab w:val="clear" w:pos="7609"/>
              <w:tab w:val="right" w:pos="9026" w:leader="dot"/>
            </w:tabs>
            <w:rPr/>
          </w:pPr>
          <w:hyperlink w:anchor="__RefHeading___Toc13100092_1280447820">
            <w:r>
              <w:rPr>
                <w:webHidden/>
                <w:rStyle w:val="IndexLink"/>
                <w:rtl w:val="true"/>
              </w:rPr>
              <w:t>الإشكال الثّاني</w:t>
            </w:r>
            <w:r>
              <w:rPr>
                <w:rStyle w:val="IndexLink"/>
                <w:rtl w:val="true"/>
              </w:rPr>
              <w:t>:</w:t>
              <w:tab/>
            </w:r>
            <w:r>
              <w:rPr>
                <w:rStyle w:val="IndexLink"/>
              </w:rPr>
              <w:t>227</w:t>
            </w:r>
          </w:hyperlink>
        </w:p>
        <w:p>
          <w:pPr>
            <w:pStyle w:val="Contents6"/>
            <w:tabs>
              <w:tab w:val="clear" w:pos="7609"/>
              <w:tab w:val="right" w:pos="9026" w:leader="dot"/>
            </w:tabs>
            <w:rPr/>
          </w:pPr>
          <w:hyperlink w:anchor="__RefHeading___Toc13100094_1280447820">
            <w:r>
              <w:rPr>
                <w:webHidden/>
                <w:rStyle w:val="IndexLink"/>
                <w:rtl w:val="true"/>
              </w:rPr>
              <w:t>و الجواب</w:t>
            </w:r>
            <w:r>
              <w:rPr>
                <w:rStyle w:val="IndexLink"/>
                <w:rtl w:val="true"/>
              </w:rPr>
              <w:t>:</w:t>
              <w:tab/>
            </w:r>
            <w:r>
              <w:rPr>
                <w:rStyle w:val="IndexLink"/>
              </w:rPr>
              <w:t>227</w:t>
            </w:r>
          </w:hyperlink>
        </w:p>
        <w:p>
          <w:pPr>
            <w:pStyle w:val="Contents5"/>
            <w:tabs>
              <w:tab w:val="clear" w:pos="7892"/>
              <w:tab w:val="right" w:pos="9026" w:leader="dot"/>
            </w:tabs>
            <w:rPr/>
          </w:pPr>
          <w:hyperlink w:anchor="__RefHeading___Toc13100096_1280447820">
            <w:r>
              <w:rPr>
                <w:webHidden/>
                <w:rStyle w:val="IndexLink"/>
                <w:rtl w:val="true"/>
              </w:rPr>
              <w:t>الرواية التّاسعة</w:t>
            </w:r>
            <w:r>
              <w:rPr>
                <w:rStyle w:val="IndexLink"/>
                <w:rtl w:val="true"/>
              </w:rPr>
              <w:tab/>
            </w:r>
            <w:r>
              <w:rPr>
                <w:rStyle w:val="IndexLink"/>
              </w:rPr>
              <w:t>228</w:t>
            </w:r>
          </w:hyperlink>
        </w:p>
        <w:p>
          <w:pPr>
            <w:pStyle w:val="Contents5"/>
            <w:tabs>
              <w:tab w:val="clear" w:pos="7892"/>
              <w:tab w:val="right" w:pos="9026" w:leader="dot"/>
            </w:tabs>
            <w:rPr/>
          </w:pPr>
          <w:hyperlink w:anchor="__RefHeading___Toc13100098_1280447820">
            <w:r>
              <w:rPr>
                <w:webHidden/>
                <w:rStyle w:val="IndexLink"/>
                <w:rtl w:val="true"/>
              </w:rPr>
              <w:t>الرواية العاشرة</w:t>
            </w:r>
            <w:r>
              <w:rPr>
                <w:rStyle w:val="IndexLink"/>
                <w:rtl w:val="true"/>
              </w:rPr>
              <w:tab/>
            </w:r>
            <w:r>
              <w:rPr>
                <w:rStyle w:val="IndexLink"/>
              </w:rPr>
              <w:t>230</w:t>
            </w:r>
          </w:hyperlink>
        </w:p>
        <w:p>
          <w:pPr>
            <w:pStyle w:val="Contents5"/>
            <w:tabs>
              <w:tab w:val="clear" w:pos="7892"/>
              <w:tab w:val="right" w:pos="9026" w:leader="dot"/>
            </w:tabs>
            <w:rPr/>
          </w:pPr>
          <w:hyperlink w:anchor="__RefHeading___Toc13100100_1280447820">
            <w:r>
              <w:rPr>
                <w:webHidden/>
                <w:rStyle w:val="IndexLink"/>
                <w:rtl w:val="true"/>
              </w:rPr>
              <w:t>الرواية الحادي عشرة</w:t>
            </w:r>
            <w:r>
              <w:rPr>
                <w:rStyle w:val="IndexLink"/>
                <w:rtl w:val="true"/>
              </w:rPr>
              <w:tab/>
            </w:r>
            <w:r>
              <w:rPr>
                <w:rStyle w:val="IndexLink"/>
              </w:rPr>
              <w:t>233</w:t>
            </w:r>
          </w:hyperlink>
        </w:p>
        <w:p>
          <w:pPr>
            <w:pStyle w:val="Contents6"/>
            <w:tabs>
              <w:tab w:val="clear" w:pos="7609"/>
              <w:tab w:val="right" w:pos="9026" w:leader="dot"/>
            </w:tabs>
            <w:rPr/>
          </w:pPr>
          <w:hyperlink w:anchor="__RefHeading___Toc13100102_1280447820">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13100104_1280447820">
            <w:r>
              <w:rPr>
                <w:webHidden/>
                <w:rStyle w:val="IndexLink"/>
                <w:rtl w:val="true"/>
              </w:rPr>
              <w:t>الأوّل</w:t>
            </w:r>
            <w:r>
              <w:rPr>
                <w:rStyle w:val="IndexLink"/>
                <w:rtl w:val="true"/>
              </w:rPr>
              <w:t>:</w:t>
              <w:tab/>
            </w:r>
            <w:r>
              <w:rPr>
                <w:rStyle w:val="IndexLink"/>
              </w:rPr>
              <w:t>234</w:t>
            </w:r>
          </w:hyperlink>
        </w:p>
        <w:p>
          <w:pPr>
            <w:pStyle w:val="Contents6"/>
            <w:tabs>
              <w:tab w:val="clear" w:pos="7609"/>
              <w:tab w:val="right" w:pos="9026" w:leader="dot"/>
            </w:tabs>
            <w:rPr/>
          </w:pPr>
          <w:hyperlink w:anchor="__RefHeading___Toc13100106_1280447820">
            <w:r>
              <w:rPr>
                <w:webHidden/>
                <w:rStyle w:val="IndexLink"/>
                <w:rtl w:val="true"/>
              </w:rPr>
              <w:t>الثّاني</w:t>
            </w:r>
            <w:r>
              <w:rPr>
                <w:rStyle w:val="IndexLink"/>
                <w:rtl w:val="true"/>
              </w:rPr>
              <w:t>:</w:t>
              <w:tab/>
            </w:r>
            <w:r>
              <w:rPr>
                <w:rStyle w:val="IndexLink"/>
              </w:rPr>
              <w:t>234</w:t>
            </w:r>
          </w:hyperlink>
        </w:p>
        <w:p>
          <w:pPr>
            <w:pStyle w:val="Contents5"/>
            <w:tabs>
              <w:tab w:val="clear" w:pos="7892"/>
              <w:tab w:val="right" w:pos="9026" w:leader="dot"/>
            </w:tabs>
            <w:rPr/>
          </w:pPr>
          <w:hyperlink w:anchor="__RefHeading___Toc13100108_1280447820">
            <w:r>
              <w:rPr>
                <w:webHidden/>
                <w:rStyle w:val="IndexLink"/>
                <w:rtl w:val="true"/>
              </w:rPr>
              <w:t>الرواية الثّانية عشرة</w:t>
            </w:r>
            <w:r>
              <w:rPr>
                <w:rStyle w:val="IndexLink"/>
                <w:rtl w:val="true"/>
              </w:rPr>
              <w:tab/>
            </w:r>
            <w:r>
              <w:rPr>
                <w:rStyle w:val="IndexLink"/>
              </w:rPr>
              <w:t>238</w:t>
            </w:r>
          </w:hyperlink>
        </w:p>
        <w:p>
          <w:pPr>
            <w:pStyle w:val="Contents6"/>
            <w:tabs>
              <w:tab w:val="clear" w:pos="7609"/>
              <w:tab w:val="right" w:pos="9026" w:leader="dot"/>
            </w:tabs>
            <w:rPr/>
          </w:pPr>
          <w:hyperlink w:anchor="__RefHeading___Toc13100110_1280447820">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13100112_1280447820">
            <w:r>
              <w:rPr>
                <w:webHidden/>
                <w:rStyle w:val="IndexLink"/>
                <w:rtl w:val="true"/>
              </w:rPr>
              <w:t>الكلمة الأولى</w:t>
            </w:r>
            <w:r>
              <w:rPr>
                <w:rStyle w:val="IndexLink"/>
                <w:rtl w:val="true"/>
              </w:rPr>
              <w:t>:</w:t>
              <w:tab/>
            </w:r>
            <w:r>
              <w:rPr>
                <w:rStyle w:val="IndexLink"/>
              </w:rPr>
              <w:t>239</w:t>
            </w:r>
          </w:hyperlink>
        </w:p>
        <w:p>
          <w:pPr>
            <w:pStyle w:val="Contents6"/>
            <w:tabs>
              <w:tab w:val="clear" w:pos="7609"/>
              <w:tab w:val="right" w:pos="9026" w:leader="dot"/>
            </w:tabs>
            <w:rPr/>
          </w:pPr>
          <w:hyperlink w:anchor="__RefHeading___Toc13100114_1280447820">
            <w:r>
              <w:rPr>
                <w:webHidden/>
                <w:rStyle w:val="IndexLink"/>
                <w:rtl w:val="true"/>
              </w:rPr>
              <w:t>و الجواب</w:t>
            </w:r>
            <w:r>
              <w:rPr>
                <w:rStyle w:val="IndexLink"/>
                <w:rtl w:val="true"/>
              </w:rPr>
              <w:t>:</w:t>
              <w:tab/>
            </w:r>
            <w:r>
              <w:rPr>
                <w:rStyle w:val="IndexLink"/>
              </w:rPr>
              <w:t>239</w:t>
            </w:r>
          </w:hyperlink>
        </w:p>
        <w:p>
          <w:pPr>
            <w:pStyle w:val="Contents6"/>
            <w:tabs>
              <w:tab w:val="clear" w:pos="7609"/>
              <w:tab w:val="right" w:pos="9026" w:leader="dot"/>
            </w:tabs>
            <w:rPr/>
          </w:pPr>
          <w:hyperlink w:anchor="__RefHeading___Toc13100116_1280447820">
            <w:r>
              <w:rPr>
                <w:webHidden/>
                <w:rStyle w:val="IndexLink"/>
                <w:rtl w:val="true"/>
              </w:rPr>
              <w:t>و الكلمة الثّانية</w:t>
            </w:r>
            <w:r>
              <w:rPr>
                <w:rStyle w:val="IndexLink"/>
                <w:rtl w:val="true"/>
              </w:rPr>
              <w:t>:</w:t>
              <w:tab/>
            </w:r>
            <w:r>
              <w:rPr>
                <w:rStyle w:val="IndexLink"/>
              </w:rPr>
              <w:t>239</w:t>
            </w:r>
          </w:hyperlink>
        </w:p>
        <w:p>
          <w:pPr>
            <w:pStyle w:val="Contents5"/>
            <w:tabs>
              <w:tab w:val="clear" w:pos="7892"/>
              <w:tab w:val="right" w:pos="9026" w:leader="dot"/>
            </w:tabs>
            <w:rPr/>
          </w:pPr>
          <w:hyperlink w:anchor="__RefHeading___Toc13100118_1280447820">
            <w:r>
              <w:rPr>
                <w:webHidden/>
                <w:rStyle w:val="IndexLink"/>
                <w:rtl w:val="true"/>
              </w:rPr>
              <w:t>الرواية الثّالث عشرة</w:t>
            </w:r>
            <w:r>
              <w:rPr>
                <w:rStyle w:val="IndexLink"/>
                <w:rtl w:val="true"/>
              </w:rPr>
              <w:tab/>
            </w:r>
            <w:r>
              <w:rPr>
                <w:rStyle w:val="IndexLink"/>
              </w:rPr>
              <w:t>240</w:t>
            </w:r>
          </w:hyperlink>
        </w:p>
        <w:p>
          <w:pPr>
            <w:pStyle w:val="Contents5"/>
            <w:tabs>
              <w:tab w:val="clear" w:pos="7892"/>
              <w:tab w:val="right" w:pos="9026" w:leader="dot"/>
            </w:tabs>
            <w:rPr/>
          </w:pPr>
          <w:hyperlink w:anchor="__RefHeading___Toc13100120_1280447820">
            <w:r>
              <w:rPr>
                <w:webHidden/>
                <w:rStyle w:val="IndexLink"/>
                <w:rtl w:val="true"/>
              </w:rPr>
              <w:t>تتميمٌفي الروايات النافية ثبوت الولاية للفقيه</w:t>
            </w:r>
            <w:r>
              <w:rPr>
                <w:rStyle w:val="IndexLink"/>
                <w:rtl w:val="true"/>
              </w:rPr>
              <w:tab/>
            </w:r>
            <w:r>
              <w:rPr>
                <w:rStyle w:val="IndexLink"/>
              </w:rPr>
              <w:t>244</w:t>
            </w:r>
          </w:hyperlink>
        </w:p>
        <w:p>
          <w:pPr>
            <w:pStyle w:val="Contents6"/>
            <w:tabs>
              <w:tab w:val="clear" w:pos="7609"/>
              <w:tab w:val="right" w:pos="9026" w:leader="dot"/>
            </w:tabs>
            <w:rPr/>
          </w:pPr>
          <w:hyperlink w:anchor="__RefHeading___Toc13100122_1280447820">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13100124_1280447820">
            <w:r>
              <w:rPr>
                <w:webHidden/>
                <w:rStyle w:val="IndexLink"/>
                <w:rtl w:val="true"/>
              </w:rPr>
              <w:t>النكتة الأولى</w:t>
            </w:r>
            <w:r>
              <w:rPr>
                <w:rStyle w:val="IndexLink"/>
                <w:rtl w:val="true"/>
              </w:rPr>
              <w:t>:</w:t>
              <w:tab/>
            </w:r>
            <w:r>
              <w:rPr>
                <w:rStyle w:val="IndexLink"/>
              </w:rPr>
              <w:t>245</w:t>
            </w:r>
          </w:hyperlink>
        </w:p>
        <w:p>
          <w:pPr>
            <w:pStyle w:val="Contents6"/>
            <w:tabs>
              <w:tab w:val="clear" w:pos="7609"/>
              <w:tab w:val="right" w:pos="9026" w:leader="dot"/>
            </w:tabs>
            <w:rPr/>
          </w:pPr>
          <w:hyperlink w:anchor="__RefHeading___Toc13100126_1280447820">
            <w:r>
              <w:rPr>
                <w:webHidden/>
                <w:rStyle w:val="IndexLink"/>
                <w:rtl w:val="true"/>
              </w:rPr>
              <w:t>النكتة الثّانية</w:t>
            </w:r>
            <w:r>
              <w:rPr>
                <w:rStyle w:val="IndexLink"/>
                <w:rtl w:val="true"/>
              </w:rPr>
              <w:t>:</w:t>
              <w:tab/>
            </w:r>
            <w:r>
              <w:rPr>
                <w:rStyle w:val="IndexLink"/>
              </w:rPr>
              <w:t>245</w:t>
            </w:r>
          </w:hyperlink>
        </w:p>
        <w:p>
          <w:pPr>
            <w:pStyle w:val="Contents6"/>
            <w:tabs>
              <w:tab w:val="clear" w:pos="7609"/>
              <w:tab w:val="right" w:pos="9026" w:leader="dot"/>
            </w:tabs>
            <w:rPr/>
          </w:pPr>
          <w:hyperlink w:anchor="__RefHeading___Toc13100128_1280447820">
            <w:r>
              <w:rPr>
                <w:webHidden/>
                <w:rStyle w:val="IndexLink"/>
                <w:rtl w:val="true"/>
              </w:rPr>
              <w:t>النكتة الثّالثة</w:t>
            </w:r>
            <w:r>
              <w:rPr>
                <w:rStyle w:val="IndexLink"/>
                <w:rtl w:val="true"/>
              </w:rPr>
              <w:t>:</w:t>
              <w:tab/>
            </w:r>
            <w:r>
              <w:rPr>
                <w:rStyle w:val="IndexLink"/>
              </w:rPr>
              <w:t>245</w:t>
            </w:r>
          </w:hyperlink>
        </w:p>
        <w:p>
          <w:pPr>
            <w:pStyle w:val="Contents6"/>
            <w:tabs>
              <w:tab w:val="clear" w:pos="7609"/>
              <w:tab w:val="right" w:pos="9026" w:leader="dot"/>
            </w:tabs>
            <w:rPr/>
          </w:pPr>
          <w:hyperlink w:anchor="__RefHeading___Toc13100130_1280447820">
            <w:r>
              <w:rPr>
                <w:webHidden/>
                <w:rStyle w:val="IndexLink"/>
                <w:rtl w:val="true"/>
              </w:rPr>
              <w:t>النكتة الرّابعة</w:t>
            </w:r>
            <w:r>
              <w:rPr>
                <w:rStyle w:val="IndexLink"/>
                <w:rtl w:val="true"/>
              </w:rPr>
              <w:t>:</w:t>
              <w:tab/>
            </w:r>
            <w:r>
              <w:rPr>
                <w:rStyle w:val="IndexLink"/>
              </w:rPr>
              <w:t>246</w:t>
            </w:r>
          </w:hyperlink>
        </w:p>
        <w:p>
          <w:pPr>
            <w:pStyle w:val="Contents6"/>
            <w:tabs>
              <w:tab w:val="clear" w:pos="7609"/>
              <w:tab w:val="right" w:pos="9026" w:leader="dot"/>
            </w:tabs>
            <w:rPr/>
          </w:pPr>
          <w:hyperlink w:anchor="__RefHeading___Toc13100132_1280447820">
            <w:r>
              <w:rPr>
                <w:webHidden/>
                <w:rStyle w:val="IndexLink"/>
                <w:rtl w:val="true"/>
              </w:rPr>
              <w:t>النكتة الخامسة</w:t>
            </w:r>
            <w:r>
              <w:rPr>
                <w:rStyle w:val="IndexLink"/>
                <w:rtl w:val="true"/>
              </w:rPr>
              <w:t>:</w:t>
              <w:tab/>
            </w:r>
            <w:r>
              <w:rPr>
                <w:rStyle w:val="IndexLink"/>
              </w:rPr>
              <w:t>246</w:t>
            </w:r>
          </w:hyperlink>
        </w:p>
        <w:p>
          <w:pPr>
            <w:pStyle w:val="Contents6"/>
            <w:tabs>
              <w:tab w:val="clear" w:pos="7609"/>
              <w:tab w:val="right" w:pos="9026" w:leader="dot"/>
            </w:tabs>
            <w:rPr/>
          </w:pPr>
          <w:hyperlink w:anchor="__RefHeading___Toc13100134_1280447820">
            <w:r>
              <w:rPr>
                <w:webHidden/>
                <w:rStyle w:val="IndexLink"/>
                <w:rtl w:val="true"/>
              </w:rPr>
              <w:t>النكتة السادسة</w:t>
            </w:r>
            <w:r>
              <w:rPr>
                <w:rStyle w:val="IndexLink"/>
                <w:rtl w:val="true"/>
              </w:rPr>
              <w:t>:</w:t>
              <w:tab/>
            </w:r>
            <w:r>
              <w:rPr>
                <w:rStyle w:val="IndexLink"/>
              </w:rPr>
              <w:t>248</w:t>
            </w:r>
          </w:hyperlink>
        </w:p>
        <w:p>
          <w:pPr>
            <w:pStyle w:val="Contents3"/>
            <w:tabs>
              <w:tab w:val="clear" w:pos="8459"/>
              <w:tab w:val="right" w:pos="9026" w:leader="dot"/>
            </w:tabs>
            <w:rPr/>
          </w:pPr>
          <w:hyperlink w:anchor="__RefHeading___Toc13100136_1280447820">
            <w:r>
              <w:rPr>
                <w:webHidden/>
                <w:rStyle w:val="IndexLink"/>
                <w:rtl w:val="true"/>
              </w:rPr>
              <w:t>الفصل الثّالث الشرائط العامّة لمن يصلح للولاية</w:t>
            </w:r>
            <w:r>
              <w:rPr>
                <w:rStyle w:val="IndexLink"/>
                <w:rtl w:val="true"/>
              </w:rPr>
              <w:tab/>
            </w:r>
            <w:r>
              <w:rPr>
                <w:rStyle w:val="IndexLink"/>
              </w:rPr>
              <w:t>252</w:t>
            </w:r>
          </w:hyperlink>
        </w:p>
        <w:p>
          <w:pPr>
            <w:pStyle w:val="Contents4"/>
            <w:tabs>
              <w:tab w:val="clear" w:pos="8176"/>
              <w:tab w:val="right" w:pos="9026" w:leader="dot"/>
            </w:tabs>
            <w:rPr/>
          </w:pPr>
          <w:hyperlink w:anchor="__RefHeading___Toc13100138_1280447820">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13100140_1280447820">
            <w:r>
              <w:rPr>
                <w:webHidden/>
                <w:rStyle w:val="IndexLink"/>
                <w:rtl w:val="true"/>
              </w:rPr>
              <w:t>نكات حول هذا الشرائط</w:t>
            </w:r>
            <w:r>
              <w:rPr>
                <w:rStyle w:val="IndexLink"/>
                <w:rtl w:val="true"/>
              </w:rPr>
              <w:tab/>
            </w:r>
            <w:r>
              <w:rPr>
                <w:rStyle w:val="IndexLink"/>
              </w:rPr>
              <w:t>254</w:t>
            </w:r>
          </w:hyperlink>
        </w:p>
        <w:p>
          <w:pPr>
            <w:pStyle w:val="Contents5"/>
            <w:tabs>
              <w:tab w:val="clear" w:pos="7892"/>
              <w:tab w:val="right" w:pos="9026" w:leader="dot"/>
            </w:tabs>
            <w:rPr/>
          </w:pPr>
          <w:hyperlink w:anchor="__RefHeading___Toc13100142_1280447820">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13100144_1280447820">
            <w:r>
              <w:rPr>
                <w:webHidden/>
                <w:rStyle w:val="IndexLink"/>
                <w:rtl w:val="true"/>
              </w:rPr>
              <w:t>النكتة الأولى</w:t>
            </w:r>
            <w:r>
              <w:rPr>
                <w:rStyle w:val="IndexLink"/>
                <w:rtl w:val="true"/>
              </w:rPr>
              <w:t>:</w:t>
              <w:tab/>
            </w:r>
            <w:r>
              <w:rPr>
                <w:rStyle w:val="IndexLink"/>
              </w:rPr>
              <w:t>254</w:t>
            </w:r>
          </w:hyperlink>
        </w:p>
        <w:p>
          <w:pPr>
            <w:pStyle w:val="Contents5"/>
            <w:tabs>
              <w:tab w:val="clear" w:pos="7892"/>
              <w:tab w:val="right" w:pos="9026" w:leader="dot"/>
            </w:tabs>
            <w:rPr/>
          </w:pPr>
          <w:hyperlink w:anchor="__RefHeading___Toc13100146_1280447820">
            <w:r>
              <w:rPr>
                <w:webHidden/>
                <w:rStyle w:val="IndexLink"/>
                <w:rtl w:val="true"/>
              </w:rPr>
              <w:t>النكتة الثّانية</w:t>
            </w:r>
            <w:r>
              <w:rPr>
                <w:rStyle w:val="IndexLink"/>
                <w:rtl w:val="true"/>
              </w:rPr>
              <w:t>:</w:t>
              <w:tab/>
            </w:r>
            <w:r>
              <w:rPr>
                <w:rStyle w:val="IndexLink"/>
              </w:rPr>
              <w:t>255</w:t>
            </w:r>
          </w:hyperlink>
        </w:p>
        <w:p>
          <w:pPr>
            <w:pStyle w:val="Contents5"/>
            <w:tabs>
              <w:tab w:val="clear" w:pos="7892"/>
              <w:tab w:val="right" w:pos="9026" w:leader="dot"/>
            </w:tabs>
            <w:rPr/>
          </w:pPr>
          <w:hyperlink w:anchor="__RefHeading___Toc13100148_1280447820">
            <w:r>
              <w:rPr>
                <w:webHidden/>
                <w:rStyle w:val="IndexLink"/>
                <w:rtl w:val="true"/>
              </w:rPr>
              <w:t>النكتة الثّالثة</w:t>
            </w:r>
            <w:r>
              <w:rPr>
                <w:rStyle w:val="IndexLink"/>
                <w:rtl w:val="true"/>
              </w:rPr>
              <w:t>:</w:t>
              <w:tab/>
            </w:r>
            <w:r>
              <w:rPr>
                <w:rStyle w:val="IndexLink"/>
              </w:rPr>
              <w:t>255</w:t>
            </w:r>
          </w:hyperlink>
        </w:p>
        <w:p>
          <w:pPr>
            <w:pStyle w:val="Contents5"/>
            <w:tabs>
              <w:tab w:val="clear" w:pos="7892"/>
              <w:tab w:val="right" w:pos="9026" w:leader="dot"/>
            </w:tabs>
            <w:rPr/>
          </w:pPr>
          <w:hyperlink w:anchor="__RefHeading___Toc13100150_1280447820">
            <w:r>
              <w:rPr>
                <w:webHidden/>
                <w:rStyle w:val="IndexLink"/>
                <w:rtl w:val="true"/>
              </w:rPr>
              <w:t>النكتة الرّابعة</w:t>
            </w:r>
            <w:r>
              <w:rPr>
                <w:rStyle w:val="IndexLink"/>
                <w:rtl w:val="true"/>
              </w:rPr>
              <w:t>:</w:t>
              <w:tab/>
            </w:r>
            <w:r>
              <w:rPr>
                <w:rStyle w:val="IndexLink"/>
              </w:rPr>
              <w:t>255</w:t>
            </w:r>
          </w:hyperlink>
        </w:p>
        <w:p>
          <w:pPr>
            <w:pStyle w:val="Contents5"/>
            <w:tabs>
              <w:tab w:val="clear" w:pos="7892"/>
              <w:tab w:val="right" w:pos="9026" w:leader="dot"/>
            </w:tabs>
            <w:rPr/>
          </w:pPr>
          <w:hyperlink w:anchor="__RefHeading___Toc13100152_1280447820">
            <w:r>
              <w:rPr>
                <w:webHidden/>
                <w:rStyle w:val="IndexLink"/>
                <w:rtl w:val="true"/>
              </w:rPr>
              <w:t>النكتة الخامسة</w:t>
            </w:r>
            <w:r>
              <w:rPr>
                <w:rStyle w:val="IndexLink"/>
                <w:rtl w:val="true"/>
              </w:rPr>
              <w:t>:</w:t>
              <w:tab/>
            </w:r>
            <w:r>
              <w:rPr>
                <w:rStyle w:val="IndexLink"/>
              </w:rPr>
              <w:t>255</w:t>
            </w:r>
          </w:hyperlink>
        </w:p>
        <w:p>
          <w:pPr>
            <w:pStyle w:val="Contents4"/>
            <w:tabs>
              <w:tab w:val="clear" w:pos="8176"/>
              <w:tab w:val="right" w:pos="9026" w:leader="dot"/>
            </w:tabs>
            <w:rPr/>
          </w:pPr>
          <w:hyperlink w:anchor="__RefHeading___Toc13100154_1280447820">
            <w:r>
              <w:rPr>
                <w:webHidden/>
                <w:rStyle w:val="IndexLink"/>
                <w:rtl w:val="true"/>
              </w:rPr>
              <w:t>الشرط الأوّل</w:t>
            </w:r>
            <w:r>
              <w:rPr>
                <w:rStyle w:val="IndexLink"/>
                <w:rtl w:val="true"/>
              </w:rPr>
              <w:t xml:space="preserve">: </w:t>
            </w:r>
            <w:r>
              <w:rPr>
                <w:rStyle w:val="IndexLink"/>
                <w:rtl w:val="true"/>
              </w:rPr>
              <w:t>الإسلام</w:t>
            </w:r>
            <w:r>
              <w:rPr>
                <w:rStyle w:val="IndexLink"/>
                <w:rtl w:val="true"/>
              </w:rPr>
              <w:tab/>
            </w:r>
            <w:r>
              <w:rPr>
                <w:rStyle w:val="IndexLink"/>
              </w:rPr>
              <w:t>256</w:t>
            </w:r>
          </w:hyperlink>
        </w:p>
        <w:p>
          <w:pPr>
            <w:pStyle w:val="Contents4"/>
            <w:tabs>
              <w:tab w:val="clear" w:pos="8176"/>
              <w:tab w:val="right" w:pos="9026" w:leader="dot"/>
            </w:tabs>
            <w:rPr/>
          </w:pPr>
          <w:hyperlink w:anchor="__RefHeading___Toc13100156_1280447820">
            <w:r>
              <w:rPr>
                <w:webHidden/>
                <w:rStyle w:val="IndexLink"/>
                <w:rtl w:val="true"/>
              </w:rPr>
              <w:t>الشرط الثّاني التشيّع</w:t>
            </w:r>
            <w:r>
              <w:rPr>
                <w:rStyle w:val="IndexLink"/>
                <w:rtl w:val="true"/>
              </w:rPr>
              <w:tab/>
            </w:r>
            <w:r>
              <w:rPr>
                <w:rStyle w:val="IndexLink"/>
              </w:rPr>
              <w:t>257</w:t>
            </w:r>
          </w:hyperlink>
        </w:p>
        <w:p>
          <w:pPr>
            <w:pStyle w:val="Contents4"/>
            <w:tabs>
              <w:tab w:val="clear" w:pos="8176"/>
              <w:tab w:val="right" w:pos="9026" w:leader="dot"/>
            </w:tabs>
            <w:rPr/>
          </w:pPr>
          <w:hyperlink w:anchor="__RefHeading___Toc13100158_1280447820">
            <w:r>
              <w:rPr>
                <w:webHidden/>
                <w:rStyle w:val="IndexLink"/>
                <w:rtl w:val="true"/>
              </w:rPr>
              <w:t>الشرط الثّالث</w:t>
            </w:r>
            <w:r>
              <w:rPr>
                <w:rStyle w:val="IndexLink"/>
                <w:rtl w:val="true"/>
              </w:rPr>
              <w:t xml:space="preserve">: </w:t>
            </w:r>
            <w:r>
              <w:rPr>
                <w:rStyle w:val="IndexLink"/>
                <w:rtl w:val="true"/>
              </w:rPr>
              <w:t>الإجتهاد</w:t>
            </w:r>
            <w:r>
              <w:rPr>
                <w:rStyle w:val="IndexLink"/>
                <w:rtl w:val="true"/>
              </w:rPr>
              <w:tab/>
            </w:r>
            <w:r>
              <w:rPr>
                <w:rStyle w:val="IndexLink"/>
              </w:rPr>
              <w:t>258</w:t>
            </w:r>
          </w:hyperlink>
        </w:p>
        <w:p>
          <w:pPr>
            <w:pStyle w:val="Contents5"/>
            <w:tabs>
              <w:tab w:val="clear" w:pos="7892"/>
              <w:tab w:val="right" w:pos="9026" w:leader="dot"/>
            </w:tabs>
            <w:rPr/>
          </w:pPr>
          <w:hyperlink w:anchor="__RefHeading___Toc13100160_1280447820">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13100162_1280447820">
            <w:r>
              <w:rPr>
                <w:webHidden/>
                <w:rStyle w:val="IndexLink"/>
                <w:rtl w:val="true"/>
              </w:rPr>
              <w:t>تذييلٌهل الأعلميّة شرط فى الولىّ؟</w:t>
            </w:r>
            <w:r>
              <w:rPr>
                <w:rStyle w:val="IndexLink"/>
                <w:rtl w:val="true"/>
              </w:rPr>
              <w:tab/>
            </w:r>
            <w:r>
              <w:rPr>
                <w:rStyle w:val="IndexLink"/>
              </w:rPr>
              <w:t>259</w:t>
            </w:r>
          </w:hyperlink>
        </w:p>
        <w:p>
          <w:pPr>
            <w:pStyle w:val="Contents6"/>
            <w:tabs>
              <w:tab w:val="clear" w:pos="7609"/>
              <w:tab w:val="right" w:pos="9026" w:leader="dot"/>
            </w:tabs>
            <w:rPr/>
          </w:pPr>
          <w:hyperlink w:anchor="__RefHeading___Toc13100164_1280447820">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13100166_1280447820">
            <w:r>
              <w:rPr>
                <w:webHidden/>
                <w:rStyle w:val="IndexLink"/>
                <w:rtl w:val="true"/>
              </w:rPr>
              <w:t>أوّلاً</w:t>
            </w:r>
            <w:r>
              <w:rPr>
                <w:rStyle w:val="IndexLink"/>
                <w:rtl w:val="true"/>
              </w:rPr>
              <w:t xml:space="preserve">: </w:t>
            </w:r>
            <w:r>
              <w:rPr>
                <w:rStyle w:val="IndexLink"/>
                <w:rtl w:val="true"/>
              </w:rPr>
              <w:t>الاستدلال بالعقل على لزوم الأفقهيّة في الوليّ‌</w:t>
            </w:r>
            <w:r>
              <w:rPr>
                <w:rStyle w:val="IndexLink"/>
                <w:rtl w:val="true"/>
              </w:rPr>
              <w:tab/>
            </w:r>
            <w:r>
              <w:rPr>
                <w:rStyle w:val="IndexLink"/>
              </w:rPr>
              <w:t>263</w:t>
            </w:r>
          </w:hyperlink>
        </w:p>
        <w:p>
          <w:pPr>
            <w:pStyle w:val="Contents6"/>
            <w:tabs>
              <w:tab w:val="clear" w:pos="7609"/>
              <w:tab w:val="right" w:pos="9026" w:leader="dot"/>
            </w:tabs>
            <w:rPr/>
          </w:pPr>
          <w:hyperlink w:anchor="__RefHeading___Toc13100168_1280447820">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13100170_1280447820">
            <w:r>
              <w:rPr>
                <w:webHidden/>
                <w:rStyle w:val="IndexLink"/>
                <w:rtl w:val="true"/>
              </w:rPr>
              <w:t>و الجواب</w:t>
            </w:r>
            <w:r>
              <w:rPr>
                <w:rStyle w:val="IndexLink"/>
                <w:rtl w:val="true"/>
              </w:rPr>
              <w:t>:</w:t>
              <w:tab/>
            </w:r>
            <w:r>
              <w:rPr>
                <w:rStyle w:val="IndexLink"/>
              </w:rPr>
              <w:t>263</w:t>
            </w:r>
          </w:hyperlink>
        </w:p>
        <w:p>
          <w:pPr>
            <w:pStyle w:val="Contents6"/>
            <w:tabs>
              <w:tab w:val="clear" w:pos="7609"/>
              <w:tab w:val="right" w:pos="9026" w:leader="dot"/>
            </w:tabs>
            <w:rPr/>
          </w:pPr>
          <w:hyperlink w:anchor="__RefHeading___Toc13100172_1280447820">
            <w:r>
              <w:rPr>
                <w:webHidden/>
                <w:rStyle w:val="IndexLink"/>
                <w:rtl w:val="true"/>
              </w:rPr>
              <w:t>ثانياً</w:t>
            </w:r>
            <w:r>
              <w:rPr>
                <w:rStyle w:val="IndexLink"/>
                <w:rtl w:val="true"/>
              </w:rPr>
              <w:t xml:space="preserve">: </w:t>
            </w:r>
            <w:r>
              <w:rPr>
                <w:rStyle w:val="IndexLink"/>
                <w:rtl w:val="true"/>
              </w:rPr>
              <w:t>الاستدلال بالروايات على لزوم الأفقهيّة في الوليّ‌</w:t>
            </w:r>
            <w:r>
              <w:rPr>
                <w:rStyle w:val="IndexLink"/>
                <w:rtl w:val="true"/>
              </w:rPr>
              <w:tab/>
            </w:r>
            <w:r>
              <w:rPr>
                <w:rStyle w:val="IndexLink"/>
              </w:rPr>
              <w:t>264</w:t>
            </w:r>
          </w:hyperlink>
        </w:p>
        <w:p>
          <w:pPr>
            <w:pStyle w:val="Contents6"/>
            <w:tabs>
              <w:tab w:val="clear" w:pos="7609"/>
              <w:tab w:val="right" w:pos="9026" w:leader="dot"/>
            </w:tabs>
            <w:rPr/>
          </w:pPr>
          <w:hyperlink w:anchor="__RefHeading___Toc13100174_1280447820">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13100176_1280447820">
            <w:r>
              <w:rPr>
                <w:webHidden/>
                <w:rStyle w:val="IndexLink"/>
                <w:rtl w:val="true"/>
              </w:rPr>
              <w:t>الرواية الأولى</w:t>
            </w:r>
            <w:r>
              <w:rPr>
                <w:rStyle w:val="IndexLink"/>
                <w:rtl w:val="true"/>
              </w:rPr>
              <w:tab/>
            </w:r>
            <w:r>
              <w:rPr>
                <w:rStyle w:val="IndexLink"/>
              </w:rPr>
              <w:t>264</w:t>
            </w:r>
          </w:hyperlink>
        </w:p>
        <w:p>
          <w:pPr>
            <w:pStyle w:val="Contents6"/>
            <w:tabs>
              <w:tab w:val="clear" w:pos="7609"/>
              <w:tab w:val="right" w:pos="9026" w:leader="dot"/>
            </w:tabs>
            <w:rPr/>
          </w:pPr>
          <w:hyperlink w:anchor="__RefHeading___Toc13100178_1280447820">
            <w:r>
              <w:rPr>
                <w:webHidden/>
                <w:rStyle w:val="IndexLink"/>
                <w:rtl w:val="true"/>
              </w:rPr>
              <w:t>الرواية الثّانية</w:t>
            </w:r>
            <w:r>
              <w:rPr>
                <w:rStyle w:val="IndexLink"/>
                <w:rtl w:val="true"/>
              </w:rPr>
              <w:tab/>
            </w:r>
            <w:r>
              <w:rPr>
                <w:rStyle w:val="IndexLink"/>
              </w:rPr>
              <w:t>266</w:t>
            </w:r>
          </w:hyperlink>
        </w:p>
        <w:p>
          <w:pPr>
            <w:pStyle w:val="Contents6"/>
            <w:tabs>
              <w:tab w:val="clear" w:pos="7609"/>
              <w:tab w:val="right" w:pos="9026" w:leader="dot"/>
            </w:tabs>
            <w:rPr/>
          </w:pPr>
          <w:hyperlink w:anchor="__RefHeading___Toc13100180_1280447820">
            <w:r>
              <w:rPr>
                <w:webHidden/>
                <w:rStyle w:val="IndexLink"/>
                <w:rtl w:val="true"/>
              </w:rPr>
              <w:t>الرواية الثّالثة</w:t>
            </w:r>
            <w:r>
              <w:rPr>
                <w:rStyle w:val="IndexLink"/>
                <w:rtl w:val="true"/>
              </w:rPr>
              <w:tab/>
            </w:r>
            <w:r>
              <w:rPr>
                <w:rStyle w:val="IndexLink"/>
              </w:rPr>
              <w:t>267</w:t>
            </w:r>
          </w:hyperlink>
        </w:p>
        <w:p>
          <w:pPr>
            <w:pStyle w:val="Contents6"/>
            <w:tabs>
              <w:tab w:val="clear" w:pos="7609"/>
              <w:tab w:val="right" w:pos="9026" w:leader="dot"/>
            </w:tabs>
            <w:rPr/>
          </w:pPr>
          <w:hyperlink w:anchor="__RefHeading___Toc13100182_1280447820">
            <w:r>
              <w:rPr>
                <w:webHidden/>
                <w:rStyle w:val="IndexLink"/>
                <w:rtl w:val="true"/>
              </w:rPr>
              <w:t>الرواية الرّابعة</w:t>
            </w:r>
            <w:r>
              <w:rPr>
                <w:rStyle w:val="IndexLink"/>
                <w:rtl w:val="true"/>
              </w:rPr>
              <w:tab/>
            </w:r>
            <w:r>
              <w:rPr>
                <w:rStyle w:val="IndexLink"/>
              </w:rPr>
              <w:t>270</w:t>
            </w:r>
          </w:hyperlink>
        </w:p>
        <w:p>
          <w:pPr>
            <w:pStyle w:val="Contents6"/>
            <w:tabs>
              <w:tab w:val="clear" w:pos="7609"/>
              <w:tab w:val="right" w:pos="9026" w:leader="dot"/>
            </w:tabs>
            <w:rPr/>
          </w:pPr>
          <w:hyperlink w:anchor="__RefHeading___Toc13100184_1280447820">
            <w:r>
              <w:rPr>
                <w:webHidden/>
                <w:rStyle w:val="IndexLink"/>
                <w:rtl w:val="true"/>
              </w:rPr>
              <w:t>الرواية الخامسة</w:t>
            </w:r>
            <w:r>
              <w:rPr>
                <w:rStyle w:val="IndexLink"/>
                <w:rtl w:val="true"/>
              </w:rPr>
              <w:tab/>
            </w:r>
            <w:r>
              <w:rPr>
                <w:rStyle w:val="IndexLink"/>
              </w:rPr>
              <w:t>271</w:t>
            </w:r>
          </w:hyperlink>
        </w:p>
        <w:p>
          <w:pPr>
            <w:pStyle w:val="Contents6"/>
            <w:tabs>
              <w:tab w:val="clear" w:pos="7609"/>
              <w:tab w:val="right" w:pos="9026" w:leader="dot"/>
            </w:tabs>
            <w:rPr/>
          </w:pPr>
          <w:hyperlink w:anchor="__RefHeading___Toc13100186_1280447820">
            <w:r>
              <w:rPr>
                <w:webHidden/>
                <w:rStyle w:val="IndexLink"/>
                <w:rtl w:val="true"/>
              </w:rPr>
              <w:t>الرواية السادسة</w:t>
            </w:r>
            <w:r>
              <w:rPr>
                <w:rStyle w:val="IndexLink"/>
                <w:rtl w:val="true"/>
              </w:rPr>
              <w:tab/>
            </w:r>
            <w:r>
              <w:rPr>
                <w:rStyle w:val="IndexLink"/>
              </w:rPr>
              <w:t>272</w:t>
            </w:r>
          </w:hyperlink>
        </w:p>
        <w:p>
          <w:pPr>
            <w:pStyle w:val="Contents6"/>
            <w:tabs>
              <w:tab w:val="clear" w:pos="7609"/>
              <w:tab w:val="right" w:pos="9026" w:leader="dot"/>
            </w:tabs>
            <w:rPr/>
          </w:pPr>
          <w:hyperlink w:anchor="__RefHeading___Toc13100188_1280447820">
            <w:r>
              <w:rPr>
                <w:webHidden/>
                <w:rStyle w:val="IndexLink"/>
                <w:rtl w:val="true"/>
              </w:rPr>
              <w:t>الرواية السابعة</w:t>
            </w:r>
            <w:r>
              <w:rPr>
                <w:rStyle w:val="IndexLink"/>
                <w:rtl w:val="true"/>
              </w:rPr>
              <w:tab/>
            </w:r>
            <w:r>
              <w:rPr>
                <w:rStyle w:val="IndexLink"/>
              </w:rPr>
              <w:t>273</w:t>
            </w:r>
          </w:hyperlink>
        </w:p>
        <w:p>
          <w:pPr>
            <w:pStyle w:val="Contents6"/>
            <w:tabs>
              <w:tab w:val="clear" w:pos="7609"/>
              <w:tab w:val="right" w:pos="9026" w:leader="dot"/>
            </w:tabs>
            <w:rPr/>
          </w:pPr>
          <w:hyperlink w:anchor="__RefHeading___Toc13100190_1280447820">
            <w:r>
              <w:rPr>
                <w:webHidden/>
                <w:rStyle w:val="IndexLink"/>
                <w:rtl w:val="true"/>
              </w:rPr>
              <w:t>الرواية الثّامنة</w:t>
            </w:r>
            <w:r>
              <w:rPr>
                <w:rStyle w:val="IndexLink"/>
                <w:rtl w:val="true"/>
              </w:rPr>
              <w:tab/>
            </w:r>
            <w:r>
              <w:rPr>
                <w:rStyle w:val="IndexLink"/>
              </w:rPr>
              <w:t>274</w:t>
            </w:r>
          </w:hyperlink>
        </w:p>
        <w:p>
          <w:pPr>
            <w:pStyle w:val="Contents4"/>
            <w:tabs>
              <w:tab w:val="clear" w:pos="8176"/>
              <w:tab w:val="right" w:pos="9026" w:leader="dot"/>
            </w:tabs>
            <w:rPr/>
          </w:pPr>
          <w:hyperlink w:anchor="__RefHeading___Toc13100192_1280447820">
            <w:r>
              <w:rPr>
                <w:webHidden/>
                <w:rStyle w:val="IndexLink"/>
                <w:rtl w:val="true"/>
              </w:rPr>
              <w:t>الشرط الرّابع</w:t>
            </w:r>
            <w:r>
              <w:rPr>
                <w:rStyle w:val="IndexLink"/>
                <w:rtl w:val="true"/>
              </w:rPr>
              <w:t xml:space="preserve">: </w:t>
            </w:r>
            <w:r>
              <w:rPr>
                <w:rStyle w:val="IndexLink"/>
                <w:rtl w:val="true"/>
              </w:rPr>
              <w:t>الأعلميّة في دقائق السلطة</w:t>
            </w:r>
            <w:r>
              <w:rPr>
                <w:rStyle w:val="IndexLink"/>
                <w:rtl w:val="true"/>
              </w:rPr>
              <w:tab/>
            </w:r>
            <w:r>
              <w:rPr>
                <w:rStyle w:val="IndexLink"/>
              </w:rPr>
              <w:t>277</w:t>
            </w:r>
          </w:hyperlink>
        </w:p>
        <w:p>
          <w:pPr>
            <w:pStyle w:val="Contents4"/>
            <w:tabs>
              <w:tab w:val="clear" w:pos="8176"/>
              <w:tab w:val="right" w:pos="9026" w:leader="dot"/>
            </w:tabs>
            <w:rPr/>
          </w:pPr>
          <w:hyperlink w:anchor="__RefHeading___Toc13100194_1280447820">
            <w:r>
              <w:rPr>
                <w:webHidden/>
                <w:rStyle w:val="IndexLink"/>
                <w:rtl w:val="true"/>
              </w:rPr>
              <w:t>الشرط الخامس</w:t>
            </w:r>
            <w:r>
              <w:rPr>
                <w:rStyle w:val="IndexLink"/>
                <w:rtl w:val="true"/>
              </w:rPr>
              <w:t xml:space="preserve">: </w:t>
            </w:r>
            <w:r>
              <w:rPr>
                <w:rStyle w:val="IndexLink"/>
                <w:rtl w:val="true"/>
              </w:rPr>
              <w:t>العدالة</w:t>
            </w:r>
            <w:r>
              <w:rPr>
                <w:rStyle w:val="IndexLink"/>
                <w:rtl w:val="true"/>
              </w:rPr>
              <w:tab/>
            </w:r>
            <w:r>
              <w:rPr>
                <w:rStyle w:val="IndexLink"/>
              </w:rPr>
              <w:t>278</w:t>
            </w:r>
          </w:hyperlink>
        </w:p>
        <w:p>
          <w:pPr>
            <w:pStyle w:val="Contents5"/>
            <w:tabs>
              <w:tab w:val="clear" w:pos="7892"/>
              <w:tab w:val="right" w:pos="9026" w:leader="dot"/>
            </w:tabs>
            <w:rPr/>
          </w:pPr>
          <w:hyperlink w:anchor="__RefHeading___Toc13100196_1280447820">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13100198_1280447820">
            <w:r>
              <w:rPr>
                <w:webHidden/>
                <w:rStyle w:val="IndexLink"/>
                <w:rtl w:val="true"/>
              </w:rPr>
              <w:t>النكتة الأولى</w:t>
            </w:r>
            <w:r>
              <w:rPr>
                <w:rStyle w:val="IndexLink"/>
                <w:rtl w:val="true"/>
              </w:rPr>
              <w:t xml:space="preserve">: </w:t>
            </w:r>
            <w:r>
              <w:rPr>
                <w:rStyle w:val="IndexLink"/>
                <w:rtl w:val="true"/>
              </w:rPr>
              <w:t>في تعريفها</w:t>
            </w:r>
            <w:r>
              <w:rPr>
                <w:rStyle w:val="IndexLink"/>
                <w:rtl w:val="true"/>
              </w:rPr>
              <w:t>.</w:t>
              <w:tab/>
            </w:r>
            <w:r>
              <w:rPr>
                <w:rStyle w:val="IndexLink"/>
              </w:rPr>
              <w:t>278</w:t>
            </w:r>
          </w:hyperlink>
        </w:p>
        <w:p>
          <w:pPr>
            <w:pStyle w:val="Contents5"/>
            <w:tabs>
              <w:tab w:val="clear" w:pos="7892"/>
              <w:tab w:val="right" w:pos="9026" w:leader="dot"/>
            </w:tabs>
            <w:rPr/>
          </w:pPr>
          <w:hyperlink w:anchor="__RefHeading___Toc13100200_1280447820">
            <w:r>
              <w:rPr>
                <w:webHidden/>
                <w:rStyle w:val="IndexLink"/>
                <w:rtl w:val="true"/>
              </w:rPr>
              <w:t>النكتة الثّانية</w:t>
            </w:r>
            <w:r>
              <w:rPr>
                <w:rStyle w:val="IndexLink"/>
                <w:rtl w:val="true"/>
              </w:rPr>
              <w:t xml:space="preserve">: </w:t>
            </w:r>
            <w:r>
              <w:rPr>
                <w:rStyle w:val="IndexLink"/>
                <w:rtl w:val="true"/>
              </w:rPr>
              <w:t>في تأكيد الشريعة عليها</w:t>
            </w:r>
            <w:r>
              <w:rPr>
                <w:rStyle w:val="IndexLink"/>
                <w:rtl w:val="true"/>
              </w:rPr>
              <w:t>.</w:t>
              <w:tab/>
            </w:r>
            <w:r>
              <w:rPr>
                <w:rStyle w:val="IndexLink"/>
              </w:rPr>
              <w:t>278</w:t>
            </w:r>
          </w:hyperlink>
        </w:p>
        <w:p>
          <w:pPr>
            <w:pStyle w:val="Contents5"/>
            <w:tabs>
              <w:tab w:val="clear" w:pos="7892"/>
              <w:tab w:val="right" w:pos="9026" w:leader="dot"/>
            </w:tabs>
            <w:rPr/>
          </w:pPr>
          <w:hyperlink w:anchor="__RefHeading___Toc13100202_1280447820">
            <w:r>
              <w:rPr>
                <w:webHidden/>
                <w:rStyle w:val="IndexLink"/>
                <w:rtl w:val="true"/>
              </w:rPr>
              <w:t>النكتة الثّالثة</w:t>
            </w:r>
            <w:r>
              <w:rPr>
                <w:rStyle w:val="IndexLink"/>
                <w:rtl w:val="true"/>
              </w:rPr>
              <w:t xml:space="preserve">: </w:t>
            </w:r>
            <w:r>
              <w:rPr>
                <w:rStyle w:val="IndexLink"/>
                <w:rtl w:val="true"/>
              </w:rPr>
              <w:t>في أنّها من الملكات أو من الأفعال</w:t>
            </w:r>
            <w:r>
              <w:rPr>
                <w:rStyle w:val="IndexLink"/>
                <w:rtl w:val="true"/>
              </w:rPr>
              <w:t>.</w:t>
              <w:tab/>
            </w:r>
            <w:r>
              <w:rPr>
                <w:rStyle w:val="IndexLink"/>
              </w:rPr>
              <w:t>278</w:t>
            </w:r>
          </w:hyperlink>
        </w:p>
        <w:p>
          <w:pPr>
            <w:pStyle w:val="Contents6"/>
            <w:tabs>
              <w:tab w:val="clear" w:pos="7609"/>
              <w:tab w:val="right" w:pos="9026" w:leader="dot"/>
            </w:tabs>
            <w:rPr/>
          </w:pPr>
          <w:hyperlink w:anchor="__RefHeading___Toc13100204_1280447820">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13100206_1280447820">
            <w:r>
              <w:rPr>
                <w:webHidden/>
                <w:rStyle w:val="IndexLink"/>
                <w:rtl w:val="true"/>
              </w:rPr>
              <w:t>أوّلاً</w:t>
            </w:r>
            <w:r>
              <w:rPr>
                <w:rStyle w:val="IndexLink"/>
                <w:rtl w:val="true"/>
              </w:rPr>
              <w:t xml:space="preserve">: </w:t>
            </w:r>
            <w:r>
              <w:rPr>
                <w:rStyle w:val="IndexLink"/>
                <w:rtl w:val="true"/>
              </w:rPr>
              <w:t>العقل</w:t>
            </w:r>
            <w:r>
              <w:rPr>
                <w:rStyle w:val="IndexLink"/>
                <w:rtl w:val="true"/>
              </w:rPr>
              <w:tab/>
            </w:r>
            <w:r>
              <w:rPr>
                <w:rStyle w:val="IndexLink"/>
              </w:rPr>
              <w:t>281</w:t>
            </w:r>
          </w:hyperlink>
        </w:p>
        <w:p>
          <w:pPr>
            <w:pStyle w:val="Contents6"/>
            <w:tabs>
              <w:tab w:val="clear" w:pos="7609"/>
              <w:tab w:val="right" w:pos="9026" w:leader="dot"/>
            </w:tabs>
            <w:rPr/>
          </w:pPr>
          <w:hyperlink w:anchor="__RefHeading___Toc13100208_1280447820">
            <w:r>
              <w:rPr>
                <w:webHidden/>
                <w:rStyle w:val="IndexLink"/>
                <w:rtl w:val="true"/>
              </w:rPr>
              <w:t>ثانياً</w:t>
            </w:r>
            <w:r>
              <w:rPr>
                <w:rStyle w:val="IndexLink"/>
                <w:rtl w:val="true"/>
              </w:rPr>
              <w:t xml:space="preserve">: </w:t>
            </w:r>
            <w:r>
              <w:rPr>
                <w:rStyle w:val="IndexLink"/>
                <w:rtl w:val="true"/>
              </w:rPr>
              <w:t>الإجماع</w:t>
            </w:r>
            <w:r>
              <w:rPr>
                <w:rStyle w:val="IndexLink"/>
                <w:rtl w:val="true"/>
              </w:rPr>
              <w:tab/>
            </w:r>
            <w:r>
              <w:rPr>
                <w:rStyle w:val="IndexLink"/>
              </w:rPr>
              <w:t>281</w:t>
            </w:r>
          </w:hyperlink>
        </w:p>
        <w:p>
          <w:pPr>
            <w:pStyle w:val="Contents6"/>
            <w:tabs>
              <w:tab w:val="clear" w:pos="7609"/>
              <w:tab w:val="right" w:pos="9026" w:leader="dot"/>
            </w:tabs>
            <w:rPr/>
          </w:pPr>
          <w:hyperlink w:anchor="__RefHeading___Toc13100210_1280447820">
            <w:r>
              <w:rPr>
                <w:webHidden/>
                <w:rStyle w:val="IndexLink"/>
                <w:rtl w:val="true"/>
              </w:rPr>
              <w:t>ثالثاً</w:t>
            </w:r>
            <w:r>
              <w:rPr>
                <w:rStyle w:val="IndexLink"/>
                <w:rtl w:val="true"/>
              </w:rPr>
              <w:t xml:space="preserve">: </w:t>
            </w:r>
            <w:r>
              <w:rPr>
                <w:rStyle w:val="IndexLink"/>
                <w:rtl w:val="true"/>
              </w:rPr>
              <w:t>الكتاب</w:t>
            </w:r>
            <w:r>
              <w:rPr>
                <w:rStyle w:val="IndexLink"/>
                <w:rtl w:val="true"/>
              </w:rPr>
              <w:tab/>
            </w:r>
            <w:r>
              <w:rPr>
                <w:rStyle w:val="IndexLink"/>
              </w:rPr>
              <w:t>282</w:t>
            </w:r>
          </w:hyperlink>
        </w:p>
        <w:p>
          <w:pPr>
            <w:pStyle w:val="Contents6"/>
            <w:tabs>
              <w:tab w:val="clear" w:pos="7609"/>
              <w:tab w:val="right" w:pos="9026" w:leader="dot"/>
            </w:tabs>
            <w:rPr/>
          </w:pPr>
          <w:hyperlink w:anchor="__RefHeading___Toc13100212_1280447820">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13100214_1280447820">
            <w:r>
              <w:rPr>
                <w:webHidden/>
                <w:rStyle w:val="IndexLink"/>
                <w:rtl w:val="true"/>
              </w:rPr>
              <w:t>الآية الأولى</w:t>
            </w:r>
            <w:r>
              <w:rPr>
                <w:rStyle w:val="IndexLink"/>
                <w:rtl w:val="true"/>
              </w:rPr>
              <w:tab/>
            </w:r>
            <w:r>
              <w:rPr>
                <w:rStyle w:val="IndexLink"/>
              </w:rPr>
              <w:t>282</w:t>
            </w:r>
          </w:hyperlink>
        </w:p>
        <w:p>
          <w:pPr>
            <w:pStyle w:val="Contents6"/>
            <w:tabs>
              <w:tab w:val="clear" w:pos="7609"/>
              <w:tab w:val="right" w:pos="9026" w:leader="dot"/>
            </w:tabs>
            <w:rPr/>
          </w:pPr>
          <w:hyperlink w:anchor="__RefHeading___Toc13100216_1280447820">
            <w:r>
              <w:rPr>
                <w:webHidden/>
                <w:rStyle w:val="IndexLink"/>
                <w:rtl w:val="true"/>
              </w:rPr>
              <w:t>الآية الثّانية</w:t>
            </w:r>
            <w:r>
              <w:rPr>
                <w:rStyle w:val="IndexLink"/>
                <w:rtl w:val="true"/>
              </w:rPr>
              <w:tab/>
            </w:r>
            <w:r>
              <w:rPr>
                <w:rStyle w:val="IndexLink"/>
              </w:rPr>
              <w:t>283</w:t>
            </w:r>
          </w:hyperlink>
        </w:p>
        <w:p>
          <w:pPr>
            <w:pStyle w:val="Contents6"/>
            <w:tabs>
              <w:tab w:val="clear" w:pos="7609"/>
              <w:tab w:val="right" w:pos="9026" w:leader="dot"/>
            </w:tabs>
            <w:rPr/>
          </w:pPr>
          <w:hyperlink w:anchor="__RefHeading___Toc13100218_1280447820">
            <w:r>
              <w:rPr>
                <w:webHidden/>
                <w:rStyle w:val="IndexLink"/>
                <w:rtl w:val="true"/>
              </w:rPr>
              <w:t>الآية الثّالثة</w:t>
            </w:r>
            <w:r>
              <w:rPr>
                <w:rStyle w:val="IndexLink"/>
                <w:rtl w:val="true"/>
              </w:rPr>
              <w:tab/>
            </w:r>
            <w:r>
              <w:rPr>
                <w:rStyle w:val="IndexLink"/>
              </w:rPr>
              <w:t>283</w:t>
            </w:r>
          </w:hyperlink>
        </w:p>
        <w:p>
          <w:pPr>
            <w:pStyle w:val="Contents6"/>
            <w:tabs>
              <w:tab w:val="clear" w:pos="7609"/>
              <w:tab w:val="right" w:pos="9026" w:leader="dot"/>
            </w:tabs>
            <w:rPr/>
          </w:pPr>
          <w:hyperlink w:anchor="__RefHeading___Toc13100220_1280447820">
            <w:r>
              <w:rPr>
                <w:webHidden/>
                <w:rStyle w:val="IndexLink"/>
                <w:rtl w:val="true"/>
              </w:rPr>
              <w:t>الآية الرّابعة</w:t>
            </w:r>
            <w:r>
              <w:rPr>
                <w:rStyle w:val="IndexLink"/>
                <w:rtl w:val="true"/>
              </w:rPr>
              <w:tab/>
            </w:r>
            <w:r>
              <w:rPr>
                <w:rStyle w:val="IndexLink"/>
              </w:rPr>
              <w:t>284</w:t>
            </w:r>
          </w:hyperlink>
        </w:p>
        <w:p>
          <w:pPr>
            <w:pStyle w:val="Contents6"/>
            <w:tabs>
              <w:tab w:val="clear" w:pos="7609"/>
              <w:tab w:val="right" w:pos="9026" w:leader="dot"/>
            </w:tabs>
            <w:rPr/>
          </w:pPr>
          <w:hyperlink w:anchor="__RefHeading___Toc13100222_1280447820">
            <w:r>
              <w:rPr>
                <w:webHidden/>
                <w:rStyle w:val="IndexLink"/>
                <w:rtl w:val="true"/>
              </w:rPr>
              <w:t>رابعاً</w:t>
            </w:r>
            <w:r>
              <w:rPr>
                <w:rStyle w:val="IndexLink"/>
                <w:rtl w:val="true"/>
              </w:rPr>
              <w:t xml:space="preserve">: </w:t>
            </w:r>
            <w:r>
              <w:rPr>
                <w:rStyle w:val="IndexLink"/>
                <w:rtl w:val="true"/>
              </w:rPr>
              <w:t>السنّة</w:t>
            </w:r>
            <w:r>
              <w:rPr>
                <w:rStyle w:val="IndexLink"/>
                <w:rtl w:val="true"/>
              </w:rPr>
              <w:tab/>
            </w:r>
            <w:r>
              <w:rPr>
                <w:rStyle w:val="IndexLink"/>
              </w:rPr>
              <w:t>285</w:t>
            </w:r>
          </w:hyperlink>
        </w:p>
        <w:p>
          <w:pPr>
            <w:pStyle w:val="Contents6"/>
            <w:tabs>
              <w:tab w:val="clear" w:pos="7609"/>
              <w:tab w:val="right" w:pos="9026" w:leader="dot"/>
            </w:tabs>
            <w:rPr/>
          </w:pPr>
          <w:hyperlink w:anchor="__RefHeading___Toc13100224_1280447820">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13100226_1280447820">
            <w:r>
              <w:rPr>
                <w:webHidden/>
                <w:rStyle w:val="IndexLink"/>
                <w:rtl w:val="true"/>
              </w:rPr>
              <w:t>الرواية الأوّلى</w:t>
            </w:r>
            <w:r>
              <w:rPr>
                <w:rStyle w:val="IndexLink"/>
                <w:rtl w:val="true"/>
              </w:rPr>
              <w:tab/>
            </w:r>
            <w:r>
              <w:rPr>
                <w:rStyle w:val="IndexLink"/>
              </w:rPr>
              <w:t>285</w:t>
            </w:r>
          </w:hyperlink>
        </w:p>
        <w:p>
          <w:pPr>
            <w:pStyle w:val="Contents6"/>
            <w:tabs>
              <w:tab w:val="clear" w:pos="7609"/>
              <w:tab w:val="right" w:pos="9026" w:leader="dot"/>
            </w:tabs>
            <w:rPr/>
          </w:pPr>
          <w:hyperlink w:anchor="__RefHeading___Toc13100228_1280447820">
            <w:r>
              <w:rPr>
                <w:webHidden/>
                <w:rStyle w:val="IndexLink"/>
                <w:rtl w:val="true"/>
              </w:rPr>
              <w:t>الرواية الثّانية</w:t>
            </w:r>
            <w:r>
              <w:rPr>
                <w:rStyle w:val="IndexLink"/>
                <w:rtl w:val="true"/>
              </w:rPr>
              <w:tab/>
            </w:r>
            <w:r>
              <w:rPr>
                <w:rStyle w:val="IndexLink"/>
              </w:rPr>
              <w:t>286</w:t>
            </w:r>
          </w:hyperlink>
        </w:p>
        <w:p>
          <w:pPr>
            <w:pStyle w:val="Contents6"/>
            <w:tabs>
              <w:tab w:val="clear" w:pos="7609"/>
              <w:tab w:val="right" w:pos="9026" w:leader="dot"/>
            </w:tabs>
            <w:rPr/>
          </w:pPr>
          <w:hyperlink w:anchor="__RefHeading___Toc13100230_1280447820">
            <w:r>
              <w:rPr>
                <w:webHidden/>
                <w:rStyle w:val="IndexLink"/>
                <w:rtl w:val="true"/>
              </w:rPr>
              <w:t>الرواية الثّالثة</w:t>
            </w:r>
            <w:r>
              <w:rPr>
                <w:rStyle w:val="IndexLink"/>
                <w:rtl w:val="true"/>
              </w:rPr>
              <w:tab/>
            </w:r>
            <w:r>
              <w:rPr>
                <w:rStyle w:val="IndexLink"/>
              </w:rPr>
              <w:t>287</w:t>
            </w:r>
          </w:hyperlink>
        </w:p>
        <w:p>
          <w:pPr>
            <w:pStyle w:val="Contents6"/>
            <w:tabs>
              <w:tab w:val="clear" w:pos="7609"/>
              <w:tab w:val="right" w:pos="9026" w:leader="dot"/>
            </w:tabs>
            <w:rPr/>
          </w:pPr>
          <w:hyperlink w:anchor="__RefHeading___Toc13100232_1280447820">
            <w:r>
              <w:rPr>
                <w:webHidden/>
                <w:rStyle w:val="IndexLink"/>
                <w:rtl w:val="true"/>
              </w:rPr>
              <w:t>الرواية الرّابعة</w:t>
            </w:r>
            <w:r>
              <w:rPr>
                <w:rStyle w:val="IndexLink"/>
                <w:rtl w:val="true"/>
              </w:rPr>
              <w:tab/>
            </w:r>
            <w:r>
              <w:rPr>
                <w:rStyle w:val="IndexLink"/>
              </w:rPr>
              <w:t>288</w:t>
            </w:r>
          </w:hyperlink>
        </w:p>
        <w:p>
          <w:pPr>
            <w:pStyle w:val="Contents6"/>
            <w:tabs>
              <w:tab w:val="clear" w:pos="7609"/>
              <w:tab w:val="right" w:pos="9026" w:leader="dot"/>
            </w:tabs>
            <w:rPr/>
          </w:pPr>
          <w:hyperlink w:anchor="__RefHeading___Toc13100234_1280447820">
            <w:r>
              <w:rPr>
                <w:webHidden/>
                <w:rStyle w:val="IndexLink"/>
                <w:rtl w:val="true"/>
              </w:rPr>
              <w:t>الرواية الخامسة</w:t>
            </w:r>
            <w:r>
              <w:rPr>
                <w:rStyle w:val="IndexLink"/>
                <w:rtl w:val="true"/>
              </w:rPr>
              <w:tab/>
            </w:r>
            <w:r>
              <w:rPr>
                <w:rStyle w:val="IndexLink"/>
              </w:rPr>
              <w:t>288</w:t>
            </w:r>
          </w:hyperlink>
        </w:p>
        <w:p>
          <w:pPr>
            <w:pStyle w:val="Contents4"/>
            <w:tabs>
              <w:tab w:val="clear" w:pos="8176"/>
              <w:tab w:val="right" w:pos="9026" w:leader="dot"/>
            </w:tabs>
            <w:rPr/>
          </w:pPr>
          <w:hyperlink w:anchor="__RefHeading___Toc13100236_1280447820">
            <w:r>
              <w:rPr>
                <w:webHidden/>
                <w:rStyle w:val="IndexLink"/>
                <w:rtl w:val="true"/>
              </w:rPr>
              <w:t>الشرط السّادس</w:t>
            </w:r>
            <w:r>
              <w:rPr>
                <w:rStyle w:val="IndexLink"/>
                <w:rtl w:val="true"/>
              </w:rPr>
              <w:t xml:space="preserve">: </w:t>
            </w:r>
            <w:r>
              <w:rPr>
                <w:rStyle w:val="IndexLink"/>
                <w:rtl w:val="true"/>
              </w:rPr>
              <w:t>الطهارة الروحيّة</w:t>
            </w:r>
            <w:r>
              <w:rPr>
                <w:rStyle w:val="IndexLink"/>
                <w:rtl w:val="true"/>
              </w:rPr>
              <w:tab/>
            </w:r>
            <w:r>
              <w:rPr>
                <w:rStyle w:val="IndexLink"/>
              </w:rPr>
              <w:t>290</w:t>
            </w:r>
          </w:hyperlink>
        </w:p>
        <w:p>
          <w:pPr>
            <w:pStyle w:val="Contents5"/>
            <w:tabs>
              <w:tab w:val="clear" w:pos="7892"/>
              <w:tab w:val="right" w:pos="9026" w:leader="dot"/>
            </w:tabs>
            <w:rPr/>
          </w:pPr>
          <w:hyperlink w:anchor="__RefHeading___Toc13100238_1280447820">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13100240_1280447820">
            <w:r>
              <w:rPr>
                <w:webHidden/>
                <w:rStyle w:val="IndexLink"/>
                <w:rtl w:val="true"/>
              </w:rPr>
              <w:t>الرواية الأولى</w:t>
            </w:r>
            <w:r>
              <w:rPr>
                <w:rStyle w:val="IndexLink"/>
                <w:rtl w:val="true"/>
              </w:rPr>
              <w:tab/>
            </w:r>
            <w:r>
              <w:rPr>
                <w:rStyle w:val="IndexLink"/>
              </w:rPr>
              <w:t>291</w:t>
            </w:r>
          </w:hyperlink>
        </w:p>
        <w:p>
          <w:pPr>
            <w:pStyle w:val="Contents5"/>
            <w:tabs>
              <w:tab w:val="clear" w:pos="7892"/>
              <w:tab w:val="right" w:pos="9026" w:leader="dot"/>
            </w:tabs>
            <w:rPr/>
          </w:pPr>
          <w:hyperlink w:anchor="__RefHeading___Toc13100242_1280447820">
            <w:r>
              <w:rPr>
                <w:webHidden/>
                <w:rStyle w:val="IndexLink"/>
                <w:rtl w:val="true"/>
              </w:rPr>
              <w:t>الرواية الثّانية</w:t>
            </w:r>
            <w:r>
              <w:rPr>
                <w:rStyle w:val="IndexLink"/>
                <w:rtl w:val="true"/>
              </w:rPr>
              <w:tab/>
            </w:r>
            <w:r>
              <w:rPr>
                <w:rStyle w:val="IndexLink"/>
              </w:rPr>
              <w:t>292</w:t>
            </w:r>
          </w:hyperlink>
        </w:p>
        <w:p>
          <w:pPr>
            <w:pStyle w:val="Contents5"/>
            <w:tabs>
              <w:tab w:val="clear" w:pos="7892"/>
              <w:tab w:val="right" w:pos="9026" w:leader="dot"/>
            </w:tabs>
            <w:rPr/>
          </w:pPr>
          <w:hyperlink w:anchor="__RefHeading___Toc13100244_1280447820">
            <w:r>
              <w:rPr>
                <w:webHidden/>
                <w:rStyle w:val="IndexLink"/>
                <w:rtl w:val="true"/>
              </w:rPr>
              <w:t>الرواية الثّالثة</w:t>
            </w:r>
            <w:r>
              <w:rPr>
                <w:rStyle w:val="IndexLink"/>
                <w:rtl w:val="true"/>
              </w:rPr>
              <w:tab/>
            </w:r>
            <w:r>
              <w:rPr>
                <w:rStyle w:val="IndexLink"/>
              </w:rPr>
              <w:t>293</w:t>
            </w:r>
          </w:hyperlink>
        </w:p>
        <w:p>
          <w:pPr>
            <w:pStyle w:val="Contents4"/>
            <w:tabs>
              <w:tab w:val="clear" w:pos="8176"/>
              <w:tab w:val="right" w:pos="9026" w:leader="dot"/>
            </w:tabs>
            <w:rPr/>
          </w:pPr>
          <w:hyperlink w:anchor="__RefHeading___Toc13100246_1280447820">
            <w:r>
              <w:rPr>
                <w:webHidden/>
                <w:rStyle w:val="IndexLink"/>
                <w:rtl w:val="true"/>
              </w:rPr>
              <w:t>الشرط السّابع</w:t>
            </w:r>
            <w:r>
              <w:rPr>
                <w:rStyle w:val="IndexLink"/>
                <w:rtl w:val="true"/>
              </w:rPr>
              <w:t xml:space="preserve">: </w:t>
            </w:r>
            <w:r>
              <w:rPr>
                <w:rStyle w:val="IndexLink"/>
                <w:rtl w:val="true"/>
              </w:rPr>
              <w:t>كمال العقل</w:t>
            </w:r>
            <w:r>
              <w:rPr>
                <w:rStyle w:val="IndexLink"/>
                <w:rtl w:val="true"/>
              </w:rPr>
              <w:tab/>
            </w:r>
            <w:r>
              <w:rPr>
                <w:rStyle w:val="IndexLink"/>
              </w:rPr>
              <w:t>294</w:t>
            </w:r>
          </w:hyperlink>
        </w:p>
        <w:p>
          <w:pPr>
            <w:pStyle w:val="Contents5"/>
            <w:tabs>
              <w:tab w:val="clear" w:pos="7892"/>
              <w:tab w:val="right" w:pos="9026" w:leader="dot"/>
            </w:tabs>
            <w:rPr/>
          </w:pPr>
          <w:hyperlink w:anchor="__RefHeading___Toc13100248_1280447820">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13100250_1280447820">
            <w:r>
              <w:rPr>
                <w:webHidden/>
                <w:rStyle w:val="IndexLink"/>
                <w:rtl w:val="true"/>
              </w:rPr>
              <w:t>الأوّل</w:t>
            </w:r>
            <w:r>
              <w:rPr>
                <w:rStyle w:val="IndexLink"/>
                <w:rtl w:val="true"/>
              </w:rPr>
              <w:t>:</w:t>
              <w:tab/>
            </w:r>
            <w:r>
              <w:rPr>
                <w:rStyle w:val="IndexLink"/>
              </w:rPr>
              <w:t>294</w:t>
            </w:r>
          </w:hyperlink>
        </w:p>
        <w:p>
          <w:pPr>
            <w:pStyle w:val="Contents5"/>
            <w:tabs>
              <w:tab w:val="clear" w:pos="7892"/>
              <w:tab w:val="right" w:pos="9026" w:leader="dot"/>
            </w:tabs>
            <w:rPr/>
          </w:pPr>
          <w:hyperlink w:anchor="__RefHeading___Toc13100252_1280447820">
            <w:r>
              <w:rPr>
                <w:webHidden/>
                <w:rStyle w:val="IndexLink"/>
                <w:rtl w:val="true"/>
              </w:rPr>
              <w:t>الثّاني</w:t>
            </w:r>
            <w:r>
              <w:rPr>
                <w:rStyle w:val="IndexLink"/>
                <w:rtl w:val="true"/>
              </w:rPr>
              <w:t>:</w:t>
              <w:tab/>
            </w:r>
            <w:r>
              <w:rPr>
                <w:rStyle w:val="IndexLink"/>
              </w:rPr>
              <w:t>295</w:t>
            </w:r>
          </w:hyperlink>
        </w:p>
        <w:p>
          <w:pPr>
            <w:pStyle w:val="Contents5"/>
            <w:tabs>
              <w:tab w:val="clear" w:pos="7892"/>
              <w:tab w:val="right" w:pos="9026" w:leader="dot"/>
            </w:tabs>
            <w:rPr/>
          </w:pPr>
          <w:hyperlink w:anchor="__RefHeading___Toc13100254_1280447820">
            <w:r>
              <w:rPr>
                <w:webHidden/>
                <w:rStyle w:val="IndexLink"/>
                <w:rtl w:val="true"/>
              </w:rPr>
              <w:t>الثّالث</w:t>
            </w:r>
            <w:r>
              <w:rPr>
                <w:rStyle w:val="IndexLink"/>
                <w:rtl w:val="true"/>
              </w:rPr>
              <w:t>:</w:t>
              <w:tab/>
            </w:r>
            <w:r>
              <w:rPr>
                <w:rStyle w:val="IndexLink"/>
              </w:rPr>
              <w:t>295</w:t>
            </w:r>
          </w:hyperlink>
        </w:p>
        <w:p>
          <w:pPr>
            <w:pStyle w:val="Contents5"/>
            <w:tabs>
              <w:tab w:val="clear" w:pos="7892"/>
              <w:tab w:val="right" w:pos="9026" w:leader="dot"/>
            </w:tabs>
            <w:rPr/>
          </w:pPr>
          <w:hyperlink w:anchor="__RefHeading___Toc13100256_1280447820">
            <w:r>
              <w:rPr>
                <w:webHidden/>
                <w:rStyle w:val="IndexLink"/>
                <w:rtl w:val="true"/>
              </w:rPr>
              <w:t>الرّابع</w:t>
            </w:r>
            <w:r>
              <w:rPr>
                <w:rStyle w:val="IndexLink"/>
                <w:rtl w:val="true"/>
              </w:rPr>
              <w:t>:</w:t>
              <w:tab/>
            </w:r>
            <w:r>
              <w:rPr>
                <w:rStyle w:val="IndexLink"/>
              </w:rPr>
              <w:t>295</w:t>
            </w:r>
          </w:hyperlink>
        </w:p>
        <w:p>
          <w:pPr>
            <w:pStyle w:val="Contents5"/>
            <w:tabs>
              <w:tab w:val="clear" w:pos="7892"/>
              <w:tab w:val="right" w:pos="9026" w:leader="dot"/>
            </w:tabs>
            <w:rPr/>
          </w:pPr>
          <w:hyperlink w:anchor="__RefHeading___Toc13100258_1280447820">
            <w:r>
              <w:rPr>
                <w:webHidden/>
                <w:rStyle w:val="IndexLink"/>
                <w:rtl w:val="true"/>
              </w:rPr>
              <w:t>الخامس</w:t>
            </w:r>
            <w:r>
              <w:rPr>
                <w:rStyle w:val="IndexLink"/>
                <w:rtl w:val="true"/>
              </w:rPr>
              <w:t>:</w:t>
              <w:tab/>
            </w:r>
            <w:r>
              <w:rPr>
                <w:rStyle w:val="IndexLink"/>
              </w:rPr>
              <w:t>296</w:t>
            </w:r>
          </w:hyperlink>
        </w:p>
        <w:p>
          <w:pPr>
            <w:pStyle w:val="Contents4"/>
            <w:tabs>
              <w:tab w:val="clear" w:pos="8176"/>
              <w:tab w:val="right" w:pos="9026" w:leader="dot"/>
            </w:tabs>
            <w:rPr/>
          </w:pPr>
          <w:hyperlink w:anchor="__RefHeading___Toc13100260_1280447820">
            <w:r>
              <w:rPr>
                <w:webHidden/>
                <w:rStyle w:val="IndexLink"/>
                <w:rtl w:val="true"/>
              </w:rPr>
              <w:t>الشرط الثّامن</w:t>
            </w:r>
            <w:r>
              <w:rPr>
                <w:rStyle w:val="IndexLink"/>
                <w:rtl w:val="true"/>
              </w:rPr>
              <w:t xml:space="preserve">: </w:t>
            </w:r>
            <w:r>
              <w:rPr>
                <w:rStyle w:val="IndexLink"/>
                <w:rtl w:val="true"/>
              </w:rPr>
              <w:t>الشَّجاعة</w:t>
            </w:r>
            <w:r>
              <w:rPr>
                <w:rStyle w:val="IndexLink"/>
                <w:rtl w:val="true"/>
              </w:rPr>
              <w:tab/>
            </w:r>
            <w:r>
              <w:rPr>
                <w:rStyle w:val="IndexLink"/>
              </w:rPr>
              <w:t>298</w:t>
            </w:r>
          </w:hyperlink>
        </w:p>
        <w:p>
          <w:pPr>
            <w:pStyle w:val="Contents5"/>
            <w:tabs>
              <w:tab w:val="clear" w:pos="7892"/>
              <w:tab w:val="right" w:pos="9026" w:leader="dot"/>
            </w:tabs>
            <w:rPr/>
          </w:pPr>
          <w:hyperlink w:anchor="__RefHeading___Toc13100262_1280447820">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13100264_1280447820">
            <w:r>
              <w:rPr>
                <w:webHidden/>
                <w:rStyle w:val="IndexLink"/>
                <w:rtl w:val="true"/>
              </w:rPr>
              <w:t>الأوّل</w:t>
            </w:r>
            <w:r>
              <w:rPr>
                <w:rStyle w:val="IndexLink"/>
                <w:rtl w:val="true"/>
              </w:rPr>
              <w:t>:</w:t>
              <w:tab/>
            </w:r>
            <w:r>
              <w:rPr>
                <w:rStyle w:val="IndexLink"/>
              </w:rPr>
              <w:t>298</w:t>
            </w:r>
          </w:hyperlink>
        </w:p>
        <w:p>
          <w:pPr>
            <w:pStyle w:val="Contents5"/>
            <w:tabs>
              <w:tab w:val="clear" w:pos="7892"/>
              <w:tab w:val="right" w:pos="9026" w:leader="dot"/>
            </w:tabs>
            <w:rPr/>
          </w:pPr>
          <w:hyperlink w:anchor="__RefHeading___Toc13100266_1280447820">
            <w:r>
              <w:rPr>
                <w:webHidden/>
                <w:rStyle w:val="IndexLink"/>
                <w:rtl w:val="true"/>
              </w:rPr>
              <w:t>الثّاني</w:t>
            </w:r>
            <w:r>
              <w:rPr>
                <w:rStyle w:val="IndexLink"/>
                <w:rtl w:val="true"/>
              </w:rPr>
              <w:t>:</w:t>
              <w:tab/>
            </w:r>
            <w:r>
              <w:rPr>
                <w:rStyle w:val="IndexLink"/>
              </w:rPr>
              <w:t>298</w:t>
            </w:r>
          </w:hyperlink>
        </w:p>
        <w:p>
          <w:pPr>
            <w:pStyle w:val="Contents5"/>
            <w:tabs>
              <w:tab w:val="clear" w:pos="7892"/>
              <w:tab w:val="right" w:pos="9026" w:leader="dot"/>
            </w:tabs>
            <w:rPr/>
          </w:pPr>
          <w:hyperlink w:anchor="__RefHeading___Toc13100268_1280447820">
            <w:r>
              <w:rPr>
                <w:webHidden/>
                <w:rStyle w:val="IndexLink"/>
                <w:rtl w:val="true"/>
              </w:rPr>
              <w:t>الثّالث</w:t>
            </w:r>
            <w:r>
              <w:rPr>
                <w:rStyle w:val="IndexLink"/>
                <w:rtl w:val="true"/>
              </w:rPr>
              <w:t>:</w:t>
              <w:tab/>
            </w:r>
            <w:r>
              <w:rPr>
                <w:rStyle w:val="IndexLink"/>
              </w:rPr>
              <w:t>299</w:t>
            </w:r>
          </w:hyperlink>
        </w:p>
        <w:p>
          <w:pPr>
            <w:pStyle w:val="Contents4"/>
            <w:tabs>
              <w:tab w:val="clear" w:pos="8176"/>
              <w:tab w:val="right" w:pos="9026" w:leader="dot"/>
            </w:tabs>
            <w:rPr/>
          </w:pPr>
          <w:hyperlink w:anchor="__RefHeading___Toc13100270_1280447820">
            <w:r>
              <w:rPr>
                <w:webHidden/>
                <w:rStyle w:val="IndexLink"/>
                <w:rtl w:val="true"/>
              </w:rPr>
              <w:t>الشرط التّاسع</w:t>
            </w:r>
            <w:r>
              <w:rPr>
                <w:rStyle w:val="IndexLink"/>
                <w:rtl w:val="true"/>
              </w:rPr>
              <w:t xml:space="preserve">: </w:t>
            </w:r>
            <w:r>
              <w:rPr>
                <w:rStyle w:val="IndexLink"/>
                <w:rtl w:val="true"/>
              </w:rPr>
              <w:t>شرح الصدر</w:t>
            </w:r>
            <w:r>
              <w:rPr>
                <w:rStyle w:val="IndexLink"/>
                <w:rtl w:val="true"/>
              </w:rPr>
              <w:tab/>
            </w:r>
            <w:r>
              <w:rPr>
                <w:rStyle w:val="IndexLink"/>
              </w:rPr>
              <w:t>302</w:t>
            </w:r>
          </w:hyperlink>
        </w:p>
        <w:p>
          <w:pPr>
            <w:pStyle w:val="Contents5"/>
            <w:tabs>
              <w:tab w:val="clear" w:pos="7892"/>
              <w:tab w:val="right" w:pos="9026" w:leader="dot"/>
            </w:tabs>
            <w:rPr/>
          </w:pPr>
          <w:hyperlink w:anchor="__RefHeading___Toc13100272_1280447820">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13100274_1280447820">
            <w:r>
              <w:rPr>
                <w:webHidden/>
                <w:rStyle w:val="IndexLink"/>
                <w:rtl w:val="true"/>
              </w:rPr>
              <w:t>الأوّل</w:t>
            </w:r>
            <w:r>
              <w:rPr>
                <w:rStyle w:val="IndexLink"/>
                <w:rtl w:val="true"/>
              </w:rPr>
              <w:t xml:space="preserve">: </w:t>
            </w:r>
            <w:r>
              <w:rPr>
                <w:rStyle w:val="IndexLink"/>
                <w:rtl w:val="true"/>
              </w:rPr>
              <w:t>المهديّ يجب أن يكون منشرح الصدر</w:t>
            </w:r>
            <w:r>
              <w:rPr>
                <w:rStyle w:val="IndexLink"/>
                <w:rtl w:val="true"/>
              </w:rPr>
              <w:tab/>
            </w:r>
            <w:r>
              <w:rPr>
                <w:rStyle w:val="IndexLink"/>
              </w:rPr>
              <w:t>302</w:t>
            </w:r>
          </w:hyperlink>
        </w:p>
        <w:p>
          <w:pPr>
            <w:pStyle w:val="Contents5"/>
            <w:tabs>
              <w:tab w:val="clear" w:pos="7892"/>
              <w:tab w:val="right" w:pos="9026" w:leader="dot"/>
            </w:tabs>
            <w:rPr/>
          </w:pPr>
          <w:hyperlink w:anchor="__RefHeading___Toc13100276_1280447820">
            <w:r>
              <w:rPr>
                <w:webHidden/>
                <w:rStyle w:val="IndexLink"/>
                <w:rtl w:val="true"/>
              </w:rPr>
              <w:t>الثّاني</w:t>
            </w:r>
            <w:r>
              <w:rPr>
                <w:rStyle w:val="IndexLink"/>
                <w:rtl w:val="true"/>
              </w:rPr>
              <w:t xml:space="preserve">: </w:t>
            </w:r>
            <w:r>
              <w:rPr>
                <w:rStyle w:val="IndexLink"/>
                <w:rtl w:val="true"/>
              </w:rPr>
              <w:t>الهادي يجب أن يكون منشرح الصدر</w:t>
            </w:r>
            <w:r>
              <w:rPr>
                <w:rStyle w:val="IndexLink"/>
                <w:rtl w:val="true"/>
              </w:rPr>
              <w:tab/>
            </w:r>
            <w:r>
              <w:rPr>
                <w:rStyle w:val="IndexLink"/>
              </w:rPr>
              <w:t>303</w:t>
            </w:r>
          </w:hyperlink>
        </w:p>
        <w:p>
          <w:pPr>
            <w:pStyle w:val="Contents5"/>
            <w:tabs>
              <w:tab w:val="clear" w:pos="7892"/>
              <w:tab w:val="right" w:pos="9026" w:leader="dot"/>
            </w:tabs>
            <w:rPr/>
          </w:pPr>
          <w:hyperlink w:anchor="__RefHeading___Toc13100278_1280447820">
            <w:r>
              <w:rPr>
                <w:webHidden/>
                <w:rStyle w:val="IndexLink"/>
                <w:rtl w:val="true"/>
              </w:rPr>
              <w:t>الثّالث</w:t>
            </w:r>
            <w:r>
              <w:rPr>
                <w:rStyle w:val="IndexLink"/>
                <w:rtl w:val="true"/>
              </w:rPr>
              <w:t xml:space="preserve">: </w:t>
            </w:r>
            <w:r>
              <w:rPr>
                <w:rStyle w:val="IndexLink"/>
                <w:rtl w:val="true"/>
              </w:rPr>
              <w:t>الوليّ يجب أن يكون منشرَح الصدر</w:t>
            </w:r>
            <w:r>
              <w:rPr>
                <w:rStyle w:val="IndexLink"/>
                <w:rtl w:val="true"/>
              </w:rPr>
              <w:tab/>
            </w:r>
            <w:r>
              <w:rPr>
                <w:rStyle w:val="IndexLink"/>
              </w:rPr>
              <w:t>303</w:t>
            </w:r>
          </w:hyperlink>
        </w:p>
        <w:p>
          <w:pPr>
            <w:pStyle w:val="Contents5"/>
            <w:tabs>
              <w:tab w:val="clear" w:pos="7892"/>
              <w:tab w:val="right" w:pos="9026" w:leader="dot"/>
            </w:tabs>
            <w:rPr/>
          </w:pPr>
          <w:hyperlink w:anchor="__RefHeading___Toc13100280_1280447820">
            <w:r>
              <w:rPr>
                <w:webHidden/>
                <w:rStyle w:val="IndexLink"/>
                <w:rtl w:val="true"/>
              </w:rPr>
              <w:t>الرّابع</w:t>
            </w:r>
            <w:r>
              <w:rPr>
                <w:rStyle w:val="IndexLink"/>
                <w:rtl w:val="true"/>
              </w:rPr>
              <w:t xml:space="preserve">: </w:t>
            </w:r>
            <w:r>
              <w:rPr>
                <w:rStyle w:val="IndexLink"/>
                <w:rtl w:val="true"/>
              </w:rPr>
              <w:t>لاولاية إلّابسعة الصدر</w:t>
            </w:r>
            <w:r>
              <w:rPr>
                <w:rStyle w:val="IndexLink"/>
                <w:rtl w:val="true"/>
              </w:rPr>
              <w:tab/>
            </w:r>
            <w:r>
              <w:rPr>
                <w:rStyle w:val="IndexLink"/>
              </w:rPr>
              <w:t>305</w:t>
            </w:r>
          </w:hyperlink>
        </w:p>
        <w:p>
          <w:pPr>
            <w:pStyle w:val="Contents4"/>
            <w:tabs>
              <w:tab w:val="clear" w:pos="8176"/>
              <w:tab w:val="right" w:pos="9026" w:leader="dot"/>
            </w:tabs>
            <w:rPr/>
          </w:pPr>
          <w:hyperlink w:anchor="__RefHeading___Toc13100282_1280447820">
            <w:r>
              <w:rPr>
                <w:webHidden/>
                <w:rStyle w:val="IndexLink"/>
                <w:rtl w:val="true"/>
              </w:rPr>
              <w:t>الشرط العاشر</w:t>
            </w:r>
            <w:r>
              <w:rPr>
                <w:rStyle w:val="IndexLink"/>
                <w:rtl w:val="true"/>
              </w:rPr>
              <w:t xml:space="preserve">: </w:t>
            </w:r>
            <w:r>
              <w:rPr>
                <w:rStyle w:val="IndexLink"/>
                <w:rtl w:val="true"/>
              </w:rPr>
              <w:t>الرجوليّة</w:t>
            </w:r>
            <w:r>
              <w:rPr>
                <w:rStyle w:val="IndexLink"/>
                <w:rtl w:val="true"/>
              </w:rPr>
              <w:tab/>
            </w:r>
            <w:r>
              <w:rPr>
                <w:rStyle w:val="IndexLink"/>
              </w:rPr>
              <w:t>306</w:t>
            </w:r>
          </w:hyperlink>
        </w:p>
        <w:p>
          <w:pPr>
            <w:pStyle w:val="Contents5"/>
            <w:tabs>
              <w:tab w:val="clear" w:pos="7892"/>
              <w:tab w:val="right" w:pos="9026" w:leader="dot"/>
            </w:tabs>
            <w:rPr/>
          </w:pPr>
          <w:hyperlink w:anchor="__RefHeading___Toc13100284_1280447820">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13100286_1280447820">
            <w:r>
              <w:rPr>
                <w:webHidden/>
                <w:rStyle w:val="IndexLink"/>
                <w:rtl w:val="true"/>
              </w:rPr>
              <w:t>أوّلاً</w:t>
            </w:r>
            <w:r>
              <w:rPr>
                <w:rStyle w:val="IndexLink"/>
                <w:rtl w:val="true"/>
              </w:rPr>
              <w:t xml:space="preserve">: </w:t>
            </w:r>
            <w:r>
              <w:rPr>
                <w:rStyle w:val="IndexLink"/>
                <w:rtl w:val="true"/>
              </w:rPr>
              <w:t>العقل</w:t>
            </w:r>
            <w:r>
              <w:rPr>
                <w:rStyle w:val="IndexLink"/>
                <w:rtl w:val="true"/>
              </w:rPr>
              <w:tab/>
            </w:r>
            <w:r>
              <w:rPr>
                <w:rStyle w:val="IndexLink"/>
              </w:rPr>
              <w:t>307</w:t>
            </w:r>
          </w:hyperlink>
        </w:p>
        <w:p>
          <w:pPr>
            <w:pStyle w:val="Contents5"/>
            <w:tabs>
              <w:tab w:val="clear" w:pos="7892"/>
              <w:tab w:val="right" w:pos="9026" w:leader="dot"/>
            </w:tabs>
            <w:rPr/>
          </w:pPr>
          <w:hyperlink w:anchor="__RefHeading___Toc13100288_1280447820">
            <w:r>
              <w:rPr>
                <w:webHidden/>
                <w:rStyle w:val="IndexLink"/>
                <w:rtl w:val="true"/>
              </w:rPr>
              <w:t>ثانياً</w:t>
            </w:r>
            <w:r>
              <w:rPr>
                <w:rStyle w:val="IndexLink"/>
                <w:rtl w:val="true"/>
              </w:rPr>
              <w:t xml:space="preserve">: </w:t>
            </w:r>
            <w:r>
              <w:rPr>
                <w:rStyle w:val="IndexLink"/>
                <w:rtl w:val="true"/>
              </w:rPr>
              <w:t>القرآن الكريم</w:t>
            </w:r>
            <w:r>
              <w:rPr>
                <w:rStyle w:val="IndexLink"/>
                <w:rtl w:val="true"/>
              </w:rPr>
              <w:tab/>
            </w:r>
            <w:r>
              <w:rPr>
                <w:rStyle w:val="IndexLink"/>
              </w:rPr>
              <w:t>308</w:t>
            </w:r>
          </w:hyperlink>
        </w:p>
        <w:p>
          <w:pPr>
            <w:pStyle w:val="Contents5"/>
            <w:tabs>
              <w:tab w:val="clear" w:pos="7892"/>
              <w:tab w:val="right" w:pos="9026" w:leader="dot"/>
            </w:tabs>
            <w:rPr/>
          </w:pPr>
          <w:hyperlink w:anchor="__RefHeading___Toc13100290_1280447820">
            <w:r>
              <w:rPr>
                <w:webHidden/>
                <w:rStyle w:val="IndexLink"/>
                <w:rtl w:val="true"/>
              </w:rPr>
              <w:t>ثالثاً</w:t>
            </w:r>
            <w:r>
              <w:rPr>
                <w:rStyle w:val="IndexLink"/>
                <w:rtl w:val="true"/>
              </w:rPr>
              <w:t xml:space="preserve">: </w:t>
            </w:r>
            <w:r>
              <w:rPr>
                <w:rStyle w:val="IndexLink"/>
                <w:rtl w:val="true"/>
              </w:rPr>
              <w:t>الروايات</w:t>
            </w:r>
            <w:r>
              <w:rPr>
                <w:rStyle w:val="IndexLink"/>
                <w:rtl w:val="true"/>
              </w:rPr>
              <w:tab/>
            </w:r>
            <w:r>
              <w:rPr>
                <w:rStyle w:val="IndexLink"/>
              </w:rPr>
              <w:t>310</w:t>
            </w:r>
          </w:hyperlink>
        </w:p>
        <w:p>
          <w:pPr>
            <w:pStyle w:val="Contents6"/>
            <w:tabs>
              <w:tab w:val="clear" w:pos="7609"/>
              <w:tab w:val="right" w:pos="9026" w:leader="dot"/>
            </w:tabs>
            <w:rPr/>
          </w:pPr>
          <w:hyperlink w:anchor="__RefHeading___Toc13100292_1280447820">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13100294_1280447820">
            <w:r>
              <w:rPr>
                <w:webHidden/>
                <w:rStyle w:val="IndexLink"/>
                <w:rtl w:val="true"/>
              </w:rPr>
              <w:t>القسم الأوّل</w:t>
            </w:r>
            <w:r>
              <w:rPr>
                <w:rStyle w:val="IndexLink"/>
                <w:rtl w:val="true"/>
              </w:rPr>
              <w:t>:</w:t>
              <w:tab/>
            </w:r>
            <w:r>
              <w:rPr>
                <w:rStyle w:val="IndexLink"/>
              </w:rPr>
              <w:t>310</w:t>
            </w:r>
          </w:hyperlink>
        </w:p>
        <w:p>
          <w:pPr>
            <w:pStyle w:val="Contents6"/>
            <w:tabs>
              <w:tab w:val="clear" w:pos="7609"/>
              <w:tab w:val="right" w:pos="9026" w:leader="dot"/>
            </w:tabs>
            <w:rPr/>
          </w:pPr>
          <w:hyperlink w:anchor="__RefHeading___Toc13100296_1280447820">
            <w:r>
              <w:rPr>
                <w:webHidden/>
                <w:rStyle w:val="IndexLink"/>
                <w:rtl w:val="true"/>
              </w:rPr>
              <w:t>القسم الثّاني</w:t>
            </w:r>
            <w:r>
              <w:rPr>
                <w:rStyle w:val="IndexLink"/>
                <w:rtl w:val="true"/>
              </w:rPr>
              <w:t>:</w:t>
              <w:tab/>
            </w:r>
            <w:r>
              <w:rPr>
                <w:rStyle w:val="IndexLink"/>
              </w:rPr>
              <w:t>311</w:t>
            </w:r>
          </w:hyperlink>
        </w:p>
        <w:p>
          <w:pPr>
            <w:pStyle w:val="Contents6"/>
            <w:tabs>
              <w:tab w:val="clear" w:pos="7609"/>
              <w:tab w:val="right" w:pos="9026" w:leader="dot"/>
            </w:tabs>
            <w:rPr/>
          </w:pPr>
          <w:hyperlink w:anchor="__RefHeading___Toc13100298_1280447820">
            <w:r>
              <w:rPr>
                <w:webHidden/>
                <w:rStyle w:val="IndexLink"/>
                <w:rtl w:val="true"/>
              </w:rPr>
              <w:t>القسم الثّالث</w:t>
            </w:r>
            <w:r>
              <w:rPr>
                <w:rStyle w:val="IndexLink"/>
                <w:rtl w:val="true"/>
              </w:rPr>
              <w:t>:</w:t>
              <w:tab/>
            </w:r>
            <w:r>
              <w:rPr>
                <w:rStyle w:val="IndexLink"/>
              </w:rPr>
              <w:t>311</w:t>
            </w:r>
          </w:hyperlink>
        </w:p>
        <w:p>
          <w:pPr>
            <w:pStyle w:val="Contents6"/>
            <w:tabs>
              <w:tab w:val="clear" w:pos="7609"/>
              <w:tab w:val="right" w:pos="9026" w:leader="dot"/>
            </w:tabs>
            <w:rPr/>
          </w:pPr>
          <w:hyperlink w:anchor="__RefHeading___Toc13100300_1280447820">
            <w:r>
              <w:rPr>
                <w:webHidden/>
                <w:rStyle w:val="IndexLink"/>
                <w:rtl w:val="true"/>
              </w:rPr>
              <w:t>القسم الرّابع</w:t>
            </w:r>
            <w:r>
              <w:rPr>
                <w:rStyle w:val="IndexLink"/>
                <w:rtl w:val="true"/>
              </w:rPr>
              <w:t>:</w:t>
              <w:tab/>
            </w:r>
            <w:r>
              <w:rPr>
                <w:rStyle w:val="IndexLink"/>
              </w:rPr>
              <w:t>312</w:t>
            </w:r>
          </w:hyperlink>
        </w:p>
        <w:p>
          <w:pPr>
            <w:pStyle w:val="Contents5"/>
            <w:tabs>
              <w:tab w:val="clear" w:pos="7892"/>
              <w:tab w:val="right" w:pos="9026" w:leader="dot"/>
            </w:tabs>
            <w:rPr/>
          </w:pPr>
          <w:hyperlink w:anchor="__RefHeading___Toc13100302_1280447820">
            <w:r>
              <w:rPr>
                <w:webHidden/>
                <w:rStyle w:val="IndexLink"/>
                <w:rtl w:val="true"/>
              </w:rPr>
              <w:t>رابعاً</w:t>
            </w:r>
            <w:r>
              <w:rPr>
                <w:rStyle w:val="IndexLink"/>
                <w:rtl w:val="true"/>
              </w:rPr>
              <w:t xml:space="preserve">: </w:t>
            </w:r>
            <w:r>
              <w:rPr>
                <w:rStyle w:val="IndexLink"/>
                <w:rtl w:val="true"/>
              </w:rPr>
              <w:t>الإجماع</w:t>
            </w:r>
            <w:r>
              <w:rPr>
                <w:rStyle w:val="IndexLink"/>
                <w:rtl w:val="true"/>
              </w:rPr>
              <w:tab/>
            </w:r>
            <w:r>
              <w:rPr>
                <w:rStyle w:val="IndexLink"/>
              </w:rPr>
              <w:t>313</w:t>
            </w:r>
          </w:hyperlink>
        </w:p>
        <w:p>
          <w:pPr>
            <w:pStyle w:val="Contents4"/>
            <w:tabs>
              <w:tab w:val="clear" w:pos="8176"/>
              <w:tab w:val="right" w:pos="9026" w:leader="dot"/>
            </w:tabs>
            <w:rPr/>
          </w:pPr>
          <w:hyperlink w:anchor="__RefHeading___Toc13100304_1280447820">
            <w:r>
              <w:rPr>
                <w:webHidden/>
                <w:rStyle w:val="IndexLink"/>
                <w:rtl w:val="true"/>
              </w:rPr>
              <w:t>الشرط الحادي عشر</w:t>
            </w:r>
            <w:r>
              <w:rPr>
                <w:rStyle w:val="IndexLink"/>
                <w:rtl w:val="true"/>
              </w:rPr>
              <w:t xml:space="preserve">: </w:t>
            </w:r>
            <w:r>
              <w:rPr>
                <w:rStyle w:val="IndexLink"/>
                <w:rtl w:val="true"/>
              </w:rPr>
              <w:t>عدم كونه رديء السمعة مشهّراً</w:t>
            </w:r>
            <w:r>
              <w:rPr>
                <w:rStyle w:val="IndexLink"/>
                <w:rtl w:val="true"/>
              </w:rPr>
              <w:tab/>
            </w:r>
            <w:r>
              <w:rPr>
                <w:rStyle w:val="IndexLink"/>
              </w:rPr>
              <w:t>315</w:t>
            </w:r>
          </w:hyperlink>
        </w:p>
        <w:p>
          <w:pPr>
            <w:pStyle w:val="Contents5"/>
            <w:tabs>
              <w:tab w:val="clear" w:pos="7892"/>
              <w:tab w:val="right" w:pos="9026" w:leader="dot"/>
            </w:tabs>
            <w:rPr/>
          </w:pPr>
          <w:hyperlink w:anchor="__RefHeading___Toc13100306_1280447820">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13100308_1280447820">
            <w:r>
              <w:rPr>
                <w:webHidden/>
                <w:rStyle w:val="IndexLink"/>
                <w:rtl w:val="true"/>
              </w:rPr>
              <w:t>أوّلاً</w:t>
            </w:r>
            <w:r>
              <w:rPr>
                <w:rStyle w:val="IndexLink"/>
                <w:rtl w:val="true"/>
              </w:rPr>
              <w:t xml:space="preserve">: </w:t>
            </w:r>
            <w:r>
              <w:rPr>
                <w:rStyle w:val="IndexLink"/>
                <w:rtl w:val="true"/>
              </w:rPr>
              <w:t>العقل</w:t>
            </w:r>
            <w:r>
              <w:rPr>
                <w:rStyle w:val="IndexLink"/>
                <w:rtl w:val="true"/>
              </w:rPr>
              <w:tab/>
            </w:r>
            <w:r>
              <w:rPr>
                <w:rStyle w:val="IndexLink"/>
              </w:rPr>
              <w:t>315</w:t>
            </w:r>
          </w:hyperlink>
        </w:p>
        <w:p>
          <w:pPr>
            <w:pStyle w:val="Contents5"/>
            <w:tabs>
              <w:tab w:val="clear" w:pos="7892"/>
              <w:tab w:val="right" w:pos="9026" w:leader="dot"/>
            </w:tabs>
            <w:rPr/>
          </w:pPr>
          <w:hyperlink w:anchor="__RefHeading___Toc13100310_1280447820">
            <w:r>
              <w:rPr>
                <w:webHidden/>
                <w:rStyle w:val="IndexLink"/>
                <w:rtl w:val="true"/>
              </w:rPr>
              <w:t>ثانياً</w:t>
            </w:r>
            <w:r>
              <w:rPr>
                <w:rStyle w:val="IndexLink"/>
                <w:rtl w:val="true"/>
              </w:rPr>
              <w:t xml:space="preserve">: </w:t>
            </w:r>
            <w:r>
              <w:rPr>
                <w:rStyle w:val="IndexLink"/>
                <w:rtl w:val="true"/>
              </w:rPr>
              <w:t>القرآن الحكيم</w:t>
            </w:r>
            <w:r>
              <w:rPr>
                <w:rStyle w:val="IndexLink"/>
                <w:rtl w:val="true"/>
              </w:rPr>
              <w:tab/>
            </w:r>
            <w:r>
              <w:rPr>
                <w:rStyle w:val="IndexLink"/>
              </w:rPr>
              <w:t>316</w:t>
            </w:r>
          </w:hyperlink>
        </w:p>
        <w:p>
          <w:pPr>
            <w:pStyle w:val="Contents5"/>
            <w:tabs>
              <w:tab w:val="clear" w:pos="7892"/>
              <w:tab w:val="right" w:pos="9026" w:leader="dot"/>
            </w:tabs>
            <w:rPr/>
          </w:pPr>
          <w:hyperlink w:anchor="__RefHeading___Toc13100312_1280447820">
            <w:r>
              <w:rPr>
                <w:webHidden/>
                <w:rStyle w:val="IndexLink"/>
                <w:rtl w:val="true"/>
              </w:rPr>
              <w:t>ثالثاً</w:t>
            </w:r>
            <w:r>
              <w:rPr>
                <w:rStyle w:val="IndexLink"/>
                <w:rtl w:val="true"/>
              </w:rPr>
              <w:t xml:space="preserve">: </w:t>
            </w:r>
            <w:r>
              <w:rPr>
                <w:rStyle w:val="IndexLink"/>
                <w:rtl w:val="true"/>
              </w:rPr>
              <w:t>الإجماع</w:t>
            </w:r>
            <w:r>
              <w:rPr>
                <w:rStyle w:val="IndexLink"/>
                <w:rtl w:val="true"/>
              </w:rPr>
              <w:tab/>
            </w:r>
            <w:r>
              <w:rPr>
                <w:rStyle w:val="IndexLink"/>
              </w:rPr>
              <w:t>317</w:t>
            </w:r>
          </w:hyperlink>
        </w:p>
        <w:p>
          <w:pPr>
            <w:pStyle w:val="Contents5"/>
            <w:tabs>
              <w:tab w:val="clear" w:pos="7892"/>
              <w:tab w:val="right" w:pos="9026" w:leader="dot"/>
            </w:tabs>
            <w:rPr/>
          </w:pPr>
          <w:hyperlink w:anchor="__RefHeading___Toc13100314_1280447820">
            <w:r>
              <w:rPr>
                <w:webHidden/>
                <w:rStyle w:val="IndexLink"/>
                <w:rtl w:val="true"/>
              </w:rPr>
              <w:t>رابعاً</w:t>
            </w:r>
            <w:r>
              <w:rPr>
                <w:rStyle w:val="IndexLink"/>
                <w:rtl w:val="true"/>
              </w:rPr>
              <w:t xml:space="preserve">: </w:t>
            </w:r>
            <w:r>
              <w:rPr>
                <w:rStyle w:val="IndexLink"/>
                <w:rtl w:val="true"/>
              </w:rPr>
              <w:t>الروايات</w:t>
            </w:r>
            <w:r>
              <w:rPr>
                <w:rStyle w:val="IndexLink"/>
                <w:rtl w:val="true"/>
              </w:rPr>
              <w:tab/>
            </w:r>
            <w:r>
              <w:rPr>
                <w:rStyle w:val="IndexLink"/>
              </w:rPr>
              <w:t>317</w:t>
            </w:r>
          </w:hyperlink>
        </w:p>
        <w:p>
          <w:pPr>
            <w:pStyle w:val="Contents4"/>
            <w:tabs>
              <w:tab w:val="clear" w:pos="8176"/>
              <w:tab w:val="right" w:pos="9026" w:leader="dot"/>
            </w:tabs>
            <w:rPr/>
          </w:pPr>
          <w:hyperlink w:anchor="__RefHeading___Toc13100316_1280447820">
            <w:r>
              <w:rPr>
                <w:webHidden/>
                <w:rStyle w:val="IndexLink"/>
                <w:rtl w:val="true"/>
              </w:rPr>
              <w:t>الشرط الثّاني عشر</w:t>
            </w:r>
            <w:r>
              <w:rPr>
                <w:rStyle w:val="IndexLink"/>
                <w:rtl w:val="true"/>
              </w:rPr>
              <w:t xml:space="preserve">: </w:t>
            </w:r>
            <w:r>
              <w:rPr>
                <w:rStyle w:val="IndexLink"/>
                <w:rtl w:val="true"/>
              </w:rPr>
              <w:t>استقامة السليقة</w:t>
            </w:r>
            <w:r>
              <w:rPr>
                <w:rStyle w:val="IndexLink"/>
                <w:rtl w:val="true"/>
              </w:rPr>
              <w:tab/>
            </w:r>
            <w:r>
              <w:rPr>
                <w:rStyle w:val="IndexLink"/>
              </w:rPr>
              <w:t>319</w:t>
            </w:r>
          </w:hyperlink>
        </w:p>
        <w:p>
          <w:pPr>
            <w:pStyle w:val="Contents4"/>
            <w:tabs>
              <w:tab w:val="clear" w:pos="8176"/>
              <w:tab w:val="right" w:pos="9026" w:leader="dot"/>
            </w:tabs>
            <w:rPr/>
          </w:pPr>
          <w:hyperlink w:anchor="__RefHeading___Toc13100318_1280447820">
            <w:r>
              <w:rPr>
                <w:webHidden/>
                <w:rStyle w:val="IndexLink"/>
                <w:rtl w:val="true"/>
              </w:rPr>
              <w:t>الشرط الثّالثة عشر</w:t>
            </w:r>
            <w:r>
              <w:rPr>
                <w:rStyle w:val="IndexLink"/>
                <w:rtl w:val="true"/>
              </w:rPr>
              <w:t xml:space="preserve">: </w:t>
            </w:r>
            <w:r>
              <w:rPr>
                <w:rStyle w:val="IndexLink"/>
                <w:rtl w:val="true"/>
              </w:rPr>
              <w:t>براءته ممّا يشين مروءته</w:t>
            </w:r>
            <w:r>
              <w:rPr>
                <w:rStyle w:val="IndexLink"/>
                <w:rtl w:val="true"/>
              </w:rPr>
              <w:tab/>
            </w:r>
            <w:r>
              <w:rPr>
                <w:rStyle w:val="IndexLink"/>
              </w:rPr>
              <w:t>322</w:t>
            </w:r>
          </w:hyperlink>
        </w:p>
        <w:p>
          <w:pPr>
            <w:pStyle w:val="Contents5"/>
            <w:tabs>
              <w:tab w:val="clear" w:pos="7892"/>
              <w:tab w:val="right" w:pos="9026" w:leader="dot"/>
            </w:tabs>
            <w:rPr/>
          </w:pPr>
          <w:hyperlink w:anchor="__RefHeading___Toc13100320_1280447820">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13100322_1280447820">
            <w:r>
              <w:rPr>
                <w:webHidden/>
                <w:rStyle w:val="IndexLink"/>
                <w:rtl w:val="true"/>
              </w:rPr>
              <w:t>الأوّل</w:t>
            </w:r>
            <w:r>
              <w:rPr>
                <w:rStyle w:val="IndexLink"/>
                <w:rtl w:val="true"/>
              </w:rPr>
              <w:t>:</w:t>
              <w:tab/>
            </w:r>
            <w:r>
              <w:rPr>
                <w:rStyle w:val="IndexLink"/>
              </w:rPr>
              <w:t>322</w:t>
            </w:r>
          </w:hyperlink>
        </w:p>
        <w:p>
          <w:pPr>
            <w:pStyle w:val="Contents5"/>
            <w:tabs>
              <w:tab w:val="clear" w:pos="7892"/>
              <w:tab w:val="right" w:pos="9026" w:leader="dot"/>
            </w:tabs>
            <w:rPr/>
          </w:pPr>
          <w:hyperlink w:anchor="__RefHeading___Toc13100324_1280447820">
            <w:r>
              <w:rPr>
                <w:webHidden/>
                <w:rStyle w:val="IndexLink"/>
                <w:rtl w:val="true"/>
              </w:rPr>
              <w:t>الثّاني</w:t>
            </w:r>
            <w:r>
              <w:rPr>
                <w:rStyle w:val="IndexLink"/>
                <w:rtl w:val="true"/>
              </w:rPr>
              <w:t>:</w:t>
              <w:tab/>
            </w:r>
            <w:r>
              <w:rPr>
                <w:rStyle w:val="IndexLink"/>
              </w:rPr>
              <w:t>324</w:t>
            </w:r>
          </w:hyperlink>
        </w:p>
        <w:p>
          <w:pPr>
            <w:pStyle w:val="Contents5"/>
            <w:tabs>
              <w:tab w:val="clear" w:pos="7892"/>
              <w:tab w:val="right" w:pos="9026" w:leader="dot"/>
            </w:tabs>
            <w:rPr/>
          </w:pPr>
          <w:hyperlink w:anchor="__RefHeading___Toc13100326_1280447820">
            <w:r>
              <w:rPr>
                <w:webHidden/>
                <w:rStyle w:val="IndexLink"/>
                <w:rtl w:val="true"/>
              </w:rPr>
              <w:t>الثّالث</w:t>
            </w:r>
            <w:r>
              <w:rPr>
                <w:rStyle w:val="IndexLink"/>
                <w:rtl w:val="true"/>
              </w:rPr>
              <w:t>:</w:t>
              <w:tab/>
            </w:r>
            <w:r>
              <w:rPr>
                <w:rStyle w:val="IndexLink"/>
              </w:rPr>
              <w:t>325</w:t>
            </w:r>
          </w:hyperlink>
        </w:p>
        <w:p>
          <w:pPr>
            <w:pStyle w:val="Contents3"/>
            <w:tabs>
              <w:tab w:val="clear" w:pos="8459"/>
              <w:tab w:val="right" w:pos="9026" w:leader="dot"/>
            </w:tabs>
            <w:rPr/>
          </w:pPr>
          <w:hyperlink w:anchor="__RefHeading___Toc13100328_1280447820">
            <w:r>
              <w:rPr>
                <w:webHidden/>
                <w:rStyle w:val="IndexLink"/>
                <w:rtl w:val="true"/>
              </w:rPr>
              <w:t>الفصل الرّابع شبهاتٌ حول ولاية الفقيه و الرُّدود عليها</w:t>
            </w:r>
            <w:r>
              <w:rPr>
                <w:rStyle w:val="IndexLink"/>
                <w:rtl w:val="true"/>
              </w:rPr>
              <w:tab/>
            </w:r>
            <w:r>
              <w:rPr>
                <w:rStyle w:val="IndexLink"/>
              </w:rPr>
              <w:t>328</w:t>
            </w:r>
          </w:hyperlink>
        </w:p>
        <w:p>
          <w:pPr>
            <w:pStyle w:val="Contents4"/>
            <w:tabs>
              <w:tab w:val="clear" w:pos="8176"/>
              <w:tab w:val="right" w:pos="9026" w:leader="dot"/>
            </w:tabs>
            <w:rPr/>
          </w:pPr>
          <w:hyperlink w:anchor="__RefHeading___Toc13100330_1280447820">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13100332_1280447820">
            <w:r>
              <w:rPr>
                <w:webHidden/>
                <w:rStyle w:val="IndexLink"/>
                <w:rtl w:val="true"/>
              </w:rPr>
              <w:t>الإشكال الأوّل</w:t>
            </w:r>
            <w:r>
              <w:rPr>
                <w:rStyle w:val="IndexLink"/>
                <w:rtl w:val="true"/>
              </w:rPr>
              <w:t xml:space="preserve">: </w:t>
            </w:r>
            <w:r>
              <w:rPr>
                <w:rStyle w:val="IndexLink"/>
                <w:rtl w:val="true"/>
              </w:rPr>
              <w:t>الإيراد على مقبولة عمر بن حنظلة سنداً و دلالةً‌</w:t>
            </w:r>
            <w:r>
              <w:rPr>
                <w:rStyle w:val="IndexLink"/>
                <w:rtl w:val="true"/>
              </w:rPr>
              <w:tab/>
            </w:r>
            <w:r>
              <w:rPr>
                <w:rStyle w:val="IndexLink"/>
              </w:rPr>
              <w:t>332</w:t>
            </w:r>
          </w:hyperlink>
        </w:p>
        <w:p>
          <w:pPr>
            <w:pStyle w:val="Contents5"/>
            <w:tabs>
              <w:tab w:val="clear" w:pos="7892"/>
              <w:tab w:val="right" w:pos="9026" w:leader="dot"/>
            </w:tabs>
            <w:rPr/>
          </w:pPr>
          <w:hyperlink w:anchor="__RefHeading___Toc13100334_1280447820">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13100336_1280447820">
            <w:r>
              <w:rPr>
                <w:webHidden/>
                <w:rStyle w:val="IndexLink"/>
                <w:rtl w:val="true"/>
              </w:rPr>
              <w:t>و الجواب</w:t>
            </w:r>
            <w:r>
              <w:rPr>
                <w:rStyle w:val="IndexLink"/>
                <w:rtl w:val="true"/>
              </w:rPr>
              <w:t>:</w:t>
              <w:tab/>
            </w:r>
            <w:r>
              <w:rPr>
                <w:rStyle w:val="IndexLink"/>
              </w:rPr>
              <w:t>332</w:t>
            </w:r>
          </w:hyperlink>
        </w:p>
        <w:p>
          <w:pPr>
            <w:pStyle w:val="Contents4"/>
            <w:tabs>
              <w:tab w:val="clear" w:pos="8176"/>
              <w:tab w:val="right" w:pos="9026" w:leader="dot"/>
            </w:tabs>
            <w:rPr/>
          </w:pPr>
          <w:hyperlink w:anchor="__RefHeading___Toc13100338_1280447820">
            <w:r>
              <w:rPr>
                <w:webHidden/>
                <w:rStyle w:val="IndexLink"/>
                <w:rtl w:val="true"/>
              </w:rPr>
              <w:t>الإشكال الثّاني لزوم اللغوعن القول بإعطاء الإمام الصّادق عليه السلام الولاية للفقيه</w:t>
            </w:r>
            <w:r>
              <w:rPr>
                <w:rStyle w:val="IndexLink"/>
                <w:rtl w:val="true"/>
              </w:rPr>
              <w:tab/>
            </w:r>
            <w:r>
              <w:rPr>
                <w:rStyle w:val="IndexLink"/>
              </w:rPr>
              <w:t>335</w:t>
            </w:r>
          </w:hyperlink>
        </w:p>
        <w:p>
          <w:pPr>
            <w:pStyle w:val="Contents5"/>
            <w:tabs>
              <w:tab w:val="clear" w:pos="7892"/>
              <w:tab w:val="right" w:pos="9026" w:leader="dot"/>
            </w:tabs>
            <w:rPr/>
          </w:pPr>
          <w:hyperlink w:anchor="__RefHeading___Toc13100340_1280447820">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13100342_1280447820">
            <w:r>
              <w:rPr>
                <w:webHidden/>
                <w:rStyle w:val="IndexLink"/>
                <w:rtl w:val="true"/>
              </w:rPr>
              <w:t>و الجواب عنه</w:t>
            </w:r>
            <w:r>
              <w:rPr>
                <w:rStyle w:val="IndexLink"/>
                <w:rtl w:val="true"/>
              </w:rPr>
              <w:t>:</w:t>
              <w:tab/>
            </w:r>
            <w:r>
              <w:rPr>
                <w:rStyle w:val="IndexLink"/>
              </w:rPr>
              <w:t>335</w:t>
            </w:r>
          </w:hyperlink>
        </w:p>
        <w:p>
          <w:pPr>
            <w:pStyle w:val="Contents4"/>
            <w:tabs>
              <w:tab w:val="clear" w:pos="8176"/>
              <w:tab w:val="right" w:pos="9026" w:leader="dot"/>
            </w:tabs>
            <w:rPr/>
          </w:pPr>
          <w:hyperlink w:anchor="__RefHeading___Toc13100344_1280447820">
            <w:r>
              <w:rPr>
                <w:webHidden/>
                <w:rStyle w:val="IndexLink"/>
                <w:rtl w:val="true"/>
              </w:rPr>
              <w:t>الإشكال الثّالث</w:t>
            </w:r>
            <w:r>
              <w:rPr>
                <w:rStyle w:val="IndexLink"/>
                <w:rtl w:val="true"/>
              </w:rPr>
              <w:t xml:space="preserve">: </w:t>
            </w:r>
            <w:r>
              <w:rPr>
                <w:rStyle w:val="IndexLink"/>
                <w:rtl w:val="true"/>
              </w:rPr>
              <w:t>لزوم الهرج و الإضطراب فى المجتمع</w:t>
            </w:r>
            <w:r>
              <w:rPr>
                <w:rStyle w:val="IndexLink"/>
                <w:rtl w:val="true"/>
              </w:rPr>
              <w:tab/>
            </w:r>
            <w:r>
              <w:rPr>
                <w:rStyle w:val="IndexLink"/>
              </w:rPr>
              <w:t>337</w:t>
            </w:r>
          </w:hyperlink>
        </w:p>
        <w:p>
          <w:pPr>
            <w:pStyle w:val="Contents5"/>
            <w:tabs>
              <w:tab w:val="clear" w:pos="7892"/>
              <w:tab w:val="right" w:pos="9026" w:leader="dot"/>
            </w:tabs>
            <w:rPr/>
          </w:pPr>
          <w:hyperlink w:anchor="__RefHeading___Toc13100346_1280447820">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13100348_1280447820">
            <w:r>
              <w:rPr>
                <w:webHidden/>
                <w:rStyle w:val="IndexLink"/>
                <w:rtl w:val="true"/>
              </w:rPr>
              <w:t>و الجواب عنه</w:t>
            </w:r>
            <w:r>
              <w:rPr>
                <w:rStyle w:val="IndexLink"/>
                <w:rtl w:val="true"/>
              </w:rPr>
              <w:t>:</w:t>
              <w:tab/>
            </w:r>
            <w:r>
              <w:rPr>
                <w:rStyle w:val="IndexLink"/>
              </w:rPr>
              <w:t>337</w:t>
            </w:r>
          </w:hyperlink>
        </w:p>
        <w:p>
          <w:pPr>
            <w:pStyle w:val="Contents4"/>
            <w:tabs>
              <w:tab w:val="clear" w:pos="8176"/>
              <w:tab w:val="right" w:pos="9026" w:leader="dot"/>
            </w:tabs>
            <w:rPr/>
          </w:pPr>
          <w:hyperlink w:anchor="__RefHeading___Toc13100350_1280447820">
            <w:r>
              <w:rPr>
                <w:webHidden/>
                <w:rStyle w:val="IndexLink"/>
                <w:rtl w:val="true"/>
              </w:rPr>
              <w:t>الإشكال الرّابع التهافت بين ولاية الفقيه و حكومة الجمهوريّة</w:t>
            </w:r>
            <w:r>
              <w:rPr>
                <w:rStyle w:val="IndexLink"/>
                <w:rtl w:val="true"/>
              </w:rPr>
              <w:tab/>
            </w:r>
            <w:r>
              <w:rPr>
                <w:rStyle w:val="IndexLink"/>
              </w:rPr>
              <w:t>339</w:t>
            </w:r>
          </w:hyperlink>
        </w:p>
        <w:p>
          <w:pPr>
            <w:pStyle w:val="Contents5"/>
            <w:tabs>
              <w:tab w:val="clear" w:pos="7892"/>
              <w:tab w:val="right" w:pos="9026" w:leader="dot"/>
            </w:tabs>
            <w:rPr/>
          </w:pPr>
          <w:hyperlink w:anchor="__RefHeading___Toc13100352_1280447820">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13100354_1280447820">
            <w:r>
              <w:rPr>
                <w:webHidden/>
                <w:rStyle w:val="IndexLink"/>
                <w:rtl w:val="true"/>
              </w:rPr>
              <w:t>و الجواب</w:t>
            </w:r>
            <w:r>
              <w:rPr>
                <w:rStyle w:val="IndexLink"/>
                <w:rtl w:val="true"/>
              </w:rPr>
              <w:t>:</w:t>
              <w:tab/>
            </w:r>
            <w:r>
              <w:rPr>
                <w:rStyle w:val="IndexLink"/>
              </w:rPr>
              <w:t>339</w:t>
            </w:r>
          </w:hyperlink>
        </w:p>
        <w:p>
          <w:pPr>
            <w:pStyle w:val="Contents4"/>
            <w:tabs>
              <w:tab w:val="clear" w:pos="8176"/>
              <w:tab w:val="right" w:pos="9026" w:leader="dot"/>
            </w:tabs>
            <w:rPr/>
          </w:pPr>
          <w:hyperlink w:anchor="__RefHeading___Toc13100356_1280447820">
            <w:r>
              <w:rPr>
                <w:webHidden/>
                <w:rStyle w:val="IndexLink"/>
                <w:rtl w:val="true"/>
              </w:rPr>
              <w:t>الإشكال الخامس الدَّور</w:t>
            </w:r>
            <w:r>
              <w:rPr>
                <w:rStyle w:val="IndexLink"/>
                <w:rtl w:val="true"/>
              </w:rPr>
              <w:tab/>
            </w:r>
            <w:r>
              <w:rPr>
                <w:rStyle w:val="IndexLink"/>
              </w:rPr>
              <w:t>341</w:t>
            </w:r>
          </w:hyperlink>
        </w:p>
        <w:p>
          <w:pPr>
            <w:pStyle w:val="Contents5"/>
            <w:tabs>
              <w:tab w:val="clear" w:pos="7892"/>
              <w:tab w:val="right" w:pos="9026" w:leader="dot"/>
            </w:tabs>
            <w:rPr/>
          </w:pPr>
          <w:hyperlink w:anchor="__RefHeading___Toc13100358_1280447820">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13100360_1280447820">
            <w:r>
              <w:rPr>
                <w:webHidden/>
                <w:rStyle w:val="IndexLink"/>
                <w:rtl w:val="true"/>
              </w:rPr>
              <w:t>و الجواب</w:t>
            </w:r>
            <w:r>
              <w:rPr>
                <w:rStyle w:val="IndexLink"/>
                <w:rtl w:val="true"/>
              </w:rPr>
              <w:t>:</w:t>
              <w:tab/>
            </w:r>
            <w:r>
              <w:rPr>
                <w:rStyle w:val="IndexLink"/>
              </w:rPr>
              <w:t>341</w:t>
            </w:r>
          </w:hyperlink>
        </w:p>
        <w:p>
          <w:pPr>
            <w:pStyle w:val="Contents4"/>
            <w:tabs>
              <w:tab w:val="clear" w:pos="8176"/>
              <w:tab w:val="right" w:pos="9026" w:leader="dot"/>
            </w:tabs>
            <w:rPr/>
          </w:pPr>
          <w:hyperlink w:anchor="__RefHeading___Toc13100362_1280447820">
            <w:r>
              <w:rPr>
                <w:webHidden/>
                <w:rStyle w:val="IndexLink"/>
                <w:rtl w:val="true"/>
              </w:rPr>
              <w:t>الإشكال السّادس كفاية العقل فى الحكم و الحكومة</w:t>
            </w:r>
            <w:r>
              <w:rPr>
                <w:rStyle w:val="IndexLink"/>
                <w:rtl w:val="true"/>
              </w:rPr>
              <w:tab/>
            </w:r>
            <w:r>
              <w:rPr>
                <w:rStyle w:val="IndexLink"/>
              </w:rPr>
              <w:t>343</w:t>
            </w:r>
          </w:hyperlink>
        </w:p>
        <w:p>
          <w:pPr>
            <w:pStyle w:val="Contents5"/>
            <w:tabs>
              <w:tab w:val="clear" w:pos="7892"/>
              <w:tab w:val="right" w:pos="9026" w:leader="dot"/>
            </w:tabs>
            <w:rPr/>
          </w:pPr>
          <w:hyperlink w:anchor="__RefHeading___Toc13100364_1280447820">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13100366_1280447820">
            <w:r>
              <w:rPr>
                <w:webHidden/>
                <w:rStyle w:val="IndexLink"/>
                <w:rtl w:val="true"/>
              </w:rPr>
              <w:t>و الجواب</w:t>
            </w:r>
            <w:r>
              <w:rPr>
                <w:rStyle w:val="IndexLink"/>
                <w:rtl w:val="true"/>
              </w:rPr>
              <w:tab/>
            </w:r>
            <w:r>
              <w:rPr>
                <w:rStyle w:val="IndexLink"/>
              </w:rPr>
              <w:t>343</w:t>
            </w:r>
          </w:hyperlink>
        </w:p>
        <w:p>
          <w:pPr>
            <w:pStyle w:val="Contents6"/>
            <w:tabs>
              <w:tab w:val="clear" w:pos="7609"/>
              <w:tab w:val="right" w:pos="9026" w:leader="dot"/>
            </w:tabs>
            <w:rPr/>
          </w:pPr>
          <w:hyperlink w:anchor="__RefHeading___Toc13100368_1280447820">
            <w:r>
              <w:rPr>
                <w:webHidden/>
                <w:rStyle w:val="IndexLink"/>
                <w:rtl w:val="true"/>
              </w:rPr>
              <w:t>اشارة</w:t>
            </w:r>
            <w:r>
              <w:rPr>
                <w:rStyle w:val="IndexLink"/>
                <w:rtl w:val="true"/>
              </w:rPr>
              <w:tab/>
            </w:r>
            <w:r>
              <w:rPr>
                <w:rStyle w:val="IndexLink"/>
              </w:rPr>
              <w:t>343</w:t>
            </w:r>
          </w:hyperlink>
        </w:p>
        <w:p>
          <w:pPr>
            <w:pStyle w:val="Contents6"/>
            <w:tabs>
              <w:tab w:val="clear" w:pos="7609"/>
              <w:tab w:val="right" w:pos="9026" w:leader="dot"/>
            </w:tabs>
            <w:rPr/>
          </w:pPr>
          <w:hyperlink w:anchor="__RefHeading___Toc13100370_1280447820">
            <w:r>
              <w:rPr>
                <w:webHidden/>
                <w:rStyle w:val="IndexLink"/>
                <w:rtl w:val="true"/>
              </w:rPr>
              <w:t>النظر الأوّل</w:t>
            </w:r>
            <w:r>
              <w:rPr>
                <w:rStyle w:val="IndexLink"/>
                <w:rtl w:val="true"/>
              </w:rPr>
              <w:t>:</w:t>
              <w:tab/>
            </w:r>
            <w:r>
              <w:rPr>
                <w:rStyle w:val="IndexLink"/>
              </w:rPr>
              <w:t>343</w:t>
            </w:r>
          </w:hyperlink>
        </w:p>
        <w:p>
          <w:pPr>
            <w:pStyle w:val="Contents6"/>
            <w:tabs>
              <w:tab w:val="clear" w:pos="7609"/>
              <w:tab w:val="right" w:pos="9026" w:leader="dot"/>
            </w:tabs>
            <w:rPr/>
          </w:pPr>
          <w:hyperlink w:anchor="__RefHeading___Toc13100372_1280447820">
            <w:r>
              <w:rPr>
                <w:webHidden/>
                <w:rStyle w:val="IndexLink"/>
                <w:rtl w:val="true"/>
              </w:rPr>
              <w:t>النظر الثّاني</w:t>
            </w:r>
            <w:r>
              <w:rPr>
                <w:rStyle w:val="IndexLink"/>
                <w:rtl w:val="true"/>
              </w:rPr>
              <w:t>:</w:t>
              <w:tab/>
            </w:r>
            <w:r>
              <w:rPr>
                <w:rStyle w:val="IndexLink"/>
              </w:rPr>
              <w:t>344</w:t>
            </w:r>
          </w:hyperlink>
        </w:p>
        <w:p>
          <w:pPr>
            <w:pStyle w:val="Contents6"/>
            <w:tabs>
              <w:tab w:val="clear" w:pos="7609"/>
              <w:tab w:val="right" w:pos="9026" w:leader="dot"/>
            </w:tabs>
            <w:rPr/>
          </w:pPr>
          <w:hyperlink w:anchor="__RefHeading___Toc13100374_1280447820">
            <w:r>
              <w:rPr>
                <w:webHidden/>
                <w:rStyle w:val="IndexLink"/>
                <w:rtl w:val="true"/>
              </w:rPr>
              <w:t>النظر الثّالث</w:t>
            </w:r>
            <w:r>
              <w:rPr>
                <w:rStyle w:val="IndexLink"/>
                <w:rtl w:val="true"/>
              </w:rPr>
              <w:t>:</w:t>
              <w:tab/>
            </w:r>
            <w:r>
              <w:rPr>
                <w:rStyle w:val="IndexLink"/>
              </w:rPr>
              <w:t>345</w:t>
            </w:r>
          </w:hyperlink>
        </w:p>
        <w:p>
          <w:pPr>
            <w:pStyle w:val="Contents6"/>
            <w:tabs>
              <w:tab w:val="clear" w:pos="7609"/>
              <w:tab w:val="right" w:pos="9026" w:leader="dot"/>
            </w:tabs>
            <w:rPr/>
          </w:pPr>
          <w:hyperlink w:anchor="__RefHeading___Toc13100376_1280447820">
            <w:r>
              <w:rPr>
                <w:webHidden/>
                <w:rStyle w:val="IndexLink"/>
                <w:rtl w:val="true"/>
              </w:rPr>
              <w:t>النظر الرّابع</w:t>
            </w:r>
            <w:r>
              <w:rPr>
                <w:rStyle w:val="IndexLink"/>
                <w:rtl w:val="true"/>
              </w:rPr>
              <w:t>:</w:t>
              <w:tab/>
            </w:r>
            <w:r>
              <w:rPr>
                <w:rStyle w:val="IndexLink"/>
              </w:rPr>
              <w:t>345</w:t>
            </w:r>
          </w:hyperlink>
        </w:p>
        <w:p>
          <w:pPr>
            <w:pStyle w:val="Contents4"/>
            <w:tabs>
              <w:tab w:val="clear" w:pos="8176"/>
              <w:tab w:val="right" w:pos="9026" w:leader="dot"/>
            </w:tabs>
            <w:rPr/>
          </w:pPr>
          <w:hyperlink w:anchor="__RefHeading___Toc13100378_1280447820">
            <w:r>
              <w:rPr>
                <w:webHidden/>
                <w:rStyle w:val="IndexLink"/>
                <w:rtl w:val="true"/>
              </w:rPr>
              <w:t>الإشكال السّابع ولاية الفقيه تلازم الإستبداد و الدّكتاتوريّة</w:t>
            </w:r>
            <w:r>
              <w:rPr>
                <w:rStyle w:val="IndexLink"/>
                <w:rtl w:val="true"/>
              </w:rPr>
              <w:tab/>
            </w:r>
            <w:r>
              <w:rPr>
                <w:rStyle w:val="IndexLink"/>
              </w:rPr>
              <w:t>347</w:t>
            </w:r>
          </w:hyperlink>
        </w:p>
        <w:p>
          <w:pPr>
            <w:pStyle w:val="Contents5"/>
            <w:tabs>
              <w:tab w:val="clear" w:pos="7892"/>
              <w:tab w:val="right" w:pos="9026" w:leader="dot"/>
            </w:tabs>
            <w:rPr/>
          </w:pPr>
          <w:hyperlink w:anchor="__RefHeading___Toc13100380_1280447820">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13100382_1280447820">
            <w:r>
              <w:rPr>
                <w:webHidden/>
                <w:rStyle w:val="IndexLink"/>
                <w:rtl w:val="true"/>
              </w:rPr>
              <w:t>و الجواب</w:t>
            </w:r>
            <w:r>
              <w:rPr>
                <w:rStyle w:val="IndexLink"/>
                <w:rtl w:val="true"/>
              </w:rPr>
              <w:t>:</w:t>
              <w:tab/>
            </w:r>
            <w:r>
              <w:rPr>
                <w:rStyle w:val="IndexLink"/>
              </w:rPr>
              <w:t>347</w:t>
            </w:r>
          </w:hyperlink>
        </w:p>
        <w:p>
          <w:pPr>
            <w:pStyle w:val="Contents6"/>
            <w:tabs>
              <w:tab w:val="clear" w:pos="7609"/>
              <w:tab w:val="right" w:pos="9026" w:leader="dot"/>
            </w:tabs>
            <w:rPr/>
          </w:pPr>
          <w:hyperlink w:anchor="__RefHeading___Toc13100384_1280447820">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13100386_1280447820">
            <w:r>
              <w:rPr>
                <w:webHidden/>
                <w:rStyle w:val="IndexLink"/>
                <w:rtl w:val="true"/>
              </w:rPr>
              <w:t>النظر الأوّل</w:t>
            </w:r>
            <w:r>
              <w:rPr>
                <w:rStyle w:val="IndexLink"/>
                <w:rtl w:val="true"/>
              </w:rPr>
              <w:t>:</w:t>
              <w:tab/>
            </w:r>
            <w:r>
              <w:rPr>
                <w:rStyle w:val="IndexLink"/>
              </w:rPr>
              <w:t>347</w:t>
            </w:r>
          </w:hyperlink>
        </w:p>
        <w:p>
          <w:pPr>
            <w:pStyle w:val="Contents6"/>
            <w:tabs>
              <w:tab w:val="clear" w:pos="7609"/>
              <w:tab w:val="right" w:pos="9026" w:leader="dot"/>
            </w:tabs>
            <w:rPr/>
          </w:pPr>
          <w:hyperlink w:anchor="__RefHeading___Toc13100388_1280447820">
            <w:r>
              <w:rPr>
                <w:webHidden/>
                <w:rStyle w:val="IndexLink"/>
                <w:rtl w:val="true"/>
              </w:rPr>
              <w:t>النظر الثّاني</w:t>
            </w:r>
            <w:r>
              <w:rPr>
                <w:rStyle w:val="IndexLink"/>
                <w:rtl w:val="true"/>
              </w:rPr>
              <w:t>:</w:t>
              <w:tab/>
            </w:r>
            <w:r>
              <w:rPr>
                <w:rStyle w:val="IndexLink"/>
              </w:rPr>
              <w:t>347</w:t>
            </w:r>
          </w:hyperlink>
        </w:p>
        <w:p>
          <w:pPr>
            <w:pStyle w:val="Contents6"/>
            <w:tabs>
              <w:tab w:val="clear" w:pos="7609"/>
              <w:tab w:val="right" w:pos="9026" w:leader="dot"/>
            </w:tabs>
            <w:rPr/>
          </w:pPr>
          <w:hyperlink w:anchor="__RefHeading___Toc13100390_1280447820">
            <w:r>
              <w:rPr>
                <w:webHidden/>
                <w:rStyle w:val="IndexLink"/>
                <w:rtl w:val="true"/>
              </w:rPr>
              <w:t>النظر الثّالث</w:t>
            </w:r>
            <w:r>
              <w:rPr>
                <w:rStyle w:val="IndexLink"/>
                <w:rtl w:val="true"/>
              </w:rPr>
              <w:t>:</w:t>
              <w:tab/>
            </w:r>
            <w:r>
              <w:rPr>
                <w:rStyle w:val="IndexLink"/>
              </w:rPr>
              <w:t>348</w:t>
            </w:r>
          </w:hyperlink>
        </w:p>
        <w:p>
          <w:pPr>
            <w:pStyle w:val="Contents6"/>
            <w:tabs>
              <w:tab w:val="clear" w:pos="7609"/>
              <w:tab w:val="right" w:pos="9026" w:leader="dot"/>
            </w:tabs>
            <w:rPr/>
          </w:pPr>
          <w:hyperlink w:anchor="__RefHeading___Toc13100392_1280447820">
            <w:r>
              <w:rPr>
                <w:webHidden/>
                <w:rStyle w:val="IndexLink"/>
                <w:rtl w:val="true"/>
              </w:rPr>
              <w:t>النظر الرّابع</w:t>
            </w:r>
            <w:r>
              <w:rPr>
                <w:rStyle w:val="IndexLink"/>
                <w:rtl w:val="true"/>
              </w:rPr>
              <w:t>:</w:t>
              <w:tab/>
            </w:r>
            <w:r>
              <w:rPr>
                <w:rStyle w:val="IndexLink"/>
              </w:rPr>
              <w:t>348</w:t>
            </w:r>
          </w:hyperlink>
        </w:p>
        <w:p>
          <w:pPr>
            <w:pStyle w:val="Contents4"/>
            <w:tabs>
              <w:tab w:val="clear" w:pos="8176"/>
              <w:tab w:val="right" w:pos="9026" w:leader="dot"/>
            </w:tabs>
            <w:rPr/>
          </w:pPr>
          <w:hyperlink w:anchor="__RefHeading___Toc13100394_1280447820">
            <w:r>
              <w:rPr>
                <w:webHidden/>
                <w:rStyle w:val="IndexLink"/>
                <w:rtl w:val="true"/>
              </w:rPr>
              <w:t>الإشكال الثامن تداخل الدّولتين</w:t>
            </w:r>
            <w:r>
              <w:rPr>
                <w:rStyle w:val="IndexLink"/>
                <w:rtl w:val="true"/>
              </w:rPr>
              <w:tab/>
            </w:r>
            <w:r>
              <w:rPr>
                <w:rStyle w:val="IndexLink"/>
              </w:rPr>
              <w:t>350</w:t>
            </w:r>
          </w:hyperlink>
        </w:p>
        <w:p>
          <w:pPr>
            <w:pStyle w:val="Contents5"/>
            <w:tabs>
              <w:tab w:val="clear" w:pos="7892"/>
              <w:tab w:val="right" w:pos="9026" w:leader="dot"/>
            </w:tabs>
            <w:rPr/>
          </w:pPr>
          <w:hyperlink w:anchor="__RefHeading___Toc13100396_1280447820">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13100398_1280447820">
            <w:r>
              <w:rPr>
                <w:webHidden/>
                <w:rStyle w:val="IndexLink"/>
                <w:rtl w:val="true"/>
              </w:rPr>
              <w:t>و الجواب</w:t>
            </w:r>
            <w:r>
              <w:rPr>
                <w:rStyle w:val="IndexLink"/>
                <w:rtl w:val="true"/>
              </w:rPr>
              <w:t>:</w:t>
              <w:tab/>
            </w:r>
            <w:r>
              <w:rPr>
                <w:rStyle w:val="IndexLink"/>
              </w:rPr>
              <w:t>350</w:t>
            </w:r>
          </w:hyperlink>
        </w:p>
        <w:p>
          <w:pPr>
            <w:pStyle w:val="Contents4"/>
            <w:tabs>
              <w:tab w:val="clear" w:pos="8176"/>
              <w:tab w:val="right" w:pos="9026" w:leader="dot"/>
            </w:tabs>
            <w:rPr/>
          </w:pPr>
          <w:hyperlink w:anchor="__RefHeading___Toc13100400_1280447820">
            <w:r>
              <w:rPr>
                <w:webHidden/>
                <w:rStyle w:val="IndexLink"/>
                <w:rtl w:val="true"/>
              </w:rPr>
              <w:t>الإشكال التّاسع مخالفة فلسفة إرسال الرّسل عليهم السلام</w:t>
            </w:r>
            <w:r>
              <w:rPr>
                <w:rStyle w:val="IndexLink"/>
                <w:rtl w:val="true"/>
              </w:rPr>
              <w:tab/>
            </w:r>
            <w:r>
              <w:rPr>
                <w:rStyle w:val="IndexLink"/>
              </w:rPr>
              <w:t>352</w:t>
            </w:r>
          </w:hyperlink>
        </w:p>
        <w:p>
          <w:pPr>
            <w:pStyle w:val="Contents5"/>
            <w:tabs>
              <w:tab w:val="clear" w:pos="7892"/>
              <w:tab w:val="right" w:pos="9026" w:leader="dot"/>
            </w:tabs>
            <w:rPr/>
          </w:pPr>
          <w:hyperlink w:anchor="__RefHeading___Toc13100402_1280447820">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13100404_1280447820">
            <w:r>
              <w:rPr>
                <w:webHidden/>
                <w:rStyle w:val="IndexLink"/>
                <w:rtl w:val="true"/>
              </w:rPr>
              <w:t>و الجواب</w:t>
            </w:r>
            <w:r>
              <w:rPr>
                <w:rStyle w:val="IndexLink"/>
                <w:rtl w:val="true"/>
              </w:rPr>
              <w:t>:</w:t>
              <w:tab/>
            </w:r>
            <w:r>
              <w:rPr>
                <w:rStyle w:val="IndexLink"/>
              </w:rPr>
              <w:t>353</w:t>
            </w:r>
          </w:hyperlink>
        </w:p>
        <w:p>
          <w:pPr>
            <w:pStyle w:val="Contents6"/>
            <w:tabs>
              <w:tab w:val="clear" w:pos="7609"/>
              <w:tab w:val="right" w:pos="9026" w:leader="dot"/>
            </w:tabs>
            <w:rPr/>
          </w:pPr>
          <w:hyperlink w:anchor="__RefHeading___Toc13100406_1280447820">
            <w:r>
              <w:rPr>
                <w:webHidden/>
                <w:rStyle w:val="IndexLink"/>
                <w:rtl w:val="true"/>
              </w:rPr>
              <w:t>اشارة</w:t>
            </w:r>
            <w:r>
              <w:rPr>
                <w:rStyle w:val="IndexLink"/>
                <w:rtl w:val="true"/>
              </w:rPr>
              <w:tab/>
            </w:r>
            <w:r>
              <w:rPr>
                <w:rStyle w:val="IndexLink"/>
              </w:rPr>
              <w:t>353</w:t>
            </w:r>
          </w:hyperlink>
        </w:p>
        <w:p>
          <w:pPr>
            <w:pStyle w:val="Contents6"/>
            <w:tabs>
              <w:tab w:val="clear" w:pos="7609"/>
              <w:tab w:val="right" w:pos="9026" w:leader="dot"/>
            </w:tabs>
            <w:rPr/>
          </w:pPr>
          <w:hyperlink w:anchor="__RefHeading___Toc13100408_1280447820">
            <w:r>
              <w:rPr>
                <w:webHidden/>
                <w:rStyle w:val="IndexLink"/>
                <w:rtl w:val="true"/>
              </w:rPr>
              <w:t>النظر الأوّل</w:t>
            </w:r>
            <w:r>
              <w:rPr>
                <w:rStyle w:val="IndexLink"/>
                <w:rtl w:val="true"/>
              </w:rPr>
              <w:t>:</w:t>
              <w:tab/>
            </w:r>
            <w:r>
              <w:rPr>
                <w:rStyle w:val="IndexLink"/>
              </w:rPr>
              <w:t>353</w:t>
            </w:r>
          </w:hyperlink>
        </w:p>
        <w:p>
          <w:pPr>
            <w:pStyle w:val="Contents6"/>
            <w:tabs>
              <w:tab w:val="clear" w:pos="7609"/>
              <w:tab w:val="right" w:pos="9026" w:leader="dot"/>
            </w:tabs>
            <w:rPr/>
          </w:pPr>
          <w:hyperlink w:anchor="__RefHeading___Toc13100410_1280447820">
            <w:r>
              <w:rPr>
                <w:webHidden/>
                <w:rStyle w:val="IndexLink"/>
                <w:rtl w:val="true"/>
              </w:rPr>
              <w:t>النظر الثّاني</w:t>
            </w:r>
            <w:r>
              <w:rPr>
                <w:rStyle w:val="IndexLink"/>
                <w:rtl w:val="true"/>
              </w:rPr>
              <w:t>:</w:t>
              <w:tab/>
            </w:r>
            <w:r>
              <w:rPr>
                <w:rStyle w:val="IndexLink"/>
              </w:rPr>
              <w:t>355</w:t>
            </w:r>
          </w:hyperlink>
        </w:p>
        <w:p>
          <w:pPr>
            <w:pStyle w:val="Contents4"/>
            <w:tabs>
              <w:tab w:val="clear" w:pos="8176"/>
              <w:tab w:val="right" w:pos="9026" w:leader="dot"/>
            </w:tabs>
            <w:rPr/>
          </w:pPr>
          <w:hyperlink w:anchor="__RefHeading___Toc13100412_1280447820">
            <w:r>
              <w:rPr>
                <w:webHidden/>
                <w:rStyle w:val="IndexLink"/>
                <w:rtl w:val="true"/>
              </w:rPr>
              <w:t>الإشكال العاشرالخاتميّة تدلّ على نفى ولاية الفقيه</w:t>
            </w:r>
            <w:r>
              <w:rPr>
                <w:rStyle w:val="IndexLink"/>
                <w:rtl w:val="true"/>
              </w:rPr>
              <w:tab/>
            </w:r>
            <w:r>
              <w:rPr>
                <w:rStyle w:val="IndexLink"/>
              </w:rPr>
              <w:t>356</w:t>
            </w:r>
          </w:hyperlink>
        </w:p>
        <w:p>
          <w:pPr>
            <w:pStyle w:val="Contents5"/>
            <w:tabs>
              <w:tab w:val="clear" w:pos="7892"/>
              <w:tab w:val="right" w:pos="9026" w:leader="dot"/>
            </w:tabs>
            <w:rPr/>
          </w:pPr>
          <w:hyperlink w:anchor="__RefHeading___Toc13100414_1280447820">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13100416_1280447820">
            <w:r>
              <w:rPr>
                <w:webHidden/>
                <w:rStyle w:val="IndexLink"/>
                <w:rtl w:val="true"/>
              </w:rPr>
              <w:t>أمّا الجواب عنه</w:t>
            </w:r>
            <w:r>
              <w:rPr>
                <w:rStyle w:val="IndexLink"/>
                <w:rtl w:val="true"/>
              </w:rPr>
              <w:t>:</w:t>
              <w:tab/>
            </w:r>
            <w:r>
              <w:rPr>
                <w:rStyle w:val="IndexLink"/>
              </w:rPr>
              <w:t>356</w:t>
            </w:r>
          </w:hyperlink>
        </w:p>
        <w:p>
          <w:pPr>
            <w:pStyle w:val="Contents6"/>
            <w:tabs>
              <w:tab w:val="clear" w:pos="7609"/>
              <w:tab w:val="right" w:pos="9026" w:leader="dot"/>
            </w:tabs>
            <w:rPr/>
          </w:pPr>
          <w:hyperlink w:anchor="__RefHeading___Toc13100418_1280447820">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13100420_1280447820">
            <w:r>
              <w:rPr>
                <w:webHidden/>
                <w:rStyle w:val="IndexLink"/>
                <w:rtl w:val="true"/>
              </w:rPr>
              <w:t>النكتة الأولى</w:t>
            </w:r>
            <w:r>
              <w:rPr>
                <w:rStyle w:val="IndexLink"/>
                <w:rtl w:val="true"/>
              </w:rPr>
              <w:t>:</w:t>
              <w:tab/>
            </w:r>
            <w:r>
              <w:rPr>
                <w:rStyle w:val="IndexLink"/>
              </w:rPr>
              <w:t>356</w:t>
            </w:r>
          </w:hyperlink>
        </w:p>
        <w:p>
          <w:pPr>
            <w:pStyle w:val="Contents6"/>
            <w:tabs>
              <w:tab w:val="clear" w:pos="7609"/>
              <w:tab w:val="right" w:pos="9026" w:leader="dot"/>
            </w:tabs>
            <w:rPr/>
          </w:pPr>
          <w:hyperlink w:anchor="__RefHeading___Toc13100422_1280447820">
            <w:r>
              <w:rPr>
                <w:webHidden/>
                <w:rStyle w:val="IndexLink"/>
                <w:rtl w:val="true"/>
              </w:rPr>
              <w:t>النكتة الثّانية</w:t>
            </w:r>
            <w:r>
              <w:rPr>
                <w:rStyle w:val="IndexLink"/>
                <w:rtl w:val="true"/>
              </w:rPr>
              <w:t>:</w:t>
              <w:tab/>
            </w:r>
            <w:r>
              <w:rPr>
                <w:rStyle w:val="IndexLink"/>
              </w:rPr>
              <w:t>357</w:t>
            </w:r>
          </w:hyperlink>
        </w:p>
        <w:p>
          <w:pPr>
            <w:pStyle w:val="Contents4"/>
            <w:tabs>
              <w:tab w:val="clear" w:pos="8176"/>
              <w:tab w:val="right" w:pos="9026" w:leader="dot"/>
            </w:tabs>
            <w:rPr/>
          </w:pPr>
          <w:hyperlink w:anchor="__RefHeading___Toc13100424_1280447820">
            <w:r>
              <w:rPr>
                <w:webHidden/>
                <w:rStyle w:val="IndexLink"/>
                <w:rtl w:val="true"/>
              </w:rPr>
              <w:t>الإشكال الحادي عشرالنّاس لا يحتاجون إلى القيِّم</w:t>
            </w:r>
            <w:r>
              <w:rPr>
                <w:rStyle w:val="IndexLink"/>
                <w:rtl w:val="true"/>
              </w:rPr>
              <w:tab/>
            </w:r>
            <w:r>
              <w:rPr>
                <w:rStyle w:val="IndexLink"/>
              </w:rPr>
              <w:t>358</w:t>
            </w:r>
          </w:hyperlink>
        </w:p>
        <w:p>
          <w:pPr>
            <w:pStyle w:val="Contents5"/>
            <w:tabs>
              <w:tab w:val="clear" w:pos="7892"/>
              <w:tab w:val="right" w:pos="9026" w:leader="dot"/>
            </w:tabs>
            <w:rPr/>
          </w:pPr>
          <w:hyperlink w:anchor="__RefHeading___Toc13100426_1280447820">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13100428_1280447820">
            <w:r>
              <w:rPr>
                <w:webHidden/>
                <w:rStyle w:val="IndexLink"/>
                <w:rtl w:val="true"/>
              </w:rPr>
              <w:t>و الجواب</w:t>
            </w:r>
            <w:r>
              <w:rPr>
                <w:rStyle w:val="IndexLink"/>
                <w:rtl w:val="true"/>
              </w:rPr>
              <w:tab/>
            </w:r>
            <w:r>
              <w:rPr>
                <w:rStyle w:val="IndexLink"/>
              </w:rPr>
              <w:t>358</w:t>
            </w:r>
          </w:hyperlink>
        </w:p>
        <w:p>
          <w:pPr>
            <w:pStyle w:val="Contents4"/>
            <w:tabs>
              <w:tab w:val="clear" w:pos="8176"/>
              <w:tab w:val="right" w:pos="9026" w:leader="dot"/>
            </w:tabs>
            <w:rPr/>
          </w:pPr>
          <w:hyperlink w:anchor="__RefHeading___Toc13100430_1280447820">
            <w:r>
              <w:rPr>
                <w:webHidden/>
                <w:rStyle w:val="IndexLink"/>
                <w:rtl w:val="true"/>
              </w:rPr>
              <w:t>الإشكال الثّاني عشرليس من شأن الفقيه تعيين الموضوعات</w:t>
            </w:r>
            <w:r>
              <w:rPr>
                <w:rStyle w:val="IndexLink"/>
                <w:rtl w:val="true"/>
              </w:rPr>
              <w:tab/>
            </w:r>
            <w:r>
              <w:rPr>
                <w:rStyle w:val="IndexLink"/>
              </w:rPr>
              <w:t>360</w:t>
            </w:r>
          </w:hyperlink>
        </w:p>
        <w:p>
          <w:pPr>
            <w:pStyle w:val="Contents5"/>
            <w:tabs>
              <w:tab w:val="clear" w:pos="7892"/>
              <w:tab w:val="right" w:pos="9026" w:leader="dot"/>
            </w:tabs>
            <w:rPr/>
          </w:pPr>
          <w:hyperlink w:anchor="__RefHeading___Toc13100432_1280447820">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13100434_1280447820">
            <w:r>
              <w:rPr>
                <w:webHidden/>
                <w:rStyle w:val="IndexLink"/>
                <w:rtl w:val="true"/>
              </w:rPr>
              <w:t>و الجواب</w:t>
            </w:r>
            <w:r>
              <w:rPr>
                <w:rStyle w:val="IndexLink"/>
                <w:rtl w:val="true"/>
              </w:rPr>
              <w:tab/>
            </w:r>
            <w:r>
              <w:rPr>
                <w:rStyle w:val="IndexLink"/>
              </w:rPr>
              <w:t>360</w:t>
            </w:r>
          </w:hyperlink>
        </w:p>
        <w:p>
          <w:pPr>
            <w:pStyle w:val="Contents6"/>
            <w:tabs>
              <w:tab w:val="clear" w:pos="7609"/>
              <w:tab w:val="right" w:pos="9026" w:leader="dot"/>
            </w:tabs>
            <w:rPr/>
          </w:pPr>
          <w:hyperlink w:anchor="__RefHeading___Toc13100436_1280447820">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13100438_1280447820">
            <w:r>
              <w:rPr>
                <w:webHidden/>
                <w:rStyle w:val="IndexLink"/>
                <w:rtl w:val="true"/>
              </w:rPr>
              <w:t>النقطة الأولى</w:t>
            </w:r>
            <w:r>
              <w:rPr>
                <w:rStyle w:val="IndexLink"/>
                <w:rtl w:val="true"/>
              </w:rPr>
              <w:t>:</w:t>
              <w:tab/>
            </w:r>
            <w:r>
              <w:rPr>
                <w:rStyle w:val="IndexLink"/>
              </w:rPr>
              <w:t>360</w:t>
            </w:r>
          </w:hyperlink>
        </w:p>
        <w:p>
          <w:pPr>
            <w:pStyle w:val="Contents6"/>
            <w:tabs>
              <w:tab w:val="clear" w:pos="7609"/>
              <w:tab w:val="right" w:pos="9026" w:leader="dot"/>
            </w:tabs>
            <w:rPr/>
          </w:pPr>
          <w:hyperlink w:anchor="__RefHeading___Toc13100440_1280447820">
            <w:r>
              <w:rPr>
                <w:webHidden/>
                <w:rStyle w:val="IndexLink"/>
                <w:rtl w:val="true"/>
              </w:rPr>
              <w:t>النقطة الثّانية</w:t>
            </w:r>
            <w:r>
              <w:rPr>
                <w:rStyle w:val="IndexLink"/>
                <w:rtl w:val="true"/>
              </w:rPr>
              <w:t>:</w:t>
              <w:tab/>
            </w:r>
            <w:r>
              <w:rPr>
                <w:rStyle w:val="IndexLink"/>
              </w:rPr>
              <w:t>361</w:t>
            </w:r>
          </w:hyperlink>
        </w:p>
        <w:p>
          <w:pPr>
            <w:pStyle w:val="Contents4"/>
            <w:tabs>
              <w:tab w:val="clear" w:pos="8176"/>
              <w:tab w:val="right" w:pos="9026" w:leader="dot"/>
            </w:tabs>
            <w:rPr/>
          </w:pPr>
          <w:hyperlink w:anchor="__RefHeading___Toc13100442_1280447820">
            <w:r>
              <w:rPr>
                <w:webHidden/>
                <w:rStyle w:val="IndexLink"/>
                <w:rtl w:val="true"/>
              </w:rPr>
              <w:t>الإشكال الثّالث عشرادارة المُلك تحتاج إلى غير الفقه من العلوم</w:t>
            </w:r>
            <w:r>
              <w:rPr>
                <w:rStyle w:val="IndexLink"/>
                <w:rtl w:val="true"/>
              </w:rPr>
              <w:tab/>
            </w:r>
            <w:r>
              <w:rPr>
                <w:rStyle w:val="IndexLink"/>
              </w:rPr>
              <w:t>363</w:t>
            </w:r>
          </w:hyperlink>
        </w:p>
        <w:p>
          <w:pPr>
            <w:pStyle w:val="Contents5"/>
            <w:tabs>
              <w:tab w:val="clear" w:pos="7892"/>
              <w:tab w:val="right" w:pos="9026" w:leader="dot"/>
            </w:tabs>
            <w:rPr/>
          </w:pPr>
          <w:hyperlink w:anchor="__RefHeading___Toc13100444_1280447820">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13100446_1280447820">
            <w:r>
              <w:rPr>
                <w:webHidden/>
                <w:rStyle w:val="IndexLink"/>
                <w:rtl w:val="true"/>
              </w:rPr>
              <w:t>و الجواب</w:t>
            </w:r>
            <w:r>
              <w:rPr>
                <w:rStyle w:val="IndexLink"/>
                <w:rtl w:val="true"/>
              </w:rPr>
              <w:tab/>
            </w:r>
            <w:r>
              <w:rPr>
                <w:rStyle w:val="IndexLink"/>
              </w:rPr>
              <w:t>363</w:t>
            </w:r>
          </w:hyperlink>
        </w:p>
        <w:p>
          <w:pPr>
            <w:pStyle w:val="Contents4"/>
            <w:tabs>
              <w:tab w:val="clear" w:pos="8176"/>
              <w:tab w:val="right" w:pos="9026" w:leader="dot"/>
            </w:tabs>
            <w:rPr/>
          </w:pPr>
          <w:hyperlink w:anchor="__RefHeading___Toc13100448_1280447820">
            <w:r>
              <w:rPr>
                <w:webHidden/>
                <w:rStyle w:val="IndexLink"/>
                <w:rtl w:val="true"/>
              </w:rPr>
              <w:t>الإشكال الرّابع عشرالآيات القرآنيّة تدلّ على الحكومة الإختياريّة</w:t>
            </w:r>
            <w:r>
              <w:rPr>
                <w:rStyle w:val="IndexLink"/>
                <w:rtl w:val="true"/>
              </w:rPr>
              <w:tab/>
            </w:r>
            <w:r>
              <w:rPr>
                <w:rStyle w:val="IndexLink"/>
              </w:rPr>
              <w:t>364</w:t>
            </w:r>
          </w:hyperlink>
        </w:p>
        <w:p>
          <w:pPr>
            <w:pStyle w:val="Contents5"/>
            <w:tabs>
              <w:tab w:val="clear" w:pos="7892"/>
              <w:tab w:val="right" w:pos="9026" w:leader="dot"/>
            </w:tabs>
            <w:rPr/>
          </w:pPr>
          <w:hyperlink w:anchor="__RefHeading___Toc13100450_1280447820">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13100452_1280447820">
            <w:r>
              <w:rPr>
                <w:webHidden/>
                <w:rStyle w:val="IndexLink"/>
                <w:rtl w:val="true"/>
              </w:rPr>
              <w:t>و الجواب</w:t>
            </w:r>
            <w:r>
              <w:rPr>
                <w:rStyle w:val="IndexLink"/>
                <w:rtl w:val="true"/>
              </w:rPr>
              <w:tab/>
            </w:r>
            <w:r>
              <w:rPr>
                <w:rStyle w:val="IndexLink"/>
              </w:rPr>
              <w:t>365</w:t>
            </w:r>
          </w:hyperlink>
        </w:p>
        <w:p>
          <w:pPr>
            <w:pStyle w:val="Contents6"/>
            <w:tabs>
              <w:tab w:val="clear" w:pos="7609"/>
              <w:tab w:val="right" w:pos="9026" w:leader="dot"/>
            </w:tabs>
            <w:rPr/>
          </w:pPr>
          <w:hyperlink w:anchor="__RefHeading___Toc13100454_1280447820">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13100456_1280447820">
            <w:r>
              <w:rPr>
                <w:webHidden/>
                <w:rStyle w:val="IndexLink"/>
                <w:rtl w:val="true"/>
              </w:rPr>
              <w:t>النكتة الأولى</w:t>
            </w:r>
            <w:r>
              <w:rPr>
                <w:rStyle w:val="IndexLink"/>
                <w:rtl w:val="true"/>
              </w:rPr>
              <w:t>:</w:t>
              <w:tab/>
            </w:r>
            <w:r>
              <w:rPr>
                <w:rStyle w:val="IndexLink"/>
              </w:rPr>
              <w:t>365</w:t>
            </w:r>
          </w:hyperlink>
        </w:p>
        <w:p>
          <w:pPr>
            <w:pStyle w:val="Contents6"/>
            <w:tabs>
              <w:tab w:val="clear" w:pos="7609"/>
              <w:tab w:val="right" w:pos="9026" w:leader="dot"/>
            </w:tabs>
            <w:rPr/>
          </w:pPr>
          <w:hyperlink w:anchor="__RefHeading___Toc13100458_1280447820">
            <w:r>
              <w:rPr>
                <w:webHidden/>
                <w:rStyle w:val="IndexLink"/>
                <w:rtl w:val="true"/>
              </w:rPr>
              <w:t>النكتة الثّانية</w:t>
            </w:r>
            <w:r>
              <w:rPr>
                <w:rStyle w:val="IndexLink"/>
                <w:rtl w:val="true"/>
              </w:rPr>
              <w:t>:</w:t>
              <w:tab/>
            </w:r>
            <w:r>
              <w:rPr>
                <w:rStyle w:val="IndexLink"/>
              </w:rPr>
              <w:t>366</w:t>
            </w:r>
          </w:hyperlink>
        </w:p>
        <w:p>
          <w:pPr>
            <w:pStyle w:val="Contents6"/>
            <w:tabs>
              <w:tab w:val="clear" w:pos="7609"/>
              <w:tab w:val="right" w:pos="9026" w:leader="dot"/>
            </w:tabs>
            <w:rPr/>
          </w:pPr>
          <w:hyperlink w:anchor="__RefHeading___Toc13100460_1280447820">
            <w:r>
              <w:rPr>
                <w:webHidden/>
                <w:rStyle w:val="IndexLink"/>
                <w:rtl w:val="true"/>
              </w:rPr>
              <w:t>النكتة الثّالثة</w:t>
            </w:r>
            <w:r>
              <w:rPr>
                <w:rStyle w:val="IndexLink"/>
                <w:rtl w:val="true"/>
              </w:rPr>
              <w:t>:</w:t>
              <w:tab/>
            </w:r>
            <w:r>
              <w:rPr>
                <w:rStyle w:val="IndexLink"/>
              </w:rPr>
              <w:t>366</w:t>
            </w:r>
          </w:hyperlink>
        </w:p>
        <w:p>
          <w:pPr>
            <w:pStyle w:val="Contents4"/>
            <w:tabs>
              <w:tab w:val="clear" w:pos="8176"/>
              <w:tab w:val="right" w:pos="9026" w:leader="dot"/>
            </w:tabs>
            <w:rPr/>
          </w:pPr>
          <w:hyperlink w:anchor="__RefHeading___Toc13100462_1280447820">
            <w:r>
              <w:rPr>
                <w:webHidden/>
                <w:rStyle w:val="IndexLink"/>
                <w:rtl w:val="true"/>
              </w:rPr>
              <w:t>الإشكال الخامس عشردلالة القرآن الكريم على لزوم إذن النّاس فى الحكومة و التصرف</w:t>
            </w:r>
            <w:r>
              <w:rPr>
                <w:rStyle w:val="IndexLink"/>
                <w:rtl w:val="true"/>
              </w:rPr>
              <w:tab/>
            </w:r>
            <w:r>
              <w:rPr>
                <w:rStyle w:val="IndexLink"/>
              </w:rPr>
              <w:t>368</w:t>
            </w:r>
          </w:hyperlink>
        </w:p>
        <w:p>
          <w:pPr>
            <w:pStyle w:val="Contents5"/>
            <w:tabs>
              <w:tab w:val="clear" w:pos="7892"/>
              <w:tab w:val="right" w:pos="9026" w:leader="dot"/>
            </w:tabs>
            <w:rPr/>
          </w:pPr>
          <w:hyperlink w:anchor="__RefHeading___Toc13100464_1280447820">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13100466_1280447820">
            <w:r>
              <w:rPr>
                <w:webHidden/>
                <w:rStyle w:val="IndexLink"/>
                <w:rtl w:val="true"/>
              </w:rPr>
              <w:t>و الجواب</w:t>
            </w:r>
            <w:r>
              <w:rPr>
                <w:rStyle w:val="IndexLink"/>
                <w:rtl w:val="true"/>
              </w:rPr>
              <w:tab/>
            </w:r>
            <w:r>
              <w:rPr>
                <w:rStyle w:val="IndexLink"/>
              </w:rPr>
              <w:t>368</w:t>
            </w:r>
          </w:hyperlink>
        </w:p>
        <w:p>
          <w:pPr>
            <w:pStyle w:val="Contents6"/>
            <w:tabs>
              <w:tab w:val="clear" w:pos="7609"/>
              <w:tab w:val="right" w:pos="9026" w:leader="dot"/>
            </w:tabs>
            <w:rPr/>
          </w:pPr>
          <w:hyperlink w:anchor="__RefHeading___Toc13100468_1280447820">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13100470_1280447820">
            <w:r>
              <w:rPr>
                <w:webHidden/>
                <w:rStyle w:val="IndexLink"/>
                <w:rtl w:val="true"/>
              </w:rPr>
              <w:t>النقطة الأولى</w:t>
            </w:r>
            <w:r>
              <w:rPr>
                <w:rStyle w:val="IndexLink"/>
                <w:rtl w:val="true"/>
              </w:rPr>
              <w:t>:</w:t>
              <w:tab/>
            </w:r>
            <w:r>
              <w:rPr>
                <w:rStyle w:val="IndexLink"/>
              </w:rPr>
              <w:t>368</w:t>
            </w:r>
          </w:hyperlink>
        </w:p>
        <w:p>
          <w:pPr>
            <w:pStyle w:val="Contents6"/>
            <w:tabs>
              <w:tab w:val="clear" w:pos="7609"/>
              <w:tab w:val="right" w:pos="9026" w:leader="dot"/>
            </w:tabs>
            <w:rPr/>
          </w:pPr>
          <w:hyperlink w:anchor="__RefHeading___Toc13100472_1280447820">
            <w:r>
              <w:rPr>
                <w:webHidden/>
                <w:rStyle w:val="IndexLink"/>
                <w:rtl w:val="true"/>
              </w:rPr>
              <w:t>النقطة الثّانية</w:t>
            </w:r>
            <w:r>
              <w:rPr>
                <w:rStyle w:val="IndexLink"/>
                <w:rtl w:val="true"/>
              </w:rPr>
              <w:t>:</w:t>
              <w:tab/>
            </w:r>
            <w:r>
              <w:rPr>
                <w:rStyle w:val="IndexLink"/>
              </w:rPr>
              <w:t>369</w:t>
            </w:r>
          </w:hyperlink>
        </w:p>
        <w:p>
          <w:pPr>
            <w:pStyle w:val="Contents6"/>
            <w:tabs>
              <w:tab w:val="clear" w:pos="7609"/>
              <w:tab w:val="right" w:pos="9026" w:leader="dot"/>
            </w:tabs>
            <w:rPr/>
          </w:pPr>
          <w:hyperlink w:anchor="__RefHeading___Toc13100474_1280447820">
            <w:r>
              <w:rPr>
                <w:webHidden/>
                <w:rStyle w:val="IndexLink"/>
                <w:rtl w:val="true"/>
              </w:rPr>
              <w:t>النقطة الثّالثة</w:t>
            </w:r>
            <w:r>
              <w:rPr>
                <w:rStyle w:val="IndexLink"/>
                <w:rtl w:val="true"/>
              </w:rPr>
              <w:t>:</w:t>
              <w:tab/>
            </w:r>
            <w:r>
              <w:rPr>
                <w:rStyle w:val="IndexLink"/>
              </w:rPr>
              <w:t>370</w:t>
            </w:r>
          </w:hyperlink>
        </w:p>
        <w:p>
          <w:pPr>
            <w:pStyle w:val="Contents4"/>
            <w:tabs>
              <w:tab w:val="clear" w:pos="8176"/>
              <w:tab w:val="right" w:pos="9026" w:leader="dot"/>
            </w:tabs>
            <w:rPr/>
          </w:pPr>
          <w:hyperlink w:anchor="__RefHeading___Toc13100476_1280447820">
            <w:r>
              <w:rPr>
                <w:webHidden/>
                <w:rStyle w:val="IndexLink"/>
                <w:rtl w:val="true"/>
              </w:rPr>
              <w:t>الإشكال السّادس عشرولاية الفقية تخالف نظريّة اميرالمؤمنين عليه السلام السّياسيّة</w:t>
            </w:r>
            <w:r>
              <w:rPr>
                <w:rStyle w:val="IndexLink"/>
                <w:rtl w:val="true"/>
              </w:rPr>
              <w:tab/>
            </w:r>
            <w:r>
              <w:rPr>
                <w:rStyle w:val="IndexLink"/>
              </w:rPr>
              <w:t>371</w:t>
            </w:r>
          </w:hyperlink>
        </w:p>
        <w:p>
          <w:pPr>
            <w:pStyle w:val="Contents5"/>
            <w:tabs>
              <w:tab w:val="clear" w:pos="7892"/>
              <w:tab w:val="right" w:pos="9026" w:leader="dot"/>
            </w:tabs>
            <w:rPr/>
          </w:pPr>
          <w:hyperlink w:anchor="__RefHeading___Toc13100478_1280447820">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13100480_1280447820">
            <w:r>
              <w:rPr>
                <w:webHidden/>
                <w:rStyle w:val="IndexLink"/>
                <w:rtl w:val="true"/>
              </w:rPr>
              <w:t>أمّا الجواب</w:t>
            </w:r>
            <w:r>
              <w:rPr>
                <w:rStyle w:val="IndexLink"/>
                <w:rtl w:val="true"/>
              </w:rPr>
              <w:tab/>
            </w:r>
            <w:r>
              <w:rPr>
                <w:rStyle w:val="IndexLink"/>
              </w:rPr>
              <w:t>372</w:t>
            </w:r>
          </w:hyperlink>
        </w:p>
        <w:p>
          <w:pPr>
            <w:pStyle w:val="Contents6"/>
            <w:tabs>
              <w:tab w:val="clear" w:pos="7609"/>
              <w:tab w:val="right" w:pos="9026" w:leader="dot"/>
            </w:tabs>
            <w:rPr/>
          </w:pPr>
          <w:hyperlink w:anchor="__RefHeading___Toc13100482_1280447820">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13100484_1280447820">
            <w:r>
              <w:rPr>
                <w:webHidden/>
                <w:rStyle w:val="IndexLink"/>
                <w:rtl w:val="true"/>
              </w:rPr>
              <w:t>الأوّل</w:t>
            </w:r>
            <w:r>
              <w:rPr>
                <w:rStyle w:val="IndexLink"/>
                <w:rtl w:val="true"/>
              </w:rPr>
              <w:t>:</w:t>
              <w:tab/>
            </w:r>
            <w:r>
              <w:rPr>
                <w:rStyle w:val="IndexLink"/>
              </w:rPr>
              <w:t>372</w:t>
            </w:r>
          </w:hyperlink>
        </w:p>
        <w:p>
          <w:pPr>
            <w:pStyle w:val="Contents6"/>
            <w:tabs>
              <w:tab w:val="clear" w:pos="7609"/>
              <w:tab w:val="right" w:pos="9026" w:leader="dot"/>
            </w:tabs>
            <w:rPr/>
          </w:pPr>
          <w:hyperlink w:anchor="__RefHeading___Toc13100486_1280447820">
            <w:r>
              <w:rPr>
                <w:webHidden/>
                <w:rStyle w:val="IndexLink"/>
                <w:rtl w:val="true"/>
              </w:rPr>
              <w:t>الثّاني</w:t>
            </w:r>
            <w:r>
              <w:rPr>
                <w:rStyle w:val="IndexLink"/>
                <w:rtl w:val="true"/>
              </w:rPr>
              <w:t>:</w:t>
              <w:tab/>
            </w:r>
            <w:r>
              <w:rPr>
                <w:rStyle w:val="IndexLink"/>
              </w:rPr>
              <w:t>374</w:t>
            </w:r>
          </w:hyperlink>
        </w:p>
        <w:p>
          <w:pPr>
            <w:pStyle w:val="Contents4"/>
            <w:tabs>
              <w:tab w:val="clear" w:pos="8176"/>
              <w:tab w:val="right" w:pos="9026" w:leader="dot"/>
            </w:tabs>
            <w:rPr/>
          </w:pPr>
          <w:hyperlink w:anchor="__RefHeading___Toc13100488_1280447820">
            <w:r>
              <w:rPr>
                <w:webHidden/>
                <w:rStyle w:val="IndexLink"/>
                <w:rtl w:val="true"/>
              </w:rPr>
              <w:t>الإشكال السّابع عشردوام الولاية للفقيه يلازم الإستبداد</w:t>
            </w:r>
            <w:r>
              <w:rPr>
                <w:rStyle w:val="IndexLink"/>
                <w:rtl w:val="true"/>
              </w:rPr>
              <w:tab/>
            </w:r>
            <w:r>
              <w:rPr>
                <w:rStyle w:val="IndexLink"/>
              </w:rPr>
              <w:t>375</w:t>
            </w:r>
          </w:hyperlink>
        </w:p>
        <w:p>
          <w:pPr>
            <w:pStyle w:val="Contents5"/>
            <w:tabs>
              <w:tab w:val="clear" w:pos="7892"/>
              <w:tab w:val="right" w:pos="9026" w:leader="dot"/>
            </w:tabs>
            <w:rPr/>
          </w:pPr>
          <w:hyperlink w:anchor="__RefHeading___Toc13100490_1280447820">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13100492_1280447820">
            <w:r>
              <w:rPr>
                <w:webHidden/>
                <w:rStyle w:val="IndexLink"/>
                <w:rtl w:val="true"/>
              </w:rPr>
              <w:t>و الجواب</w:t>
            </w:r>
            <w:r>
              <w:rPr>
                <w:rStyle w:val="IndexLink"/>
                <w:rtl w:val="true"/>
              </w:rPr>
              <w:tab/>
            </w:r>
            <w:r>
              <w:rPr>
                <w:rStyle w:val="IndexLink"/>
              </w:rPr>
              <w:t>375</w:t>
            </w:r>
          </w:hyperlink>
        </w:p>
        <w:p>
          <w:pPr>
            <w:pStyle w:val="Contents4"/>
            <w:tabs>
              <w:tab w:val="clear" w:pos="8176"/>
              <w:tab w:val="right" w:pos="9026" w:leader="dot"/>
            </w:tabs>
            <w:rPr/>
          </w:pPr>
          <w:hyperlink w:anchor="__RefHeading___Toc13100494_1280447820">
            <w:r>
              <w:rPr>
                <w:webHidden/>
                <w:rStyle w:val="IndexLink"/>
                <w:rtl w:val="true"/>
              </w:rPr>
              <w:t>الإشكال الثّامن عشرالحقوق المتقابل و فلسفة الحقوق تنافى ولاية الفقيه</w:t>
            </w:r>
            <w:r>
              <w:rPr>
                <w:rStyle w:val="IndexLink"/>
                <w:rtl w:val="true"/>
              </w:rPr>
              <w:tab/>
            </w:r>
            <w:r>
              <w:rPr>
                <w:rStyle w:val="IndexLink"/>
              </w:rPr>
              <w:t>377</w:t>
            </w:r>
          </w:hyperlink>
        </w:p>
        <w:p>
          <w:pPr>
            <w:pStyle w:val="Contents5"/>
            <w:tabs>
              <w:tab w:val="clear" w:pos="7892"/>
              <w:tab w:val="right" w:pos="9026" w:leader="dot"/>
            </w:tabs>
            <w:rPr/>
          </w:pPr>
          <w:hyperlink w:anchor="__RefHeading___Toc13100496_1280447820">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13100498_1280447820">
            <w:r>
              <w:rPr>
                <w:webHidden/>
                <w:rStyle w:val="IndexLink"/>
                <w:rtl w:val="true"/>
              </w:rPr>
              <w:t>و الجواب</w:t>
            </w:r>
            <w:r>
              <w:rPr>
                <w:rStyle w:val="IndexLink"/>
                <w:rtl w:val="true"/>
              </w:rPr>
              <w:tab/>
            </w:r>
            <w:r>
              <w:rPr>
                <w:rStyle w:val="IndexLink"/>
              </w:rPr>
              <w:t>378</w:t>
            </w:r>
          </w:hyperlink>
        </w:p>
        <w:p>
          <w:pPr>
            <w:pStyle w:val="Contents4"/>
            <w:tabs>
              <w:tab w:val="clear" w:pos="8176"/>
              <w:tab w:val="right" w:pos="9026" w:leader="dot"/>
            </w:tabs>
            <w:rPr/>
          </w:pPr>
          <w:hyperlink w:anchor="__RefHeading___Toc13100500_1280447820">
            <w:r>
              <w:rPr>
                <w:webHidden/>
                <w:rStyle w:val="IndexLink"/>
                <w:rtl w:val="true"/>
              </w:rPr>
              <w:t>الإشكال التّاسع عشرولاية الفقيه تنافى الحُرّيّة</w:t>
            </w:r>
            <w:r>
              <w:rPr>
                <w:rStyle w:val="IndexLink"/>
                <w:rtl w:val="true"/>
              </w:rPr>
              <w:tab/>
            </w:r>
            <w:r>
              <w:rPr>
                <w:rStyle w:val="IndexLink"/>
              </w:rPr>
              <w:t>379</w:t>
            </w:r>
          </w:hyperlink>
        </w:p>
        <w:p>
          <w:pPr>
            <w:pStyle w:val="Contents5"/>
            <w:tabs>
              <w:tab w:val="clear" w:pos="7892"/>
              <w:tab w:val="right" w:pos="9026" w:leader="dot"/>
            </w:tabs>
            <w:rPr/>
          </w:pPr>
          <w:hyperlink w:anchor="__RefHeading___Toc13100502_1280447820">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13100504_1280447820">
            <w:r>
              <w:rPr>
                <w:webHidden/>
                <w:rStyle w:val="IndexLink"/>
                <w:rtl w:val="true"/>
              </w:rPr>
              <w:t>و الجواب</w:t>
            </w:r>
            <w:r>
              <w:rPr>
                <w:rStyle w:val="IndexLink"/>
                <w:rtl w:val="true"/>
              </w:rPr>
              <w:tab/>
            </w:r>
            <w:r>
              <w:rPr>
                <w:rStyle w:val="IndexLink"/>
              </w:rPr>
              <w:t>379</w:t>
            </w:r>
          </w:hyperlink>
        </w:p>
        <w:p>
          <w:pPr>
            <w:pStyle w:val="Contents4"/>
            <w:tabs>
              <w:tab w:val="clear" w:pos="8176"/>
              <w:tab w:val="right" w:pos="9026" w:leader="dot"/>
            </w:tabs>
            <w:rPr/>
          </w:pPr>
          <w:hyperlink w:anchor="__RefHeading___Toc13100506_1280447820">
            <w:r>
              <w:rPr>
                <w:webHidden/>
                <w:rStyle w:val="IndexLink"/>
                <w:rtl w:val="true"/>
              </w:rPr>
              <w:t>الإشكال المتمّم للعشرين تباين السّياسة و الشّريعة</w:t>
            </w:r>
            <w:r>
              <w:rPr>
                <w:rStyle w:val="IndexLink"/>
                <w:rtl w:val="true"/>
              </w:rPr>
              <w:tab/>
            </w:r>
            <w:r>
              <w:rPr>
                <w:rStyle w:val="IndexLink"/>
              </w:rPr>
              <w:t>381</w:t>
            </w:r>
          </w:hyperlink>
        </w:p>
        <w:p>
          <w:pPr>
            <w:pStyle w:val="Contents5"/>
            <w:tabs>
              <w:tab w:val="clear" w:pos="7892"/>
              <w:tab w:val="right" w:pos="9026" w:leader="dot"/>
            </w:tabs>
            <w:rPr/>
          </w:pPr>
          <w:hyperlink w:anchor="__RefHeading___Toc13100508_1280447820">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13100510_1280447820">
            <w:r>
              <w:rPr>
                <w:webHidden/>
                <w:rStyle w:val="IndexLink"/>
                <w:rtl w:val="true"/>
              </w:rPr>
              <w:t>و الجواب</w:t>
            </w:r>
            <w:r>
              <w:rPr>
                <w:rStyle w:val="IndexLink"/>
                <w:rtl w:val="true"/>
              </w:rPr>
              <w:t>:</w:t>
              <w:tab/>
            </w:r>
            <w:r>
              <w:rPr>
                <w:rStyle w:val="IndexLink"/>
              </w:rPr>
              <w:t>381</w:t>
            </w:r>
          </w:hyperlink>
        </w:p>
        <w:p>
          <w:pPr>
            <w:pStyle w:val="Contents3"/>
            <w:tabs>
              <w:tab w:val="clear" w:pos="8459"/>
              <w:tab w:val="right" w:pos="9026" w:leader="dot"/>
            </w:tabs>
            <w:rPr/>
          </w:pPr>
          <w:hyperlink w:anchor="__RefHeading___Toc13100512_1280447820">
            <w:r>
              <w:rPr>
                <w:webHidden/>
                <w:rStyle w:val="IndexLink"/>
                <w:rtl w:val="true"/>
              </w:rPr>
              <w:t>الفصل الخامس أسؤلة حول ولاية الفقيه و أجوبتها</w:t>
            </w:r>
            <w:r>
              <w:rPr>
                <w:rStyle w:val="IndexLink"/>
                <w:rtl w:val="true"/>
              </w:rPr>
              <w:tab/>
            </w:r>
            <w:r>
              <w:rPr>
                <w:rStyle w:val="IndexLink"/>
              </w:rPr>
              <w:t>384</w:t>
            </w:r>
          </w:hyperlink>
        </w:p>
        <w:p>
          <w:pPr>
            <w:pStyle w:val="Contents4"/>
            <w:tabs>
              <w:tab w:val="clear" w:pos="8176"/>
              <w:tab w:val="right" w:pos="9026" w:leader="dot"/>
            </w:tabs>
            <w:rPr/>
          </w:pPr>
          <w:hyperlink w:anchor="__RefHeading___Toc13100514_1280447820">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13100516_1280447820">
            <w:r>
              <w:rPr>
                <w:webHidden/>
                <w:rStyle w:val="IndexLink"/>
                <w:rtl w:val="true"/>
              </w:rPr>
              <w:t>السؤال الأوّل</w:t>
            </w:r>
            <w:r>
              <w:rPr>
                <w:rStyle w:val="IndexLink"/>
                <w:rtl w:val="true"/>
              </w:rPr>
              <w:t xml:space="preserve">: </w:t>
            </w:r>
            <w:r>
              <w:rPr>
                <w:rStyle w:val="IndexLink"/>
                <w:rtl w:val="true"/>
              </w:rPr>
              <w:t>هل لولىّ الفقيه رتبةٌ فوق رتبةِ الدُّستور؟</w:t>
            </w:r>
            <w:r>
              <w:rPr>
                <w:rStyle w:val="IndexLink"/>
                <w:rtl w:val="true"/>
              </w:rPr>
              <w:tab/>
            </w:r>
            <w:r>
              <w:rPr>
                <w:rStyle w:val="IndexLink"/>
              </w:rPr>
              <w:t>387</w:t>
            </w:r>
          </w:hyperlink>
        </w:p>
        <w:p>
          <w:pPr>
            <w:pStyle w:val="Contents5"/>
            <w:tabs>
              <w:tab w:val="clear" w:pos="7892"/>
              <w:tab w:val="right" w:pos="9026" w:leader="dot"/>
            </w:tabs>
            <w:rPr/>
          </w:pPr>
          <w:hyperlink w:anchor="__RefHeading___Toc13100518_1280447820">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13100520_1280447820">
            <w:r>
              <w:rPr>
                <w:webHidden/>
                <w:rStyle w:val="IndexLink"/>
                <w:rtl w:val="true"/>
              </w:rPr>
              <w:t>و الجواب</w:t>
            </w:r>
            <w:r>
              <w:rPr>
                <w:rStyle w:val="IndexLink"/>
                <w:rtl w:val="true"/>
              </w:rPr>
              <w:t>:</w:t>
              <w:tab/>
            </w:r>
            <w:r>
              <w:rPr>
                <w:rStyle w:val="IndexLink"/>
              </w:rPr>
              <w:t>387</w:t>
            </w:r>
          </w:hyperlink>
        </w:p>
        <w:p>
          <w:pPr>
            <w:pStyle w:val="Contents4"/>
            <w:tabs>
              <w:tab w:val="clear" w:pos="8176"/>
              <w:tab w:val="right" w:pos="9026" w:leader="dot"/>
            </w:tabs>
            <w:rPr/>
          </w:pPr>
          <w:hyperlink w:anchor="__RefHeading___Toc13100522_1280447820">
            <w:r>
              <w:rPr>
                <w:webHidden/>
                <w:rStyle w:val="IndexLink"/>
                <w:rtl w:val="true"/>
              </w:rPr>
              <w:t>السؤال الثّاني ما هى النّسبة بين الولىّ الفقيه و مجلس الدُّستور؟</w:t>
            </w:r>
            <w:r>
              <w:rPr>
                <w:rStyle w:val="IndexLink"/>
                <w:rtl w:val="true"/>
              </w:rPr>
              <w:tab/>
            </w:r>
            <w:r>
              <w:rPr>
                <w:rStyle w:val="IndexLink"/>
              </w:rPr>
              <w:t>390</w:t>
            </w:r>
          </w:hyperlink>
        </w:p>
        <w:p>
          <w:pPr>
            <w:pStyle w:val="Contents5"/>
            <w:tabs>
              <w:tab w:val="clear" w:pos="7892"/>
              <w:tab w:val="right" w:pos="9026" w:leader="dot"/>
            </w:tabs>
            <w:rPr/>
          </w:pPr>
          <w:hyperlink w:anchor="__RefHeading___Toc13100524_1280447820">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13100526_1280447820">
            <w:r>
              <w:rPr>
                <w:webHidden/>
                <w:rStyle w:val="IndexLink"/>
                <w:rtl w:val="true"/>
              </w:rPr>
              <w:t>و الجواب</w:t>
            </w:r>
            <w:r>
              <w:rPr>
                <w:rStyle w:val="IndexLink"/>
                <w:rtl w:val="true"/>
              </w:rPr>
              <w:tab/>
            </w:r>
            <w:r>
              <w:rPr>
                <w:rStyle w:val="IndexLink"/>
              </w:rPr>
              <w:t>390</w:t>
            </w:r>
          </w:hyperlink>
        </w:p>
        <w:p>
          <w:pPr>
            <w:pStyle w:val="Contents4"/>
            <w:tabs>
              <w:tab w:val="clear" w:pos="8176"/>
              <w:tab w:val="right" w:pos="9026" w:leader="dot"/>
            </w:tabs>
            <w:rPr/>
          </w:pPr>
          <w:hyperlink w:anchor="__RefHeading___Toc13100528_1280447820">
            <w:r>
              <w:rPr>
                <w:webHidden/>
                <w:rStyle w:val="IndexLink"/>
                <w:rtl w:val="true"/>
              </w:rPr>
              <w:t>السؤال الثّالث ما هو المخرج عن معضلة تعدّد الولاة بتعدّد الفقهاء؟</w:t>
            </w:r>
            <w:r>
              <w:rPr>
                <w:rStyle w:val="IndexLink"/>
                <w:rtl w:val="true"/>
              </w:rPr>
              <w:tab/>
            </w:r>
            <w:r>
              <w:rPr>
                <w:rStyle w:val="IndexLink"/>
              </w:rPr>
              <w:t>391</w:t>
            </w:r>
          </w:hyperlink>
        </w:p>
        <w:p>
          <w:pPr>
            <w:pStyle w:val="Contents5"/>
            <w:tabs>
              <w:tab w:val="clear" w:pos="7892"/>
              <w:tab w:val="right" w:pos="9026" w:leader="dot"/>
            </w:tabs>
            <w:rPr/>
          </w:pPr>
          <w:hyperlink w:anchor="__RefHeading___Toc13100530_1280447820">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13100532_1280447820">
            <w:r>
              <w:rPr>
                <w:webHidden/>
                <w:rStyle w:val="IndexLink"/>
                <w:rtl w:val="true"/>
              </w:rPr>
              <w:t>و الجواب</w:t>
            </w:r>
            <w:r>
              <w:rPr>
                <w:rStyle w:val="IndexLink"/>
                <w:rtl w:val="true"/>
              </w:rPr>
              <w:tab/>
            </w:r>
            <w:r>
              <w:rPr>
                <w:rStyle w:val="IndexLink"/>
              </w:rPr>
              <w:t>391</w:t>
            </w:r>
          </w:hyperlink>
        </w:p>
        <w:p>
          <w:pPr>
            <w:pStyle w:val="Contents6"/>
            <w:tabs>
              <w:tab w:val="clear" w:pos="7609"/>
              <w:tab w:val="right" w:pos="9026" w:leader="dot"/>
            </w:tabs>
            <w:rPr/>
          </w:pPr>
          <w:hyperlink w:anchor="__RefHeading___Toc13100534_1280447820">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13100536_1280447820">
            <w:r>
              <w:rPr>
                <w:webHidden/>
                <w:rStyle w:val="IndexLink"/>
                <w:rtl w:val="true"/>
              </w:rPr>
              <w:t>الأوّل</w:t>
            </w:r>
            <w:r>
              <w:rPr>
                <w:rStyle w:val="IndexLink"/>
                <w:rtl w:val="true"/>
              </w:rPr>
              <w:t>:</w:t>
              <w:tab/>
            </w:r>
            <w:r>
              <w:rPr>
                <w:rStyle w:val="IndexLink"/>
              </w:rPr>
              <w:t>392</w:t>
            </w:r>
          </w:hyperlink>
        </w:p>
        <w:p>
          <w:pPr>
            <w:pStyle w:val="Contents6"/>
            <w:tabs>
              <w:tab w:val="clear" w:pos="7609"/>
              <w:tab w:val="right" w:pos="9026" w:leader="dot"/>
            </w:tabs>
            <w:rPr/>
          </w:pPr>
          <w:hyperlink w:anchor="__RefHeading___Toc13100538_1280447820">
            <w:r>
              <w:rPr>
                <w:webHidden/>
                <w:rStyle w:val="IndexLink"/>
                <w:rtl w:val="true"/>
              </w:rPr>
              <w:t>و الثّاني</w:t>
            </w:r>
            <w:r>
              <w:rPr>
                <w:rStyle w:val="IndexLink"/>
                <w:rtl w:val="true"/>
              </w:rPr>
              <w:t>:</w:t>
              <w:tab/>
            </w:r>
            <w:r>
              <w:rPr>
                <w:rStyle w:val="IndexLink"/>
              </w:rPr>
              <w:t>393</w:t>
            </w:r>
          </w:hyperlink>
        </w:p>
        <w:p>
          <w:pPr>
            <w:pStyle w:val="Contents6"/>
            <w:tabs>
              <w:tab w:val="clear" w:pos="7609"/>
              <w:tab w:val="right" w:pos="9026" w:leader="dot"/>
            </w:tabs>
            <w:rPr/>
          </w:pPr>
          <w:hyperlink w:anchor="__RefHeading___Toc13100540_1280447820">
            <w:r>
              <w:rPr>
                <w:webHidden/>
                <w:rStyle w:val="IndexLink"/>
                <w:rtl w:val="true"/>
              </w:rPr>
              <w:t>الثّالث</w:t>
            </w:r>
            <w:r>
              <w:rPr>
                <w:rStyle w:val="IndexLink"/>
                <w:rtl w:val="true"/>
              </w:rPr>
              <w:t>:</w:t>
              <w:tab/>
            </w:r>
            <w:r>
              <w:rPr>
                <w:rStyle w:val="IndexLink"/>
              </w:rPr>
              <w:t>393</w:t>
            </w:r>
          </w:hyperlink>
        </w:p>
        <w:p>
          <w:pPr>
            <w:pStyle w:val="Contents4"/>
            <w:tabs>
              <w:tab w:val="clear" w:pos="8176"/>
              <w:tab w:val="right" w:pos="9026" w:leader="dot"/>
            </w:tabs>
            <w:rPr/>
          </w:pPr>
          <w:hyperlink w:anchor="__RefHeading___Toc13100542_1280447820">
            <w:r>
              <w:rPr>
                <w:webHidden/>
                <w:rStyle w:val="IndexLink"/>
                <w:rtl w:val="true"/>
              </w:rPr>
              <w:t>السؤال الرّابع هل تجب الطّاعة عن جميع أوامر الولىّ و نواهيه؟</w:t>
            </w:r>
            <w:r>
              <w:rPr>
                <w:rStyle w:val="IndexLink"/>
                <w:rtl w:val="true"/>
              </w:rPr>
              <w:tab/>
            </w:r>
            <w:r>
              <w:rPr>
                <w:rStyle w:val="IndexLink"/>
              </w:rPr>
              <w:t>394</w:t>
            </w:r>
          </w:hyperlink>
        </w:p>
        <w:p>
          <w:pPr>
            <w:pStyle w:val="Contents5"/>
            <w:tabs>
              <w:tab w:val="clear" w:pos="7892"/>
              <w:tab w:val="right" w:pos="9026" w:leader="dot"/>
            </w:tabs>
            <w:rPr/>
          </w:pPr>
          <w:hyperlink w:anchor="__RefHeading___Toc13100544_1280447820">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13100546_1280447820">
            <w:r>
              <w:rPr>
                <w:webHidden/>
                <w:rStyle w:val="IndexLink"/>
                <w:rtl w:val="true"/>
              </w:rPr>
              <w:t>و الجواب</w:t>
            </w:r>
            <w:r>
              <w:rPr>
                <w:rStyle w:val="IndexLink"/>
                <w:rtl w:val="true"/>
              </w:rPr>
              <w:t>:</w:t>
              <w:tab/>
            </w:r>
            <w:r>
              <w:rPr>
                <w:rStyle w:val="IndexLink"/>
              </w:rPr>
              <w:t>394</w:t>
            </w:r>
          </w:hyperlink>
        </w:p>
        <w:p>
          <w:pPr>
            <w:pStyle w:val="Contents4"/>
            <w:tabs>
              <w:tab w:val="clear" w:pos="8176"/>
              <w:tab w:val="right" w:pos="9026" w:leader="dot"/>
            </w:tabs>
            <w:rPr/>
          </w:pPr>
          <w:hyperlink w:anchor="__RefHeading___Toc13100548_1280447820">
            <w:r>
              <w:rPr>
                <w:webHidden/>
                <w:rStyle w:val="IndexLink"/>
                <w:rtl w:val="true"/>
              </w:rPr>
              <w:t>السؤال الخامس ماهى النّسبة بين الولىّ الفقيه و مسألة الشّورىٰ؟</w:t>
            </w:r>
            <w:r>
              <w:rPr>
                <w:rStyle w:val="IndexLink"/>
                <w:rtl w:val="true"/>
              </w:rPr>
              <w:tab/>
            </w:r>
            <w:r>
              <w:rPr>
                <w:rStyle w:val="IndexLink"/>
              </w:rPr>
              <w:t>396</w:t>
            </w:r>
          </w:hyperlink>
        </w:p>
        <w:p>
          <w:pPr>
            <w:pStyle w:val="Contents5"/>
            <w:tabs>
              <w:tab w:val="clear" w:pos="7892"/>
              <w:tab w:val="right" w:pos="9026" w:leader="dot"/>
            </w:tabs>
            <w:rPr/>
          </w:pPr>
          <w:hyperlink w:anchor="__RefHeading___Toc13100550_1280447820">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13100552_1280447820">
            <w:r>
              <w:rPr>
                <w:webHidden/>
                <w:rStyle w:val="IndexLink"/>
                <w:rtl w:val="true"/>
              </w:rPr>
              <w:t>و الجواب</w:t>
            </w:r>
            <w:r>
              <w:rPr>
                <w:rStyle w:val="IndexLink"/>
                <w:rtl w:val="true"/>
              </w:rPr>
              <w:tab/>
            </w:r>
            <w:r>
              <w:rPr>
                <w:rStyle w:val="IndexLink"/>
              </w:rPr>
              <w:t>396</w:t>
            </w:r>
          </w:hyperlink>
        </w:p>
        <w:p>
          <w:pPr>
            <w:pStyle w:val="Contents6"/>
            <w:tabs>
              <w:tab w:val="clear" w:pos="7609"/>
              <w:tab w:val="right" w:pos="9026" w:leader="dot"/>
            </w:tabs>
            <w:rPr/>
          </w:pPr>
          <w:hyperlink w:anchor="__RefHeading___Toc13100554_1280447820">
            <w:r>
              <w:rPr>
                <w:webHidden/>
                <w:rStyle w:val="IndexLink"/>
                <w:rtl w:val="true"/>
              </w:rPr>
              <w:t>اشارة</w:t>
            </w:r>
            <w:r>
              <w:rPr>
                <w:rStyle w:val="IndexLink"/>
                <w:rtl w:val="true"/>
              </w:rPr>
              <w:tab/>
            </w:r>
            <w:r>
              <w:rPr>
                <w:rStyle w:val="IndexLink"/>
              </w:rPr>
              <w:t>396</w:t>
            </w:r>
          </w:hyperlink>
        </w:p>
        <w:p>
          <w:pPr>
            <w:pStyle w:val="Contents6"/>
            <w:tabs>
              <w:tab w:val="clear" w:pos="7609"/>
              <w:tab w:val="right" w:pos="9026" w:leader="dot"/>
            </w:tabs>
            <w:rPr/>
          </w:pPr>
          <w:hyperlink w:anchor="__RefHeading___Toc13100556_1280447820">
            <w:r>
              <w:rPr>
                <w:webHidden/>
                <w:rStyle w:val="IndexLink"/>
                <w:rtl w:val="true"/>
              </w:rPr>
              <w:t>النكتة الأولى</w:t>
            </w:r>
            <w:r>
              <w:rPr>
                <w:rStyle w:val="IndexLink"/>
                <w:rtl w:val="true"/>
              </w:rPr>
              <w:t>:</w:t>
              <w:tab/>
            </w:r>
            <w:r>
              <w:rPr>
                <w:rStyle w:val="IndexLink"/>
              </w:rPr>
              <w:t>396</w:t>
            </w:r>
          </w:hyperlink>
        </w:p>
        <w:p>
          <w:pPr>
            <w:pStyle w:val="Contents6"/>
            <w:tabs>
              <w:tab w:val="clear" w:pos="7609"/>
              <w:tab w:val="right" w:pos="9026" w:leader="dot"/>
            </w:tabs>
            <w:rPr/>
          </w:pPr>
          <w:hyperlink w:anchor="__RefHeading___Toc13100558_1280447820">
            <w:r>
              <w:rPr>
                <w:webHidden/>
                <w:rStyle w:val="IndexLink"/>
                <w:rtl w:val="true"/>
              </w:rPr>
              <w:t>النكتة الثّانية</w:t>
            </w:r>
            <w:r>
              <w:rPr>
                <w:rStyle w:val="IndexLink"/>
                <w:rtl w:val="true"/>
              </w:rPr>
              <w:t>:</w:t>
              <w:tab/>
            </w:r>
            <w:r>
              <w:rPr>
                <w:rStyle w:val="IndexLink"/>
              </w:rPr>
              <w:t>396</w:t>
            </w:r>
          </w:hyperlink>
        </w:p>
        <w:p>
          <w:pPr>
            <w:pStyle w:val="Contents6"/>
            <w:tabs>
              <w:tab w:val="clear" w:pos="7609"/>
              <w:tab w:val="right" w:pos="9026" w:leader="dot"/>
            </w:tabs>
            <w:rPr/>
          </w:pPr>
          <w:hyperlink w:anchor="__RefHeading___Toc13100560_1280447820">
            <w:r>
              <w:rPr>
                <w:webHidden/>
                <w:rStyle w:val="IndexLink"/>
                <w:rtl w:val="true"/>
              </w:rPr>
              <w:t>النكتة الثّالثة</w:t>
            </w:r>
            <w:r>
              <w:rPr>
                <w:rStyle w:val="IndexLink"/>
                <w:rtl w:val="true"/>
              </w:rPr>
              <w:t>:</w:t>
              <w:tab/>
            </w:r>
            <w:r>
              <w:rPr>
                <w:rStyle w:val="IndexLink"/>
              </w:rPr>
              <w:t>397</w:t>
            </w:r>
          </w:hyperlink>
        </w:p>
        <w:p>
          <w:pPr>
            <w:pStyle w:val="Contents6"/>
            <w:tabs>
              <w:tab w:val="clear" w:pos="7609"/>
              <w:tab w:val="right" w:pos="9026" w:leader="dot"/>
            </w:tabs>
            <w:rPr/>
          </w:pPr>
          <w:hyperlink w:anchor="__RefHeading___Toc13100562_1280447820">
            <w:r>
              <w:rPr>
                <w:webHidden/>
                <w:rStyle w:val="IndexLink"/>
                <w:rtl w:val="true"/>
              </w:rPr>
              <w:t>النكتة الرّابعة</w:t>
            </w:r>
            <w:r>
              <w:rPr>
                <w:rStyle w:val="IndexLink"/>
                <w:rtl w:val="true"/>
              </w:rPr>
              <w:t>:</w:t>
              <w:tab/>
            </w:r>
            <w:r>
              <w:rPr>
                <w:rStyle w:val="IndexLink"/>
              </w:rPr>
              <w:t>397</w:t>
            </w:r>
          </w:hyperlink>
        </w:p>
        <w:p>
          <w:pPr>
            <w:pStyle w:val="Contents6"/>
            <w:tabs>
              <w:tab w:val="clear" w:pos="7609"/>
              <w:tab w:val="right" w:pos="9026" w:leader="dot"/>
            </w:tabs>
            <w:rPr/>
          </w:pPr>
          <w:hyperlink w:anchor="__RefHeading___Toc13100564_1280447820">
            <w:r>
              <w:rPr>
                <w:webHidden/>
                <w:rStyle w:val="IndexLink"/>
                <w:rtl w:val="true"/>
              </w:rPr>
              <w:t>النكتة الخامسة</w:t>
            </w:r>
            <w:r>
              <w:rPr>
                <w:rStyle w:val="IndexLink"/>
                <w:rtl w:val="true"/>
              </w:rPr>
              <w:t>:</w:t>
              <w:tab/>
            </w:r>
            <w:r>
              <w:rPr>
                <w:rStyle w:val="IndexLink"/>
              </w:rPr>
              <w:t>397</w:t>
            </w:r>
          </w:hyperlink>
        </w:p>
        <w:p>
          <w:pPr>
            <w:pStyle w:val="Contents4"/>
            <w:tabs>
              <w:tab w:val="clear" w:pos="8176"/>
              <w:tab w:val="right" w:pos="9026" w:leader="dot"/>
            </w:tabs>
            <w:rPr/>
          </w:pPr>
          <w:hyperlink w:anchor="__RefHeading___Toc13100566_1280447820">
            <w:r>
              <w:rPr>
                <w:webHidden/>
                <w:rStyle w:val="IndexLink"/>
                <w:rtl w:val="true"/>
              </w:rPr>
              <w:t>السؤال السّادس هل يمكن تعدّد الولاة فى الدّول المتعدّدة؟</w:t>
            </w:r>
            <w:r>
              <w:rPr>
                <w:rStyle w:val="IndexLink"/>
                <w:rtl w:val="true"/>
              </w:rPr>
              <w:tab/>
            </w:r>
            <w:r>
              <w:rPr>
                <w:rStyle w:val="IndexLink"/>
              </w:rPr>
              <w:t>398</w:t>
            </w:r>
          </w:hyperlink>
        </w:p>
        <w:p>
          <w:pPr>
            <w:pStyle w:val="Contents5"/>
            <w:tabs>
              <w:tab w:val="clear" w:pos="7892"/>
              <w:tab w:val="right" w:pos="9026" w:leader="dot"/>
            </w:tabs>
            <w:rPr/>
          </w:pPr>
          <w:hyperlink w:anchor="__RefHeading___Toc13100568_1280447820">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13100570_1280447820">
            <w:r>
              <w:rPr>
                <w:webHidden/>
                <w:rStyle w:val="IndexLink"/>
                <w:rtl w:val="true"/>
              </w:rPr>
              <w:t>و الجواب</w:t>
            </w:r>
            <w:r>
              <w:rPr>
                <w:rStyle w:val="IndexLink"/>
                <w:rtl w:val="true"/>
              </w:rPr>
              <w:t>:</w:t>
              <w:tab/>
            </w:r>
            <w:r>
              <w:rPr>
                <w:rStyle w:val="IndexLink"/>
              </w:rPr>
              <w:t>398</w:t>
            </w:r>
          </w:hyperlink>
        </w:p>
        <w:p>
          <w:pPr>
            <w:pStyle w:val="Contents4"/>
            <w:tabs>
              <w:tab w:val="clear" w:pos="8176"/>
              <w:tab w:val="right" w:pos="9026" w:leader="dot"/>
            </w:tabs>
            <w:rPr/>
          </w:pPr>
          <w:hyperlink w:anchor="__RefHeading___Toc13100572_1280447820">
            <w:r>
              <w:rPr>
                <w:webHidden/>
                <w:rStyle w:val="IndexLink"/>
                <w:rtl w:val="true"/>
              </w:rPr>
              <w:t>السؤال السّابع هل ولاية الولىّ الفقيه تقبل التفويض أم لا؟</w:t>
            </w:r>
            <w:r>
              <w:rPr>
                <w:rStyle w:val="IndexLink"/>
                <w:rtl w:val="true"/>
              </w:rPr>
              <w:tab/>
            </w:r>
            <w:r>
              <w:rPr>
                <w:rStyle w:val="IndexLink"/>
              </w:rPr>
              <w:t>400</w:t>
            </w:r>
          </w:hyperlink>
        </w:p>
        <w:p>
          <w:pPr>
            <w:pStyle w:val="Contents5"/>
            <w:tabs>
              <w:tab w:val="clear" w:pos="7892"/>
              <w:tab w:val="right" w:pos="9026" w:leader="dot"/>
            </w:tabs>
            <w:rPr/>
          </w:pPr>
          <w:hyperlink w:anchor="__RefHeading___Toc13100574_1280447820">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13100576_1280447820">
            <w:r>
              <w:rPr>
                <w:webHidden/>
                <w:rStyle w:val="IndexLink"/>
                <w:rtl w:val="true"/>
              </w:rPr>
              <w:t>و الجواب</w:t>
            </w:r>
            <w:r>
              <w:rPr>
                <w:rStyle w:val="IndexLink"/>
                <w:rtl w:val="true"/>
              </w:rPr>
              <w:t>:</w:t>
              <w:tab/>
            </w:r>
            <w:r>
              <w:rPr>
                <w:rStyle w:val="IndexLink"/>
              </w:rPr>
              <w:t>400</w:t>
            </w:r>
          </w:hyperlink>
        </w:p>
        <w:p>
          <w:pPr>
            <w:pStyle w:val="Contents6"/>
            <w:tabs>
              <w:tab w:val="clear" w:pos="7609"/>
              <w:tab w:val="right" w:pos="9026" w:leader="dot"/>
            </w:tabs>
            <w:rPr/>
          </w:pPr>
          <w:hyperlink w:anchor="__RefHeading___Toc13100578_1280447820">
            <w:r>
              <w:rPr>
                <w:webHidden/>
                <w:rStyle w:val="IndexLink"/>
                <w:rtl w:val="true"/>
              </w:rPr>
              <w:t>اشارة</w:t>
            </w:r>
            <w:r>
              <w:rPr>
                <w:rStyle w:val="IndexLink"/>
                <w:rtl w:val="true"/>
              </w:rPr>
              <w:tab/>
            </w:r>
            <w:r>
              <w:rPr>
                <w:rStyle w:val="IndexLink"/>
              </w:rPr>
              <w:t>400</w:t>
            </w:r>
          </w:hyperlink>
        </w:p>
        <w:p>
          <w:pPr>
            <w:pStyle w:val="Contents6"/>
            <w:tabs>
              <w:tab w:val="clear" w:pos="7609"/>
              <w:tab w:val="right" w:pos="9026" w:leader="dot"/>
            </w:tabs>
            <w:rPr/>
          </w:pPr>
          <w:hyperlink w:anchor="__RefHeading___Toc13100580_1280447820">
            <w:r>
              <w:rPr>
                <w:webHidden/>
                <w:rStyle w:val="IndexLink"/>
                <w:rtl w:val="true"/>
              </w:rPr>
              <w:t>النكتة الأولى</w:t>
            </w:r>
            <w:r>
              <w:rPr>
                <w:rStyle w:val="IndexLink"/>
                <w:rtl w:val="true"/>
              </w:rPr>
              <w:t>:</w:t>
              <w:tab/>
            </w:r>
            <w:r>
              <w:rPr>
                <w:rStyle w:val="IndexLink"/>
              </w:rPr>
              <w:t>400</w:t>
            </w:r>
          </w:hyperlink>
        </w:p>
        <w:p>
          <w:pPr>
            <w:pStyle w:val="Contents6"/>
            <w:tabs>
              <w:tab w:val="clear" w:pos="7609"/>
              <w:tab w:val="right" w:pos="9026" w:leader="dot"/>
            </w:tabs>
            <w:rPr/>
          </w:pPr>
          <w:hyperlink w:anchor="__RefHeading___Toc13100582_1280447820">
            <w:r>
              <w:rPr>
                <w:webHidden/>
                <w:rStyle w:val="IndexLink"/>
                <w:rtl w:val="true"/>
              </w:rPr>
              <w:t>النكتة الثّانية</w:t>
            </w:r>
            <w:r>
              <w:rPr>
                <w:rStyle w:val="IndexLink"/>
                <w:rtl w:val="true"/>
              </w:rPr>
              <w:t>:</w:t>
              <w:tab/>
            </w:r>
            <w:r>
              <w:rPr>
                <w:rStyle w:val="IndexLink"/>
              </w:rPr>
              <w:t>400</w:t>
            </w:r>
          </w:hyperlink>
        </w:p>
        <w:p>
          <w:pPr>
            <w:pStyle w:val="Contents6"/>
            <w:tabs>
              <w:tab w:val="clear" w:pos="7609"/>
              <w:tab w:val="right" w:pos="9026" w:leader="dot"/>
            </w:tabs>
            <w:rPr/>
          </w:pPr>
          <w:hyperlink w:anchor="__RefHeading___Toc13100584_1280447820">
            <w:r>
              <w:rPr>
                <w:webHidden/>
                <w:rStyle w:val="IndexLink"/>
                <w:rtl w:val="true"/>
              </w:rPr>
              <w:t>النكتة الثّالثة</w:t>
            </w:r>
            <w:r>
              <w:rPr>
                <w:rStyle w:val="IndexLink"/>
                <w:rtl w:val="true"/>
              </w:rPr>
              <w:t>:</w:t>
              <w:tab/>
            </w:r>
            <w:r>
              <w:rPr>
                <w:rStyle w:val="IndexLink"/>
              </w:rPr>
              <w:t>401</w:t>
            </w:r>
          </w:hyperlink>
        </w:p>
        <w:p>
          <w:pPr>
            <w:pStyle w:val="Contents4"/>
            <w:tabs>
              <w:tab w:val="clear" w:pos="8176"/>
              <w:tab w:val="right" w:pos="9026" w:leader="dot"/>
            </w:tabs>
            <w:rPr/>
          </w:pPr>
          <w:hyperlink w:anchor="__RefHeading___Toc13100586_1280447820">
            <w:r>
              <w:rPr>
                <w:webHidden/>
                <w:rStyle w:val="IndexLink"/>
                <w:rtl w:val="true"/>
              </w:rPr>
              <w:t>السؤال الثّامن ما هو حكمُ مَن خالف الولىّ الفقيه؟</w:t>
            </w:r>
            <w:r>
              <w:rPr>
                <w:rStyle w:val="IndexLink"/>
                <w:rtl w:val="true"/>
              </w:rPr>
              <w:tab/>
            </w:r>
            <w:r>
              <w:rPr>
                <w:rStyle w:val="IndexLink"/>
              </w:rPr>
              <w:t>402</w:t>
            </w:r>
          </w:hyperlink>
        </w:p>
        <w:p>
          <w:pPr>
            <w:pStyle w:val="Contents5"/>
            <w:tabs>
              <w:tab w:val="clear" w:pos="7892"/>
              <w:tab w:val="right" w:pos="9026" w:leader="dot"/>
            </w:tabs>
            <w:rPr/>
          </w:pPr>
          <w:hyperlink w:anchor="__RefHeading___Toc13100588_1280447820">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13100590_1280447820">
            <w:r>
              <w:rPr>
                <w:webHidden/>
                <w:rStyle w:val="IndexLink"/>
                <w:rtl w:val="true"/>
              </w:rPr>
              <w:t>و الجواب</w:t>
            </w:r>
            <w:r>
              <w:rPr>
                <w:rStyle w:val="IndexLink"/>
                <w:rtl w:val="true"/>
              </w:rPr>
              <w:t>:</w:t>
              <w:tab/>
            </w:r>
            <w:r>
              <w:rPr>
                <w:rStyle w:val="IndexLink"/>
              </w:rPr>
              <w:t>402</w:t>
            </w:r>
          </w:hyperlink>
        </w:p>
        <w:p>
          <w:pPr>
            <w:pStyle w:val="Contents4"/>
            <w:tabs>
              <w:tab w:val="clear" w:pos="8176"/>
              <w:tab w:val="right" w:pos="9026" w:leader="dot"/>
            </w:tabs>
            <w:rPr/>
          </w:pPr>
          <w:hyperlink w:anchor="__RefHeading___Toc13100592_1280447820">
            <w:r>
              <w:rPr>
                <w:webHidden/>
                <w:rStyle w:val="IndexLink"/>
                <w:rtl w:val="true"/>
              </w:rPr>
              <w:t>السؤال التّاسع ما هو معنى الإطلاق فى ولاية الفقيه المطلقة؟</w:t>
            </w:r>
            <w:r>
              <w:rPr>
                <w:rStyle w:val="IndexLink"/>
                <w:rtl w:val="true"/>
              </w:rPr>
              <w:tab/>
            </w:r>
            <w:r>
              <w:rPr>
                <w:rStyle w:val="IndexLink"/>
              </w:rPr>
              <w:t>405</w:t>
            </w:r>
          </w:hyperlink>
        </w:p>
        <w:p>
          <w:pPr>
            <w:pStyle w:val="Contents5"/>
            <w:tabs>
              <w:tab w:val="clear" w:pos="7892"/>
              <w:tab w:val="right" w:pos="9026" w:leader="dot"/>
            </w:tabs>
            <w:rPr/>
          </w:pPr>
          <w:hyperlink w:anchor="__RefHeading___Toc13100594_1280447820">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13100596_1280447820">
            <w:r>
              <w:rPr>
                <w:webHidden/>
                <w:rStyle w:val="IndexLink"/>
                <w:rtl w:val="true"/>
              </w:rPr>
              <w:t>و الجواب</w:t>
            </w:r>
            <w:r>
              <w:rPr>
                <w:rStyle w:val="IndexLink"/>
                <w:rtl w:val="true"/>
              </w:rPr>
              <w:tab/>
            </w:r>
            <w:r>
              <w:rPr>
                <w:rStyle w:val="IndexLink"/>
              </w:rPr>
              <w:t>405</w:t>
            </w:r>
          </w:hyperlink>
        </w:p>
        <w:p>
          <w:pPr>
            <w:pStyle w:val="Contents6"/>
            <w:tabs>
              <w:tab w:val="clear" w:pos="7609"/>
              <w:tab w:val="right" w:pos="9026" w:leader="dot"/>
            </w:tabs>
            <w:rPr/>
          </w:pPr>
          <w:hyperlink w:anchor="__RefHeading___Toc13100598_1280447820">
            <w:r>
              <w:rPr>
                <w:webHidden/>
                <w:rStyle w:val="IndexLink"/>
                <w:rtl w:val="true"/>
              </w:rPr>
              <w:t>اشارة</w:t>
            </w:r>
            <w:r>
              <w:rPr>
                <w:rStyle w:val="IndexLink"/>
                <w:rtl w:val="true"/>
              </w:rPr>
              <w:tab/>
            </w:r>
            <w:r>
              <w:rPr>
                <w:rStyle w:val="IndexLink"/>
              </w:rPr>
              <w:t>405</w:t>
            </w:r>
          </w:hyperlink>
        </w:p>
        <w:p>
          <w:pPr>
            <w:pStyle w:val="Contents6"/>
            <w:tabs>
              <w:tab w:val="clear" w:pos="7609"/>
              <w:tab w:val="right" w:pos="9026" w:leader="dot"/>
            </w:tabs>
            <w:rPr/>
          </w:pPr>
          <w:hyperlink w:anchor="__RefHeading___Toc13100600_1280447820">
            <w:r>
              <w:rPr>
                <w:webHidden/>
                <w:rStyle w:val="IndexLink"/>
                <w:rtl w:val="true"/>
              </w:rPr>
              <w:t>النكتة الأولى</w:t>
            </w:r>
            <w:r>
              <w:rPr>
                <w:rStyle w:val="IndexLink"/>
                <w:rtl w:val="true"/>
              </w:rPr>
              <w:t>:</w:t>
              <w:tab/>
            </w:r>
            <w:r>
              <w:rPr>
                <w:rStyle w:val="IndexLink"/>
              </w:rPr>
              <w:t>405</w:t>
            </w:r>
          </w:hyperlink>
        </w:p>
        <w:p>
          <w:pPr>
            <w:pStyle w:val="Contents6"/>
            <w:tabs>
              <w:tab w:val="clear" w:pos="7609"/>
              <w:tab w:val="right" w:pos="9026" w:leader="dot"/>
            </w:tabs>
            <w:rPr/>
          </w:pPr>
          <w:hyperlink w:anchor="__RefHeading___Toc13100602_1280447820">
            <w:r>
              <w:rPr>
                <w:webHidden/>
                <w:rStyle w:val="IndexLink"/>
                <w:rtl w:val="true"/>
              </w:rPr>
              <w:t>النكتة الثّانية</w:t>
            </w:r>
            <w:r>
              <w:rPr>
                <w:rStyle w:val="IndexLink"/>
                <w:rtl w:val="true"/>
              </w:rPr>
              <w:t>:</w:t>
              <w:tab/>
            </w:r>
            <w:r>
              <w:rPr>
                <w:rStyle w:val="IndexLink"/>
              </w:rPr>
              <w:t>405</w:t>
            </w:r>
          </w:hyperlink>
        </w:p>
        <w:p>
          <w:pPr>
            <w:pStyle w:val="Contents6"/>
            <w:tabs>
              <w:tab w:val="clear" w:pos="7609"/>
              <w:tab w:val="right" w:pos="9026" w:leader="dot"/>
            </w:tabs>
            <w:rPr/>
          </w:pPr>
          <w:hyperlink w:anchor="__RefHeading___Toc13100604_1280447820">
            <w:r>
              <w:rPr>
                <w:webHidden/>
                <w:rStyle w:val="IndexLink"/>
                <w:rtl w:val="true"/>
              </w:rPr>
              <w:t>النكتة الثّالثة</w:t>
            </w:r>
            <w:r>
              <w:rPr>
                <w:rStyle w:val="IndexLink"/>
                <w:rtl w:val="true"/>
              </w:rPr>
              <w:t>:</w:t>
              <w:tab/>
            </w:r>
            <w:r>
              <w:rPr>
                <w:rStyle w:val="IndexLink"/>
              </w:rPr>
              <w:t>406</w:t>
            </w:r>
          </w:hyperlink>
        </w:p>
        <w:p>
          <w:pPr>
            <w:pStyle w:val="Contents6"/>
            <w:tabs>
              <w:tab w:val="clear" w:pos="7609"/>
              <w:tab w:val="right" w:pos="9026" w:leader="dot"/>
            </w:tabs>
            <w:rPr/>
          </w:pPr>
          <w:hyperlink w:anchor="__RefHeading___Toc13100606_1280447820">
            <w:r>
              <w:rPr>
                <w:webHidden/>
                <w:rStyle w:val="IndexLink"/>
                <w:rtl w:val="true"/>
              </w:rPr>
              <w:t>النكتة الرّابعة</w:t>
            </w:r>
            <w:r>
              <w:rPr>
                <w:rStyle w:val="IndexLink"/>
                <w:rtl w:val="true"/>
              </w:rPr>
              <w:t>:</w:t>
              <w:tab/>
            </w:r>
            <w:r>
              <w:rPr>
                <w:rStyle w:val="IndexLink"/>
              </w:rPr>
              <w:t>407</w:t>
            </w:r>
          </w:hyperlink>
        </w:p>
        <w:p>
          <w:pPr>
            <w:pStyle w:val="Contents6"/>
            <w:tabs>
              <w:tab w:val="clear" w:pos="7609"/>
              <w:tab w:val="right" w:pos="9026" w:leader="dot"/>
            </w:tabs>
            <w:rPr/>
          </w:pPr>
          <w:hyperlink w:anchor="__RefHeading___Toc13100608_1280447820">
            <w:r>
              <w:rPr>
                <w:webHidden/>
                <w:rStyle w:val="IndexLink"/>
                <w:rtl w:val="true"/>
              </w:rPr>
              <w:t>النكتة الخامسة</w:t>
            </w:r>
            <w:r>
              <w:rPr>
                <w:rStyle w:val="IndexLink"/>
                <w:rtl w:val="true"/>
              </w:rPr>
              <w:t>:</w:t>
              <w:tab/>
            </w:r>
            <w:r>
              <w:rPr>
                <w:rStyle w:val="IndexLink"/>
              </w:rPr>
              <w:t>407</w:t>
            </w:r>
          </w:hyperlink>
        </w:p>
        <w:p>
          <w:pPr>
            <w:pStyle w:val="Contents4"/>
            <w:tabs>
              <w:tab w:val="clear" w:pos="8176"/>
              <w:tab w:val="right" w:pos="9026" w:leader="dot"/>
            </w:tabs>
            <w:rPr/>
          </w:pPr>
          <w:hyperlink w:anchor="__RefHeading___Toc13100610_1280447820">
            <w:r>
              <w:rPr>
                <w:webHidden/>
                <w:rStyle w:val="IndexLink"/>
                <w:rtl w:val="true"/>
              </w:rPr>
              <w:t>السؤال العاشرمَن هو الّذى يعيّن خيارات الولىّ و مسئوليّاتها؟</w:t>
            </w:r>
            <w:r>
              <w:rPr>
                <w:rStyle w:val="IndexLink"/>
                <w:rtl w:val="true"/>
              </w:rPr>
              <w:tab/>
            </w:r>
            <w:r>
              <w:rPr>
                <w:rStyle w:val="IndexLink"/>
              </w:rPr>
              <w:t>409</w:t>
            </w:r>
          </w:hyperlink>
        </w:p>
        <w:p>
          <w:pPr>
            <w:pStyle w:val="Contents5"/>
            <w:tabs>
              <w:tab w:val="clear" w:pos="7892"/>
              <w:tab w:val="right" w:pos="9026" w:leader="dot"/>
            </w:tabs>
            <w:rPr/>
          </w:pPr>
          <w:hyperlink w:anchor="__RefHeading___Toc13100612_1280447820">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13100614_1280447820">
            <w:r>
              <w:rPr>
                <w:webHidden/>
                <w:rStyle w:val="IndexLink"/>
                <w:rtl w:val="true"/>
              </w:rPr>
              <w:t>و الجواب</w:t>
            </w:r>
            <w:r>
              <w:rPr>
                <w:rStyle w:val="IndexLink"/>
                <w:rtl w:val="true"/>
              </w:rPr>
              <w:tab/>
            </w:r>
            <w:r>
              <w:rPr>
                <w:rStyle w:val="IndexLink"/>
              </w:rPr>
              <w:t>409</w:t>
            </w:r>
          </w:hyperlink>
        </w:p>
        <w:p>
          <w:pPr>
            <w:pStyle w:val="Contents4"/>
            <w:tabs>
              <w:tab w:val="clear" w:pos="8176"/>
              <w:tab w:val="right" w:pos="9026" w:leader="dot"/>
            </w:tabs>
            <w:rPr/>
          </w:pPr>
          <w:hyperlink w:anchor="__RefHeading___Toc13100616_1280447820">
            <w:r>
              <w:rPr>
                <w:webHidden/>
                <w:rStyle w:val="IndexLink"/>
                <w:rtl w:val="true"/>
              </w:rPr>
              <w:t>السؤال الحادي عشرهل يمكن تقييد ولاية الفقيه لمدّةٍ معلومة؟</w:t>
            </w:r>
            <w:r>
              <w:rPr>
                <w:rStyle w:val="IndexLink"/>
                <w:rtl w:val="true"/>
              </w:rPr>
              <w:tab/>
            </w:r>
            <w:r>
              <w:rPr>
                <w:rStyle w:val="IndexLink"/>
              </w:rPr>
              <w:t>411</w:t>
            </w:r>
          </w:hyperlink>
        </w:p>
        <w:p>
          <w:pPr>
            <w:pStyle w:val="Contents5"/>
            <w:tabs>
              <w:tab w:val="clear" w:pos="7892"/>
              <w:tab w:val="right" w:pos="9026" w:leader="dot"/>
            </w:tabs>
            <w:rPr/>
          </w:pPr>
          <w:hyperlink w:anchor="__RefHeading___Toc13100618_1280447820">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13100620_1280447820">
            <w:r>
              <w:rPr>
                <w:webHidden/>
                <w:rStyle w:val="IndexLink"/>
                <w:rtl w:val="true"/>
              </w:rPr>
              <w:t>و الجواب</w:t>
            </w:r>
            <w:r>
              <w:rPr>
                <w:rStyle w:val="IndexLink"/>
                <w:rtl w:val="true"/>
              </w:rPr>
              <w:tab/>
            </w:r>
            <w:r>
              <w:rPr>
                <w:rStyle w:val="IndexLink"/>
              </w:rPr>
              <w:t>411</w:t>
            </w:r>
          </w:hyperlink>
        </w:p>
        <w:p>
          <w:pPr>
            <w:pStyle w:val="Contents6"/>
            <w:tabs>
              <w:tab w:val="clear" w:pos="7609"/>
              <w:tab w:val="right" w:pos="9026" w:leader="dot"/>
            </w:tabs>
            <w:rPr/>
          </w:pPr>
          <w:hyperlink w:anchor="__RefHeading___Toc13100622_1280447820">
            <w:r>
              <w:rPr>
                <w:webHidden/>
                <w:rStyle w:val="IndexLink"/>
                <w:rtl w:val="true"/>
              </w:rPr>
              <w:t>اشارة</w:t>
            </w:r>
            <w:r>
              <w:rPr>
                <w:rStyle w:val="IndexLink"/>
                <w:rtl w:val="true"/>
              </w:rPr>
              <w:tab/>
            </w:r>
            <w:r>
              <w:rPr>
                <w:rStyle w:val="IndexLink"/>
              </w:rPr>
              <w:t>411</w:t>
            </w:r>
          </w:hyperlink>
        </w:p>
        <w:p>
          <w:pPr>
            <w:pStyle w:val="Contents6"/>
            <w:tabs>
              <w:tab w:val="clear" w:pos="7609"/>
              <w:tab w:val="right" w:pos="9026" w:leader="dot"/>
            </w:tabs>
            <w:rPr/>
          </w:pPr>
          <w:hyperlink w:anchor="__RefHeading___Toc13100624_1280447820">
            <w:r>
              <w:rPr>
                <w:webHidden/>
                <w:rStyle w:val="IndexLink"/>
                <w:rtl w:val="true"/>
              </w:rPr>
              <w:t>النكتة الأولى</w:t>
            </w:r>
            <w:r>
              <w:rPr>
                <w:rStyle w:val="IndexLink"/>
                <w:rtl w:val="true"/>
              </w:rPr>
              <w:t>:</w:t>
              <w:tab/>
            </w:r>
            <w:r>
              <w:rPr>
                <w:rStyle w:val="IndexLink"/>
              </w:rPr>
              <w:t>411</w:t>
            </w:r>
          </w:hyperlink>
        </w:p>
        <w:p>
          <w:pPr>
            <w:pStyle w:val="Contents6"/>
            <w:tabs>
              <w:tab w:val="clear" w:pos="7609"/>
              <w:tab w:val="right" w:pos="9026" w:leader="dot"/>
            </w:tabs>
            <w:rPr/>
          </w:pPr>
          <w:hyperlink w:anchor="__RefHeading___Toc13100626_1280447820">
            <w:r>
              <w:rPr>
                <w:webHidden/>
                <w:rStyle w:val="IndexLink"/>
                <w:rtl w:val="true"/>
              </w:rPr>
              <w:t>النكتة الثّانية</w:t>
            </w:r>
            <w:r>
              <w:rPr>
                <w:rStyle w:val="IndexLink"/>
                <w:rtl w:val="true"/>
              </w:rPr>
              <w:t>:</w:t>
              <w:tab/>
            </w:r>
            <w:r>
              <w:rPr>
                <w:rStyle w:val="IndexLink"/>
              </w:rPr>
              <w:t>411</w:t>
            </w:r>
          </w:hyperlink>
        </w:p>
        <w:p>
          <w:pPr>
            <w:pStyle w:val="Contents6"/>
            <w:tabs>
              <w:tab w:val="clear" w:pos="7609"/>
              <w:tab w:val="right" w:pos="9026" w:leader="dot"/>
            </w:tabs>
            <w:rPr/>
          </w:pPr>
          <w:hyperlink w:anchor="__RefHeading___Toc13100628_1280447820">
            <w:r>
              <w:rPr>
                <w:webHidden/>
                <w:rStyle w:val="IndexLink"/>
                <w:rtl w:val="true"/>
              </w:rPr>
              <w:t>النكتة الثّالثة</w:t>
            </w:r>
            <w:r>
              <w:rPr>
                <w:rStyle w:val="IndexLink"/>
                <w:rtl w:val="true"/>
              </w:rPr>
              <w:t>:</w:t>
              <w:tab/>
            </w:r>
            <w:r>
              <w:rPr>
                <w:rStyle w:val="IndexLink"/>
              </w:rPr>
              <w:t>411</w:t>
            </w:r>
          </w:hyperlink>
        </w:p>
        <w:p>
          <w:pPr>
            <w:pStyle w:val="Contents6"/>
            <w:tabs>
              <w:tab w:val="clear" w:pos="7609"/>
              <w:tab w:val="right" w:pos="9026" w:leader="dot"/>
            </w:tabs>
            <w:rPr/>
          </w:pPr>
          <w:hyperlink w:anchor="__RefHeading___Toc13100630_1280447820">
            <w:r>
              <w:rPr>
                <w:webHidden/>
                <w:rStyle w:val="IndexLink"/>
                <w:rtl w:val="true"/>
              </w:rPr>
              <w:t>النكتة الرّابعة</w:t>
            </w:r>
            <w:r>
              <w:rPr>
                <w:rStyle w:val="IndexLink"/>
                <w:rtl w:val="true"/>
              </w:rPr>
              <w:t>:</w:t>
              <w:tab/>
            </w:r>
            <w:r>
              <w:rPr>
                <w:rStyle w:val="IndexLink"/>
              </w:rPr>
              <w:t>412</w:t>
            </w:r>
          </w:hyperlink>
        </w:p>
        <w:p>
          <w:pPr>
            <w:pStyle w:val="Contents4"/>
            <w:tabs>
              <w:tab w:val="clear" w:pos="8176"/>
              <w:tab w:val="right" w:pos="9026" w:leader="dot"/>
            </w:tabs>
            <w:rPr/>
          </w:pPr>
          <w:hyperlink w:anchor="__RefHeading___Toc13100632_1280447820">
            <w:r>
              <w:rPr>
                <w:webHidden/>
                <w:rStyle w:val="IndexLink"/>
                <w:rtl w:val="true"/>
              </w:rPr>
              <w:t>السؤال الثّاني عشرما هو معنى الإلتزام القلبىّ و العملىّ بولاية الفقيه؟</w:t>
            </w:r>
            <w:r>
              <w:rPr>
                <w:rStyle w:val="IndexLink"/>
                <w:rtl w:val="true"/>
              </w:rPr>
              <w:tab/>
            </w:r>
            <w:r>
              <w:rPr>
                <w:rStyle w:val="IndexLink"/>
              </w:rPr>
              <w:t>413</w:t>
            </w:r>
          </w:hyperlink>
        </w:p>
        <w:p>
          <w:pPr>
            <w:pStyle w:val="Contents5"/>
            <w:tabs>
              <w:tab w:val="clear" w:pos="7892"/>
              <w:tab w:val="right" w:pos="9026" w:leader="dot"/>
            </w:tabs>
            <w:rPr/>
          </w:pPr>
          <w:hyperlink w:anchor="__RefHeading___Toc13100634_1280447820">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13100636_1280447820">
            <w:r>
              <w:rPr>
                <w:webHidden/>
                <w:rStyle w:val="IndexLink"/>
                <w:rtl w:val="true"/>
              </w:rPr>
              <w:t>و الجواب</w:t>
            </w:r>
            <w:r>
              <w:rPr>
                <w:rStyle w:val="IndexLink"/>
                <w:rtl w:val="true"/>
              </w:rPr>
              <w:t>:</w:t>
              <w:tab/>
            </w:r>
            <w:r>
              <w:rPr>
                <w:rStyle w:val="IndexLink"/>
              </w:rPr>
              <w:t>413</w:t>
            </w:r>
          </w:hyperlink>
        </w:p>
        <w:p>
          <w:pPr>
            <w:pStyle w:val="Contents6"/>
            <w:tabs>
              <w:tab w:val="clear" w:pos="7609"/>
              <w:tab w:val="right" w:pos="9026" w:leader="dot"/>
            </w:tabs>
            <w:rPr/>
          </w:pPr>
          <w:hyperlink w:anchor="__RefHeading___Toc13100638_1280447820">
            <w:r>
              <w:rPr>
                <w:webHidden/>
                <w:rStyle w:val="IndexLink"/>
                <w:rtl w:val="true"/>
              </w:rPr>
              <w:t>اشارة</w:t>
            </w:r>
            <w:r>
              <w:rPr>
                <w:rStyle w:val="IndexLink"/>
                <w:rtl w:val="true"/>
              </w:rPr>
              <w:tab/>
            </w:r>
            <w:r>
              <w:rPr>
                <w:rStyle w:val="IndexLink"/>
              </w:rPr>
              <w:t>413</w:t>
            </w:r>
          </w:hyperlink>
        </w:p>
        <w:p>
          <w:pPr>
            <w:pStyle w:val="Contents6"/>
            <w:tabs>
              <w:tab w:val="clear" w:pos="7609"/>
              <w:tab w:val="right" w:pos="9026" w:leader="dot"/>
            </w:tabs>
            <w:rPr/>
          </w:pPr>
          <w:hyperlink w:anchor="__RefHeading___Toc13100640_1280447820">
            <w:r>
              <w:rPr>
                <w:webHidden/>
                <w:rStyle w:val="IndexLink"/>
                <w:rtl w:val="true"/>
              </w:rPr>
              <w:t>النكتة الأولى</w:t>
            </w:r>
            <w:r>
              <w:rPr>
                <w:rStyle w:val="IndexLink"/>
                <w:rtl w:val="true"/>
              </w:rPr>
              <w:t>:</w:t>
              <w:tab/>
            </w:r>
            <w:r>
              <w:rPr>
                <w:rStyle w:val="IndexLink"/>
              </w:rPr>
              <w:t>413</w:t>
            </w:r>
          </w:hyperlink>
        </w:p>
        <w:p>
          <w:pPr>
            <w:pStyle w:val="Contents6"/>
            <w:tabs>
              <w:tab w:val="clear" w:pos="7609"/>
              <w:tab w:val="right" w:pos="9026" w:leader="dot"/>
            </w:tabs>
            <w:rPr/>
          </w:pPr>
          <w:hyperlink w:anchor="__RefHeading___Toc13100642_1280447820">
            <w:r>
              <w:rPr>
                <w:webHidden/>
                <w:rStyle w:val="IndexLink"/>
                <w:rtl w:val="true"/>
              </w:rPr>
              <w:t>النكتة الثّانية</w:t>
            </w:r>
            <w:r>
              <w:rPr>
                <w:rStyle w:val="IndexLink"/>
                <w:rtl w:val="true"/>
              </w:rPr>
              <w:t>:</w:t>
              <w:tab/>
            </w:r>
            <w:r>
              <w:rPr>
                <w:rStyle w:val="IndexLink"/>
              </w:rPr>
              <w:t>414</w:t>
            </w:r>
          </w:hyperlink>
        </w:p>
        <w:p>
          <w:pPr>
            <w:pStyle w:val="Contents2"/>
            <w:tabs>
              <w:tab w:val="clear" w:pos="8743"/>
              <w:tab w:val="right" w:pos="9026" w:leader="dot"/>
            </w:tabs>
            <w:rPr/>
          </w:pPr>
          <w:hyperlink w:anchor="__RefHeading___Toc13100644_1280447820">
            <w:r>
              <w:rPr>
                <w:webHidden/>
                <w:rStyle w:val="IndexLink"/>
                <w:rtl w:val="true"/>
              </w:rPr>
              <w:t>الفهرس التفصيلى</w:t>
            </w:r>
            <w:r>
              <w:rPr>
                <w:rStyle w:val="IndexLink"/>
                <w:rtl w:val="true"/>
              </w:rPr>
              <w:tab/>
            </w:r>
            <w:r>
              <w:rPr>
                <w:rStyle w:val="IndexLink"/>
              </w:rPr>
              <w:t>416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87_179623"/>
      <w:bookmarkStart w:id="1" w:name="pg18987_179623"/>
      <w:bookmarkEnd w:id="1"/>
    </w:p>
    <w:p>
      <w:pPr>
        <w:pStyle w:val="Heading2"/>
        <w:numPr>
          <w:ilvl w:val="1"/>
          <w:numId w:val="1"/>
        </w:numPr>
        <w:rPr/>
      </w:pPr>
      <w:bookmarkStart w:id="2" w:name="pg18987_179623"/>
      <w:bookmarkStart w:id="3" w:name="__RefHeading___Toc13099590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پدیدآورانده مظاهری،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زاده،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ناشرمؤسسة الزهراء عليهاالسلام الثقافية الدراسية</w:t>
      </w:r>
    </w:p>
    <w:p>
      <w:pPr>
        <w:pStyle w:val="BookText"/>
        <w:rPr/>
      </w:pPr>
      <w:r>
        <w:rPr>
          <w:rFonts w:ascii="IRNazanin" w:hAnsi="IRNazanin" w:eastAsia="IRNazanin"/>
          <w:color w:val="111111"/>
          <w:sz w:val="28"/>
          <w:sz w:val="28"/>
          <w:szCs w:val="28"/>
          <w:rtl w:val="true"/>
          <w:lang w:bidi="fa-IR"/>
        </w:rPr>
        <w:t xml:space="preserve">مکان نشرايران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شابک</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زبان 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کد کنگره‌ 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223/8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محرر رقمی میثم حیدری</w:t>
      </w:r>
    </w:p>
    <w:p>
      <w:pPr>
        <w:pStyle w:val="BookText"/>
        <w:rPr/>
      </w:pPr>
      <w:r>
        <w:rPr>
          <w:rFonts w:ascii="IRNazanin" w:hAnsi="IRNazanin" w:eastAsia="IRNazanin"/>
          <w:color w:val="111111"/>
          <w:sz w:val="28"/>
          <w:sz w:val="28"/>
          <w:szCs w:val="28"/>
          <w:rtl w:val="true"/>
          <w:lang w:bidi="fa-IR"/>
        </w:rPr>
        <w:t xml:space="preserve">فقه الولاية و الحكومة الإسلامية، تقریر بخشی از دروس خارج فقه آیت‌الله حسین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موضوع ولایت فقیه و حکومت اسلامی است که مجید هادی‌زاده آن را به زبان عربی به نگارش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مطالعه مفصلی، برای نشان دادن و تحلیل تئوری ولایت فقیه و حکومت اسلامی بشمار می‌رود که توسط یکی از برجسته‌ترین شاگردان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فضلای حوزه علمیه اصفهان تدریس و ارائه شده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99592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الصورة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4" o:detectmouseclick="t"/>
                <v:stroke color="#3465a4" joinstyle="round" endcap="flat"/>
                <w10:wrap type="none"/>
              </v:shape>
            </w:pict>
          </mc:Fallback>
        </mc:AlternateContent>
      </w:r>
      <w:bookmarkStart w:id="7" w:name="pg18987_179627"/>
    </w:p>
    <w:p>
      <w:pPr>
        <w:pStyle w:val="Heading2"/>
        <w:numPr>
          <w:ilvl w:val="1"/>
          <w:numId w:val="1"/>
        </w:numPr>
        <w:rPr/>
      </w:pPr>
      <w:bookmarkStart w:id="8" w:name="__RefHeading___Toc13099594_1280447820"/>
      <w:bookmarkStart w:id="9" w:name="_Toc3"/>
      <w:bookmarkEnd w:id="7"/>
      <w:bookmarkEnd w:id="8"/>
      <w:r>
        <w:rPr>
          <w:rtl w:val="true"/>
        </w:rPr>
        <w:t>الفهرس الإجمالى</w:t>
      </w:r>
      <w:bookmarkEnd w:id="9"/>
    </w:p>
    <w:p>
      <w:pPr>
        <w:pStyle w:val="BookText"/>
        <w:rPr/>
      </w:pPr>
      <w:r>
        <w:rPr>
          <w:rFonts w:ascii="Amiri" w:hAnsi="Amiri" w:eastAsia="Amiri" w:cs="Amiri"/>
          <w:color w:val="111111"/>
          <w:sz w:val="28"/>
          <w:sz w:val="28"/>
          <w:szCs w:val="28"/>
          <w:rtl w:val="true"/>
          <w:lang w:bidi="ar-SA"/>
        </w:rPr>
        <w:t>الصورة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5"/>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6" o:detectmouseclick="t"/>
                <v:stroke color="#3465a4" joinstyle="round" endcap="flat"/>
                <w10:wrap type="none"/>
              </v:shape>
            </w:pict>
          </mc:Fallback>
        </mc:AlternateContent>
      </w:r>
      <w:bookmarkStart w:id="10" w:name="pg18987_179631"/>
    </w:p>
    <w:p>
      <w:pPr>
        <w:pStyle w:val="Heading2"/>
        <w:numPr>
          <w:ilvl w:val="1"/>
          <w:numId w:val="1"/>
        </w:numPr>
        <w:rPr/>
      </w:pPr>
      <w:bookmarkStart w:id="11" w:name="__RefHeading___Toc13099596_1280447820"/>
      <w:bookmarkStart w:id="12" w:name="_Toc4"/>
      <w:bookmarkEnd w:id="10"/>
      <w:bookmarkEnd w:id="11"/>
      <w:r>
        <w:rPr>
          <w:rtl w:val="true"/>
        </w:rPr>
        <w:t>تصديرٌ</w:t>
      </w:r>
      <w:bookmarkEnd w:id="12"/>
    </w:p>
    <w:p>
      <w:pPr>
        <w:pStyle w:val="BookText"/>
        <w:rPr/>
      </w:pPr>
      <w:r>
        <w:rPr>
          <w:rFonts w:ascii="Amiri" w:hAnsi="Amiri" w:eastAsia="Amiri" w:cs="Amiri"/>
          <w:color w:val="111111"/>
          <w:sz w:val="28"/>
          <w:sz w:val="28"/>
          <w:szCs w:val="28"/>
          <w:rtl w:val="true"/>
          <w:lang w:bidi="ar-SA"/>
        </w:rPr>
        <w:t>الحمدللّه و الصّلوة على رسول اللّه و على آله آل اللّه و لا سيّما بقيّة اللّه إلى يوم 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بعد؛ لا يخفىٰ على الباحثين فى علم الفقه، أنَّ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نظريّةٌ عريقة فى الفقه الإمامىّ، و الاعتقاد بهذه الفِكرة بين فقهاء الاماميّة قدس سرهم ليست طارئة أصلاً، و إنّما طُرحت مباحث فقه الحكومة و الولاية على بساط الدّراسةُ منذ عصر السّنةٌ الشريفة و هو عهد حضور الأَئمّة المعصومين عليهم السلام و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أنّ لجميع أركان الفقه و التّفقه، بحوثاً عديدة فى مضمار هذه الأطروحة فى الابواب الفقهيّة المختلفة، اعمّ من العباديّة و الإجتماعيّة و الإقتصاديّة و الجزائيّة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الحدود الإلهيّة الّتى يقيم بها حكم اللّه تعالىٰ و ينشر بها القسط و العدل فى المجتمع البشرىّ، بطبيعة الحال تستدعى وجود الحكم و الحكومة و لا يمكن إجرائها و تنفيذها إلّاتحت ظلال دولةٍ قويّة و عادلة و ولاية حاكمٍ صالحٍ و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تناول أعلام الطّائفة الإماميّة قدس سرهم من الشيخ الصّدوق قدس سره إلى المعاصرين من فقهائنها العظام، هذه النّظرية بالبحث و التنقيب فى تصانيفهم و مسفوراتهم</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يبدو للمتُتبِّع أنّ هذه الفِكرة كَسائر النّظريّات، قد طوت مراحل مختلفة وها هى تمرّ اليوم بمرحلتها الحاضرة و هى مرحلة التطبيق العملىّ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بمجاهدة أحد فقهاء الاماميّة العظام و هو مفجّر الثّورة الإسلاميّة و قائدها الرّاحل سماحة آية اللّه العظمى الإمام الخمينى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اعلى اللّه تعالىٰ كلمته و أرفع فى الخلد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سماحته قد جاهد فى تنفيذ هذه النّظرية و تطبيقها و إجرائها، مجاهدةً عظيمةً علميّةً و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انتصار الثورة الإسلاميّة و استقرار الحكومة الإسلاميّة، كالنظام الجمهوريّة الإسلاميّة، فقد وقع على عاتق الفقهاء العظام و لٰاسيّما تلاميذ الإمام الرّاحل قدس سره و مروّجى مكتبه العلميّة و العمليّة، تبيين هذه الفكرة الأَساسيّة و البحث و التنقيب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الكتاب الماثل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الولاية و الحكومة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مفصّلة فى هذا الصعيد لتبيين نظرية ولاية الفقيه و الحكومة الإسلاميّة و تحليلها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تقريرات أَبحاث واحد من أبرز تلاميذ سماحة الإمام الخمينى قدس سره، الفقيه البارع و المرجع الدّينى سماحة آية اللّه العظمى الشيخ حسين المظاهرى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مدّظلّه العالى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ألقاها على جمعٍ كثيرٍ من الفضلاء فى الحوزة العلميّة بإصفهان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يترتّب الكتاب فى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الاوّل منه يشتمل على البحث عن المقدّمات التمهيديّة و أصل مسألة ثبوت الولاية للفقيه و الشرائط العامّة لمن تصلح له الولاية ثم عن إشكالات و شبهات ترد على ثبوتها له أو سائر جهاتها و الجواب عن هذه الشبهات و الإشكالات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الجزءُ الثّانى يشتمل على البحث عن المنابع الماليّة فى الحكومة و الدّولة الإسلاميّة و لذا يستغرق ما يتعلّق مِن أبحاث كتابَى الخمس و الأَنفال بمسألة الحكم و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الجزء الثّالث يشتمل عن البحث عن أهمّ وظائف الولىّ الفقيه و مسئوليّاتها الهامّة و ما يجب عليه القيام به و لذا يستغرق ما يتعلّق من أبحاث كتاب الأمر بالمعروف و النهى عن المنكر و كتاب الحدود و التّعزيرات بمسألة الحكم 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نرىٰ من الواجب علينا أن نتقدّم بخالص تقديرنا إلى مقرّر هذه البحوث، الفاضل المحقّق، حجة الاسلام والمسلمين الشيخ مجيد هادى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تلاميذ سماحة آية اللّه العظمى المظاهرى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أَساتذة حوزة إصفهان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نشكر من سماحته شكراً واسعاً جليلاً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درّه و عليه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عزمت مؤسّسة الزّهرا عليها السلام الثقافيّة الدّراسيّة علىٰ إعداد هذا الكتاب و تنظيم فهارسه و نشره و تقديمه إلىٰ روّاد العلم و أصحاب الفقه و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نرجو أن يكون هذا الكتاب، إضافةً حديثةً إلى المكتبة الفقهيّة عند الشّيعة الإماميّة، يتزوّد منه العلماء و يحظى به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 اللّه و فضله و كرمه و جلاله، إنّه ذو الجلال و الإكرام</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الزّهرا عليها السلام الثقافيه الدّراسية منتصف شعبان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bookmarkStart w:id="13" w:name="pg18987_179633"/>
    </w:p>
    <w:p>
      <w:pPr>
        <w:pStyle w:val="Heading2"/>
        <w:numPr>
          <w:ilvl w:val="1"/>
          <w:numId w:val="1"/>
        </w:numPr>
        <w:rPr/>
      </w:pPr>
      <w:bookmarkStart w:id="14" w:name="__RefHeading___Toc13099598_1280447820"/>
      <w:bookmarkStart w:id="15" w:name="_Toc5"/>
      <w:bookmarkEnd w:id="13"/>
      <w:bookmarkEnd w:id="14"/>
      <w:r>
        <w:rPr>
          <w:rtl w:val="true"/>
        </w:rPr>
        <w:t>كلمة المقرِّر</w:t>
      </w:r>
      <w:bookmarkEnd w:id="15"/>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سيِّدنا محمَّدٍ و ٰ‌اله الطَّيِّبين الطَّاهرين، و اللَّعن الدَّائم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فهذا حصيلة ما كتبتُه و حقَّقتُه من أبحاث شيخنا الأستاذ الفقيه البارع سماحة الحجَّة آية اللَّه العظمىٰ الشَّيخ حسين المظاهري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متَّعنا اللَّه تعالى بطول بقائه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الَّتي ألقاها في حوزة إصفهان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صينت عن الحدثان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وسمتُ الكتاب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الولاية و الحكومة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أقدِّمه إلى القارىء الكريم راجين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مبتهلين إليه لأنْ يكون موضع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ينفع به روَّاد فقه مدرسة أهل البيت عليهم السلام، و أن يجعله ذريعةً بها نفوز برحمته في يوم لاينفع مالٌ و لابنون؛ إنَّه وليُّ الاجابة</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لاخفاء في مكانة علم الفقه السَّامية بين العلوم الإسلاميَّة، فإنَّه المتكفِّل الوحيد لبيان وظائف المكلَّفين طوال حياتهم، و المبيِّن لما عليهم تجاه الوقائع و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القيمة قد </w:t>
      </w:r>
    </w:p>
    <w:p>
      <w:pPr>
        <w:pStyle w:val="BookText"/>
        <w:rPr/>
      </w:pPr>
      <w:r>
        <w:rPr>
          <w:rFonts w:ascii="Amiri" w:hAnsi="Amiri" w:eastAsia="Amiri" w:cs="Amiri"/>
          <w:color w:val="111111"/>
          <w:sz w:val="28"/>
          <w:sz w:val="28"/>
          <w:szCs w:val="28"/>
          <w:rtl w:val="true"/>
          <w:lang w:bidi="ar-SA"/>
        </w:rPr>
        <w:t xml:space="preserve">أدَّت بعض الكبار من الباحثين و المثقِّفين إلى أن يجعلوه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علمَي العقائد و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العلوم و أنفعها؛ و لذلك نرىٰ فقهائنا العظام جيلًا بعد جيلٍ يبحثون في خبايا هذا العلم و زواياه للعثور على أدقِّ الآراء و أرسنها في مختلف المسائل، بين القديم منها و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معلِّم الأمَّة، و هذا شيخها، و هذا محقِّقها، و هذا علَّامتها، و هذا شهيدها،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آلاف من كبار مصنِّفيها و مدرِّسيها و مؤسِّسيها قد أتحفوا بالمكتبة الفقهيَّة من الآراء و الآثار ما لايسع هذا المختصر ذكر عشرٍ من معشارها؛ فيا لهم من أولي جهودٍ واسعةٍ في سبيل تخليد فقه أهل البيت عليهم السلام كمدرسةٍ ذات غنىً لايوجد مسألةٌ ممَّا ابتلىٰ به المؤمنون أو يبتلون إلَّاو فيها جوابٌ أو أجوبةٌ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الغابرين منهم و أطال ظلَّ الباقين منهم، و وفَّق جيلًا من صالحي طلبة العلم للاِقتداء بصالح سيرتهم؛ ٰ‌امِّين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هؤلاء الكبار أصحاب الفضل و الفضيلة الأستاذُ الفقيه المحقِّق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اللَّه عن كلِّ مكروهٍ في حفظه و رعيه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استفاد من دروس مشائخه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كسماحة فقيه الأمَّة و فقيدها آية اللَّه العظمىٰ البروجردي قدس سره، و الفقيهين المدقِّقين سماحة آية اللّه العظمى الإمام الخميني قدس سره و سماحة آية اللَّه العظمىٰ المحقِّق الداماد رحمه الله و سماحة الحكيم الكبير العلَّامة الطَّباطبائي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الذِّيل لتدريس علم الفقه كأصوله، و التَّحقيق فيهما؛ فألقىٰ دورات من علم الأصول و كثيراً من كتب الفقه في حوزة قم المقدَّسة على مستوىٰ بحث الخارج؛ فحضر لديه جملةٌ من روَّاد العلم و الفضيلة في تلك الحوزة المباركة</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أن 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إصفهان بطلبٍ من علمائها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w:t>
      </w:r>
    </w:p>
    <w:p>
      <w:pPr>
        <w:pStyle w:val="BookText"/>
        <w:rPr/>
      </w:pPr>
      <w:r>
        <w:rPr>
          <w:rFonts w:ascii="Amiri" w:hAnsi="Amiri" w:eastAsia="Amiri" w:cs="Amiri"/>
          <w:color w:val="111111"/>
          <w:sz w:val="28"/>
          <w:sz w:val="28"/>
          <w:szCs w:val="28"/>
          <w:rtl w:val="true"/>
          <w:lang w:bidi="ar-SA"/>
        </w:rPr>
        <w:t xml:space="preserve">في يوم الأحد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الرَّجب المرجَّب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بالبحث عن كتاب الصَّلاة أوَّلًا، ثمَّ بعد أن فرغ منه شرع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كمسألةٍ تُعدُّ من مهامِّ مسائل المسلمين حاليّاً، ثمَّ بحث عن كتاب الإجارة و المُضاربة و الشِّركة و الضِّمان و الحوالة و الكفالة و الصُّلح و الحَجر و القرض و الفَلْس و القضاء و القسمة و الشَّهادات؛ كما و قد ألقىٰ دورتين كاملتين من علم الأصول، ثمَّ عطف العنان نحو القواعد الفقهيَّة، و هو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 بتدريس كتاب الحدود و التَّعزيرات فى علم الفقه، و القواعد الفقهيَّة فى علم الاصول؛ نرجوا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يجعله في حصنه الحصين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دواعي الفخر والاعتزاز أن وفَّقني اللَّه للحضور لديه و الاستفادة من أبحاثه و آرائه الشَّريفة، فكتبتُ ما كان يُلقي على الطَّلبة حرصًا على جمع أنظاره و حفظًا لها عن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ولده الفاضل البارَّ بأبيه أخي في اللَّه الشَّيخ محمَّد حسن مظاهري دعاني إلى تبويب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 و فقه الحكومة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تدوينها و مقابلتها بالأبحاث المسجَّلة على أشرطة التَّسجيل، فقمتُ بما دعاني إليه، فصار هذا الكتاب الَّذي بين يدي القارىء الكريم حصيلةَ هذا الجهد المتواضع؛ و للَّه الحمد في الأولىٰ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يجب عليَّ أن أنوِّه بأمورٍ لايجوز لي الفراغ عن هذه التَّقدمة القصيرة إلَّابعد ذكرها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ما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إلَّاما يُذكر في الهوامش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مباحث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آراءه؛ أمَّا الهوامش فخصَّصتُها بذكر مصادر الأحاديث و الآيات و منابع الأقوال و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 قد ذكرتُ فيها ما كان يختلج ببالي الفاطر، و قد صفحتُ عن ذكر آرائي القاصرة غالباً لئلَّا يخرج الكتاب عن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 عليه في الحوزات</w:t>
      </w:r>
    </w:p>
    <w:p>
      <w:pPr>
        <w:pStyle w:val="BookText"/>
        <w:rPr/>
      </w:pP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لشيخنا الأستاذ أراء خاصَّة في علم الرِّجال قد ذكرها في تقدمة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الأخيار من رواة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الطَّالب الباحث الرُّجوع إليه ليكون على بصيرةٍ من أمر آرائه الشريفة الرِّجالية في المباحث الملقاة إليه في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الكتاب خرج من الطَّبع في الآونة الأخيرة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شروع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مبحث ولاية الفقيه يوم </w:t>
      </w:r>
      <w:r>
        <w:rPr>
          <w:rFonts w:eastAsia="Amiri" w:cs="Amiri" w:ascii="Amiri" w:hAnsi="Amiri"/>
          <w:color w:val="111111"/>
          <w:sz w:val="28"/>
          <w:szCs w:val="28"/>
          <w:lang w:bidi="ar-SA"/>
        </w:rPr>
        <w:t>1380/10/25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الشمسيّة، و قد فرغ منه في </w:t>
      </w:r>
      <w:r>
        <w:rPr>
          <w:rFonts w:eastAsia="Amiri" w:cs="Amiri" w:ascii="Amiri" w:hAnsi="Amiri"/>
          <w:color w:val="111111"/>
          <w:sz w:val="28"/>
          <w:szCs w:val="28"/>
          <w:lang w:bidi="ar-SA"/>
        </w:rPr>
        <w:t>1381/5/16</w:t>
      </w:r>
      <w:r>
        <w:rPr>
          <w:rFonts w:ascii="Amiri" w:hAnsi="Amiri" w:eastAsia="Amiri" w:cs="Amiri"/>
          <w:color w:val="111111"/>
          <w:sz w:val="28"/>
          <w:sz w:val="28"/>
          <w:szCs w:val="28"/>
          <w:rtl w:val="true"/>
          <w:lang w:bidi="ar-SA"/>
        </w:rPr>
        <w:t xml:space="preserve">؛ ثمَّ بحث عن كتابَي الخمس و الأنفال كمنابع الفقيه الولي الماليَّة في </w:t>
      </w:r>
      <w:r>
        <w:rPr>
          <w:rFonts w:eastAsia="Amiri" w:cs="Amiri" w:ascii="Amiri" w:hAnsi="Amiri"/>
          <w:color w:val="111111"/>
          <w:sz w:val="28"/>
          <w:szCs w:val="28"/>
          <w:lang w:bidi="ar-SA"/>
        </w:rPr>
        <w:t>1381/5/19</w:t>
      </w:r>
      <w:r>
        <w:rPr>
          <w:rFonts w:ascii="Amiri" w:hAnsi="Amiri" w:eastAsia="Amiri" w:cs="Amiri"/>
          <w:color w:val="111111"/>
          <w:sz w:val="28"/>
          <w:sz w:val="28"/>
          <w:szCs w:val="28"/>
          <w:rtl w:val="true"/>
          <w:lang w:bidi="ar-SA"/>
        </w:rPr>
        <w:t xml:space="preserve">، و ختَمَها في </w:t>
      </w:r>
      <w:r>
        <w:rPr>
          <w:rFonts w:eastAsia="Amiri" w:cs="Amiri" w:ascii="Amiri" w:hAnsi="Amiri"/>
          <w:color w:val="111111"/>
          <w:sz w:val="28"/>
          <w:szCs w:val="28"/>
          <w:lang w:bidi="ar-SA"/>
        </w:rPr>
        <w:t>1381/11/8</w:t>
      </w:r>
      <w:r>
        <w:rPr>
          <w:rFonts w:ascii="Amiri" w:hAnsi="Amiri" w:eastAsia="Amiri" w:cs="Amiri"/>
          <w:color w:val="111111"/>
          <w:sz w:val="28"/>
          <w:sz w:val="28"/>
          <w:szCs w:val="28"/>
          <w:rtl w:val="true"/>
          <w:lang w:bidi="ar-SA"/>
        </w:rPr>
        <w:t xml:space="preserve">؛ ثمَّ درَّس أبحاث الأمر بالمعروف والنَّهي عن المنكر و الحدود و التَّعزيرات كوظائفه بدءً في </w:t>
      </w:r>
      <w:r>
        <w:rPr>
          <w:rFonts w:eastAsia="Amiri" w:cs="Amiri" w:ascii="Amiri" w:hAnsi="Amiri"/>
          <w:color w:val="111111"/>
          <w:sz w:val="28"/>
          <w:szCs w:val="28"/>
          <w:lang w:bidi="ar-SA"/>
        </w:rPr>
        <w:t>1381/11/9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ختماً في </w:t>
      </w:r>
      <w:r>
        <w:rPr>
          <w:rFonts w:eastAsia="Amiri" w:cs="Amiri" w:ascii="Amiri" w:hAnsi="Amiri"/>
          <w:color w:val="111111"/>
          <w:sz w:val="28"/>
          <w:szCs w:val="28"/>
          <w:lang w:bidi="ar-SA"/>
        </w:rPr>
        <w:t>1382/3/25</w:t>
      </w:r>
      <w:r>
        <w:rPr>
          <w:rFonts w:ascii="Amiri" w:hAnsi="Amiri" w:eastAsia="Amiri" w:cs="Amiri"/>
          <w:color w:val="111111"/>
          <w:sz w:val="28"/>
          <w:sz w:val="28"/>
          <w:szCs w:val="28"/>
          <w:rtl w:val="true"/>
          <w:lang w:bidi="ar-SA"/>
        </w:rPr>
        <w:t>؛ فاستغرق البحث بأجمعه سنةً و خمسة 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منَّ عليَّ الشَّيخ الأستاذ فقرأ المواقع المهمَّة من الكتاب، و أبدىٰ رأيه الشريف حول مواضع ممَّا كتبتُه لم يكن يرتضيه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أربعة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راعيتُ هذه الآراء، فله الشُّكر المتواصل حيث نظر في الكتاب و منحني أنظاره العالية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إرجاع الأقوال و الأحاديث إلى مصادرهما راعيتُ الإرجاع إلى أفضل طبعات الكتب و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الهوامش يشير إلى طبعة مؤسَّسة آل البيت عليهم السلام المحقَّقة المطبوعة في ثلاثين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جميع المصادر، إلَّاالنَّادر اليسير الَّذي لم أعثر على طبعةٍ محقَّقةٍ منه، فاكتفيتُ فيه بطبعته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عليَّ أن أشير إلى ما لأخي الشيخ محمَّد حسن مظاهري من الحقِّ على هذا العمل </w:t>
      </w:r>
    </w:p>
    <w:p>
      <w:pPr>
        <w:pStyle w:val="BookText"/>
        <w:rPr/>
      </w:pPr>
      <w:r>
        <w:rPr>
          <w:rFonts w:ascii="Amiri" w:hAnsi="Amiri" w:eastAsia="Amiri" w:cs="Amiri"/>
          <w:color w:val="111111"/>
          <w:sz w:val="28"/>
          <w:sz w:val="28"/>
          <w:szCs w:val="28"/>
          <w:rtl w:val="true"/>
          <w:lang w:bidi="ar-SA"/>
        </w:rPr>
        <w:t>المتواضع، حيث نظر فيه بعد فراغي منه، فكان خير مشيرٍ لي في تصليح بعض العنوانين و ما إليه من الأمور، كما و إنَّه يجب عليَّ أن أشكر لأخي الشَّيخ شهريار مرادي، حيث شجَّعني على هذا العمل ثمَّ عقَّبه حتَّى فرغتُ منه؛ فلهما منِّي جزيل الشُّكر و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الآن و أنا أضع هذه اللَّمسات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بإتمامها أفرغ من أطروحة تدوين هذه الدُّروس و تحقيقها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عليَّ شيءٌ إلَّاحمد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الثَّناء عليه؛ فالحمد له، ثمَّ الحمد له، ثمَّ الحمد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شيخنا الأستاذ و بلغه غاية آماله و أمانيه</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المتمسِّك بأذيال أهل العصمة و الطَّهارة مجيد هادي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آتاه اللَّه الحسنىٰ و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1386/3/5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7" o:detectmouseclick="t"/>
                <v:stroke color="#3465a4" joinstyle="round" endcap="flat"/>
                <w10:wrap type="none"/>
              </v:shape>
            </w:pict>
          </mc:Fallback>
        </mc:AlternateContent>
      </w:r>
      <w:bookmarkStart w:id="16" w:name="pg18987_179640"/>
    </w:p>
    <w:p>
      <w:pPr>
        <w:pStyle w:val="Heading2"/>
        <w:numPr>
          <w:ilvl w:val="1"/>
          <w:numId w:val="1"/>
        </w:numPr>
        <w:rPr/>
      </w:pPr>
      <w:bookmarkStart w:id="17" w:name="__RefHeading___Toc13099600_1280447820"/>
      <w:bookmarkStart w:id="18" w:name="_Toc6"/>
      <w:bookmarkEnd w:id="16"/>
      <w:bookmarkEnd w:id="17"/>
      <w:r>
        <w:rPr>
          <w:rtl w:val="true"/>
        </w:rPr>
        <w:t xml:space="preserve">تقريظُ سماحة آية اللّٰه العظمى المظاهرى </w:t>
      </w:r>
      <w:r>
        <w:rPr>
          <w:rtl w:val="true"/>
        </w:rPr>
        <w:t xml:space="preserve">- </w:t>
      </w:r>
      <w:r>
        <w:rPr>
          <w:rtl w:val="true"/>
        </w:rPr>
        <w:t xml:space="preserve">أدام اللّٰه ظلّه </w:t>
      </w:r>
      <w:r>
        <w:rPr>
          <w:rtl w:val="true"/>
        </w:rPr>
        <w:t>-</w:t>
      </w:r>
      <w:bookmarkEnd w:id="18"/>
    </w:p>
    <w:p>
      <w:pPr>
        <w:pStyle w:val="BookText"/>
        <w:rPr/>
      </w:pPr>
      <w:r>
        <w:rPr>
          <w:rFonts w:ascii="Amiri" w:hAnsi="Amiri" w:eastAsia="Amiri" w:cs="Amiri"/>
          <w:color w:val="111111"/>
          <w:sz w:val="28"/>
          <w:sz w:val="28"/>
          <w:szCs w:val="28"/>
          <w:rtl w:val="true"/>
          <w:lang w:bidi="ar-SA"/>
        </w:rPr>
        <w:t>الحمدللّٰه ربّ العالمين و صلّى اللّٰه على سيّدنا محمّد و ٰ‌اله الطّاهرين</w:t>
      </w:r>
    </w:p>
    <w:p>
      <w:pPr>
        <w:pStyle w:val="BookText"/>
        <w:rPr/>
      </w:pPr>
      <w:r>
        <w:rPr>
          <w:rFonts w:ascii="Amiri" w:hAnsi="Amiri" w:eastAsia="Amiri" w:cs="Amiri"/>
          <w:color w:val="111111"/>
          <w:sz w:val="28"/>
          <w:sz w:val="28"/>
          <w:szCs w:val="28"/>
          <w:rtl w:val="true"/>
          <w:lang w:bidi="ar-SA"/>
        </w:rPr>
        <w:t>و 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بعد؛ فإنّ من نِعم اللّٰه تبارك و تعالى على هذا العبد، اتّفاق صحابة جمٍّ من الأفاضل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حلقات دروسنا الفقهيّة و الأصوليّة فى الحوزة العلميّة بإصبهان، بعد هجرتنا من القم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كنت قبل سنين، ألقيتُ بحوثاً تفصيليّاً فى موضوع ولاية الفقيه و فقه الحكومة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هذه المسألة من أُسس المسائل الإسلاميّة و الّتى تقع امتداداً لمسألة الولاية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البحث في فقه الولاية و الحكومة من البحوث الفقهيّة الضّروريّة، و لا سيّما فى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جمع دروسنا هذه، العالم المحقّق و الفاضل المدقّق، عماد الأعلام و حجّة الاسلام الشيخ مجيد هادى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تأييداته و وفّقه لمرضاته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فإنّى قد لاحظت المواقع المهمّة ممّا أودعه فى هذه الصحائف، و لقد أَحسن وأَجاد فى ضبط ما استفاد و تحريره ببيان رائق و تحقيقه بأسلوب فائق، بحُسن سليقته وجودة قريحته،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بحمداللّٰه و له 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كافلة لمهمّات مباحث الولاية 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تعالىٰ درّه و عليه سبحانه أجره و جعله من العلماء العاملين و حملة شريعة سيّد المرسلين صلّى اللّٰه عليه و ٰ‌اله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عليه و على جميع عباد اللّٰه الصّالحين</w:t>
      </w:r>
    </w:p>
    <w:p>
      <w:pPr>
        <w:pStyle w:val="BookText"/>
        <w:rPr/>
      </w:pPr>
      <w:r>
        <w:rPr>
          <w:rFonts w:ascii="Amiri" w:hAnsi="Amiri" w:eastAsia="Amiri" w:cs="Amiri"/>
          <w:color w:val="111111"/>
          <w:sz w:val="28"/>
          <w:sz w:val="28"/>
          <w:szCs w:val="28"/>
          <w:rtl w:val="true"/>
          <w:lang w:bidi="ar-SA"/>
        </w:rPr>
        <w:t xml:space="preserve">في 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1386/2/26</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حرّره العبد حسين المظاهري عفي عنه</w:t>
      </w:r>
      <w:r>
        <w:rPr>
          <w:rFonts w:eastAsia="Amiri" w:cs="Amiri" w:ascii="Amiri" w:hAnsi="Amiri"/>
          <w:color w:val="111111"/>
          <w:sz w:val="28"/>
          <w:szCs w:val="28"/>
          <w:rtl w:val="true"/>
          <w:lang w:bidi="ar-SA"/>
        </w:rPr>
        <w:t xml:space="preserve">. </w:t>
      </w:r>
      <w:bookmarkStart w:id="19" w:name="pg18987_179641"/>
    </w:p>
    <w:p>
      <w:pPr>
        <w:pStyle w:val="Heading2"/>
        <w:numPr>
          <w:ilvl w:val="1"/>
          <w:numId w:val="1"/>
        </w:numPr>
        <w:rPr/>
      </w:pPr>
      <w:bookmarkStart w:id="20" w:name="__RefHeading___Toc13099602_1280447820"/>
      <w:bookmarkStart w:id="21" w:name="_Toc7"/>
      <w:bookmarkEnd w:id="19"/>
      <w:bookmarkEnd w:id="20"/>
      <w:r>
        <w:rPr>
          <w:rtl w:val="true"/>
        </w:rPr>
        <w:t>ولاية الفقيه و تحليلها</w:t>
      </w:r>
      <w:bookmarkEnd w:id="21"/>
    </w:p>
    <w:p>
      <w:pPr>
        <w:pStyle w:val="Heading3"/>
        <w:numPr>
          <w:ilvl w:val="2"/>
          <w:numId w:val="1"/>
        </w:numPr>
        <w:rPr/>
      </w:pPr>
      <w:bookmarkStart w:id="22" w:name="__RefHeading___Toc13099604_1280447820"/>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 xml:space="preserve">إنّ الكلام حول مسألة ولاية الفقيه و تحليلها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من المسائل الّتي يُبحث عنها في كلّ واحدٍ من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يتوقّف في المرحلة الأولىٰ و المنزل الأوّل على تصوّر الموضوع الّذي تدور المسألة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فقبل البدء في البحث عن المسألة من وجهة النفي و الإثبات يجب علينا أن نفصّل الكلام حول موضوع مسألتنا هذه، لنحصل على نتيجتين نستعين بهما في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الحصول على موضوعٍ واحدٍ لتُحمل عليه المحمولات المبحوث عنها في الرسالة من أوّلها إلى آخرها؛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ليُجتنب من الخلط بين موضوع المسألة و بين الموضوعات الأُخرىٰ الّتي يمكن أن تشتبه معه لاشتراكهما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بحاجةٍ ماسّةٍ إلى تبيين الموضوع ليُحترز عن الإيهام و الخلط بينه و بين ما يشترك معه في الاسم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زيادةً على ذلك؛ لو تأمّلنا في أنّ لفظة الولاية يُبحث عنها في كثيرٍ من العلوم و يراد منها في كلّ علمٍ غير ما يراد منها في آخر، لنرى من الواجب التحقيق حول هذه اللفظة </w:t>
      </w:r>
    </w:p>
    <w:p>
      <w:pPr>
        <w:pStyle w:val="BookText"/>
        <w:rPr/>
      </w:pPr>
      <w:r>
        <w:rPr>
          <w:rFonts w:ascii="Amiri" w:hAnsi="Amiri" w:eastAsia="Amiri" w:cs="Amiri"/>
          <w:color w:val="111111"/>
          <w:sz w:val="28"/>
          <w:sz w:val="28"/>
          <w:szCs w:val="28"/>
          <w:rtl w:val="true"/>
          <w:lang w:bidi="ar-SA"/>
        </w:rPr>
        <w:t>ليُجتنب عن الخلط و الإيهام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فالولاية الّتي يُبحث عنها في الفقه غير الولاية الّتي توجد في الصحف العرفانيّة، و هما غير ما يُبحث عنه في علم الكلام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فعلينا عقد الكلام في هذا المضمار في فصولٍ</w:t>
      </w:r>
      <w:r>
        <w:rPr>
          <w:rFonts w:eastAsia="Amiri" w:cs="Amiri" w:ascii="Amiri" w:hAnsi="Amiri"/>
          <w:color w:val="111111"/>
          <w:sz w:val="28"/>
          <w:szCs w:val="28"/>
          <w:rtl w:val="true"/>
          <w:lang w:bidi="ar-SA"/>
        </w:rPr>
        <w:t xml:space="preserve">. </w:t>
      </w:r>
      <w:bookmarkStart w:id="24" w:name="pg18987_179643"/>
    </w:p>
    <w:p>
      <w:pPr>
        <w:pStyle w:val="Heading3"/>
        <w:numPr>
          <w:ilvl w:val="2"/>
          <w:numId w:val="1"/>
        </w:numPr>
        <w:rPr/>
      </w:pPr>
      <w:bookmarkStart w:id="25" w:name="__RefHeading___Toc13099606_1280447820"/>
      <w:bookmarkStart w:id="26" w:name="_Toc9"/>
      <w:bookmarkEnd w:id="24"/>
      <w:bookmarkEnd w:id="25"/>
      <w:r>
        <w:rPr>
          <w:rtl w:val="true"/>
        </w:rPr>
        <w:t>الفصل الاوّل مباحث تمهيديّة</w:t>
      </w:r>
      <w:bookmarkEnd w:id="2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 w:name="__RefHeading___Toc13099608_1280447820"/>
      <w:bookmarkStart w:id="28" w:name="_Toc10"/>
      <w:bookmarkEnd w:id="27"/>
      <w:r>
        <w:rPr>
          <w:rtl w:val="true"/>
        </w:rPr>
        <w:t>اشارة</w:t>
      </w:r>
      <w:bookmarkEnd w:id="2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8987_179645"/>
      <w:bookmarkStart w:id="30" w:name="pg18987_179645"/>
      <w:bookmarkEnd w:id="30"/>
    </w:p>
    <w:p>
      <w:pPr>
        <w:pStyle w:val="BookText"/>
        <w:rPr/>
      </w:pPr>
      <w:bookmarkStart w:id="31" w:name="pg18987_179645"/>
      <w:bookmarkEnd w:id="31"/>
      <w:r>
        <w:rPr>
          <w:rFonts w:ascii="Amiri" w:hAnsi="Amiri" w:eastAsia="Amiri" w:cs="Amiri"/>
          <w:color w:val="111111"/>
          <w:sz w:val="28"/>
          <w:sz w:val="28"/>
          <w:szCs w:val="28"/>
          <w:rtl w:val="true"/>
          <w:lang w:bidi="ar-SA"/>
        </w:rPr>
        <w:t>الفصل الأوَّل مباحث تمهيديّة</w:t>
      </w:r>
    </w:p>
    <w:p>
      <w:pPr>
        <w:pStyle w:val="BookText"/>
        <w:rPr/>
      </w:pPr>
      <w:r>
        <w:rPr>
          <w:rFonts w:ascii="Amiri" w:hAnsi="Amiri" w:eastAsia="Amiri" w:cs="Amiri"/>
          <w:color w:val="111111"/>
          <w:sz w:val="28"/>
          <w:sz w:val="28"/>
          <w:szCs w:val="28"/>
          <w:rtl w:val="true"/>
          <w:lang w:bidi="ar-SA"/>
        </w:rPr>
        <w:t>هذا الفصل يشتمل على مباحث تمهيديّة؛ عقدنا لتفصيل الكلام فيها ثلاث عشر مقدّمةً</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3099610_1280447820"/>
      <w:bookmarkStart w:id="33" w:name="_Toc11"/>
      <w:bookmarkEnd w:id="32"/>
      <w:r>
        <w:rPr>
          <w:rtl w:val="true"/>
        </w:rPr>
        <w:t>المقدّمة الأوليٰأقسام الولاية</w:t>
      </w:r>
      <w:bookmarkEnd w:id="33"/>
    </w:p>
    <w:p>
      <w:pPr>
        <w:pStyle w:val="Heading5"/>
        <w:numPr>
          <w:ilvl w:val="4"/>
          <w:numId w:val="1"/>
        </w:numPr>
        <w:rPr/>
      </w:pPr>
      <w:bookmarkStart w:id="34" w:name="__RefHeading___Toc13099612_1280447820"/>
      <w:bookmarkStart w:id="35" w:name="_Toc12"/>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تُطلق و يراد منها تارةً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الولاية التكوينيّة؛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التشريعيّة؛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العنائيّة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لكلٍّ من القسمين الأوّلين 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فتصبح معاني الولاية تسعةً كالتالي؛ و هذا </w:t>
      </w:r>
      <w:bookmarkStart w:id="36" w:name="pg18987_179646"/>
    </w:p>
    <w:p>
      <w:pPr>
        <w:pStyle w:val="BookText"/>
        <w:rPr/>
      </w:pPr>
      <w:bookmarkEnd w:id="36"/>
      <w:r>
        <w:rPr>
          <w:rFonts w:ascii="Amiri" w:hAnsi="Amiri" w:eastAsia="Amiri" w:cs="Amiri"/>
          <w:color w:val="111111"/>
          <w:sz w:val="28"/>
          <w:sz w:val="28"/>
          <w:szCs w:val="28"/>
          <w:rtl w:val="true"/>
          <w:lang w:bidi="ar-SA"/>
        </w:rPr>
        <w:t>رسمٌ بيانيٌّ يمثّل أقسامها</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13099614_1280447820"/>
      <w:bookmarkStart w:id="38" w:name="_Toc13"/>
      <w:bookmarkEnd w:id="37"/>
      <w:r>
        <w:rPr/>
        <w:t>1</w:t>
      </w:r>
      <w:r>
        <w:rPr>
          <w:rtl w:val="true"/>
        </w:rPr>
        <w:t xml:space="preserve"> - </w:t>
      </w:r>
      <w:r>
        <w:rPr>
          <w:rtl w:val="true"/>
        </w:rPr>
        <w:t>الولاية التكوينيّة</w:t>
      </w:r>
      <w:r>
        <w:rPr>
          <w:rtl w:val="true"/>
        </w:rPr>
        <w:t>:</w:t>
      </w:r>
      <w:bookmarkEnd w:id="3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التكوينيّة بمعنى صحّة التصرّف في التكوين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التكوينيّة بمعنى زعامة الناس في سيرهم الكماليّ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التكوينيّة بمعنى زعامة ركب الوجود في مدرج الحياة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التكوينيّة بمعنى تعلّق حياة العالم بالمعصومين عليهم السلام</w:t>
      </w:r>
    </w:p>
    <w:p>
      <w:pPr>
        <w:pStyle w:val="Heading5"/>
        <w:numPr>
          <w:ilvl w:val="4"/>
          <w:numId w:val="1"/>
        </w:numPr>
        <w:rPr/>
      </w:pPr>
      <w:bookmarkStart w:id="39" w:name="__RefHeading___Toc13099616_1280447820"/>
      <w:bookmarkStart w:id="40" w:name="_Toc14"/>
      <w:bookmarkEnd w:id="39"/>
      <w:r>
        <w:rPr/>
        <w:t>2</w:t>
      </w:r>
      <w:r>
        <w:rPr>
          <w:rtl w:val="true"/>
        </w:rPr>
        <w:t xml:space="preserve"> - </w:t>
      </w:r>
      <w:r>
        <w:rPr>
          <w:rtl w:val="true"/>
        </w:rPr>
        <w:t>الولاية التشريعيّة</w:t>
      </w:r>
      <w:r>
        <w:rPr>
          <w:rtl w:val="true"/>
        </w:rPr>
        <w:t>:</w:t>
      </w:r>
      <w:bookmarkEnd w:id="40"/>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التشريعيّة بمعنى الولاية في التقنين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التشريعيّة بمعنى الولاية في القضاء</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التشريعيّة بمعنى الولاية في وجوب الطاعة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التشريعيّة بمعنى الولاية في زعامة المجتمع و إمارته</w:t>
      </w:r>
    </w:p>
    <w:p>
      <w:pPr>
        <w:pStyle w:val="Heading5"/>
        <w:numPr>
          <w:ilvl w:val="4"/>
          <w:numId w:val="1"/>
        </w:numPr>
        <w:rPr/>
      </w:pPr>
      <w:bookmarkStart w:id="41" w:name="__RefHeading___Toc13099618_1280447820"/>
      <w:bookmarkStart w:id="42" w:name="_Toc15"/>
      <w:bookmarkEnd w:id="41"/>
      <w:r>
        <w:rPr/>
        <w:t>3</w:t>
      </w:r>
      <w:r>
        <w:rPr>
          <w:rtl w:val="true"/>
        </w:rPr>
        <w:t xml:space="preserve"> - </w:t>
      </w:r>
      <w:r>
        <w:rPr>
          <w:rtl w:val="true"/>
        </w:rPr>
        <w:t>الولاية العنائيّة</w:t>
      </w:r>
      <w:bookmarkEnd w:id="4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نأتي بتوضيحٍ موجزٍ حول كلّ واحدٍ من هذه الأقسام لنحدّد ما هو موضوع دراستنا هذه</w:t>
      </w:r>
      <w:r>
        <w:rPr>
          <w:rFonts w:eastAsia="Amiri" w:cs="Amiri" w:ascii="Amiri" w:hAnsi="Amiri"/>
          <w:color w:val="111111"/>
          <w:sz w:val="28"/>
          <w:szCs w:val="28"/>
          <w:rtl w:val="true"/>
          <w:lang w:bidi="ar-SA"/>
        </w:rPr>
        <w:t xml:space="preserve">. </w:t>
      </w:r>
      <w:bookmarkStart w:id="43" w:name="pg18987_179647"/>
    </w:p>
    <w:p>
      <w:pPr>
        <w:pStyle w:val="Heading4"/>
        <w:numPr>
          <w:ilvl w:val="3"/>
          <w:numId w:val="1"/>
        </w:numPr>
        <w:rPr/>
      </w:pPr>
      <w:bookmarkStart w:id="44" w:name="__RefHeading___Toc13099620_1280447820"/>
      <w:bookmarkStart w:id="45" w:name="_Toc16"/>
      <w:bookmarkEnd w:id="43"/>
      <w:bookmarkEnd w:id="44"/>
      <w:r>
        <w:rPr>
          <w:rtl w:val="true"/>
        </w:rPr>
        <w:t>توضيحٌ موجزٌحول كلّ واحدٍ من الأقسام التسعة</w:t>
      </w:r>
      <w:bookmarkEnd w:id="45"/>
    </w:p>
    <w:p>
      <w:pPr>
        <w:pStyle w:val="Heading5"/>
        <w:numPr>
          <w:ilvl w:val="4"/>
          <w:numId w:val="1"/>
        </w:numPr>
        <w:rPr/>
      </w:pPr>
      <w:bookmarkStart w:id="46" w:name="__RefHeading___Toc13099622_1280447820"/>
      <w:bookmarkStart w:id="47" w:name="_Toc17"/>
      <w:bookmarkEnd w:id="46"/>
      <w:r>
        <w:rPr/>
        <w:t>1-1</w:t>
      </w:r>
      <w:r>
        <w:rPr>
          <w:rtl w:val="true"/>
        </w:rPr>
        <w:t xml:space="preserve">: </w:t>
      </w:r>
      <w:r>
        <w:rPr>
          <w:rtl w:val="true"/>
        </w:rPr>
        <w:t>الولاية التكوينيّة بمعنى صحّة التصرّف في التكوين</w:t>
      </w:r>
      <w:bookmarkEnd w:id="47"/>
    </w:p>
    <w:p>
      <w:pPr>
        <w:pStyle w:val="BookText"/>
        <w:rPr/>
      </w:pPr>
      <w:r>
        <w:rPr>
          <w:rFonts w:ascii="Amiri" w:hAnsi="Amiri" w:eastAsia="Amiri" w:cs="Amiri"/>
          <w:color w:val="111111"/>
          <w:sz w:val="28"/>
          <w:sz w:val="28"/>
          <w:szCs w:val="28"/>
          <w:rtl w:val="true"/>
          <w:lang w:bidi="ar-SA"/>
        </w:rPr>
        <w:t>هذه الولاية هي من أركان مباحث علم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إن يبحث عنها في هذا العلم خاصّةً، و لكن قد ورد ذكرها في لسان الشرع و قد أيّدها الشارع أيضاً بتأييداتٍ سنذكر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التصرّف في التكوين ممّا لاينبغي الارتياب فيه، إذ كلّ أحدٍ يرى نفسه قادراً على أخذ الكتاب من موضعٍ و وضعه في موضعٍ آخر، أو أن يكتب بالقلم فيتصرّف في القرطاس؛ و هذه نماذج من تصرّفاتٍ عامّة يستطيع كلّ أحدٍ من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التصرّف هي حصيلة كون المتصرّف واسطةً في إيصال الفيض من مبدئه إلى المتصرَّف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يتّسع وجود المتصرِّف أكثر تكون تصرّفاته أكمل و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مبنى التوحيد الأفعاليّ القويم لاريب في أنّ هذه التصرّفات برمّتها هي من فعل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المتصرِّف إلّاواسطةً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إليك نموذجاً ممّا ورد في لسان الشرع، و هو يؤيّد هذا القسم من أقسام 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تحكي لنا الآية المباركة أحد التصرّفات العجيبة الّتي جاء بها أحد خواصّ أصحاب النبيّ 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قلنا بأنّ تنوين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 التنكير الدالّ على القلّة</w:t>
      </w:r>
      <w:r>
        <w:rPr>
          <w:rStyle w:val="FootnoteAnchor"/>
          <w:rtl w:val="true"/>
        </w:rPr>
        <w:footnoteReference w:id="6"/>
      </w:r>
      <w:r>
        <w:rPr>
          <w:rFonts w:ascii="Amiri" w:hAnsi="Amiri" w:eastAsia="Amiri" w:cs="Amiri"/>
          <w:color w:val="111111"/>
          <w:sz w:val="28"/>
          <w:sz w:val="28"/>
          <w:szCs w:val="28"/>
          <w:rtl w:val="true"/>
          <w:lang w:bidi="ar-SA"/>
        </w:rPr>
        <w:t>، لنرى بأنّ القليل من علم الكتاب مكّن صاحبه من هذا التصرّف الغريب المذهل؛ فكيف بمن عنده الكثير من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النقطة هذه قد ذكرها سيّدنا السجّاد زين العابدين عليه السلام في كلامٍ له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أَخْلُقُ لَكُمْ مِنَ الطِّينِ كَهَيْئَةِ الطَّيرِ فَأَنفُخُ فِيهِ فَيَكُونُ طَيْراً بِإِذْنِ اللَّهِ</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 الآية الكريمة على نقطتين أو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إفاضة الصورة الحيوانيّة هي من فعل اللّه، و قد حصلت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عيسى عليه السلام كان وسيطاً في إيصال الصورة من مبدء الصور إلى الطين فصار حيواناً يمشي و يطير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التصرّف في التكوين كان من فعل عيسى عليه السلام بما أنّه صار واسطةً في إيصال الصورة إلى المتصرَّف فيه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الشيخ الكلينيّ رحمه الله في جامعه الكافي باباً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من آذى المسلمين و احتقرهم</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و أورد في الباب أحاديث تدلّ على حرمة إيذاء المسلمين و هتكهم؛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bookmarkStart w:id="48" w:name="pg18987_179649"/>
    </w:p>
    <w:p>
      <w:pPr>
        <w:pStyle w:val="BookText"/>
        <w:rPr/>
      </w:pPr>
      <w:bookmarkEnd w:id="48"/>
      <w:r>
        <w:rPr>
          <w:rFonts w:ascii="Amiri" w:hAnsi="Amiri" w:eastAsia="Amiri" w:cs="Amiri"/>
          <w:color w:val="111111"/>
          <w:sz w:val="28"/>
          <w:sz w:val="28"/>
          <w:szCs w:val="28"/>
          <w:rtl w:val="true"/>
          <w:lang w:bidi="ar-SA"/>
        </w:rPr>
        <w:t xml:space="preserve">هو الحديث الثّامن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 عن أحمد بن محمّد بن خالد عن إسماعيل بن مهران عن أبي سعيد القمّاط عن أبان بن تغلب عن أبي جعفرٍ عليه 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فساق الحديث إلى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يتقرّب إليَّ عبدٌ من عبادي بشيءٍ أحبّ إليَّ ممّا افترضت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ليتقرّب إليَّ بالنافلة حتّى أحبّه، فإذا أحببته كنت إذاً سمعه الّذي يسمع به و بصره الّذي يبصر به و لسانه الّذي ينطق به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فلابأس به؛ بل هو صحيحٌ لاإشكال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الدلالة، فهي واضحةٌ فيما نحن بصدده دون شكٍّ، إذ الحديث ناطقٌ بأنّ من أدّى الواجبات و النوافل المقرّرة في الشرع على ما هي عليها، يتقرّب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فخطوةً، فيتّسع وجوده و سعته، فيصير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و لسانه و رجله؛ فيستطيع من التصرّف في عالم الكون، إذ لامانع و رادع يمنعه من التصرّف فيما يشاء كيف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قلنا ظهر انّ نبيّنا صلى الله عليه و آله و أهل بيته عليهم السلام لهم أعلى مدارج هذا التصرّف، لأنّهم أقرب الموجودات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القدرة و التصرّف، ثمّ من بعدهم للأنبياء عليهم السلام، ثمّ لغيرهم من المقرّبين، ثمّ لعامّة الناس، ثمّ لغيرهم من ذوي الحياة</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13099624_1280447820"/>
      <w:bookmarkStart w:id="50" w:name="_Toc18"/>
      <w:bookmarkEnd w:id="49"/>
      <w:r>
        <w:rPr/>
        <w:t>1-2</w:t>
      </w:r>
      <w:r>
        <w:rPr>
          <w:rtl w:val="true"/>
        </w:rPr>
        <w:t xml:space="preserve">: </w:t>
      </w:r>
      <w:r>
        <w:rPr>
          <w:rtl w:val="true"/>
        </w:rPr>
        <w:t>الولاية التكوينيّة بمعنى زعامة الناس في سيرهم الكماليّ‌</w:t>
      </w:r>
      <w:bookmarkEnd w:id="5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سيرهم إلى الكمال اللائق بهم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لاريب في أنّ الإنسان خُلق لأجل الاستكمال و لأجل أن يصل إلى كماله اللائق به، و هذا أمرٌ سجّلت عليه ثقافة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الثقافة العليا تدلّ على أنّ عوالم </w:t>
      </w:r>
    </w:p>
    <w:p>
      <w:pPr>
        <w:pStyle w:val="BookText"/>
        <w:rPr/>
      </w:pPr>
      <w:r>
        <w:rPr>
          <w:rFonts w:ascii="Amiri" w:hAnsi="Amiri" w:eastAsia="Amiri" w:cs="Amiri"/>
          <w:color w:val="111111"/>
          <w:sz w:val="28"/>
          <w:sz w:val="28"/>
          <w:szCs w:val="28"/>
          <w:rtl w:val="true"/>
          <w:lang w:bidi="ar-SA"/>
        </w:rPr>
        <w:t xml:space="preserve">الوجود خُلقت بأسرها لأجل الإنسان و استكماله؛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لَكُمْ مَا فِي السَّمَوَاتِ وَ مَا فِي الْأَرضِ وَ أَسبَغَ عَلَيكُمْ نِعَمَهُ ظَاهِرَةً وَ بَاطِنَةً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إِلَى رَبِّكَ الْمُنتَهَى</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إِلَى رَبِّكَ الرُّجْعَى</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فالآية الأولىٰ تدلّ على أنّ ما يطلق عليه لفظ الموجود و كذلك آلاء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ظاهرها و باطنها و خفيّها، خُلق لأجل الإنسان؛ و قد سخّره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الثّانية تدلّ على أنّ الإنسان يسير آناً فاناً في صراطٍ غايته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و الرّابعة أيضاً تدلّان على هذا المسار و على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كلمةٍ جامعةٍ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تدلّ هذه الكلمة الجامعة على أنّ مبدأ الوجود هو اللّه، و مرجعه و غايته أيضاً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أمرٌ لاريب فيه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فصّل بعض الأعلام بل كثيرٌ منهم الكلام فيه، و لاتسع رسالتنا هذه التحقيق حوله</w:t>
      </w:r>
      <w:r>
        <w:rPr>
          <w:rFonts w:eastAsia="Amiri" w:cs="Amiri" w:ascii="Amiri" w:hAnsi="Amiri"/>
          <w:color w:val="111111"/>
          <w:sz w:val="28"/>
          <w:szCs w:val="28"/>
          <w:rtl w:val="true"/>
          <w:lang w:bidi="ar-SA"/>
        </w:rPr>
        <w:t xml:space="preserve">. </w:t>
      </w:r>
      <w:bookmarkStart w:id="51" w:name="pg18987_179651"/>
    </w:p>
    <w:p>
      <w:pPr>
        <w:pStyle w:val="BookText"/>
        <w:rPr/>
      </w:pPr>
      <w:bookmarkEnd w:id="51"/>
      <w:r>
        <w:rPr>
          <w:rFonts w:ascii="Amiri" w:hAnsi="Amiri" w:eastAsia="Amiri" w:cs="Amiri"/>
          <w:color w:val="111111"/>
          <w:sz w:val="28"/>
          <w:sz w:val="28"/>
          <w:szCs w:val="28"/>
          <w:rtl w:val="true"/>
          <w:lang w:bidi="ar-SA"/>
        </w:rPr>
        <w:t>و لكن يجب أن نشير إلى نقطةٍ ذات صلةٍ بما نحن فيه،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قافلة البشر تسير نحو مقصودٍ فيجب أن يكون فيها من له مرتبة هداية القافلة، و من له زعامتها و قيادتها في إيصالها إلى ما تقصده؛ و هو رئيس القافلة وأميرها، و الولاية التكوينيّة بمعناها الثّاني تحصل لمن له هذه المرتبة العليا و الدرجة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بهدا القسم من الولاية فسّر سيّدنا الأستاذ العلّامة الطباطبائيّ‌</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حازها النبيّ إبراهيم عليه السلام بعد أن كان نبيّاً رسولاً، فأصبح عليه السلام صاحب قوسي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قوس النبوّة؛</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فبالأوّل كان يأخذ الأحكام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يبلغها إلى الناس؛</w:t>
      </w:r>
    </w:p>
    <w:p>
      <w:pPr>
        <w:pStyle w:val="BookText"/>
        <w:rPr/>
      </w:pPr>
      <w:r>
        <w:rPr>
          <w:rFonts w:ascii="Amiri" w:hAnsi="Amiri" w:eastAsia="Amiri" w:cs="Amiri"/>
          <w:color w:val="111111"/>
          <w:sz w:val="28"/>
          <w:sz w:val="28"/>
          <w:szCs w:val="28"/>
          <w:rtl w:val="true"/>
          <w:lang w:bidi="ar-SA"/>
        </w:rPr>
        <w:t>و بالثاني كان يهدي الناس إلى ربّهم و يقود قافلتهم لتصل إلى مرجعها و مآبها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طلبه عليه السلام في ذيل الكريمة يدلّ على غاية فقره و افتقاره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طلب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يبقى هذا المنصب في ذرّيته، فاستجاب له و جعله في غير الظالمين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المنصب الآن متحقّقٌ في مولانا و سيّدنا سيّد العترة الإبراهيميّة مولانا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انّ هذا القسم من الولاية أيضاً يدلّ على نوعٍ من الوساطة في الفيض</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13099626_1280447820"/>
      <w:bookmarkStart w:id="53" w:name="_Toc19"/>
      <w:bookmarkEnd w:id="52"/>
      <w:r>
        <w:rPr/>
        <w:t>1-3</w:t>
      </w:r>
      <w:r>
        <w:rPr>
          <w:rtl w:val="true"/>
        </w:rPr>
        <w:t xml:space="preserve">: </w:t>
      </w:r>
      <w:r>
        <w:rPr>
          <w:rtl w:val="true"/>
        </w:rPr>
        <w:t>الولاية التكوينيّة بمعنى زعامة رَكْب الوجود في مدرج الحياة</w:t>
      </w:r>
      <w:bookmarkEnd w:id="5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بالانتباه إلى ما مضى في توضيح القسم الأخير من أقسام الولاية يظهر لنا مغزى هذا </w:t>
      </w:r>
    </w:p>
    <w:p>
      <w:pPr>
        <w:pStyle w:val="BookText"/>
        <w:rPr/>
      </w:pPr>
      <w:r>
        <w:rPr>
          <w:rFonts w:ascii="Amiri" w:hAnsi="Amiri" w:eastAsia="Amiri" w:cs="Amiri"/>
          <w:color w:val="111111"/>
          <w:sz w:val="28"/>
          <w:sz w:val="28"/>
          <w:szCs w:val="28"/>
          <w:rtl w:val="true"/>
          <w:lang w:bidi="ar-SA"/>
        </w:rPr>
        <w:t>القسم و فحواه، إذ لو أنّ ركب الإنسانيّة يتّجه نحو الكمال و في هذا الاتّجاه يحتاج إلى زعيمٍ، فجميع عوالم الوجود أيضاً يتّجه نحو مقصودٍ و هو أيضاً يحتاج في هذا الاتّجاه إلى وليٍّ يولّي أمر هدايته و إيصاله إلى مقصوده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الولاية هي من أقسام الولاية التكوينيّة، لا التشريعيّة؛ إذ بما أنّ عوالم الوجود لايكلّف بتكليفٍ شرعيٍّ فلايحتاج إلى وليٍّ يهديه في أمر تكليفه، هذا من جانبٍ؛ و من جانبٍ آخر فعوالم الوجود نفسها تحتاج في كلّ آنٍ إلى واسطةٍ بينها و بين مبدأ الحياة ليكون واسطةً في أخذ الفيض من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إيصاله إلى العوالم كلّها لتستفيد منه في مدرجه القهريّ الحتميّ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ليعلم انّ النبذة الأولىٰ من 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يَهدُونَ بِأَمرِنَا وَ أَوحَينَا إِلَيهِمْ فِعلَ الْخَيرَاتِ</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تدلّ على هذا القسم من الولاية؛</w:t>
      </w:r>
    </w:p>
    <w:p>
      <w:pPr>
        <w:pStyle w:val="BookText"/>
        <w:rPr/>
      </w:pPr>
      <w:r>
        <w:rPr>
          <w:rFonts w:ascii="Amiri" w:hAnsi="Amiri" w:eastAsia="Amiri" w:cs="Amiri"/>
          <w:color w:val="111111"/>
          <w:sz w:val="28"/>
          <w:sz w:val="28"/>
          <w:szCs w:val="28"/>
          <w:rtl w:val="true"/>
          <w:lang w:bidi="ar-SA"/>
        </w:rPr>
        <w:t>و النبذة الثّانية منها تدلّ على القسم التشريعيّ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إضافةً إلى مبنى الحركة الجوهريّة القويم، هناك بعض الايات والروايات تدلّ أيضاً يدلّ على هذه الحركة؛ 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وَ لِلْأَرْضِ ائْتِيَا طَوعاً أَو كَرهاً قَالَتَا أَتَينَا طَائِعِينَ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القسم من أقسام الولاية قد سمّاه السيّد العلّامة الطباطبائيّ رحمه الله بالإيصال إلى المطلوب،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سمّى الأقوال الصادرة من الأئمّة عليهم السلام بإراءة الطريق؛ و أطلق على إيصالهم الموجودات إلى كمالهم اللائق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الإيصال إلى المطلوب</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54" w:name="pg18987_179653"/>
    </w:p>
    <w:p>
      <w:pPr>
        <w:pStyle w:val="Heading5"/>
        <w:numPr>
          <w:ilvl w:val="4"/>
          <w:numId w:val="1"/>
        </w:numPr>
        <w:rPr/>
      </w:pPr>
      <w:bookmarkStart w:id="55" w:name="__RefHeading___Toc13099628_1280447820"/>
      <w:bookmarkStart w:id="56" w:name="_Toc20"/>
      <w:bookmarkEnd w:id="54"/>
      <w:bookmarkEnd w:id="55"/>
      <w:r>
        <w:rPr/>
        <w:t>1-4</w:t>
      </w:r>
      <w:r>
        <w:rPr>
          <w:rtl w:val="true"/>
        </w:rPr>
        <w:t xml:space="preserve">: </w:t>
      </w:r>
      <w:r>
        <w:rPr>
          <w:rtl w:val="true"/>
        </w:rPr>
        <w:t xml:space="preserve">الولاية التكوينيّة بمعنى تعلّق حياة العالَم بالأئمّة </w:t>
      </w:r>
      <w:r>
        <w:rPr>
          <w:rtl w:val="true"/>
        </w:rPr>
        <w:t xml:space="preserve">- </w:t>
      </w:r>
      <w:r>
        <w:rPr>
          <w:rtl w:val="true"/>
        </w:rPr>
        <w:t xml:space="preserve">عليهم السلام </w:t>
      </w:r>
      <w:r>
        <w:rPr>
          <w:rtl w:val="true"/>
        </w:rPr>
        <w:t>-</w:t>
      </w:r>
      <w:bookmarkEnd w:id="56"/>
    </w:p>
    <w:p>
      <w:pPr>
        <w:pStyle w:val="BookText"/>
        <w:rPr/>
      </w:pPr>
      <w:r>
        <w:rPr>
          <w:rFonts w:ascii="Amiri" w:hAnsi="Amiri" w:eastAsia="Amiri" w:cs="Amiri"/>
          <w:color w:val="111111"/>
          <w:sz w:val="28"/>
          <w:sz w:val="28"/>
          <w:szCs w:val="28"/>
          <w:rtl w:val="true"/>
          <w:lang w:bidi="ar-SA"/>
        </w:rPr>
        <w:t>هذا المعنى من معاني الولاية هو من المعاني الظريفة الدقيقة، و هو و إن كان من أسرار الشيعة الإماميّة و لكن قد عثر عليه جمعٌ من عارفي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نعني بهذا القسم أنّه لوفرضنا خلوّ العالم عن المعصومين عليهم السلام بحيث لم يكن لأحدهم وجودٌ خارجيٌّ عينيٌّ فيه لينقرض العالم بأسره و ليضمحلّ بجميع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علاوةً على الروايات العشر الّتي رواها الشيخ الكلينيّ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الأئمّة هم أركان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جامعه الكافي</w:t>
      </w:r>
      <w:r>
        <w:rPr>
          <w:rStyle w:val="FootnoteAnchor"/>
          <w:rtl w:val="true"/>
        </w:rPr>
        <w:footnoteReference w:id="21"/>
      </w:r>
      <w:r>
        <w:rPr>
          <w:rFonts w:ascii="Amiri" w:hAnsi="Amiri" w:eastAsia="Amiri" w:cs="Amiri"/>
          <w:color w:val="111111"/>
          <w:sz w:val="28"/>
          <w:sz w:val="28"/>
          <w:szCs w:val="28"/>
          <w:rtl w:val="true"/>
          <w:lang w:bidi="ar-SA"/>
        </w:rPr>
        <w:t>، يدلّ على هذا المعنى الدقيق بعض فقرات أدعيتنا المأثورة؛ فانّه يدلّ على تعلّق العالم كلّه بوجودهم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الدعاء المسمّاة بالعديلة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 ثبتت الأرض و السماء</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الزيارة الجامعة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بكم يمسك السماء أن تقع على الأرض إلّابإذنه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الغنيّ عن البيان انّ جميع ما في العالم من الفيض هو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صدر منه من دون ريبٍ و ارتيابٍ؛ و لكن الكلام كلّه في أنّ هذا الفيض يحتاج إلى مجرىً و مسلكٍ ليجري فيه حتّى يصل إلى موطنه، و الأئمّة عليهم السلام هم المسلك التامّ الكامل لإيصاله إليها</w:t>
      </w:r>
      <w:r>
        <w:rPr>
          <w:rFonts w:eastAsia="Amiri" w:cs="Amiri" w:ascii="Amiri" w:hAnsi="Amiri"/>
          <w:color w:val="111111"/>
          <w:sz w:val="28"/>
          <w:szCs w:val="28"/>
          <w:rtl w:val="true"/>
          <w:lang w:bidi="ar-SA"/>
        </w:rPr>
        <w:t xml:space="preserve">. </w:t>
      </w:r>
      <w:bookmarkStart w:id="57" w:name="pg18987_179654"/>
    </w:p>
    <w:p>
      <w:pPr>
        <w:pStyle w:val="BookText"/>
        <w:rPr/>
      </w:pPr>
      <w:bookmarkEnd w:id="57"/>
      <w:r>
        <w:rPr>
          <w:rFonts w:ascii="Amiri" w:hAnsi="Amiri" w:eastAsia="Amiri" w:cs="Amiri"/>
          <w:color w:val="111111"/>
          <w:sz w:val="28"/>
          <w:sz w:val="28"/>
          <w:szCs w:val="28"/>
          <w:rtl w:val="true"/>
          <w:lang w:bidi="ar-SA"/>
        </w:rPr>
        <w:t>و إمعان النظر إلى أنّ جميع أجزاء العالم من النُوَيَّة الصغيرة الّتي لاتُرى إلّابالباصرة المسلّحة إلى المسطبات و المجرّات الّتي لايمكن تقديرها إلّابالوهم يدور حول محورٍ واحدٍ و يسير على مداره يعيننا كثيراً في ما نحن بصدده الآن، إذ عالم الوجود أو قل جميع الوجود أيضاً يدور و يتمحور حول محورٍ واحدٍ، كما قضت بذلك أجزاؤه المفردة من النُوَيَّة إلى المسطبة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الركيزة هو الإمام عليه السلام في كلّ عصرٍ و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قلنا ظهر أنّ الأقسام الأربعة للولاية التكوينيّة تشترك في معنىً واحدٍ و هو الوساطة في الفيض و إن كان هو الأظهر في الأقسام الثلاثة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إيراده حول الولاية التكوينيّة و أقسامها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الفراغ منه نفصّل الكلام حول القسم الثّاني من أقسام الولاية، و هو الولاية التشريعيّة</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13099630_1280447820"/>
      <w:bookmarkStart w:id="59" w:name="_Toc21"/>
      <w:bookmarkEnd w:id="58"/>
      <w:r>
        <w:rPr/>
        <w:t>2-1</w:t>
      </w:r>
      <w:r>
        <w:rPr>
          <w:rtl w:val="true"/>
        </w:rPr>
        <w:t xml:space="preserve">: </w:t>
      </w:r>
      <w:r>
        <w:rPr>
          <w:rtl w:val="true"/>
        </w:rPr>
        <w:t>الولاية التشريعيّة بمعنى الولاية في التقنين و السنّ‌</w:t>
      </w:r>
      <w:bookmarkEnd w:id="59"/>
    </w:p>
    <w:p>
      <w:pPr>
        <w:pStyle w:val="BookText"/>
        <w:rPr/>
      </w:pPr>
      <w:r>
        <w:rPr>
          <w:rFonts w:ascii="Amiri" w:hAnsi="Amiri" w:eastAsia="Amiri" w:cs="Amiri"/>
          <w:color w:val="111111"/>
          <w:sz w:val="28"/>
          <w:sz w:val="28"/>
          <w:szCs w:val="28"/>
          <w:rtl w:val="true"/>
          <w:lang w:bidi="ar-SA"/>
        </w:rPr>
        <w:t>و الكلام في هذا القسم يدور مدار التقنين،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الدُستور و 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التقنين لايجوز لأحدٍ إلّاللّه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يعمّ النبيّ صلى الله عليه و آله و أهل بيته عليهم السلام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لهم التقنين و جعل الدُستور أيضاً تحرّراً و من قبل أنفسهم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لَمْيَحْكُمْ بِمَا أَنزَلَ اللَّهُ فَأُولَئِكَ هُمُ الفَاسِقُونَ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الآيات الثلاث الّتي وردت في سورة المائدة المباركة تلزيقاً تنادي بأعلى صوتها أنّ الحكم ينحصر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محدودٌ فيه؛ و ليس لأحدٍ أن يضع حكماً و تشريعاً، كان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يصرّح بأنّ التقنين ليس في وسع النبيّ صلى الله عليه و آله أيضاً، بل هو مفسّرٌ و مبيّنٌ لما أنزل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فالوضع و الجعل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تبيين ما وضع إنّما للنبيّ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انّ القرآن الكريم يصف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 بقوله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لَارَطْبٍ وَ لَايَابِسٍ إِلَّا فِي كِتَابٍ مُبِينٍ</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لوكان للقرآن الكريم هذا الشأن، فيجب أن يكون مفسّره أيضاً صاحب هذا الشأن من غير تفاوتٍ حتّى لايقصّر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هذا التقصير ينافي الهداية الّتي من أجلها نزل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فللنبيّ صلى الله عليه و آله و من استخلفه عليهم السلام مرتبة التماميّة كما انّ للقرآن الكريم هذه المرتبة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يرشدك إلى ما قلنا قول السيّد الأستاذ الإمام الخمينيّ رحمه الله في وصيّته الإلهيّة السياسيّة حيث أشار إلى أنّ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تجلّيين تامّين، و بالتجلّي الثّاني ظهر النبيّ و أهل بيته عليهم السلام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60" w:name="pg18987_179656"/>
    </w:p>
    <w:p>
      <w:pPr>
        <w:pStyle w:val="BookText"/>
        <w:rPr/>
      </w:pPr>
      <w:bookmarkEnd w:id="60"/>
      <w:r>
        <w:rPr>
          <w:rFonts w:ascii="Amiri" w:hAnsi="Amiri" w:eastAsia="Amiri" w:cs="Amiri"/>
          <w:color w:val="111111"/>
          <w:sz w:val="28"/>
          <w:sz w:val="28"/>
          <w:szCs w:val="28"/>
          <w:rtl w:val="true"/>
          <w:lang w:bidi="ar-SA"/>
        </w:rPr>
        <w:t>فهم الكمّل التامّون، فلهم مرتبة تفسير ما هو الكامل التامّ؛ و هو القرآن الكريم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الدُستور الإلهيّ الشامل لجميع ما يحتاج إليه الإنسان جيلاً بعد جيلٍ</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13099632_1280447820"/>
      <w:bookmarkStart w:id="62" w:name="_Toc22"/>
      <w:bookmarkEnd w:id="61"/>
      <w:r>
        <w:rPr/>
        <w:t>2-2</w:t>
      </w:r>
      <w:r>
        <w:rPr>
          <w:rtl w:val="true"/>
        </w:rPr>
        <w:t xml:space="preserve">: </w:t>
      </w:r>
      <w:r>
        <w:rPr>
          <w:rtl w:val="true"/>
        </w:rPr>
        <w:t>الولاية التشريعيّة بمعنى الولاية في القضاء و الفصل</w:t>
      </w:r>
      <w:bookmarkEnd w:id="62"/>
    </w:p>
    <w:p>
      <w:pPr>
        <w:pStyle w:val="BookText"/>
        <w:rPr/>
      </w:pPr>
      <w:r>
        <w:rPr>
          <w:rFonts w:ascii="Amiri" w:hAnsi="Amiri" w:eastAsia="Amiri" w:cs="Amiri"/>
          <w:color w:val="111111"/>
          <w:sz w:val="28"/>
          <w:sz w:val="28"/>
          <w:szCs w:val="28"/>
          <w:rtl w:val="true"/>
          <w:lang w:bidi="ar-SA"/>
        </w:rPr>
        <w:t>هذا هو ثاني معاني الولاية التشريعيّة، و هو الولاية في القضاء و فصل الخصومات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لاريب في أنّ من كان صاحب هذه الولاية له الحكم النافذ، و لايجوز لأحدٍ التمرّد عمّا حكم به و قضاه و العنود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المكانة ثابتةٌ للنبيّ صلى الله عليه و آله و أهل بيته عليهم السلام من غير ارتيابٍ؛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لَايُؤْمِنُونَ حَتَّى يُحَكِّمُوكَ فِيَما شَجَرَ بَينَهُمْ ثُمَّ لَايَجِدُوا فِي أَنْفُسِهِمْ حَرَجاً مِمَّا قَضَيْتَ وَ يُسَلِّمُوا تَسْلِيماً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لَامُؤْمِنَةٍ إِذَا قَضَى اللَّهُ وَ رَسُولُهُ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فالآيتان تصرّحان بأنّ مرتبة الحكم و فصل القضاء في مشاجرات الناس و خصوماتهم قد أعطيت للنبيّ صلى الله عليه و آله، و لايجوز لهم انكار ما حكم به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فرضنا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المذكورين في الآيتين وردا بمعنى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بعض الفقهاء و المفسّرين</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فلاضير، إذ القضاء و فصل الخصومات أيضاً من مراتب </w:t>
      </w:r>
      <w:bookmarkStart w:id="63" w:name="pg18987_179657"/>
    </w:p>
    <w:p>
      <w:pPr>
        <w:pStyle w:val="BookText"/>
        <w:rPr/>
      </w:pPr>
      <w:bookmarkEnd w:id="63"/>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 الحكومة فله مرتبة القضاء، إذ لايستقيم أمر الحكومة إلّابها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قلنا انّ هذه المكانة زيادةً على النبيّ صلى الله عليه و آله ثبتت لعترته عليهم السلام أيضاً، إذ إضافةً إلى ما روي منه صلى الله عليه و آله في إثبات مناصبه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كحديث المنزلة المتواتر</w:t>
      </w:r>
      <w:r>
        <w:rPr>
          <w:rStyle w:val="FootnoteAnchor"/>
          <w:rtl w:val="true"/>
        </w:rPr>
        <w:footnoteReference w:id="34"/>
      </w:r>
      <w:r>
        <w:rPr>
          <w:rFonts w:ascii="Amiri" w:hAnsi="Amiri" w:eastAsia="Amiri" w:cs="Amiri"/>
          <w:color w:val="111111"/>
          <w:sz w:val="28"/>
          <w:sz w:val="28"/>
          <w:szCs w:val="28"/>
          <w:rtl w:val="true"/>
          <w:lang w:bidi="ar-SA"/>
        </w:rPr>
        <w:t xml:space="preserve">المثبت لجميع مناصبه غير النبوّة لعترته الطاهرة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نصبه سيّدنا عليٍّ عليه السلام بالولاية و الإمامة يشير إلى إثبات مرتبة القضاء له عليه السلام؛ إذ قلنا انّ الولاية في القضاء من لوازم الولاية العامّة و الحكومة على المسلمين</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13099634_1280447820"/>
      <w:bookmarkStart w:id="65" w:name="_Toc23"/>
      <w:bookmarkEnd w:id="64"/>
      <w:r>
        <w:rPr/>
        <w:t>2-3</w:t>
      </w:r>
      <w:r>
        <w:rPr>
          <w:rtl w:val="true"/>
        </w:rPr>
        <w:t xml:space="preserve">: </w:t>
      </w:r>
      <w:r>
        <w:rPr>
          <w:rtl w:val="true"/>
        </w:rPr>
        <w:t>الولاية التشريعيّة بمعنى الولاية في الطاعة و الانقياد و الامتثال</w:t>
      </w:r>
      <w:bookmarkEnd w:id="65"/>
    </w:p>
    <w:p>
      <w:pPr>
        <w:pStyle w:val="BookText"/>
        <w:rPr/>
      </w:pPr>
      <w:r>
        <w:rPr>
          <w:rFonts w:ascii="Amiri" w:hAnsi="Amiri" w:eastAsia="Amiri" w:cs="Amiri"/>
          <w:color w:val="111111"/>
          <w:sz w:val="28"/>
          <w:sz w:val="28"/>
          <w:szCs w:val="28"/>
          <w:rtl w:val="true"/>
          <w:lang w:bidi="ar-SA"/>
        </w:rPr>
        <w:t>و نطاق هذا القسم من الولاية أوسع من نطاق الولاية في القضاء وفصل الخصومة، إذ لو ثبت لأحدٍ وجوب الإنقياد و الامتثال فلاريب في ثبوت ولايته و وجوب قبول حكمه، قضاءً كان أو حكماً أو قنوعاً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أجمع الشيعة الإماميّة على ثبوت هذا القسم من الولاية للنبيّ صلى الله عليه و آله و عترته المعصومين عليهم السلام؛ و قد فُصّل الكلام حوله في علم الكلام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نلمّح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لِمُؤْمِنٍ وَ لَامُؤْمِنَةٍ إِذَا قَضَى اللَّهُ وَ رَسُولُهُ أَمْراً </w:t>
      </w:r>
      <w:bookmarkStart w:id="66" w:name="pg18987_179658"/>
    </w:p>
    <w:p>
      <w:pPr>
        <w:pStyle w:val="BookText"/>
        <w:rPr/>
      </w:pPr>
      <w:bookmarkEnd w:id="66"/>
      <w:r>
        <w:rPr>
          <w:rFonts w:ascii="Amiri" w:hAnsi="Amiri" w:eastAsia="Amiri" w:cs="Amiri"/>
          <w:color w:val="111111"/>
          <w:sz w:val="28"/>
          <w:sz w:val="28"/>
          <w:szCs w:val="28"/>
          <w:rtl w:val="true"/>
          <w:lang w:bidi="ar-SA"/>
        </w:rPr>
        <w:t>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فقط، حيث لاتسع الرسالة التفصيل فيما لايتعلّق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الشريفة تنفي خيار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أمر النبيّ صلى الله عليه و آله و حكمه، و اثبات وجوب إطاعته و امتثال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المفسّرون</w:t>
      </w:r>
      <w:r>
        <w:rPr>
          <w:rStyle w:val="FootnoteAnchor"/>
          <w:rtl w:val="true"/>
        </w:rPr>
        <w:footnoteReference w:id="37"/>
      </w:r>
      <w:r>
        <w:rPr>
          <w:rFonts w:ascii="Amiri" w:hAnsi="Amiri" w:eastAsia="Amiri" w:cs="Amiri"/>
          <w:color w:val="111111"/>
          <w:sz w:val="28"/>
          <w:sz w:val="28"/>
          <w:szCs w:val="28"/>
          <w:rtl w:val="true"/>
          <w:lang w:bidi="ar-SA"/>
        </w:rPr>
        <w:t>أنّ الآية الشريفة نزلت في وقعة زيدٍ و أمر النبيّ صلى الله عليه و آله إيّاه بتطليق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يبدو من ظاهر الآية أنّ أمر النبيّ صلى الله عليه و آله إيّاه ما كان حكماً و لاقضاءً، بل كان أرَباً و طلباً ساذجاً بسيطاً</w:t>
      </w:r>
      <w:r>
        <w:rPr>
          <w:rStyle w:val="FootnoteAnchor"/>
          <w:rtl w:val="true"/>
        </w:rPr>
        <w:footnoteReference w:id="38"/>
      </w:r>
      <w:r>
        <w:rPr>
          <w:rFonts w:ascii="Amiri" w:hAnsi="Amiri" w:eastAsia="Amiri" w:cs="Amiri"/>
          <w:color w:val="111111"/>
          <w:sz w:val="28"/>
          <w:sz w:val="28"/>
          <w:szCs w:val="28"/>
          <w:rtl w:val="true"/>
          <w:lang w:bidi="ar-SA"/>
        </w:rPr>
        <w:t>و لكنّها أكّدت وجوب قبول أمره صلى الله عليه و آله و إنْ لم يكن حكماً و ذكّرت المؤمنين أن لاخيار لهم حيال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الكلينيّ رحمه الله أيضاً أورد بعض الروايات الدالّة على وجوب طاعة المعصومين عليهم السلام في مبتدء جامعه الكافي</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اتّصف هذا القسم من الولاية بوجوب الانقياد و الامتثال</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13099636_1280447820"/>
      <w:bookmarkStart w:id="68" w:name="_Toc24"/>
      <w:bookmarkEnd w:id="67"/>
      <w:r>
        <w:rPr/>
        <w:t>2-4</w:t>
      </w:r>
      <w:r>
        <w:rPr>
          <w:rtl w:val="true"/>
        </w:rPr>
        <w:t xml:space="preserve">: </w:t>
      </w:r>
      <w:r>
        <w:rPr>
          <w:rtl w:val="true"/>
        </w:rPr>
        <w:t>الولاية التشريعيّة بمعنى الأمارة و مرتبة رئاسة المجتمع</w:t>
      </w:r>
      <w:bookmarkEnd w:id="6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لاريب أيضاً في ثبوت هذا القسم من الولاية للمعصومين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ممّا أُرسل إرسال </w:t>
      </w:r>
      <w:bookmarkStart w:id="69" w:name="pg18987_179659"/>
    </w:p>
    <w:p>
      <w:pPr>
        <w:pStyle w:val="BookText"/>
        <w:rPr/>
      </w:pPr>
      <w:bookmarkEnd w:id="69"/>
      <w:r>
        <w:rPr>
          <w:rFonts w:ascii="Amiri" w:hAnsi="Amiri" w:eastAsia="Amiri" w:cs="Amiri"/>
          <w:color w:val="111111"/>
          <w:sz w:val="28"/>
          <w:sz w:val="28"/>
          <w:szCs w:val="28"/>
          <w:rtl w:val="true"/>
          <w:lang w:bidi="ar-SA"/>
        </w:rPr>
        <w:t xml:space="preserve">المسلّمات بين الشيعة الإماميّة طوال القرون؛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تصرّح الآيتان بثبوت هذا القسم للنبيّ صلى الله عليه و آله؛ و قد أشرنا فيما سبق إلى تساوي الأحكام بين النبيّ صلى الله عليه و آله و عترته عليهم السلام، فالحكم ثابتٌ لهم عليهم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انّ مورد مسألة ولاية الفقيه و منجمها هو هذا القسم من الولاية؛ و السؤال الرئيسيّ الهامّ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ثبتت الولاية للفقيه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هذا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مرتبة الأمارة و رئاسة المجتمع تنحصر في المعصومين عليهم السلام أم هي ثابتةٌ لفقهاء الإماميّة العدول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الفراغ من مقدّمات المبحث يجب علينا الرجوع إلى هذا القسم لنفصّل الكلام حوله</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13099638_1280447820"/>
      <w:bookmarkStart w:id="71" w:name="_Toc25"/>
      <w:bookmarkEnd w:id="70"/>
      <w:r>
        <w:rPr/>
        <w:t>3</w:t>
      </w:r>
      <w:r>
        <w:rPr>
          <w:rtl w:val="true"/>
        </w:rPr>
        <w:t xml:space="preserve"> - </w:t>
      </w:r>
      <w:r>
        <w:rPr>
          <w:rtl w:val="true"/>
        </w:rPr>
        <w:t>الولاية العنائيّة أو الالتفاتيّة</w:t>
      </w:r>
      <w:bookmarkEnd w:id="71"/>
    </w:p>
    <w:p>
      <w:pPr>
        <w:pStyle w:val="BookText"/>
        <w:rPr/>
      </w:pPr>
      <w:r>
        <w:rPr>
          <w:rFonts w:ascii="Amiri" w:hAnsi="Amiri" w:eastAsia="Amiri" w:cs="Amiri"/>
          <w:color w:val="111111"/>
          <w:sz w:val="28"/>
          <w:sz w:val="28"/>
          <w:szCs w:val="28"/>
          <w:rtl w:val="true"/>
          <w:lang w:bidi="ar-SA"/>
        </w:rPr>
        <w:t>و نعني بهذا القسم من الولاية انّ الفرد الأعلى الواقع في المرتبة العليا من هرم الوجود له عنايةٌ خاصّةٌ ببعض مصاديق المرتبة الدنيا بحيث تصبح هذه العناية مميّزةً لبعض مصاديق تلك المرتبة أو الطبقة عن بعضٍ آخر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ما قلنا ظهر انّ أعلى مراتب هذا القسم من الولاية هي مرتبة عناية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المعصومين عليهم السلام، ثمّ اهتمامهم عليهم السلام بالنسبة إلى خواصّ شيعتهم، ثمّ </w:t>
      </w:r>
    </w:p>
    <w:p>
      <w:pPr>
        <w:pStyle w:val="BookText"/>
        <w:rPr/>
      </w:pPr>
      <w:r>
        <w:rPr>
          <w:rFonts w:ascii="Amiri" w:hAnsi="Amiri" w:eastAsia="Amiri" w:cs="Amiri"/>
          <w:color w:val="111111"/>
          <w:sz w:val="28"/>
          <w:sz w:val="28"/>
          <w:szCs w:val="28"/>
          <w:rtl w:val="true"/>
          <w:lang w:bidi="ar-SA"/>
        </w:rPr>
        <w:t>عمومهم، ثمّ غيرهم إلى أن تنتهي مراتب هذه الولاية بتمام مراتب الوجود بوصولها إلى مرتبة الهيولى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القرآن الكريم أكثر من مرّةٍ إلى هذه الولاية؛ منها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إيماء الآية إلى ما نحن فيه واضحٌ، حيث تشير إلى عنايةٍ خاصّةٍ و اهتمامٍ خاصٍّ من الرسول إلى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يثبت صدر الآية اشتياقه صلى الله عليه و آله إلى اهتداء الناس أجمعين، فهو ذو عنايةٍ و مهتمٌّ بهم؛ و لكن ذيلها يشير إلى التفاته الخاصّ إلى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 هُدَىً لِلنَّاسِ</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لَارَيبَ فِيهِ هُدىً لِلْمُتَّقِينَ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فبانضمام الآيتين الشريفتين نحصل على نتيجةٍ، و هي ثبوت عنايةٍ خاصّةٍ من القرآن الكريم بالنسبة إلى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البديهيّ أنّ الآية الأولىٰ تصف القرآن الكريم كهادٍ للناس أجمعين؛ 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تختصّ المتّقين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عنايةً خاصّةً منه بالنسبة إليهم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هي ولاية القرآن الكريم العنائيّة</w:t>
      </w:r>
      <w:r>
        <w:rPr>
          <w:rFonts w:eastAsia="Amiri" w:cs="Amiri" w:ascii="Amiri" w:hAnsi="Amiri"/>
          <w:color w:val="111111"/>
          <w:sz w:val="28"/>
          <w:szCs w:val="28"/>
          <w:rtl w:val="true"/>
          <w:lang w:bidi="ar-SA"/>
        </w:rPr>
        <w:t>.</w:t>
      </w:r>
      <w:bookmarkStart w:id="72" w:name="pg18987_179661"/>
    </w:p>
    <w:p>
      <w:pPr>
        <w:pStyle w:val="Heading4"/>
        <w:numPr>
          <w:ilvl w:val="3"/>
          <w:numId w:val="1"/>
        </w:numPr>
        <w:rPr/>
      </w:pPr>
      <w:bookmarkStart w:id="73" w:name="__RefHeading___Toc13099640_1280447820"/>
      <w:bookmarkStart w:id="74" w:name="_Toc26"/>
      <w:bookmarkEnd w:id="72"/>
      <w:bookmarkEnd w:id="73"/>
      <w:r>
        <w:rPr>
          <w:rtl w:val="true"/>
        </w:rPr>
        <w:t>المقدّمة الثّانية مصاديق أقسام الولاية</w:t>
      </w:r>
      <w:bookmarkEnd w:id="74"/>
    </w:p>
    <w:p>
      <w:pPr>
        <w:pStyle w:val="BookText"/>
        <w:rPr/>
      </w:pPr>
      <w:r>
        <w:rPr>
          <w:rFonts w:ascii="Amiri" w:hAnsi="Amiri" w:eastAsia="Amiri" w:cs="Amiri"/>
          <w:color w:val="111111"/>
          <w:sz w:val="28"/>
          <w:sz w:val="28"/>
          <w:szCs w:val="28"/>
          <w:rtl w:val="true"/>
          <w:lang w:bidi="ar-SA"/>
        </w:rPr>
        <w:t>الغرض من تدوين هذا المقال أو الفصل هو الإجابة عن هذا السؤال البنّاء القاعديّ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هم مصاديق كلّ واحدٍ من أقسام الولاية؟؛</w:t>
      </w:r>
    </w:p>
    <w:p>
      <w:pPr>
        <w:pStyle w:val="BookText"/>
        <w:rPr/>
      </w:pPr>
      <w:r>
        <w:rPr>
          <w:rFonts w:ascii="Amiri" w:hAnsi="Amiri" w:eastAsia="Amiri" w:cs="Amiri"/>
          <w:color w:val="111111"/>
          <w:sz w:val="28"/>
          <w:sz w:val="28"/>
          <w:szCs w:val="28"/>
          <w:rtl w:val="true"/>
          <w:lang w:bidi="ar-SA"/>
        </w:rPr>
        <w:t>و بعبارةٍ أخرى 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تنحصر مصاديق أقسام الولاية في أفرادٍ خاصٍّ؟ أم يمكن لكلّ أحدٍ أن يكون أحد مصاديق قسمٍ من أقسام الولاية؟؛</w:t>
      </w:r>
    </w:p>
    <w:p>
      <w:pPr>
        <w:pStyle w:val="BookText"/>
        <w:rPr/>
      </w:pPr>
      <w:r>
        <w:rPr>
          <w:rFonts w:ascii="Amiri" w:hAnsi="Amiri" w:eastAsia="Amiri" w:cs="Amiri"/>
          <w:color w:val="111111"/>
          <w:sz w:val="28"/>
          <w:sz w:val="28"/>
          <w:szCs w:val="28"/>
          <w:rtl w:val="true"/>
          <w:lang w:bidi="ar-SA"/>
        </w:rPr>
        <w:t>و 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الحصول في مرتبة الأولياء هل هو أمرٌ كسبيٌّ يجوز لكلٍّ أحدٍ أن يحوزه إذا أحرز شروطه الأساسيّة الأوّليّة؟ أم لايمكن لأحدٍ اكتساب هذه المرتبة؟، بل القرار فيها أمرٌ اختصّ ببعض الناس فقط و ليس لأحدٍ غيرهم بلوغها؟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يكون الأمر أكثر تبياناً و اتّضاحاً نبحث عن مصاديق كلّ قسمٍ من أقسام الولاية على حدةٍ،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نفصّل الكلام حول مصاديق كلّ قسمٍ من أقسامها وحيداً و على 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من أقسام الولاية التكوينيّة،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لكلٍّ أحدٍ من الناس، بل لكلّ موجودٍ من الموجودات و إن كانت سعته تتغيّر بالنسبة إلى كلّ واحدٍ منهم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فلاريب في أنّ من خطى خطوةً في مسير الكمال و دنا من منبع الوجود له سعةٌ أوسع ممَّن ليست له هذه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يُحكى عن بعض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العارف الشيخ حسنعليّ </w:t>
      </w:r>
    </w:p>
    <w:p>
      <w:pPr>
        <w:pStyle w:val="BookText"/>
        <w:rPr/>
      </w:pPr>
      <w:r>
        <w:rPr>
          <w:rFonts w:ascii="Amiri" w:hAnsi="Amiri" w:eastAsia="Amiri" w:cs="Amiri"/>
          <w:color w:val="111111"/>
          <w:sz w:val="28"/>
          <w:sz w:val="28"/>
          <w:szCs w:val="28"/>
          <w:rtl w:val="true"/>
          <w:lang w:bidi="ar-SA"/>
        </w:rPr>
        <w:t>نخودكيّ الإصفهانيّ‌</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الكرامات و الأمور الغريبة يشير إلى مرتبتهم الخاصّة في هذا القسم من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قلنا ظهر انّ القرار في مصاديق هذا القسم ليس ذاتيّاً لأحدٍ، بل كلّ مرتبةٍ من مراتبه اكتسبابيٌّ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الثّاني و الثّالث من أقسام الولاية التكوينيّة، فهما و إن كانا كسبيّاً للأنبياء عليهم السلام و لكن ليس لغيرهم أن يحوزهما، بل لاطريق لهم إليهما؛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ابْتَلَى إِبرَاهِيمَ رَبُّهُ بِكَلِمَاتٍ فَأَتَمَّهُنَّ قَالَ إِنِّي جَاعِلُكَ لِلنَّاسِ إِمَاماً قَالَ وَ مِنْ ذُرِّيَّتِي قَالَ لَايَنَالُ عَهْدِي الظَّالِمِينَ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الشريفة تشير بوضوحٍ إلى أنّ سيّدنا إبراهيم عليه السلام عندما بلغ مرتبة النبوّة الموهوبة تمكّن من اكتساب هذه الرتبة</w:t>
      </w:r>
      <w:r>
        <w:rPr>
          <w:rStyle w:val="FootnoteAnchor"/>
          <w:rtl w:val="true"/>
        </w:rPr>
        <w:footnoteReference w:id="47"/>
      </w:r>
      <w:r>
        <w:rPr>
          <w:rFonts w:ascii="Amiri" w:hAnsi="Amiri" w:eastAsia="Amiri" w:cs="Amiri"/>
          <w:color w:val="111111"/>
          <w:sz w:val="28"/>
          <w:sz w:val="28"/>
          <w:szCs w:val="28"/>
          <w:rtl w:val="true"/>
          <w:lang w:bidi="ar-SA"/>
        </w:rPr>
        <w:t>، فصار إماماً للناس، بل إماماً و أميراً لقافلة الوجود في مسيرها الكماليّ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ممّا قلنا انّ هذين القسمين من الولاية ذاتيّان للمعصومين الأربعة عشر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تُبحث عن أدلّة هذا القول في 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كسبيٌّ للأنبياء عليهم السلام؛ و أمّا الآخرون فلاسبيل لهم إليهما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القسم الرّابع من أقسام الولاية التكوينيّة، فهو يختصّ بالمعصومين الأربعة عشر عليهم السلام و لاسبيل إليه لغيرهم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للكبار من الأنبياء و أعاظمهم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ليست جوهريّاً و ذاتيّاً لهم، و لايمكن لهم اكتسابها أيضاً؛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فالآية الشريفة تدلّ على أنّ الولاية بمعنى العلّيّة للكون و صلته و تعلّقه بغيره تنحصر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 و أئمّتنا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الجدير بالذكر في هذا المقام أنّ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أعلام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وحدة السياق في الآية الشريفة ذهب إلى التسوية بين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رسوله و بين أميرالمؤمنين عليهما السلام في الولاية،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للّه من الولاية فهو ثابتٌ لنبيّه ولأميرالمؤمنين عليهما السلام أيضاً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زيادةً على القرآن الكريم تدلّ جملةٌ من أدعيتنا و أحاديثنا أيضاً تدلّ على انحصار هذا القسم من الولاية في المعصومين الأربعة عشر عليهم السلام و كونهم مصاديقه الإنحصاريّة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بيمنه رزق الورى، بوجوده ثبتت الأرض و السماء</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فتح اللّه و بكم يختم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الولاية التشريعيّة و إن كانت لها مصاديق متعدّدة و لكن تتفاوت مراتب تلك المصاديق تفاوتاً بيّناً ناصعاً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هذه الولاية و الّتي بمعنى تبيين الأحكام و إيضاحها تختصّ في مرتبتها التامّة الكاملة بالمعصومين عليهم السلام، إذ ليس لأحدٍ غيرهم عليهم السلام الإحاطة التامّة بالقرآن الكريم و بالشريعة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صاحبوا هذه المرتبة الكاملة من هذه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لايخفى انّه مَن انسلك في سلك الفقهاء الجامعي لشرائط الإفتاء علماً و عملاً فله مرتبةٌ منها، و يُعدّ من مصاديق أصحاب الولاية التشريعيّة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العقل اقتضاء الرجوع إلى المتضلّع الماهر في كلّ فنٍ؛ و سيرة العقلاء أيضاً تؤيّده، بل استقرّت عليه طوال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فعليهما تثبت هذه الولاية للفقيه الجامع لشرائط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علاوةً على العقل و سيرة العقلاء يدلّ فريقٌ من روايات أهل البيت عليهم السلام على ثبوتها لهم؛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مرسلة الاحتجاج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رجلٌ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هؤلاء العوامّ من اليهود لايعرفون الكتاب إلّابما يسمعونه من علمائهم، فكيف ذمّهم بتقليدهم و القبول من علمائهم؟، و هل عوامّ اليهود إلّاكعوامّنا يقلّدون 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عوامّنا و عوامّ اليهود فرقٌ من جهةٍ و تسويةٌ من جهةٍ؛</w:t>
      </w:r>
    </w:p>
    <w:p>
      <w:pPr>
        <w:pStyle w:val="BookText"/>
        <w:rPr/>
      </w:pPr>
      <w:r>
        <w:rPr>
          <w:rFonts w:ascii="Amiri" w:hAnsi="Amiri" w:eastAsia="Amiri" w:cs="Amiri"/>
          <w:color w:val="111111"/>
          <w:sz w:val="28"/>
          <w:sz w:val="28"/>
          <w:szCs w:val="28"/>
          <w:rtl w:val="true"/>
          <w:lang w:bidi="ar-SA"/>
        </w:rPr>
        <w:t>أمّا من حيث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ذمّ عوامّنا بتقليدهم علمائهم كما ذمّ عوامّهم؛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حيث افترقوا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عوامّ اليهود قد عرفوا علمائهم بالكذب الصراح </w:t>
      </w:r>
    </w:p>
    <w:p>
      <w:pPr>
        <w:pStyle w:val="BookText"/>
        <w:rPr/>
      </w:pPr>
      <w:r>
        <w:rPr>
          <w:rFonts w:ascii="Amiri" w:hAnsi="Amiri" w:eastAsia="Amiri" w:cs="Amiri"/>
          <w:color w:val="111111"/>
          <w:sz w:val="28"/>
          <w:sz w:val="28"/>
          <w:szCs w:val="28"/>
          <w:rtl w:val="true"/>
          <w:lang w:bidi="ar-SA"/>
        </w:rPr>
        <w:t>و أكل الحرام و الرشاء و تغيير الأحكام و اضطرّوا بقلوبهم إلى أنّ من فعل ذلك فهو فاسقٌ لايجوز أن يصدق على اللّه و لا على الوسائط بين الخلق و بين اللّه، فلذلك ذمّهم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عوامّنا إذا عرفوا من علمائهم الفسق الظاهر و العصبيّة الشديدة و التكالب على الدنيا و حرامها، فمن قلّد مثل هؤلاء فهو مثل اليهود الّذين ذمّهم اللّه بالتقليد لفسقة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لايكون إلّابعض فقهاء الشيعة، لاكلّهم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من ركب من القبائح و الفواحش مراكب علماء العامّة فلاتقبلوا منهم عنّا شيئاً و لاكرامةً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كثر التخليط فيما يُتحمّل عنّا أهل البيت لذلك، لأنّ الفسقة يتحمّلون عنّا فيحرّفونه بأسره لجهلهم، و يضعون الأشياء على غير وجهها لقلّة معرفتهم؛ و آخرون يتعمّدون الكذب علينا</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و إن كانت مرسلةً و لكنّها نالت قبول الفقهاء،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امتثلوها و استجابوها جيلاً بعد 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فالمحقّق رحمه الله و العلّامة رحمه الله الحلّيّان و الفقيه النجفيّ رحمه الله صاحب الجواهر</w:t>
      </w:r>
      <w:r>
        <w:rPr>
          <w:rStyle w:val="FootnoteAnchor"/>
          <w:rtl w:val="true"/>
        </w:rPr>
        <w:footnoteReference w:id="53"/>
      </w:r>
      <w:r>
        <w:rPr>
          <w:rFonts w:ascii="Amiri" w:hAnsi="Amiri" w:eastAsia="Amiri" w:cs="Amiri"/>
          <w:color w:val="111111"/>
          <w:sz w:val="28"/>
          <w:sz w:val="28"/>
          <w:szCs w:val="28"/>
          <w:rtl w:val="true"/>
          <w:lang w:bidi="ar-SA"/>
        </w:rPr>
        <w:t>و الشيخ الأعظم الأنصاريّ رحمه الله</w:t>
      </w:r>
      <w:r>
        <w:rPr>
          <w:rStyle w:val="FootnoteAnchor"/>
          <w:rtl w:val="true"/>
        </w:rPr>
        <w:footnoteReference w:id="54"/>
      </w:r>
      <w:r>
        <w:rPr>
          <w:rFonts w:ascii="Amiri" w:hAnsi="Amiri" w:eastAsia="Amiri" w:cs="Amiri"/>
          <w:color w:val="111111"/>
          <w:sz w:val="28"/>
          <w:sz w:val="28"/>
          <w:szCs w:val="28"/>
          <w:rtl w:val="true"/>
          <w:lang w:bidi="ar-SA"/>
        </w:rPr>
        <w:t>و المحقّق اليزديّ رحمه الله صاحب العروة</w:t>
      </w:r>
      <w:r>
        <w:rPr>
          <w:rStyle w:val="FootnoteAnchor"/>
          <w:rtl w:val="true"/>
        </w:rPr>
        <w:footnoteReference w:id="55"/>
      </w:r>
      <w:r>
        <w:rPr>
          <w:rFonts w:ascii="Amiri" w:hAnsi="Amiri" w:eastAsia="Amiri" w:cs="Amiri"/>
          <w:color w:val="111111"/>
          <w:sz w:val="28"/>
          <w:sz w:val="28"/>
          <w:szCs w:val="28"/>
          <w:rtl w:val="true"/>
          <w:lang w:bidi="ar-SA"/>
        </w:rPr>
        <w:t>عدّوها صحيحةً و أرسلوا صحّتها إرسال المسلّمات و تمسّكوا بها من غير إشارةٍ منهم إلى إرسالها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سيّدنا </w:t>
      </w:r>
    </w:p>
    <w:p>
      <w:pPr>
        <w:pStyle w:val="BookText"/>
        <w:rPr/>
      </w:pPr>
      <w:r>
        <w:rPr>
          <w:rFonts w:ascii="Amiri" w:hAnsi="Amiri" w:eastAsia="Amiri" w:cs="Amiri"/>
          <w:color w:val="111111"/>
          <w:sz w:val="28"/>
          <w:sz w:val="28"/>
          <w:szCs w:val="28"/>
          <w:rtl w:val="true"/>
          <w:lang w:bidi="ar-SA"/>
        </w:rPr>
        <w:t>الأستاذ المحقّق البروجرديّ رحمه الله إلى أنّ الرواية قد صحّحها صاحب الاحتجاج حيث رواها في كتابه، فنقله إيّاها في كتابه يدلّ على تصحيحه لها؛ قال المحقّق البروجرديّ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مضارعة و نظيرة جازمات الصدوق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دلالةً، فللمتن دلالةٌ واضحةٌ على ثبوت هذا القسم من الولاية للفقهاء العدول، إذ أجاب الصادق عليه السلام السائلَ عن لمّيّة بطلان تقليد اليهود علمائَهم و صحّة تقليد الشيعة علمائنا باختلاف علماء المذهبين في السيرة، فكأنّه عليه السلام أرسل صحّة التقليد ارسال المسلّمات و جعلها من المفروغ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عليه السلام من دون أن يورد إيراداً على جواز التقليد عدّ صيانة النفس و الاحتفاظ بالدين و إطاعة المولى من خصائص بعض فقهاء الشيعة الإماميّة، ثمّ عدّ الكذب و الإرتشاء و تحريف الأحكام من ميزات أحبار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فعوامّ اليهود يلامون لاقتدائهم بهؤلاء الفسقة و تقليدهم إيّاهم، و عوامّ الشيعة يُحمدون و يُمجّدون لتأسّيهم بهولاء الأخيار و تقليدهم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ذيل الحديث ما يدلّ دلالةً واضحةً على ماذكرنا، إذ ذيله يرفض و ينكر جواز تقليد من يكون على غرار فقهاء العامّة عملاً و إن كان عالماً بأحكام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فتقليده مع كونه عالماً كالتقليد لأحبار اليهود و علمائهم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إدريس في آخر السرائر نقلاً من كتاب هشام بن سالم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علينا أن نلقي الأصول و عليكم أن تفرّعوا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لاإشكال في الحديث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الجدير بالذكر أنّ بعض أصولنا الأربعمأة كان في متناول يد صاحب السرائر، و انّه مع عدم تبنيّه على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ردّه عليه و رفضه </w:t>
      </w:r>
    </w:p>
    <w:p>
      <w:pPr>
        <w:pStyle w:val="BookText"/>
        <w:rPr/>
      </w:pPr>
      <w:r>
        <w:rPr>
          <w:rFonts w:ascii="Amiri" w:hAnsi="Amiri" w:eastAsia="Amiri" w:cs="Amiri"/>
          <w:color w:val="111111"/>
          <w:sz w:val="28"/>
          <w:sz w:val="28"/>
          <w:szCs w:val="28"/>
          <w:rtl w:val="true"/>
          <w:lang w:bidi="ar-SA"/>
        </w:rPr>
        <w:t xml:space="preserve">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ينقل ماوجد في هذه الأصول، بل كان يعمل به؛ فلاريب في صحّة الحديث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دلالته فسيأتي منضمّاً بالكلام عن الحديث الآتي، لتشابه الحديثين جملةً و 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نقل من كتاب أحمد بن محمّد بن أبي نصر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إلقاء الأصول و عليكم التفرّع</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لاإشكال في سند هذا الحديث أيضاً،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 من نوادر خاتمة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زيادةً على ذلك فانّ أحمد بن محمّد بن أبي نصر البزنطيّ يُعدّ من أصحاب الإجماع</w:t>
      </w:r>
      <w:r>
        <w:rPr>
          <w:rStyle w:val="FootnoteAnchor"/>
          <w:rtl w:val="true"/>
        </w:rPr>
        <w:footnoteReference w:id="58"/>
      </w:r>
      <w:r>
        <w:rPr>
          <w:rFonts w:ascii="Amiri" w:hAnsi="Amiri" w:eastAsia="Amiri" w:cs="Amiri"/>
          <w:color w:val="111111"/>
          <w:sz w:val="28"/>
          <w:sz w:val="28"/>
          <w:szCs w:val="28"/>
          <w:rtl w:val="true"/>
          <w:lang w:bidi="ar-SA"/>
        </w:rPr>
        <w:t>، فتصحيح رواياته متّفقٌ عليه بين الفقهاء</w:t>
      </w:r>
      <w:r>
        <w:rPr>
          <w:rStyle w:val="FootnoteAnchor"/>
          <w:rtl w:val="true"/>
        </w:rPr>
        <w:footnoteReference w:id="59"/>
      </w:r>
      <w:r>
        <w:rPr>
          <w:rFonts w:ascii="Amiri" w:hAnsi="Amiri" w:eastAsia="Amiri" w:cs="Amiri"/>
          <w:color w:val="111111"/>
          <w:sz w:val="28"/>
          <w:sz w:val="28"/>
          <w:szCs w:val="28"/>
          <w:rtl w:val="true"/>
          <w:lang w:bidi="ar-SA"/>
        </w:rPr>
        <w:t>و لاإشكال لهم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دلالة الحديثين على ولاية الفقهاء في تبيين الأحكام فممّا لاريب فيه و لايحتاج إلى مزيد بيانٍ، إذ من البيّن 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الاستنباط و الاجتهاد، فإذا وضع الإمام عليه السلام مهمّة التفرّع على عاتق الفقهاء فكأنّه عليه السلام جعلهم وليّاً في تبيين الأحكام و استنباط ما يتجدّد منها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بمكانٍ من الوضوح، حتّى انّ الشيخ الحرّ العامليّ رحمه الله مع ردّه على الاجتهاد و ردعه عن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لانخراطه في سلك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 إلى أن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الخبران تضمّنا جواز التفريع على الأصول المسموعة منهم و القواعد الكلّيّة المأخوذة عنهم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ممّا قلنا انّ منزلة تبيين الأحكام منصبه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إن كانت في أعلى مراتبها مختصّةً بالمعصومين عليهم السلام و لكنّها فُوّضت إلى الفقهاء العدول، فلهم هذا القسم من الولاية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ولاية الفقهاء في أمر القضاء، فالظاهر عدم الخلاف في ثبوتها</w:t>
      </w:r>
      <w:r>
        <w:rPr>
          <w:rStyle w:val="FootnoteAnchor"/>
          <w:rtl w:val="true"/>
        </w:rPr>
        <w:footnoteReference w:id="61"/>
      </w:r>
      <w:r>
        <w:rPr>
          <w:rFonts w:ascii="Amiri" w:hAnsi="Amiri" w:eastAsia="Amiri" w:cs="Amiri"/>
          <w:color w:val="111111"/>
          <w:sz w:val="28"/>
          <w:sz w:val="28"/>
          <w:szCs w:val="28"/>
          <w:rtl w:val="true"/>
          <w:lang w:bidi="ar-SA"/>
        </w:rPr>
        <w:t>، بل لم أجد فيه مخالفاً و لو شاذّاً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لاريب في انّ هذه المكانة ثابتةٌ للنبيّ صلى الله عليه و آله و أهل بيته عليهم السلام، و انّهم قد فوّضوها إلى الفقهاء بما أنّهم أهل خبرةٍ و آلها، و لهم استطاعة رفع المخاصمات و الدعاوي؛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 رَبِّكَ لَايُؤمِنُونَ حَتَّى يُحَكِّمُوكَ فِيَما شَجَرَ بَينَهُم ثُمَّ لَايَجِدُوا فِي أَنفُسِهِمْ </w:t>
      </w:r>
    </w:p>
    <w:p>
      <w:pPr>
        <w:pStyle w:val="BookText"/>
        <w:rPr/>
      </w:pPr>
      <w:r>
        <w:rPr>
          <w:rFonts w:ascii="Amiri" w:hAnsi="Amiri" w:eastAsia="Amiri" w:cs="Amiri"/>
          <w:color w:val="111111"/>
          <w:sz w:val="28"/>
          <w:sz w:val="28"/>
          <w:szCs w:val="28"/>
          <w:rtl w:val="true"/>
          <w:lang w:bidi="ar-SA"/>
        </w:rPr>
        <w:t>حَرَجاً مِمَّا قَضَيتَ وَ يُسَلِّمُوا تَسْلِيماً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 الآية الشريفة دلالةً واضحةً على ثبوت منصب القضاء للنبيّ صلى الله عليه و آله، و بعض أحاديث أهل البيت عليهم السلام أيضاً يدلّ على ثبوته لفقهاء الأمّة؛ إليك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محمّد بن يحيى عن محمّد بن الحسين عن محمّد بن عيسى عن صفوان بن يحيى عن داود بن الحصين عن عمر بن حنظلة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أباعبداللّه عليه السلام عن رجلين من أصحابنا بينهما منازعةٌ في دينٍ أو ميراثٍ، فتحاكما إلى السلطان أو إلى القضاة، أ يحلّ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فإنّما تحاكم إلى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يُحكم له فإنّما يأخذ سحتاً و إن كان حقّاً ثابتاً له، لأنّه أخذه بحكم الطاغوت و ما أمر اللّه أن يُكفر به؛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 قَدْ أُمِرُوا أَنْ يَكفُرُوا بِهِ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مَن كان منكم قد روى حديثنا و نظر في حلالنا و حرامنا و عرف أحكامنا فليرضوا به حكماً، فإنّي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حكم بحكمنا فلم يُقبل منه فإنّما استخفّ بحكم اللّه و علينا ردّ، و الرادّ علينا الرادّ على اللّه، و هو على حدّ الشرك باللّه</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لاإشكال في الحديث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استشكل رهطٌ من فقهائنا في عمر بن حنظلة، ولكن </w:t>
      </w:r>
    </w:p>
    <w:p>
      <w:pPr>
        <w:pStyle w:val="BookText"/>
        <w:rPr/>
      </w:pPr>
      <w:r>
        <w:rPr>
          <w:rFonts w:ascii="Amiri" w:hAnsi="Amiri" w:eastAsia="Amiri" w:cs="Amiri"/>
          <w:color w:val="111111"/>
          <w:sz w:val="28"/>
          <w:sz w:val="28"/>
          <w:szCs w:val="28"/>
          <w:rtl w:val="true"/>
          <w:lang w:bidi="ar-SA"/>
        </w:rPr>
        <w:t>زيادةً على أنّ سيّدنا الصادق عليه السلام قد وثّقه</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في الحديث ايراداتٌ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يزيد بن خليفة واقفيٌّ لايصحّ الاستدلال بما يرويه، قاله بعضهم كما عن السيّد الخوئيّ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وقوفه لايضرّ في صحّة رواياته كما ثبت في محلّه، و 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2096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تنوين العوض، فلايدلّ الحديث على انتفاء الكذب عنه في جميع حالاته، بل دلالة الحديث على ذمّه أظهر من دلالته على 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الوحيد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الآمال في شرح زبدة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الحديث قائلٌ بأنّه لم يكذب عليهم عليهم السلام في هذا الوقت، فدلّ بمفهوم اللقب انّه يكذب عليهم في باقي أحاديثه و على غيرهم من الناس؛</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مفهوم اللقب أضعف المفاهيم، فلاوجه للاستدلال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المامقانيّ رحمه الله،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كون 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تنوين العوض فممّا لايسمع إليه، إذ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تنوين العوض، بل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حرف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السيّد التفرشيّ رحمه الله بعد نقل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تفصيلٍ حوله،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منتقى الجمان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مستدركات علم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عمر بن حنظلة رواياتٌ أخرى تدلّ على تصحيحه،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وقوعُ صفوان بن يحيي في سند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هو من أصحاب الإجماع</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انّ الرواية اشتهرت بالمقبولة، و لاضير فيه؛ هذا بالنسبة إلى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ما يرجع إلى المتن، فدلالتها على ثبوت منصب القضاء للفقهاء واضحةٌ بيّنةٌ، إذ الإمام عليه السلام بعد ما نهى عوامّ الشيعة عن التحاكم إلى قضاة الجور أمرهم بالرجوع إلى فقيهٍ عالمٍ بأحكام أهل البيت عليهم السلام، فجعله و نصبه كقاضٍ يُرجع إليه في الدعاوي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أمرهم بالخضوع و التسليم عند حكمه و أوجبه، و جعل ردّه في حدّ الشرك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حديثان آخران رواهما أبوخديجة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تعدّدهما في مصادر الحديث لاريب عندي في اتّحادهما، إذ النظر في مضامينهما يقضي بهذا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سيّدنا الأستاذ سماحة المحقّق البروجرديّ أيضاً يحكم باتّحاد الحديثين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نصّ الحديثين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بإسناده عن محمّد بن عليّ بن محبوب عن أحمد بن محمّد عن الحسين بن سعيد عن أبي الجحم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أبوعبداللّه عليه السلام إلى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إذا وقعت بينكم خصومةٌ أو تدارَى في شيءٍ من الأخذ و العطاء أن تحاكموا إلى أحدٍ من هؤلاء الفسّاق؛ اجعلوا بينكم رجلاً قد عرف حلالنا و حرامنا، فانّي قد جعلته عليكم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أن يخاصم بعضكم بعضاً إلى السلطان الجائر</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السند صحيحٌ بالإجماع و لاإشكال فيه، و زيادةً على كون كلّ واحدٍ من الرواة معدوداً </w:t>
      </w:r>
    </w:p>
    <w:p>
      <w:pPr>
        <w:pStyle w:val="BookText"/>
        <w:rPr/>
      </w:pPr>
      <w:r>
        <w:rPr>
          <w:rFonts w:ascii="Amiri" w:hAnsi="Amiri" w:eastAsia="Amiri" w:cs="Amiri"/>
          <w:color w:val="111111"/>
          <w:sz w:val="28"/>
          <w:sz w:val="28"/>
          <w:szCs w:val="28"/>
          <w:rtl w:val="true"/>
          <w:lang w:bidi="ar-SA"/>
        </w:rPr>
        <w:t>في الصحاح فانّ احمد بن محمّد</w:t>
      </w:r>
      <w:r>
        <w:rPr>
          <w:rStyle w:val="FootnoteAnchor"/>
          <w:rtl w:val="true"/>
        </w:rPr>
        <w:footnoteReference w:id="69"/>
      </w:r>
      <w:r>
        <w:rPr>
          <w:rFonts w:ascii="Amiri" w:hAnsi="Amiri" w:eastAsia="Amiri" w:cs="Amiri"/>
          <w:color w:val="111111"/>
          <w:sz w:val="28"/>
          <w:sz w:val="28"/>
          <w:szCs w:val="28"/>
          <w:rtl w:val="true"/>
          <w:lang w:bidi="ar-SA"/>
        </w:rPr>
        <w:t>ممّن لايروي إلّاعن ثقةٍ‌</w:t>
      </w:r>
      <w:r>
        <w:rPr>
          <w:rStyle w:val="FootnoteAnchor"/>
          <w:rtl w:val="true"/>
        </w:rPr>
        <w:footnoteReference w:id="70"/>
      </w:r>
      <w:r>
        <w:rPr>
          <w:rFonts w:ascii="Amiri" w:hAnsi="Amiri" w:eastAsia="Amiri" w:cs="Amiri"/>
          <w:color w:val="111111"/>
          <w:sz w:val="28"/>
          <w:sz w:val="28"/>
          <w:szCs w:val="28"/>
          <w:rtl w:val="true"/>
          <w:lang w:bidi="ar-SA"/>
        </w:rPr>
        <w:t>، فلاريب في رواياته</w:t>
      </w:r>
      <w:r>
        <w:rPr>
          <w:rStyle w:val="FootnoteAnchor"/>
          <w:rtl w:val="true"/>
        </w:rPr>
        <w:footnoteReference w:id="71"/>
      </w:r>
      <w:r>
        <w:rPr>
          <w:rFonts w:ascii="Amiri" w:hAnsi="Amiri" w:eastAsia="Amiri" w:cs="Amiri"/>
          <w:color w:val="111111"/>
          <w:sz w:val="28"/>
          <w:sz w:val="28"/>
          <w:szCs w:val="28"/>
          <w:rtl w:val="true"/>
          <w:lang w:bidi="ar-SA"/>
        </w:rPr>
        <w:t>، فلاريب في روايتنا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دلالةً فلها دلالةٌ واضحةٌ على ثبوت منصب القضاء لفقهائنا، إذ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ثبوته لمن يكون عارفاً بالحلال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إضافة 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بالضمير دلالةٌ على العموم، فلايثبت هذا المقام إلّا لمن كان عارفاً بجميع الحلال و الحرام،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 تامّاً مستنبطاً في جميع أبواب الفقه، لا مستنبطاً متجزّياً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الحسين بإسناده عن أحمد بن عائذ عن أبي خديجة سالم ابن مكرم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يُحاكم بعضكم بعضاً إلى أهل الجور، و لكن انظروا إلى رجلٍ منكم يعلم شيئاً من قضايانا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صحيحٌ أيضاً كسابقه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دلالةً، ففي هذا الحديث أيضاً نهى الصادق عليه السلام عوامّ الشيعة عن التحاكم إلى قضاة الجور و طرح الدعاوي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منصب القضاء هو من لوازم المجتمع و لايصلح مجتمعٌ إلّابوجوده، قد نصب عليه السلام مَن كان فقيهاً عارفاً بالشريعة قاضياً حاكماً في المرافعات؛ و هذا أمرٌ واضحٌ لاارتياب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شيئاً من قضايانا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شيءٌ من الغموض و الإغلاق</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منه جواز القضاء لمن كان عارفاً بقسطٍ من الأحكام و جملةٍ منها، بينما انّ هذا الظهور مردودٌ في فقه أهل البيت عليهم السلام، و من المجمع عليه</w:t>
      </w:r>
      <w:r>
        <w:rPr>
          <w:rStyle w:val="FootnoteAnchor"/>
          <w:rtl w:val="true"/>
        </w:rPr>
        <w:footnoteReference w:id="74"/>
      </w:r>
      <w:r>
        <w:rPr>
          <w:rFonts w:ascii="Amiri" w:hAnsi="Amiri" w:eastAsia="Amiri" w:cs="Amiri"/>
          <w:color w:val="111111"/>
          <w:sz w:val="28"/>
          <w:sz w:val="28"/>
          <w:szCs w:val="28"/>
          <w:rtl w:val="true"/>
          <w:lang w:bidi="ar-SA"/>
        </w:rPr>
        <w:t>عدم جواز القضاء لمن ليس عارفاً بجميع الشريعة مستنبطاً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هو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ليفيد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من قضايانا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و الإستغراق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فلايجوز القضاء إلّالمن كان عارفاً بجميع مسائل فقه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لايخلو عن غموضٍ، إذ الظاهر انّ اللفظة تشتمل على العلمين الإجتهاديّ و غير الإجتهاديّ التقليديّ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لاريب في عدم ثبوت منصب القضاء لمن كان عارفاً بالفقه من غير اجتهادٍ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 المقلّدين و لكن حصلت له المعرفة بجميع أبواب الفقه لايجوز له تصدّي منصب القضاء، و هذا من 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فلامناص من الانصراف عن هذا الظهور و التخلّي عنه، و تخصيص اللفظة بمن له مرتبة الاستنباط و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بما تلونا عليك من الآية الشريفة و تلك الأحاديث الثلاثة ظهر انّ منصب القضاء قد فوّض من قبل النبيّ صلى الله عليه و آله إلى من له مرتبة الاجتهاد و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ولاية الفقهاء على منصب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الولاية بمعنى وجوب الطاعة و الإنقياد، فهل هي ثابتةٌ للفقيه أيضاً؟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مضى انّه لاريب في ثبوتها للنبيّ صلى الله عليه و آله و أهل بيته عليهم السلام؛ و قد مضى أيضاً عدم الريب </w:t>
      </w:r>
    </w:p>
    <w:p>
      <w:pPr>
        <w:pStyle w:val="BookText"/>
        <w:rPr/>
      </w:pPr>
      <w:r>
        <w:rPr>
          <w:rFonts w:ascii="Amiri" w:hAnsi="Amiri" w:eastAsia="Amiri" w:cs="Amiri"/>
          <w:color w:val="111111"/>
          <w:sz w:val="28"/>
          <w:sz w:val="28"/>
          <w:szCs w:val="28"/>
          <w:rtl w:val="true"/>
          <w:lang w:bidi="ar-SA"/>
        </w:rPr>
        <w:t>في عدم ثبوتها لمَن ليس أهلاً للاستنباط و الاجتهاد، بل سلبها عن العوامّ ضروريٌّ عند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الكلام كلّه ففي ثبوتها للفقيه الجامع لجميع شرائط الإفتاء علماً و عملاً، فهل له هذه الولاية بحيث يجب قبول قوله و طاعته و الإنقياد منه؟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تعرّض لهذه المسألة جمعٌ من فقهائنا في مبحثي الخمس و الزكاة، و قد أثبتوا هذا المنصب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الشيخ الأعظم الأنصاريّ رحمه الله،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شدّة احتياطه فيما يرجع إلى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في مبحث الزكاة بوجوب أداء الزكاة لوطلبها الفقيه</w:t>
      </w:r>
      <w:r>
        <w:rPr>
          <w:rStyle w:val="FootnoteAnchor"/>
          <w:rtl w:val="true"/>
        </w:rPr>
        <w:footnoteReference w:id="76"/>
      </w:r>
      <w:r>
        <w:rPr>
          <w:rFonts w:ascii="Amiri" w:hAnsi="Amiri" w:eastAsia="Amiri" w:cs="Amiri"/>
          <w:color w:val="111111"/>
          <w:sz w:val="28"/>
          <w:sz w:val="28"/>
          <w:szCs w:val="28"/>
          <w:rtl w:val="true"/>
          <w:lang w:bidi="ar-SA"/>
        </w:rPr>
        <w:t>، فذهب إلى وجوب قبول قوله، فهو من القائلين بوجوب الطاعة عنه و الإنقياد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w:t>
      </w:r>
      <w:r>
        <w:rPr>
          <w:rStyle w:val="FootnoteAnchor"/>
          <w:rtl w:val="true"/>
        </w:rPr>
        <w:footnoteReference w:id="77"/>
      </w:r>
      <w:r>
        <w:rPr>
          <w:rFonts w:ascii="Amiri" w:hAnsi="Amiri" w:eastAsia="Amiri" w:cs="Amiri"/>
          <w:color w:val="111111"/>
          <w:sz w:val="28"/>
          <w:sz w:val="28"/>
          <w:szCs w:val="28"/>
          <w:rtl w:val="true"/>
          <w:lang w:bidi="ar-SA"/>
        </w:rPr>
        <w:t>الشيخ رحمه الله ذهب إلى ظهور أجزاءٍ من المقبولة في ثبوت أقسامٍ من الولاية للفقهاء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الولاية على الأمارة لهم؛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الولاية على القضاء لهم؛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حكم بحكمنا فلم يُقبل منه فإنّما استخفّ بحكم اللّه و علينا ردّ </w:t>
      </w:r>
    </w:p>
    <w:p>
      <w:pPr>
        <w:pStyle w:val="BookText"/>
        <w:rPr/>
      </w:pPr>
      <w:r>
        <w:rPr>
          <w:rFonts w:ascii="Amiri" w:hAnsi="Amiri" w:eastAsia="Amiri" w:cs="Amiri"/>
          <w:color w:val="111111"/>
          <w:sz w:val="28"/>
          <w:sz w:val="28"/>
          <w:szCs w:val="28"/>
          <w:rtl w:val="true"/>
          <w:lang w:bidi="ar-SA"/>
        </w:rPr>
        <w:t>و الرادّ علينا كالرادّ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الولاية على الطاعة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زيادةً على الزكاة ثابتٌ في سهم الإمام من الخمس أيضاً، إذ أجمعت فقهاؤنا بأسرهم على عدم جواز التصرّف في السهم من غير إذن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لوأذن في التصرّف فيه فيجور للمقلّد أن يتصرّف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التصرّف في سهم ذراري فاطمة الزهراء عليها السلام و حصّتهم المسمّى سهم السادة؛ إذ ذهب جمعٌ من فقهائنا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العلّامة المجلسيّ في زادالمعاد</w:t>
      </w:r>
      <w:r>
        <w:rPr>
          <w:rStyle w:val="FootnoteAnchor"/>
          <w:rtl w:val="true"/>
        </w:rPr>
        <w:footnoteReference w:id="78"/>
      </w:r>
      <w:r>
        <w:rPr>
          <w:rFonts w:ascii="IRNazanin" w:hAnsi="IRNazanin" w:eastAsia="IRNazanin"/>
          <w:color w:val="111111"/>
          <w:sz w:val="28"/>
          <w:sz w:val="28"/>
          <w:szCs w:val="28"/>
          <w:rtl w:val="true"/>
          <w:lang w:bidi="fa-IR"/>
        </w:rPr>
        <w:t>، و صاحب الجواهر</w:t>
      </w:r>
      <w:r>
        <w:rPr>
          <w:rStyle w:val="FootnoteAnchor"/>
          <w:rtl w:val="true"/>
        </w:rPr>
        <w:footnoteReference w:id="79"/>
      </w:r>
      <w:r>
        <w:rPr>
          <w:rFonts w:ascii="Amiri" w:hAnsi="Amiri" w:eastAsia="Amiri" w:cs="Amiri"/>
          <w:color w:val="111111"/>
          <w:sz w:val="28"/>
          <w:sz w:val="28"/>
          <w:szCs w:val="28"/>
          <w:rtl w:val="true"/>
          <w:lang w:bidi="ar-SA"/>
        </w:rPr>
        <w:t>، و السيّد الأستاذ الإمام الخمينيّ‌</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جواز تصرّف المقلّد فيه من غير إذنٍ من الفقيه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فالقائلون بهذا القول أثبتوا الولاية للفقيه و ذهبوا إلى عدم جواز خروج العامّيّ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زيادةً على ذلك انّ سيرة علمائنا أيضاً تدلّ على ذهابهم إلى ثبوت هذه الولاية له؛ فالقرار الّذي أصدره الميرزه الشيرازيّ رحمه الله بتحريم شرب التتن بأيّ نحوٍ كان، و الحكم و الفرض الّذي أصدره السيّد محمّد المجاهد رحمه الله بوجوب الجهاد مع قوّاة الروس، و القضاء و الفصل الّذي أصدره الميرزه الشيرازيّ الثّاني رحمه الله بوجوب الجهاد مع قوّاة البريطانيا المحتلّتين أمثلةٌ تكشف لنا عن مبنىٰ فقهائنا في هذه المسألة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تدلّ على ذهابهم إلى ثبوت هذا القسم أيضاً من الولاية للفقيه الجامع لشرائط الإفتاء علماً و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رأينا فيما مضى انّ أقساماً من الولاية ثابتةٌ للفقهاء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هو الموضوع الرئيسيّ لهذه السلسلة من الدروس و الدراسات فهو الولاية بمعنى الحكم و منزلة رئاسة المجتمع، فهل هذه المنزلة أيضاً ثابتةٌ للفقيه؟، و هل لهم رئاسة المجتمع؟</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الموضوع الرئيسيّ الّذي عليه تدور هذه الدراسات، فعلينا التفصيل حول هذا المبحث</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البدء في المطلب و استهلاله لابأس بنا لوقمنا بالبحث عن المسألة تاريخيّاً حتّى نهيّأ جواباً لهذا السؤال القاعديّ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هى سابقة هذه المسألة و أقدميّتها تاريخيّاً؟</w:t>
      </w:r>
      <w:r>
        <w:rPr>
          <w:rFonts w:eastAsia="Amiri" w:cs="Amiri" w:ascii="Amiri" w:hAnsi="Amiri"/>
          <w:color w:val="111111"/>
          <w:sz w:val="28"/>
          <w:szCs w:val="28"/>
          <w:rtl w:val="true"/>
          <w:lang w:bidi="ar-SA"/>
        </w:rPr>
        <w:t>.</w:t>
      </w:r>
      <w:bookmarkStart w:id="75" w:name="pg18987_179677"/>
    </w:p>
    <w:p>
      <w:pPr>
        <w:pStyle w:val="Heading4"/>
        <w:numPr>
          <w:ilvl w:val="3"/>
          <w:numId w:val="1"/>
        </w:numPr>
        <w:rPr/>
      </w:pPr>
      <w:bookmarkStart w:id="76" w:name="__RefHeading___Toc13099642_1280447820"/>
      <w:bookmarkStart w:id="77" w:name="_Toc27"/>
      <w:bookmarkEnd w:id="75"/>
      <w:bookmarkEnd w:id="76"/>
      <w:r>
        <w:rPr>
          <w:rtl w:val="true"/>
        </w:rPr>
        <w:t>المقدّمة الثّالثة ما هي سابقة و قدمة مسألة ولاية الفقيه تاريخيّاً؟</w:t>
      </w:r>
      <w:bookmarkEnd w:id="77"/>
    </w:p>
    <w:p>
      <w:pPr>
        <w:pStyle w:val="Heading5"/>
        <w:numPr>
          <w:ilvl w:val="4"/>
          <w:numId w:val="1"/>
        </w:numPr>
        <w:rPr/>
      </w:pPr>
      <w:bookmarkStart w:id="78" w:name="__RefHeading___Toc13099644_1280447820"/>
      <w:bookmarkStart w:id="79" w:name="_Toc28"/>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لو استعلمنا و بحثنا عن هذه المسألة في أهمّ مصادر فقه الشيعة الإماميّة، لرأينا انّ المسألة كانت مبحوثةً عنها منذ قرونٍ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المسائل ذات القدمة في فقهنا، فنصوصهم تدلّ على أنّ الولاية هذه كانت مقبولةً عندهم، بل و كانت من الضروريّات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الدراسة تدلّنا على أنّ المسألة كانت مطرحاً و مِقنباً من زمن الشيخ صلاح الدين الحلبيّ الّذي عدّ من أساتذة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لوبحثنا عن المسألة تاريخيّاً لرأينا انّ لفقهائنا قبال المسالة 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بإجماع الشيعة الإماميّة على صحّة ولاية الفقيه؛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بتسلّم الشيعة الإماميّة على صحّة ولاية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للمسألة نشاطٌ و تفتيشٌ خاصٌّ في آراء المحقّق الكركيّ، ثمّ صارت في آراء صاحب الجواهر في عداد الضروريّات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مايظهر من بعضهم من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الفقيه أيضاً يدلّ على قولهم بولايته التامّة المطلقة</w:t>
      </w:r>
      <w:r>
        <w:rPr>
          <w:rFonts w:eastAsia="Amiri" w:cs="Amiri" w:ascii="Amiri" w:hAnsi="Amiri"/>
          <w:color w:val="111111"/>
          <w:sz w:val="28"/>
          <w:szCs w:val="28"/>
          <w:rtl w:val="true"/>
          <w:lang w:bidi="ar-SA"/>
        </w:rPr>
        <w:t xml:space="preserve">. </w:t>
      </w:r>
      <w:bookmarkStart w:id="80" w:name="pg18987_179678"/>
    </w:p>
    <w:p>
      <w:pPr>
        <w:pStyle w:val="Heading5"/>
        <w:numPr>
          <w:ilvl w:val="4"/>
          <w:numId w:val="1"/>
        </w:numPr>
        <w:rPr/>
      </w:pPr>
      <w:bookmarkStart w:id="81" w:name="__RefHeading___Toc13099646_1280447820"/>
      <w:bookmarkStart w:id="82" w:name="_Toc29"/>
      <w:bookmarkEnd w:id="80"/>
      <w:bookmarkEnd w:id="81"/>
      <w:r>
        <w:rPr>
          <w:rtl w:val="true"/>
        </w:rPr>
        <w:t>سرد كلمات بعضٍ من فقهائنا في المسألة</w:t>
      </w:r>
      <w:bookmarkEnd w:id="82"/>
    </w:p>
    <w:p>
      <w:pPr>
        <w:pStyle w:val="Heading6"/>
        <w:numPr>
          <w:ilvl w:val="5"/>
          <w:numId w:val="1"/>
        </w:numPr>
        <w:rPr/>
      </w:pPr>
      <w:bookmarkStart w:id="83" w:name="__RefHeading___Toc13099648_1280447820"/>
      <w:bookmarkStart w:id="84" w:name="_Toc30"/>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هذا مسرّد كلمات بعض فقهائنا في مسألة ولاية الفقيه و حيطتها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المبحث نأتي بكلماتهم حرفيّاً لنسدّ طريق الشبهة القائلة بأنّ المسألة لاقدمة لها تاريخيّاً، و انّها من مستحدثات المسائل؛ 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13099650_1280447820"/>
      <w:bookmarkStart w:id="86" w:name="_Toc31"/>
      <w:bookmarkEnd w:id="85"/>
      <w:r>
        <w:rPr/>
        <w:t>1</w:t>
      </w:r>
      <w:r>
        <w:rPr>
          <w:rtl w:val="true"/>
        </w:rPr>
        <w:t xml:space="preserve"> - </w:t>
      </w:r>
      <w:r>
        <w:rPr>
          <w:rtl w:val="true"/>
        </w:rPr>
        <w:t>قول الشيخ المفيد رحمه الله في المقنعة</w:t>
      </w:r>
      <w:bookmarkEnd w:id="8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إقامة الحدود فهو إلى سلطان الإسلام المنصوب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الأئمّة الهدىٰ من آل محمّدٍ عليهم السلام و من نصبوه لذلك من الأمراء و الحكّام؛ و قد فوّضوا النظر فيه إلى فقهاء شيعتهم</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خفاء في أنّ المفيد ذهب إلى انّ الأئمّة منصوبون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ذهب إلى ثبوت منصبي إجراء الحدود و إقامة الحكومة لنوّابهم الخاصّة و فقهاء الشيعة الّذين هم نوّابهم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انّهم عليهم السلام قد فوّضوا هذين المنصبين إليهم و جعلوهم حاكماً على الناس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فالمفيد رحمه الله يرى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فوّض الولاية إلى نبيّه صلى الله عليه و آله، و انّه فوّضها إلى أهل بيته عليهم السلام، ثمّ انّهم فوّضوها إلى نوّابهم الخاصّة و العامّة</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13099652_1280447820"/>
      <w:bookmarkStart w:id="88" w:name="_Toc32"/>
      <w:bookmarkEnd w:id="87"/>
      <w:r>
        <w:rPr/>
        <w:t>2</w:t>
      </w:r>
      <w:r>
        <w:rPr>
          <w:rtl w:val="true"/>
        </w:rPr>
        <w:t xml:space="preserve"> - </w:t>
      </w:r>
      <w:r>
        <w:rPr>
          <w:rtl w:val="true"/>
        </w:rPr>
        <w:t>قول الشيخ الطوسيّ رحمه الله في النهاية</w:t>
      </w:r>
      <w:bookmarkEnd w:id="8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إقامة الحدود فليس يجوز لأحدٍ إقامتها إلّالسلطان الزمان المنصوب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نصبه الإمام لإقامتها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فوّضوا </w:t>
      </w:r>
      <w:bookmarkStart w:id="89" w:name="pg18987_179679"/>
    </w:p>
    <w:p>
      <w:pPr>
        <w:pStyle w:val="BookText"/>
        <w:rPr/>
      </w:pPr>
      <w:bookmarkEnd w:id="89"/>
      <w:r>
        <w:rPr>
          <w:rFonts w:ascii="Amiri" w:hAnsi="Amiri" w:eastAsia="Amiri" w:cs="Amiri"/>
          <w:color w:val="111111"/>
          <w:sz w:val="28"/>
          <w:sz w:val="28"/>
          <w:szCs w:val="28"/>
          <w:rtl w:val="true"/>
          <w:lang w:bidi="ar-SA"/>
        </w:rPr>
        <w:t>ذلك إلى فقهاء شيعتهم</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هذا الكلام على ما نحن بصدده واضحةٌ لاخفاء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انّ متن النهاية كمتون قسطٍ آخر من كتب المتقدّمين الفقهيّة قد أنشأ من تأليف الأحاديث بعضها بالآخر، فالشيخ رحمه الله اقتبس قطعاتٍ من بعض الأحاديث ثمّ ركّبها فصار متناً، فسمّاه النهاية</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13099654_1280447820"/>
      <w:bookmarkStart w:id="91" w:name="_Toc33"/>
      <w:bookmarkEnd w:id="90"/>
      <w:r>
        <w:rPr/>
        <w:t>3</w:t>
      </w:r>
      <w:r>
        <w:rPr>
          <w:rtl w:val="true"/>
        </w:rPr>
        <w:t xml:space="preserve"> - </w:t>
      </w:r>
      <w:r>
        <w:rPr>
          <w:rtl w:val="true"/>
        </w:rPr>
        <w:t>قول سالار الديلميّ رحمه الله في المراسم</w:t>
      </w:r>
      <w:bookmarkEnd w:id="9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القتل و الجراح في الإنكار فإلى السلطان أو من يأمره السلطان، فإن تعذّر الأمر لمانعٍ فوّضوا عليهم السلام إلى الفقهاء</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السلطنة بالأصالة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يأمره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نوّابهم الخاصّة كالأشتر النخعيّ و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دلالة ذيل الكلام على ما نحن فيه لاتحتاج إلى مزيد بيانٍ</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13099656_1280447820"/>
      <w:bookmarkStart w:id="93" w:name="_Toc34"/>
      <w:bookmarkEnd w:id="92"/>
      <w:r>
        <w:rPr/>
        <w:t>4</w:t>
      </w:r>
      <w:r>
        <w:rPr>
          <w:rtl w:val="true"/>
        </w:rPr>
        <w:t xml:space="preserve"> - </w:t>
      </w:r>
      <w:r>
        <w:rPr>
          <w:rtl w:val="true"/>
        </w:rPr>
        <w:t>قول أبي صلاح الحلبيّ رحمه الله في الكافي</w:t>
      </w:r>
      <w:bookmarkEnd w:id="9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على كلّ من تعيّن عليه فرض زكاةٍ أو فطرةٍ أو خمسٍ أو أنفالٍ أن يخرج ما وجب عليه من ذلك إلى سلطان الإسلام المنصوب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إلى من ينصبه</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تعذّر الأمران فإلى الفقيه </w:t>
      </w:r>
    </w:p>
    <w:p>
      <w:pPr>
        <w:pStyle w:val="BookText"/>
        <w:rPr/>
      </w:pPr>
      <w:r>
        <w:rPr>
          <w:rFonts w:ascii="IRNazanin" w:hAnsi="IRNazanin" w:eastAsia="IRNazanin"/>
          <w:color w:val="111111"/>
          <w:sz w:val="28"/>
          <w:sz w:val="28"/>
          <w:szCs w:val="28"/>
          <w:rtl w:val="true"/>
          <w:lang w:bidi="fa-IR"/>
        </w:rPr>
        <w:t>المأمون</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إخوانه في الدين مأمورون بالتحاكم و حمل حقوق الأموال إليه و التمكين لأنفسهم لحدٍّ أو تأديبٍ تعيّن عليهم، لايحلّ لهم الرغبة عنه و لا الخروج عن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تكاملت هذه الشروط فقد أذن له في تقلّد الحكم و إن كان مقلّده ظالماً متقلّباً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متى عرض لذلك أن يتولّاه لكون هذه الولاية أمراً بمعروفٍ و نهياً عن منكرٍ تعيّن فرضها بالتعريض للولاية عليه؛ و إن كان في الظاهر من قبل المتغلّب فهو نائبٌ عن 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&lt;</w:t>
      </w:r>
      <w:r>
        <w:rPr>
          <w:rFonts w:eastAsia="Times New Roman" w:cs="Times New Roman" w:ascii="Times New Roman" w:hAnsi="Times New Roman"/>
          <w:color w:val="111111"/>
          <w:sz w:val="28"/>
          <w:szCs w:val="28"/>
          <w:lang w:val="en-US" w:bidi="en-US"/>
        </w:rPr>
        <w:t>a href="#ref-footnote3-page58" id="footnote3-page58" style="display:inline-block"&gt;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قدماء أصحابنا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أنّه لايجوز لأحدٍ أن يتصرّف في الزكاة إلّاأن ينوب عن الإمام نيابةً خاصّةً، أمّا المتأخّرون فلايفتون به و لايوافقونه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العبارة انّه لو لم يكن الإمام أو نائبه الخاصّ موجوداً أو ظاهراً بين الناس فأمر الحكم و الحكومة و الولاية يكون موكولاً إلى الفقيه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الجامع لشرائط الإفتاء علماً و عملاً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الطاعة عنه و الإنقياد لحكمه أيضاً 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لايحلّ لهم الرغبة عنه و لا الخروج عن حكمه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أيضاً من العبارة انّه قائلٌ بوجوب قبول الولاية على الفقيه لو عُرضت عليه، و حينئذٍ لايكون نائباً عن سلطان الجور، بل يكون نائباً عن السلطان الحقيقيّ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w:t>
      </w:r>
      <w:bookmarkStart w:id="94" w:name="pg18987_179681"/>
    </w:p>
    <w:p>
      <w:pPr>
        <w:pStyle w:val="BookText"/>
        <w:rPr/>
      </w:pPr>
      <w:bookmarkEnd w:id="94"/>
      <w:r>
        <w:rPr>
          <w:rFonts w:ascii="Amiri" w:hAnsi="Amiri" w:eastAsia="Amiri" w:cs="Amiri"/>
          <w:color w:val="111111"/>
          <w:sz w:val="28"/>
          <w:sz w:val="28"/>
          <w:szCs w:val="28"/>
          <w:rtl w:val="true"/>
          <w:lang w:bidi="ar-SA"/>
        </w:rPr>
        <w:t xml:space="preserve">الحكم و الولاية أصالةً، و هو مولانا الحجّة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و سهّل مخرجه </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13099658_1280447820"/>
      <w:bookmarkStart w:id="96" w:name="_Toc35"/>
      <w:bookmarkEnd w:id="95"/>
      <w:r>
        <w:rPr/>
        <w:t>5</w:t>
      </w:r>
      <w:r>
        <w:rPr>
          <w:rtl w:val="true"/>
        </w:rPr>
        <w:t xml:space="preserve"> - </w:t>
      </w:r>
      <w:r>
        <w:rPr>
          <w:rtl w:val="true"/>
        </w:rPr>
        <w:t>قول ابن ادريس رحمه الله في السرائر</w:t>
      </w:r>
      <w:bookmarkEnd w:id="9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فمتى تكاملت هذه الشروط فقد أذن له في تقلّد الحكم و إن كان مقلِّده ظالماً متغلّباً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متى عرض لذلك أن يتولّاه لكون هذه الولاية أمراً بمعروفٍ و نهياً عن 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في الحقيقة ما هو لذلك بإذن ولاة الأمر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إخوانه مأمورون بالتحاكم و حمل حقوق الأموال إليه، و التمكّن من أنفسهم لحدٍّ أو تأديبٍ تعيّن عليهم، و لايحلّ لهم الرغبة عنه و الخروج عن حكمه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ابن إدريس رحمه الله بعد أن عدّ جملةً من الشروط للفقيه الجامع للشرائط الّذي استقرّت له الولاية،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جاز حملها على القضاء و لكن لوأمعنّا النظر في ذيل عبارته لينكشف لنا انّ الحكم عنده بمعنى الولاية، لامنصب القضاء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ذيل العبارة هو نفس عبارة الحلبيّ رحمه الله في الكافي الّتي مضت قبل صفحاتٍ؛ فراجعها</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13099660_1280447820"/>
      <w:bookmarkStart w:id="98" w:name="_Toc36"/>
      <w:bookmarkEnd w:id="97"/>
      <w:r>
        <w:rPr/>
        <w:t>6</w:t>
      </w:r>
      <w:r>
        <w:rPr>
          <w:rtl w:val="true"/>
        </w:rPr>
        <w:t xml:space="preserve"> - </w:t>
      </w:r>
      <w:r>
        <w:rPr>
          <w:rtl w:val="true"/>
        </w:rPr>
        <w:t>قول المحقّق نجم الدين رحمه الله في الشرايع</w:t>
      </w:r>
      <w:bookmarkEnd w:id="9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الحدود و التعزيرات بأقسامها مرجعها إلى الإمام عليه السلام أو نائبه الخاصّ مثل مالك أشتر؛ أو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للمجتهد في زمان الغيبة إقامتها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على جميع المكلّفين تقويته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99" w:name="pg18987_179682"/>
    </w:p>
    <w:p>
      <w:pPr>
        <w:pStyle w:val="BookText"/>
        <w:rPr/>
      </w:pPr>
      <w:bookmarkEnd w:id="99"/>
      <w:r>
        <w:rPr>
          <w:rFonts w:ascii="Amiri" w:hAnsi="Amiri" w:eastAsia="Amiri" w:cs="Amiri"/>
          <w:color w:val="111111"/>
          <w:sz w:val="28"/>
          <w:sz w:val="28"/>
          <w:szCs w:val="28"/>
          <w:rtl w:val="true"/>
          <w:lang w:bidi="ar-SA"/>
        </w:rPr>
        <w:t>هذه الولاية عند المحقّق أمرٌ مفروغٌ عنه، فلذا لم يُبحث عنها في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القول بكون الفقيه صاحب الحكم ذهب إلى انّه يجب على الناس أن يأيّدوه و يقوّوه</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13099662_1280447820"/>
      <w:bookmarkStart w:id="101" w:name="_Toc37"/>
      <w:bookmarkEnd w:id="100"/>
      <w:r>
        <w:rPr/>
        <w:t>7</w:t>
      </w:r>
      <w:r>
        <w:rPr>
          <w:rtl w:val="true"/>
        </w:rPr>
        <w:t xml:space="preserve"> - </w:t>
      </w:r>
      <w:r>
        <w:rPr>
          <w:rtl w:val="true"/>
        </w:rPr>
        <w:t>قول العلّامة رحمه الله في قواعدالأحكام</w:t>
      </w:r>
      <w:bookmarkEnd w:id="10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إقامة الحدود فانّها إلى إلامام عليه السلام خاصّةً أو من يأذن له، و لفقهاء الشيعة في حال الغيبة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الحكم بين الناس و قسمة الزكوات و الأخماس و الإفتاء</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لاخفاء في أنّ العلّامة عدّ جملةً من وظائف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كإقامة الحدود و قسمة الزكوات و الأخماس و الإفتاء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 من جملتها الحكم بين الناس؛ فهو قائلٌ بأنّ الحكم و إقامة الحكومة من وظائفهم كما انّ الإفتاء منها، فلافرق بينهما عنده</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13099664_1280447820"/>
      <w:bookmarkStart w:id="103" w:name="_Toc38"/>
      <w:bookmarkEnd w:id="102"/>
      <w:r>
        <w:rPr/>
        <w:t>8</w:t>
      </w:r>
      <w:r>
        <w:rPr>
          <w:rtl w:val="true"/>
        </w:rPr>
        <w:t xml:space="preserve"> - </w:t>
      </w:r>
      <w:r>
        <w:rPr>
          <w:rtl w:val="true"/>
        </w:rPr>
        <w:t>قول الشهيد الأوّل رحمه الله في الذكرىٰ‌</w:t>
      </w:r>
      <w:bookmarkEnd w:id="10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الحدود و التعزيرات إلى الإمام أو نائبه و لو عموماً، فيجوز حال الغيبة للفقيه الجامع للشرائط إقامتها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على العامّة تقويته و منع المتغلّب مع الإمكان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النكتة الهامّة في كلامه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المتغلّب مع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يظهر منه انّه لوأمكن القيام لتحقّق الحكومة الإسلاميّة فيجب على الفقيه أن يُقدِم حتّى يشكّلها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النكتة من مبتكرات الشهيد، إذ لم نعهدها في عبائر من سبق عليه من الفقهاء</w:t>
      </w:r>
      <w:r>
        <w:rPr>
          <w:rFonts w:eastAsia="Amiri" w:cs="Amiri" w:ascii="Amiri" w:hAnsi="Amiri"/>
          <w:color w:val="111111"/>
          <w:sz w:val="28"/>
          <w:szCs w:val="28"/>
          <w:rtl w:val="true"/>
          <w:lang w:bidi="ar-SA"/>
        </w:rPr>
        <w:t xml:space="preserve">. </w:t>
      </w:r>
      <w:bookmarkStart w:id="104" w:name="pg18987_179683"/>
    </w:p>
    <w:p>
      <w:pPr>
        <w:pStyle w:val="Heading6"/>
        <w:numPr>
          <w:ilvl w:val="5"/>
          <w:numId w:val="1"/>
        </w:numPr>
        <w:rPr/>
      </w:pPr>
      <w:bookmarkStart w:id="105" w:name="__RefHeading___Toc13099666_1280447820"/>
      <w:bookmarkStart w:id="106" w:name="_Toc39"/>
      <w:bookmarkEnd w:id="104"/>
      <w:bookmarkEnd w:id="105"/>
      <w:r>
        <w:rPr/>
        <w:t>9</w:t>
      </w:r>
      <w:r>
        <w:rPr>
          <w:rtl w:val="true"/>
        </w:rPr>
        <w:t xml:space="preserve"> - </w:t>
      </w:r>
      <w:r>
        <w:rPr>
          <w:rtl w:val="true"/>
        </w:rPr>
        <w:t>قول ثاني الشهيدين رحمه الله في المسالك</w:t>
      </w:r>
      <w:bookmarkEnd w:id="10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به الفقيه العدل الإماميّ الجامع لشرائط الفتوىٰ، لأنّه نائب الإمام عليه السلام و منصوبه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شرح قول المحقّق نجم الدين رحمه الله في الشرايع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يتولّى صرف حصّة الإمام عليه السلام مَن إليه الحكم بحقّ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فالشيخ زين الدين رحمه الله يرى انّ مَن إليه الحكم بحقّ النيابة هو الفقيه العدل الإماميّ الجامع لشرائط الإفتاء، و هو نائب الإمام عليه السلام</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13099668_1280447820"/>
      <w:bookmarkStart w:id="108" w:name="_Toc40"/>
      <w:bookmarkEnd w:id="107"/>
      <w:r>
        <w:rPr/>
        <w:t>10</w:t>
      </w:r>
      <w:r>
        <w:rPr>
          <w:rtl w:val="true"/>
        </w:rPr>
        <w:t xml:space="preserve"> - </w:t>
      </w:r>
      <w:r>
        <w:rPr>
          <w:rtl w:val="true"/>
        </w:rPr>
        <w:t>قول ثاني المحقّقين رحمه الله في جامع المقاصد</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أصحابنا على أنّ الفقيه العادل الأمين الجامع للشرائط المعبّر عنه بالمجتهد نائبٌ من قبل أئمّة الهدى عليهم السلام في حال الغيبة في جميع ما للنيابة فيه المدخل</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قوله رحمه الله على ما نحن بصدده لاتحتاج إلى مزيد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لاخفاء في أنّ المحقّق الكركيّ قائلٌ بأنّ جميع ما يقبل التفويض قد فُوّض إلى الفقيه الجامع للشرائط، و أكمل أفراد ما يقبل التفويض هو الحكومة بحيث يصير الفقيه الجامع نائباً عن الإمام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يظهر من عبارته انّ هذا المبنىٰ من المتّفق عليه بين فقهاء الشيعة</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13099670_1280447820"/>
      <w:bookmarkStart w:id="110" w:name="_Toc41"/>
      <w:bookmarkEnd w:id="109"/>
      <w:r>
        <w:rPr/>
        <w:t>11</w:t>
      </w:r>
      <w:r>
        <w:rPr>
          <w:rtl w:val="true"/>
        </w:rPr>
        <w:t xml:space="preserve"> - </w:t>
      </w:r>
      <w:r>
        <w:rPr>
          <w:rtl w:val="true"/>
        </w:rPr>
        <w:t>قول الشيخ جعفر النجفيّ رحمه الله في كشف الغطاء</w:t>
      </w:r>
      <w:bookmarkEnd w:id="11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الحدود و التعزيرات بأقسامها مرجعها إلى الإمام أو نائبه الخاصّ أو </w:t>
      </w:r>
      <w:bookmarkStart w:id="111" w:name="pg18987_179684"/>
    </w:p>
    <w:p>
      <w:pPr>
        <w:pStyle w:val="BookText"/>
        <w:rPr/>
      </w:pPr>
      <w:bookmarkEnd w:id="111"/>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للمجتهد في زمان الغيبة إقامتها و يجب على جميع المكلّفين تقويته و مساعدته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العبارة تعلن صريحاً انّ كاشف الغطاء يرى انّ جميع مناصب الإمام الحكوميّة ثابتةٌ للفقيه، و إلّافلامعنى لأن تكون تقويته و مساعدته واجبةً على جميع المكلّفين</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13099672_1280447820"/>
      <w:bookmarkStart w:id="113" w:name="_Toc42"/>
      <w:bookmarkEnd w:id="112"/>
      <w:r>
        <w:rPr/>
        <w:t>12</w:t>
      </w:r>
      <w:r>
        <w:rPr>
          <w:rtl w:val="true"/>
        </w:rPr>
        <w:t xml:space="preserve"> - </w:t>
      </w:r>
      <w:r>
        <w:rPr>
          <w:rtl w:val="true"/>
        </w:rPr>
        <w:t>قول المحقّق العامليّ رحمه الله في مفتاح الكرامة</w:t>
      </w:r>
      <w:bookmarkEnd w:id="11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الفقيه الجامع للشرائط نائبٌ و منصوبٌ عن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العقل و الإجماع و الأخبار</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العبارة لشدّة وضوحها لاتحتاج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زيادةً على ذلك توجد عباراتٌ غير هذه في هذه الموسوعة العظيمة تشبه عبارتنا هذه</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13099674_1280447820"/>
      <w:bookmarkStart w:id="115" w:name="_Toc43"/>
      <w:bookmarkEnd w:id="114"/>
      <w:r>
        <w:rPr/>
        <w:t>13</w:t>
      </w:r>
      <w:r>
        <w:rPr>
          <w:rtl w:val="true"/>
        </w:rPr>
        <w:t xml:space="preserve"> - </w:t>
      </w:r>
      <w:r>
        <w:rPr>
          <w:rtl w:val="true"/>
        </w:rPr>
        <w:t>قول المحقّق ثاني النراقيّين رحمه الله في عوائدالأيّام</w:t>
      </w:r>
      <w:bookmarkEnd w:id="11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للنبيّ و الإمام عليهم السلام الّذين هم سلاطين الأنام و حصون الإسلام فيه الولاية و كان لهم فللفقيه أيضاً ذلك</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 المحقّق النراقيّ رحمه الله إحدى رسائل كتابه العظيم عوائدالأيّام بدراسةٍ جامعةٍ حول مسألة 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الدراسة بحث عن جميع ما للنبيّ صلى الله عليه و آله و الأئمّة عليهم السلام من </w:t>
      </w:r>
      <w:bookmarkStart w:id="116" w:name="pg18987_179685"/>
    </w:p>
    <w:p>
      <w:pPr>
        <w:pStyle w:val="BookText"/>
        <w:rPr/>
      </w:pPr>
      <w:bookmarkEnd w:id="116"/>
      <w:r>
        <w:rPr>
          <w:rFonts w:ascii="Amiri" w:hAnsi="Amiri" w:eastAsia="Amiri" w:cs="Amiri"/>
          <w:color w:val="111111"/>
          <w:sz w:val="28"/>
          <w:sz w:val="28"/>
          <w:szCs w:val="28"/>
          <w:rtl w:val="true"/>
          <w:lang w:bidi="ar-SA"/>
        </w:rPr>
        <w:t>الولاية، فأثبته للفقيه أيضاً كما 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أخال انّ المحقّق النراقيّ قد بحث عن ولاية الفقيه بجميع ما يتعلّق بها في هذه الدراسة، بل في هذه العبارة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 w:name="__RefHeading___Toc13099676_1280447820"/>
      <w:bookmarkStart w:id="118" w:name="_Toc44"/>
      <w:bookmarkEnd w:id="117"/>
      <w:r>
        <w:rPr/>
        <w:t>14</w:t>
      </w:r>
      <w:r>
        <w:rPr>
          <w:rtl w:val="true"/>
        </w:rPr>
        <w:t xml:space="preserve"> - </w:t>
      </w:r>
      <w:r>
        <w:rPr>
          <w:rtl w:val="true"/>
        </w:rPr>
        <w:t>قول الشيخ محمّد حسن النجفيّ رحمه الله في جواهرالكلام</w:t>
      </w:r>
      <w:bookmarkEnd w:id="11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لولا عموم الولاية لبقي كثيرٌ من الأمور المتعلّقة بشيعتهم 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الغريب وسوسة بعض الناس في ذلك، بل كأنّه ماذاق من طعم الفقه شيئاً و لافهم من لحن قولهم و رموزهم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فالمسألة من الواضحات الّتي لاتحتاج إلى أدلّةٍ</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يلوح من العبارة انّ المحقّق النجفيّ عدّ ردّ ولاية الفقيه من جملة الوساوس، و حكم بأنّ منكريها لانصيب لهم من شمّ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 باب الخمس أيضاً لايخلو عن دقّةٍ، بل هو جديرٌ بالذكر؛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ظاهرَ اصحاب عملاً و فتوىً فى سائر الأبواب عمومَها بل لعلّه من المسلّمات أو الضروريات عندهم</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 w:name="__RefHeading___Toc13099678_1280447820"/>
      <w:bookmarkStart w:id="120" w:name="_Toc45"/>
      <w:bookmarkEnd w:id="119"/>
      <w:r>
        <w:rPr/>
        <w:t>15</w:t>
      </w:r>
      <w:r>
        <w:rPr>
          <w:rtl w:val="true"/>
        </w:rPr>
        <w:t xml:space="preserve"> - </w:t>
      </w:r>
      <w:r>
        <w:rPr>
          <w:rtl w:val="true"/>
        </w:rPr>
        <w:t>قول الشيخ الأنصاريّ رحمه الله في كتاب المكاسب</w:t>
      </w:r>
      <w:bookmarkEnd w:id="12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اعترف به جمال المحقّقين في باب الخمس بعد الاعتراف بأنّه المعروف بين الأصحاب كون الفقهاء نوّاب الإمام عليه السلام</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الشيخ الأعظم بعد أن نقل عبارة المحقّق جمال الدين عن حاشيته على شرح اللمعة الدمشقيّة، أخذ في البحث عن 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بعد اللُّتَيّا و الّتي لم يذهب إليها، بل نفاها و شكّك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رحمه الله اختارها و اجتباها في غيره من رسائله الفقهيّة، بل عليها ترتّب بعض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قوله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نقلناه عن كتاب القضاء و الشهادات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كون الفقيه مرجعاً في الأمور العامّة</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لانزاع في نفوذ حكم الحاكم في الموضوعات الخاصّة إذا كانت محلّاً للتخاصم،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تعليل الإمام عليه السلام وجوب الرضىٰ بحكومته في الخصومات بجعله حاكماً على الإطلاق و حجّة لذلك، يدلّ على أنّ حكمه في الخصومات و الوقائع من فروع حكومته المطلقة و حجّيّته العامّة، فلايختصّ بصورة التخاصم</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خفاء في أنّ الشيخ ذهب إلى أنّ الفقيه هو سلطان الإسلام و صاحب الحكومة و الولاية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رأيه في كتاب الطهارة أيضاً جديرٌ بالذكر،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أمكن القول بوجوب الدفع إلى المجتهد نظراً إلى عموم نيابته و كونه حجّة الإمام على الرعيّة و أميناً عنه و خليفةً له، كما استفيد كلّه عن الأخبار</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21" w:name="pg18987_179687"/>
    </w:p>
    <w:p>
      <w:pPr>
        <w:pStyle w:val="Heading6"/>
        <w:numPr>
          <w:ilvl w:val="5"/>
          <w:numId w:val="1"/>
        </w:numPr>
        <w:rPr/>
      </w:pPr>
      <w:bookmarkStart w:id="122" w:name="__RefHeading___Toc13099680_1280447820"/>
      <w:bookmarkStart w:id="123" w:name="_Toc46"/>
      <w:bookmarkEnd w:id="121"/>
      <w:bookmarkEnd w:id="122"/>
      <w:r>
        <w:rPr/>
        <w:t>16</w:t>
      </w:r>
      <w:r>
        <w:rPr>
          <w:rtl w:val="true"/>
        </w:rPr>
        <w:t xml:space="preserve"> - </w:t>
      </w:r>
      <w:r>
        <w:rPr>
          <w:rtl w:val="true"/>
        </w:rPr>
        <w:t>قول المحقّق الهمدانيّ رحمه الله في مصباح الفقيه</w:t>
      </w:r>
      <w:bookmarkEnd w:id="12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يفهم من تفريع إرجاع العوامّ إلى الرواة على جعلهم حجّةً عليهم أنّه أريد بجعلهم حجّةً إقامتهم مقامه فيما يرجع فيه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فلاينبغي الاستشكال في نيابة الفقيه الجامع للشرائط عن الإمام عليه السلام حال الغيبة كما يؤيّده التتبّع في كلمات الأصحاب حيث يظهر منها كونها لديهم من الأمور المسلّمة في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جعل غير واحدٍ عمدة المستند لعموم نيابة الفقيه لمثل هذه الأشياء هو الإجماع</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مايظهر من صريح قوله انّ مسألة ولاية الفقيه كانت عند فقهائنا بمرتبةٍ من الوضوح حتّى انّ بعضهم حينما أراد اثبات المسألة تمسّك بالإجماع</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13099682_1280447820"/>
      <w:bookmarkStart w:id="125" w:name="_Toc47"/>
      <w:bookmarkEnd w:id="124"/>
      <w:r>
        <w:rPr/>
        <w:t>17</w:t>
      </w:r>
      <w:r>
        <w:rPr>
          <w:rtl w:val="true"/>
        </w:rPr>
        <w:t xml:space="preserve"> - </w:t>
      </w:r>
      <w:r>
        <w:rPr>
          <w:rtl w:val="true"/>
        </w:rPr>
        <w:t>قول الميرزه الشيرازيّ رحمه الله</w:t>
      </w:r>
      <w:bookmarkEnd w:id="125"/>
    </w:p>
    <w:p>
      <w:pPr>
        <w:pStyle w:val="BookText"/>
        <w:rPr/>
      </w:pPr>
      <w:r>
        <w:rPr>
          <w:rFonts w:ascii="Amiri" w:hAnsi="Amiri" w:eastAsia="Amiri" w:cs="Amiri"/>
          <w:color w:val="111111"/>
          <w:sz w:val="28"/>
          <w:sz w:val="28"/>
          <w:szCs w:val="28"/>
          <w:rtl w:val="true"/>
          <w:lang w:bidi="ar-SA"/>
        </w:rPr>
        <w:t xml:space="preserve">إنّا و إن لم نعثر على عبارةٍ للشيخ المحقّق الميرزه الشيرازيّ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يُعهد منه كتابٌ أو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لكنّا نجزم بأنّ مبناه في المسألة هو مبنى القوم المشهور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الجزم حصيلة ما أفتى به من حرمة استعمال التنباك و شرب التتن، و لامعنى لهذه الحرمة إلّاوجوب متابعة قول المفتيّ الفقيه على العامّة، بل ثبوت الحكم له بحيث يجب عليهم متابعته</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13099684_1280447820"/>
      <w:bookmarkStart w:id="127" w:name="_Toc48"/>
      <w:bookmarkEnd w:id="126"/>
      <w:r>
        <w:rPr/>
        <w:t>18</w:t>
      </w:r>
      <w:r>
        <w:rPr>
          <w:rtl w:val="true"/>
        </w:rPr>
        <w:t xml:space="preserve"> - </w:t>
      </w:r>
      <w:r>
        <w:rPr>
          <w:rtl w:val="true"/>
        </w:rPr>
        <w:t>قول المحقّق اليزديّ رحمه الله في العروة الوثقىٰ‌</w:t>
      </w:r>
      <w:bookmarkEnd w:id="12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النصف من الخمس الّذي للإمام أمره في زمان الغيبة راجعٌ إلى نائبه، و هو المجتهد جامع الشرائط</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128" w:name="pg18987_179688"/>
    </w:p>
    <w:p>
      <w:pPr>
        <w:pStyle w:val="BookText"/>
        <w:rPr/>
      </w:pPr>
      <w:bookmarkEnd w:id="128"/>
      <w:r>
        <w:rPr>
          <w:rFonts w:ascii="Amiri" w:hAnsi="Amiri" w:eastAsia="Amiri" w:cs="Amiri"/>
          <w:color w:val="111111"/>
          <w:sz w:val="28"/>
          <w:sz w:val="28"/>
          <w:szCs w:val="28"/>
          <w:rtl w:val="true"/>
          <w:lang w:bidi="ar-SA"/>
        </w:rPr>
        <w:t>و هذا الكلام في غنىً عن البيان</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13099686_1280447820"/>
      <w:bookmarkStart w:id="130" w:name="_Toc49"/>
      <w:bookmarkEnd w:id="129"/>
      <w:r>
        <w:rPr/>
        <w:t>19</w:t>
      </w:r>
      <w:r>
        <w:rPr>
          <w:rtl w:val="true"/>
        </w:rPr>
        <w:t xml:space="preserve"> - </w:t>
      </w:r>
      <w:r>
        <w:rPr>
          <w:rtl w:val="true"/>
        </w:rPr>
        <w:t>قول المحقّق النائينيّ رحمه الله في تنبيه الأمّة</w:t>
      </w:r>
      <w:bookmarkEnd w:id="130"/>
    </w:p>
    <w:p>
      <w:pPr>
        <w:pStyle w:val="BookText"/>
        <w:rPr/>
      </w:pPr>
      <w:r>
        <w:rPr>
          <w:rFonts w:ascii="Amiri" w:hAnsi="Amiri" w:eastAsia="Amiri" w:cs="Amiri"/>
          <w:color w:val="111111"/>
          <w:sz w:val="28"/>
          <w:sz w:val="28"/>
          <w:szCs w:val="28"/>
          <w:rtl w:val="true"/>
          <w:lang w:bidi="ar-SA"/>
        </w:rPr>
        <w:t>قال ما نصّه بالفارسيّة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اطاعت ولىّ امر در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در عرض اطاعت خدا و رسول است، و بلكه اطاعت مقام رسالت و مقام امامت با هم در عرض اطاعت خدا آورده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همانطور كه اطاعت خدا بأيّ نحوٍ كان لازم است اطاعت پيامبر صلى الله عليه و آله و أئمّۀ طاهرين عليهم السلام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در عصر غيبت براى نوّاب عام همان ولايتى كه براى پيامبر صلى الله عليه و آله و أئمّۀ طاهرين عليهم السلام فرموده اند ثابت است؛ و همان ولايت در عصر غيبت براى ولايت فقيه يك امر مسلّمى است</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المحقّق النائينيّ رحمه الله في معامرة المشروطة ألّف كتابه هذا بالفارسيّة ليستفيد منه الإيرانيّون الّذين كانوا مخاطبي هذا الكتاب بالأصالة في ذلك العصر و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قرّظه المحقّق الخراسانيّ رحمه الله و المحقّق المازندرانيّ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تقريظهما انّ هذين العلمين الكبيرين أيضاً وافقا النائينيّ في ما جاء به في كتابه هذا؛ و منه عبارته هذه</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13099688_1280447820"/>
      <w:bookmarkStart w:id="132" w:name="_Toc50"/>
      <w:bookmarkEnd w:id="131"/>
      <w:r>
        <w:rPr/>
        <w:t>20</w:t>
      </w:r>
      <w:r>
        <w:rPr>
          <w:rtl w:val="true"/>
        </w:rPr>
        <w:t xml:space="preserve"> - </w:t>
      </w:r>
      <w:r>
        <w:rPr>
          <w:rtl w:val="true"/>
        </w:rPr>
        <w:t>قول سيّدنا الأستاذ المحقّق البروجرديّ رحمه الله</w:t>
      </w:r>
      <w:bookmarkEnd w:id="13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أستاذنا العلّامة المحقّق البروجرديّ رحمه الله فقد شاهدنا منه مراراً القول بكون ولاية الفقيه في عداد مسلّمات فقه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يذهب إلى أنّ كثيراً من الأحاديث </w:t>
      </w:r>
      <w:bookmarkStart w:id="133" w:name="pg18987_179689"/>
    </w:p>
    <w:p>
      <w:pPr>
        <w:pStyle w:val="BookText"/>
        <w:rPr/>
      </w:pPr>
      <w:bookmarkEnd w:id="133"/>
      <w:r>
        <w:rPr>
          <w:rFonts w:ascii="Amiri" w:hAnsi="Amiri" w:eastAsia="Amiri" w:cs="Amiri"/>
          <w:color w:val="111111"/>
          <w:sz w:val="28"/>
          <w:sz w:val="28"/>
          <w:szCs w:val="28"/>
          <w:rtl w:val="true"/>
          <w:lang w:bidi="ar-SA"/>
        </w:rPr>
        <w:t>المنقولة في أصولنا الأربعمأة كان يدور حول هذه المسألة و يشرح حدود ولاية الفقيه و ما إليها، فأعدمت و أفنت الأصول أيدي الأعداء الخونة ليصبح الشيعة محروماً عنها واشلَ الحظّ منها</w:t>
      </w:r>
      <w:r>
        <w:rPr>
          <w:rFonts w:eastAsia="Amiri" w:cs="Amiri" w:ascii="Amiri" w:hAnsi="Amiri"/>
          <w:color w:val="111111"/>
          <w:sz w:val="28"/>
          <w:szCs w:val="28"/>
          <w:rtl w:val="true"/>
          <w:lang w:bidi="ar-SA"/>
        </w:rPr>
        <w:t>.</w:t>
      </w:r>
      <w:r>
        <w:rPr>
          <w:rStyle w:val="FootnoteAnchor"/>
          <w:rtl w:val="true"/>
        </w:rPr>
        <w:footnoteReference w:id="110"/>
      </w:r>
    </w:p>
    <w:p>
      <w:pPr>
        <w:pStyle w:val="Heading6"/>
        <w:numPr>
          <w:ilvl w:val="5"/>
          <w:numId w:val="1"/>
        </w:numPr>
        <w:rPr/>
      </w:pPr>
      <w:bookmarkStart w:id="134" w:name="__RefHeading___Toc13099690_1280447820"/>
      <w:bookmarkStart w:id="135" w:name="_Toc51"/>
      <w:bookmarkEnd w:id="134"/>
      <w:r>
        <w:rPr/>
        <w:t>21</w:t>
      </w:r>
      <w:r>
        <w:rPr>
          <w:rtl w:val="true"/>
        </w:rPr>
        <w:t xml:space="preserve"> - </w:t>
      </w:r>
      <w:r>
        <w:rPr>
          <w:rtl w:val="true"/>
        </w:rPr>
        <w:t>قول سيّدنا الأستاذ الإمام الخميني رحمه الله</w:t>
      </w:r>
      <w:bookmarkEnd w:id="135"/>
    </w:p>
    <w:p>
      <w:pPr>
        <w:pStyle w:val="BookText"/>
        <w:rPr/>
      </w:pPr>
      <w:r>
        <w:rPr>
          <w:rFonts w:ascii="Amiri" w:hAnsi="Amiri" w:eastAsia="Amiri" w:cs="Amiri"/>
          <w:color w:val="111111"/>
          <w:sz w:val="28"/>
          <w:sz w:val="28"/>
          <w:szCs w:val="28"/>
          <w:rtl w:val="true"/>
          <w:lang w:bidi="ar-SA"/>
        </w:rPr>
        <w:t>أمّا سيّدنا الأستاذ الإمام الخميني رحمه الله فلسنا بحاجةٍ إلى ذكر قولٍ له في هذا المضمار، و ذلك نظراً إلى اشتهار رأيه في ثبوت الولاية للفقيه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 w:name="__RefHeading___Toc13099692_1280447820"/>
      <w:bookmarkStart w:id="137" w:name="_Toc52"/>
      <w:bookmarkEnd w:id="136"/>
      <w:r>
        <w:rPr/>
        <w:t>22</w:t>
      </w:r>
      <w:r>
        <w:rPr>
          <w:rtl w:val="true"/>
        </w:rPr>
        <w:t xml:space="preserve"> - </w:t>
      </w:r>
      <w:r>
        <w:rPr>
          <w:rtl w:val="true"/>
        </w:rPr>
        <w:t>قول المحقّق الخوئيّ رحمه الله</w:t>
      </w:r>
      <w:bookmarkEnd w:id="137"/>
    </w:p>
    <w:p>
      <w:pPr>
        <w:pStyle w:val="Heading6"/>
        <w:numPr>
          <w:ilvl w:val="5"/>
          <w:numId w:val="1"/>
        </w:numPr>
        <w:rPr/>
      </w:pPr>
      <w:bookmarkStart w:id="138" w:name="__RefHeading___Toc13099694_1280447820"/>
      <w:bookmarkStart w:id="139" w:name="_Toc53"/>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لوقلنا بمشروعيّة أصل الجهاد في عصر الغيبة فهل يُعتبر فيه إذن الفقيه الجامع للشرائط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صاحب الجواهر اعتباره لعموم ولايته لمثل ذلك في زمن الغيبة؛ و هذا الكلام غير بعيدٍ من باب الحسبة</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للمحقّق الخوئيّ رحمه الله ثلاثة أقوال في هذه المسألة، و هي منقولةٌ عنه أو موجودةٌ في كتبه؛</w:t>
      </w:r>
    </w:p>
    <w:p>
      <w:pPr>
        <w:pStyle w:val="Heading6"/>
        <w:numPr>
          <w:ilvl w:val="5"/>
          <w:numId w:val="1"/>
        </w:numPr>
        <w:rPr/>
      </w:pPr>
      <w:bookmarkStart w:id="140" w:name="__RefHeading___Toc13099696_1280447820"/>
      <w:bookmarkStart w:id="141" w:name="_Toc54"/>
      <w:bookmarkEnd w:id="140"/>
      <w:r>
        <w:rPr>
          <w:rtl w:val="true"/>
        </w:rPr>
        <w:t>القول الأوّل</w:t>
      </w:r>
      <w:r>
        <w:rPr>
          <w:rtl w:val="true"/>
        </w:rPr>
        <w:t>:</w:t>
      </w:r>
      <w:bookmarkEnd w:id="141"/>
    </w:p>
    <w:p>
      <w:pPr>
        <w:pStyle w:val="BookText"/>
        <w:rPr/>
      </w:pPr>
      <w:r>
        <w:rPr>
          <w:rFonts w:ascii="Amiri" w:hAnsi="Amiri" w:eastAsia="Amiri" w:cs="Amiri"/>
          <w:color w:val="111111"/>
          <w:sz w:val="28"/>
          <w:sz w:val="28"/>
          <w:szCs w:val="28"/>
          <w:rtl w:val="true"/>
          <w:lang w:bidi="ar-SA"/>
        </w:rPr>
        <w:t>نفي ولاية الفقيه على نحوٍ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الرأي منه رحمه الله لم يوجد في كتبه، بل حكاه عنه بعض تلاميذه و مقلّديه</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13099698_1280447820"/>
      <w:bookmarkStart w:id="143" w:name="_Toc55"/>
      <w:bookmarkEnd w:id="142"/>
      <w:r>
        <w:rPr>
          <w:rtl w:val="true"/>
        </w:rPr>
        <w:t>القول الثّاني</w:t>
      </w:r>
      <w:r>
        <w:rPr>
          <w:rtl w:val="true"/>
        </w:rPr>
        <w:t>:</w:t>
      </w:r>
      <w:bookmarkEnd w:id="143"/>
    </w:p>
    <w:p>
      <w:pPr>
        <w:pStyle w:val="BookText"/>
        <w:rPr/>
      </w:pPr>
      <w:r>
        <w:rPr>
          <w:rFonts w:ascii="Amiri" w:hAnsi="Amiri" w:eastAsia="Amiri" w:cs="Amiri"/>
          <w:color w:val="111111"/>
          <w:sz w:val="28"/>
          <w:sz w:val="28"/>
          <w:szCs w:val="28"/>
          <w:rtl w:val="true"/>
          <w:lang w:bidi="ar-SA"/>
        </w:rPr>
        <w:t xml:space="preserve">التسليم بها و القول بصحّتها من باب قاعدة الحسبة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سنأتي بتوضيحٍ موجزٍ حول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فالمحقّق الخوئيّ رحمه الله في ثاني أقواله ذهب إلى ثبوت الولاية للفقيه، و هذا الثبوت عنده ناشٍ من قاعدة الحسبة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الرأي اختاره فيما يقرب من ثلاثين سنة خلت حينما كان يدوّن رسالته الفقهيّة </w:t>
      </w:r>
      <w:bookmarkStart w:id="144" w:name="pg18987_179690"/>
    </w:p>
    <w:p>
      <w:pPr>
        <w:pStyle w:val="BookText"/>
        <w:rPr/>
      </w:pPr>
      <w:bookmarkEnd w:id="144"/>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نقلنا منه في مبتدأ هذا الفصل يُظهر و يُبرز رأيه هذا</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13099700_1280447820"/>
      <w:bookmarkStart w:id="146" w:name="_Toc56"/>
      <w:bookmarkEnd w:id="145"/>
      <w:r>
        <w:rPr>
          <w:rtl w:val="true"/>
        </w:rPr>
        <w:t>القول الثّالث</w:t>
      </w:r>
      <w:r>
        <w:rPr>
          <w:rtl w:val="true"/>
        </w:rPr>
        <w:t>:</w:t>
      </w:r>
      <w:bookmarkEnd w:id="146"/>
    </w:p>
    <w:p>
      <w:pPr>
        <w:pStyle w:val="BookText"/>
        <w:rPr/>
      </w:pPr>
      <w:r>
        <w:rPr>
          <w:rFonts w:ascii="Amiri" w:hAnsi="Amiri" w:eastAsia="Amiri" w:cs="Amiri"/>
          <w:color w:val="111111"/>
          <w:sz w:val="28"/>
          <w:sz w:val="28"/>
          <w:szCs w:val="28"/>
          <w:rtl w:val="true"/>
          <w:lang w:bidi="ar-SA"/>
        </w:rPr>
        <w:t>التسليم بها و القول بصحّتها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الرأي اختاره في الفترة الأخيرة من حياته المباركة؛ قال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لوليّ الأمر حقّ التصرّف فيه كيفما يشاء حسب ما يرى فيه من المصلحة قبل التقسيم، فانّ ذالك مقتضى ولايته المطلقة على تلك الأموال</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لافرق في مشروعيّة أخذ الجزية بين أن يكون في زمن الحضور أو في زمن الغيبة لإطلاق الأدلّة، و عدم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وضعها عليهم في هذا الزمان إنّما هو بيد الحاكم الشرعيّ كمّاً و كيفاً حسب ما تقتضيه المصلحة العامّة للأمّة الإسلاميّة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في التعليق على قوله في منهاج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للحاكم الجامع للشرائط إقامة الحدود على الأظهر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المعروف 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ما ذكرناه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إقامة الحدود إنّما شُرّعت للمصلحة العامّة دفعاً للفساد و انتشار الفجور و الطغيان بين الناس، و هذا ينافي اختصاصه بزمانٍ دون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لحضور الإمام دخلٌ في ذلك قطعاً، فالحكمة المقتضية لتشريع الحدود تقتضي باقامتها في زمان الغيبة كما تقتضي بها زمان الحضور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الحدود كتاباً و سنّةً مطلقةٌ غير مقيّدةٍ بزمانٍ، كقوله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وَ السَّارِقَةُ فَاقْطَعُوا أَيْدِيَهُمَا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الأدلّة تدلّ على أنّه لابدّ من إقامة الحدود، و من الضروريّ انّ ذلك لم يشرّع لكلّ فردٍ من أفراد المسلمين، فانّه يوجب اختلال النظام و أن لايثبت حجرٌ على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لابدّ من الأخذ بالمقدار المتيقّن، و المتيقّن هو مَن إليه الأمر و هو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ذلك عدّة رواياتٍ؛</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التوقيع بخطّ مولانا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الحوادث الواقعة فارجعوا فيها إلى رواة أحاديثنا، فانّهم حجّتي عليكم و أنا حجة اللّه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حفص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يقيم الحدود؟ السلطان أو القاضي؟،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إقامة الحدود إلى مَن إليه الحكم</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بضميمة ما دلّ على أنّ مَن إليه الحكم في زمان الغيبة هم الفقهاء تدلّ على أنّ إقامة الحدود إليهم و وظيفتهم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الاستدلال على عدم الجواز بما في الدعائم</w:t>
      </w:r>
      <w:r>
        <w:rPr>
          <w:rStyle w:val="FootnoteAnchor"/>
          <w:rtl w:val="true"/>
        </w:rPr>
        <w:footnoteReference w:id="117"/>
      </w:r>
      <w:r>
        <w:rPr>
          <w:rFonts w:ascii="Amiri" w:hAnsi="Amiri" w:eastAsia="Amiri" w:cs="Amiri"/>
          <w:color w:val="111111"/>
          <w:sz w:val="28"/>
          <w:sz w:val="28"/>
          <w:szCs w:val="28"/>
          <w:rtl w:val="true"/>
          <w:lang w:bidi="ar-SA"/>
        </w:rPr>
        <w:t>و الأشعثيّات</w:t>
      </w:r>
      <w:r>
        <w:rPr>
          <w:rStyle w:val="FootnoteAnchor"/>
          <w:rtl w:val="true"/>
        </w:rPr>
        <w:footnoteReference w:id="118"/>
      </w:r>
      <w:r>
        <w:rPr>
          <w:rFonts w:ascii="IRNazanin" w:hAnsi="IRNazanin" w:eastAsia="IRNazanin"/>
          <w:color w:val="111111"/>
          <w:sz w:val="28"/>
          <w:sz w:val="28"/>
          <w:szCs w:val="28"/>
          <w:rtl w:val="true"/>
          <w:lang w:bidi="fa-IR"/>
        </w:rPr>
        <w:t xml:space="preserve">عن الصادق </w:t>
      </w:r>
    </w:p>
    <w:p>
      <w:pPr>
        <w:pStyle w:val="BookText"/>
        <w:rPr/>
      </w:pPr>
      <w:r>
        <w:rPr>
          <w:rFonts w:ascii="Amiri" w:hAnsi="Amiri" w:eastAsia="Amiri" w:cs="Amiri"/>
          <w:color w:val="111111"/>
          <w:sz w:val="28"/>
          <w:sz w:val="28"/>
          <w:szCs w:val="28"/>
          <w:rtl w:val="true"/>
          <w:lang w:bidi="ar-SA"/>
        </w:rPr>
        <w:t>من آبائه عليهم السلام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لايصلح الحكم و لاالجمعة و لاالحجّة إلّا بإمامٍ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فهما ضعيفان سنداً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&lt;</w:t>
      </w:r>
      <w:r>
        <w:rPr>
          <w:rFonts w:eastAsia="Times New Roman" w:cs="Times New Roman" w:ascii="Times New Roman" w:hAnsi="Times New Roman"/>
          <w:color w:val="111111"/>
          <w:sz w:val="28"/>
          <w:szCs w:val="28"/>
          <w:lang w:val="en-US" w:bidi="en-US"/>
        </w:rPr>
        <w:t>a href="#ref-footnote2-page70" id="footnote2-page70" style="display:inline-block"&gt;</w:t>
      </w:r>
      <w:r>
        <w:rPr>
          <w:rFonts w:eastAsia="Times New Roman" w:cs="Times New Roman" w:ascii="Times New Roman" w:hAnsi="Times New Roman"/>
          <w:color w:val="111111"/>
          <w:sz w:val="28"/>
          <w:szCs w:val="28"/>
          <w:vertAlign w:val="superscript"/>
          <w:lang w:val="en-US" w:bidi="en-US"/>
        </w:rPr>
        <w:t>(2)</w:t>
      </w:r>
    </w:p>
    <w:p>
      <w:pPr>
        <w:pStyle w:val="BookText"/>
        <w:rPr/>
      </w:pPr>
      <w:r>
        <w:rPr>
          <w:rFonts w:ascii="Amiri" w:hAnsi="Amiri" w:eastAsia="Amiri" w:cs="Amiri"/>
          <w:color w:val="111111"/>
          <w:sz w:val="28"/>
          <w:sz w:val="28"/>
          <w:szCs w:val="28"/>
          <w:rtl w:val="true"/>
          <w:lang w:bidi="ar-SA"/>
        </w:rPr>
        <w:t>لكن استشكل في هذا الكلام السيّد الحجّة الآية السيّد أحمد الخوانساريّ رحمه الله؛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لاخفاء في أنّ المحقّق الخوئيّ رحمه الله في عبارته هذه صحّح رواية حفص بن غياث و استند عليها، بل استند على التوقيع الشريف المنسوب إلى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السيّد الأستاذ البروجردي رحمه الله أيضاً يعدّ هذا التوقيع من أسرار الشيعة الإماميّة، و كان يقول بأنّ الشيخ الكلينيّ رحمه الله قد صحّحه حينما نقله و رواه عن أخيه إسحاق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 إيّاه يدلّ على تصحيحه و توثيقه من قبله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bookmarkStart w:id="147" w:name="pg18987_179693"/>
    </w:p>
    <w:p>
      <w:pPr>
        <w:pStyle w:val="Heading4"/>
        <w:numPr>
          <w:ilvl w:val="3"/>
          <w:numId w:val="1"/>
        </w:numPr>
        <w:rPr/>
      </w:pPr>
      <w:bookmarkStart w:id="148" w:name="__RefHeading___Toc13099702_1280447820"/>
      <w:bookmarkStart w:id="149" w:name="_Toc57"/>
      <w:bookmarkEnd w:id="147"/>
      <w:bookmarkEnd w:id="148"/>
      <w:r>
        <w:rPr>
          <w:rtl w:val="true"/>
        </w:rPr>
        <w:t>المقدّمة الرّابعة قاعدة الحِسبَة</w:t>
      </w:r>
      <w:bookmarkEnd w:id="149"/>
    </w:p>
    <w:p>
      <w:pPr>
        <w:pStyle w:val="Heading5"/>
        <w:numPr>
          <w:ilvl w:val="4"/>
          <w:numId w:val="1"/>
        </w:numPr>
        <w:rPr/>
      </w:pPr>
      <w:bookmarkStart w:id="150" w:name="__RefHeading___Toc13099704_1280447820"/>
      <w:bookmarkStart w:id="151" w:name="_Toc58"/>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وعدنا فيما مضى من هذه الرسالة أن نأتي بتوضيحٍ موجزٍ حول قاعدة الحسبة، و ذلك لأنّ من الفقهاء مَن بنى ثبوت الولاية للفقيه على هذه القاعدة و تمسّك بها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الحسبة هي إحدى القواعد الرائجة في فقه الشيعة من قرونٍ مبكّرةٍ، و قد عنونوها طوال القرون من غير انكارٍ من أحدٍ منهم عليها، بل صحّحوها و قبلوها و اتّخذوها كقاعدةٍ ثابتةٍ في جميع أبواب الفقه</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13099706_1280447820"/>
      <w:bookmarkStart w:id="153" w:name="_Toc59"/>
      <w:bookmarkEnd w:id="152"/>
      <w:r>
        <w:rPr>
          <w:rtl w:val="true"/>
        </w:rPr>
        <w:t>الف</w:t>
      </w:r>
      <w:r>
        <w:rPr>
          <w:rtl w:val="true"/>
        </w:rPr>
        <w:t xml:space="preserve">: </w:t>
      </w:r>
      <w:r>
        <w:rPr>
          <w:rtl w:val="true"/>
        </w:rPr>
        <w:t>اشتقاق اسم القاعدة</w:t>
      </w:r>
      <w:bookmarkEnd w:id="153"/>
    </w:p>
    <w:p>
      <w:pPr>
        <w:pStyle w:val="Heading6"/>
        <w:numPr>
          <w:ilvl w:val="5"/>
          <w:numId w:val="1"/>
        </w:numPr>
        <w:rPr/>
      </w:pPr>
      <w:bookmarkStart w:id="154" w:name="__RefHeading___Toc13099708_1280447820"/>
      <w:bookmarkStart w:id="155" w:name="_Toc60"/>
      <w:bookmarkEnd w:id="154"/>
      <w:r>
        <w:rPr>
          <w:rtl w:val="true"/>
        </w:rPr>
        <w:t>القول الأوّل</w:t>
      </w:r>
      <w:r>
        <w:rPr>
          <w:rtl w:val="true"/>
        </w:rPr>
        <w:t>:</w:t>
      </w:r>
      <w:bookmarkEnd w:id="155"/>
    </w:p>
    <w:p>
      <w:pPr>
        <w:pStyle w:val="BookText"/>
        <w:rPr/>
      </w:pPr>
      <w:r>
        <w:rPr>
          <w:rFonts w:ascii="Amiri" w:hAnsi="Amiri" w:eastAsia="Amiri" w:cs="Amiri"/>
          <w:color w:val="111111"/>
          <w:sz w:val="28"/>
          <w:sz w:val="28"/>
          <w:szCs w:val="28"/>
          <w:rtl w:val="true"/>
          <w:lang w:bidi="ar-SA"/>
        </w:rPr>
        <w:t>ذهب جمعٌ من الفقهاء إلى أنّ اشتقاق اسم القاعدة من الحُسْبَان،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مصاديق القاعدة لها أهمّيّةٌ تامّةٌ بحيث تحاسب في الفقه و لايجوز للفقيه أن يُهمِلها يقال لها الحسبة،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يحاسب في الفقه و لايمكن إهمالها</w:t>
      </w:r>
      <w:r>
        <w:rPr>
          <w:rStyle w:val="FootnoteAnchor"/>
          <w:rtl w:val="true"/>
        </w:rPr>
        <w:footnoteReference w:id="123"/>
      </w:r>
    </w:p>
    <w:p>
      <w:pPr>
        <w:pStyle w:val="Heading6"/>
        <w:numPr>
          <w:ilvl w:val="5"/>
          <w:numId w:val="1"/>
        </w:numPr>
        <w:rPr/>
      </w:pPr>
      <w:bookmarkStart w:id="156" w:name="__RefHeading___Toc13099710_1280447820"/>
      <w:bookmarkStart w:id="157" w:name="_Toc61"/>
      <w:bookmarkEnd w:id="156"/>
      <w:r>
        <w:rPr>
          <w:rtl w:val="true"/>
        </w:rPr>
        <w:t>القول الثّاني</w:t>
      </w:r>
      <w:r>
        <w:rPr>
          <w:rtl w:val="true"/>
        </w:rPr>
        <w:t>:</w:t>
      </w:r>
      <w:bookmarkEnd w:id="15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ذهب إلى أنّ اشتقاقه من الإحتساب،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تحصيل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مصاديق القاعدة تُعدّ من الأمور العباديّة و اللّه </w:t>
      </w:r>
      <w:r>
        <w:rPr>
          <w:rFonts w:eastAsia="Amiri" w:cs="Amiri" w:ascii="Amiri" w:hAnsi="Amiri"/>
          <w:color w:val="111111"/>
          <w:sz w:val="28"/>
          <w:szCs w:val="28"/>
          <w:rtl w:val="true"/>
          <w:lang w:bidi="ar-SA"/>
        </w:rPr>
        <w:t xml:space="preserve">- </w:t>
      </w:r>
      <w:bookmarkStart w:id="158" w:name="pg18987_179694"/>
    </w:p>
    <w:p>
      <w:pPr>
        <w:pStyle w:val="BookText"/>
        <w:rPr/>
      </w:pPr>
      <w:bookmarkEnd w:id="158"/>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يحتسبها و يؤجر عليها؛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يحتسبها اللّه و يجزي و يؤجر عليه</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13099712_1280447820"/>
      <w:bookmarkStart w:id="160" w:name="_Toc62"/>
      <w:bookmarkEnd w:id="159"/>
      <w:r>
        <w:rPr>
          <w:rtl w:val="true"/>
        </w:rPr>
        <w:t>ب</w:t>
      </w:r>
      <w:r>
        <w:rPr>
          <w:rtl w:val="true"/>
        </w:rPr>
        <w:t xml:space="preserve">: </w:t>
      </w:r>
      <w:r>
        <w:rPr>
          <w:rtl w:val="true"/>
        </w:rPr>
        <w:t>معنى القاعدة</w:t>
      </w:r>
      <w:bookmarkEnd w:id="160"/>
    </w:p>
    <w:p>
      <w:pPr>
        <w:pStyle w:val="BookText"/>
        <w:rPr/>
      </w:pPr>
      <w:r>
        <w:rPr>
          <w:rFonts w:ascii="Amiri" w:hAnsi="Amiri" w:eastAsia="Amiri" w:cs="Amiri"/>
          <w:color w:val="111111"/>
          <w:sz w:val="28"/>
          <w:sz w:val="28"/>
          <w:szCs w:val="28"/>
          <w:rtl w:val="true"/>
          <w:lang w:bidi="ar-SA"/>
        </w:rPr>
        <w:t>لانريد أن نفصّل الكلام حول معنى القاعدة، لأنّ هذا التفصيل هو وظيفة ما كُتب حول القواعد الفقهيّة</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في إيجازٍ تمامٍ تبعاً للفقهاء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عنوانٌ جامعٌ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لايرضى الشارع بتركه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ما كان مصداقاً لهذا العنوان الجامع بحيث صدق عليه انّه ممّا لايرضى الشارع بتركه يكون مصداقاً لقاعدة 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رأى الفقيه انّ موضوعاً أو حكماً هو ممّا لايرضى الشارع بتركه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اهمّيّةٌ بالغةٌ عنده تعالى و لايرضى باهماله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يمكن له أن يتمسّك بهذه القاعدة فيفتي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كان أو حكماً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الفعل 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أدلّ الدلائل على حجّيّة القاعدة هو العقل، إذ العقل يحكم بوجوب تبعيّة المؤمن عن الشارع في كلّ ما حكم بفعله أو 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المؤمن أن يفعله أو يتركه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مصاديق القاعدة ما تمثّلت به الفقهاء من أحكام الميّت، كتغسيله و تكفينه و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وليّ الميّت حاضراً ليتولّى أموره يجب على جميع المؤمنين القيام بها، فلوتركوها أثموا جميعاً و استحقّوا العقاب</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فبما قلنا ظهر انّ القاعدة تشتمل الواجبات الكفائيّة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يتعلّق بالقاعدة انّها تناسب غيرها من الأصول و القواعد المستعملة في الفقه، فلو شكّ في موردٍ لايتعلّق بالأموال و الأنفس هل يجب فعله من غير إذنٍ من الفقيه أو لايجب إلّا بإذنٍ و نصٍّ منه، نفتي بوجوبه؛ لأنّ القاعدة تحكم به كما في ما يرجع إلى الميّت من تغسيله و تكفينه و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يتعلّق بالأموال و الأنفس الّذي انعقد الإجماع على أنّ إذن الفقيه شرطٌ فيه فلايجوز للعامّيّ فعله، إذ قاعدة الإشتغال الحاكمة على قاعدة الحسبة تحكم بأنّ الشارع لايرضى بهذا الفعل من دون إذن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انتفى الإذن انتفى وجوب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الفقيه الكبير أبوصلاح الحلبيّ رحمه الله الّذي يُعدّ من متقدّمي فقهائنا أجرى القاعدة في بابي الحدود و التعزيرات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الشارع لايرضى بترك الحدود و التعزيرات من ناحيةٍ، و بما انّ إذن الفقيه شرطٌ فيها بالإجماع من ناحيةٍ أخرى فيجب على الفقيه القيام بإجراء الحدود و التعزيرات و السعي في إقامتهما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مستند هذا الرأي عنده هي قاعدة الحسبة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أعلى من ذلك و أكثر تقدّماً منه قول المحقّق صاحب الجواهر رحمه الله، حيث عدّ إذن الفقيه في الدفاع بل حكمه بالجهاد و الكفاح البدويّ الإبتدائيّ من مصاديق القاعدة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&lt;</w:t>
      </w:r>
      <w:r>
        <w:rPr>
          <w:rFonts w:eastAsia="Times New Roman" w:cs="Times New Roman" w:ascii="Times New Roman" w:hAnsi="Times New Roman"/>
          <w:color w:val="111111"/>
          <w:sz w:val="28"/>
          <w:szCs w:val="28"/>
          <w:lang w:val="en-US" w:bidi="en-US"/>
        </w:rPr>
        <w:t>a href="#ref-footnote3-page73" id="footnote3-page73" style="display:inline-block"&gt;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على هذا الممشى مشى المحقّق الخوئيّ رحمه الله أيضاً في أحد أقواله، كما مضت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الأخير في هذا التوضيح الموجز الّذي ذكرناه حول هذه القاعدة ما ربما يتراءى من الشيخ الأعظم رحمه الله، فانّه رحمه الله حكم بوجوب القيام بالقضاء على الفقيه متمسّكاً بهذه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أنّ الشارع لايرضى بترك القضاء بين الناس، فولاية الفقيه في أمر القضاء ثابتةٌ عنده بحكم القاعدة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ولاية الفقيه بقولٍ مطلقٍ لتشتمل القيام بأمر الحكم و رئاسة المجتمع فلم يحكم بها و لم يعدّها من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منه رحمه الله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الشيخ يرى انّ ثبوت ولاية الفقيه مشهورٌ من ناحيةٍ، و من ناحيةٍ أخرى يرى انّ مقبولة عمر بن حنظلة و غيرها من الأدلّة اللفظيّة لاتفي باثبات هذه الولاية، فأعرض عن الأدلّة اللفظيّة و سحَب يده منها و أوكل ولايته في أمر القضاء إلى قاعدة الحسبة، فأثبتها مستنداً إليها؛ قال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عُلم من الشارع ارادة وجوده في الخارج إن عُلم كونه وظيفة شخصٍ خاصٍّ كنظر الأب في مال ولده الصغير أو صنفٍ خاصٍّ كالافتاء و القضاء أو كلّ من يقدر على القيام به كالأمر بالمعروف فلااشكال في شيءٍ من ذلك؛ و إن لم يُعلم ذلك و احتمل كونه مشروطاً في وجوده أو وجوبه بنظر الفقيه وجب الرجوع فيه إليه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لوثبت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ببداهة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لايرضى بترك القيام بأمر الحكم و الولاية، و لوشكّ ثانياً في أنّ القيام بهذه المهمّة هل يتوقّف على إذن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أهمّيّته البالغة بحيث لاتقصر أهمّيّتها عن مسألة النفوس و الأموال الّتي فوّض الشارع أمرها إلى </w:t>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فنستنتج نتيجةً،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الحسبة تحكم بوجوب القيام بأمر السلطة و الولاية، و قاعدة الإشتغال تحكم بأنّ هذا القيام يُعدّ من وظائف الفقهاء و لايجوز لمن ليس من هذا الصنف القيام بها؛ فبانضمام القاعدتين نرى انّ ولاية الفقيه و رئاسته على المجتمع أيضاً تكون من مصاديق قاعدة الحسبة؛ فتثبت ولاية الفقيه بقولٍ مطلقٍ أيضاً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توخّينا إيراده في هذا المجال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8987_179699"/>
      <w:bookmarkStart w:id="162" w:name="pg18987_179699"/>
      <w:bookmarkEnd w:id="162"/>
    </w:p>
    <w:p>
      <w:pPr>
        <w:pStyle w:val="Heading4"/>
        <w:numPr>
          <w:ilvl w:val="3"/>
          <w:numId w:val="1"/>
        </w:numPr>
        <w:rPr/>
      </w:pPr>
      <w:bookmarkStart w:id="163" w:name="pg18987_179699"/>
      <w:bookmarkStart w:id="164" w:name="__RefHeading___Toc13099714_1280447820"/>
      <w:bookmarkStart w:id="165" w:name="_Toc63"/>
      <w:bookmarkEnd w:id="163"/>
      <w:bookmarkEnd w:id="164"/>
      <w:r>
        <w:rPr>
          <w:rtl w:val="true"/>
        </w:rPr>
        <w:t>المقدّمة الخامسة لزوم وجود الدولة في كلّ مجتمعٍ‌</w:t>
      </w:r>
      <w:bookmarkEnd w:id="165"/>
    </w:p>
    <w:p>
      <w:pPr>
        <w:pStyle w:val="BookText"/>
        <w:rPr/>
      </w:pPr>
      <w:r>
        <w:rPr>
          <w:rFonts w:ascii="Amiri" w:hAnsi="Amiri" w:eastAsia="Amiri" w:cs="Amiri"/>
          <w:color w:val="111111"/>
          <w:sz w:val="28"/>
          <w:sz w:val="28"/>
          <w:szCs w:val="28"/>
          <w:rtl w:val="true"/>
          <w:lang w:bidi="ar-SA"/>
        </w:rPr>
        <w:t>لزوم وجود والٍ في كلّ مجتمعٍ ليجري الأمور فيه على ما ينبغي، أصلٌ تؤيّده زيادةً على العقل غريزة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فنرى حتّى الحيوانات الّتي تعيش في المجتمع و لها الحياة الإجتماعيّة لها عميدٌ يدبّر أمر المجتمع على ما تقتضيه مصالح أهله؛ كملكة النحل و أمير مجتمع السُمَيكَات و رئيس النمال و قائد مجتمع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وظيفة قائد المجتمع و فرضه قبال ساكنيه هو إيصالهم إلى ما يصلح أمرهم و يقتضيه كمالهم اللائق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الكمال اللائق بكلّ مجتمعٍ و جمعٍ يتغيّر بالنسبة إلى المجتمع، فما يليق بهذا المجتمع يختلف مع ما يليق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فقائد كلّ مجتمعٍ على أساس غريزته يهديهم و يصلهم إلى ما هو المطلوب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لزوم وجود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الجوامع الإنسانيّة أيضاً</w:t>
      </w:r>
      <w:r>
        <w:rPr>
          <w:rStyle w:val="FootnoteAnchor"/>
          <w:rtl w:val="true"/>
        </w:rPr>
        <w:footnoteReference w:id="130"/>
      </w:r>
      <w:r>
        <w:rPr>
          <w:rFonts w:ascii="Amiri" w:hAnsi="Amiri" w:eastAsia="Amiri" w:cs="Amiri"/>
          <w:color w:val="111111"/>
          <w:sz w:val="28"/>
          <w:sz w:val="28"/>
          <w:szCs w:val="28"/>
          <w:rtl w:val="true"/>
          <w:lang w:bidi="ar-SA"/>
        </w:rPr>
        <w:t>، و العقل يحكم بهذا الجريان لوجود مقدّمتين بديهيّتين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لايقدر على أن يعيش وحيداً فريداً، بل لابدّ و لاعلاج له إلّا بالحياة الإجتماعيّة، هذا من ناحيةٍ؛ </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ناحيةٍ أخرى انّ للإنسان بُعدين</w:t>
      </w:r>
      <w:r>
        <w:rPr>
          <w:rStyle w:val="FootnoteAnchor"/>
          <w:rtl w:val="true"/>
        </w:rPr>
        <w:footnoteReference w:id="131"/>
      </w:r>
      <w:r>
        <w:rPr>
          <w:rFonts w:ascii="Amiri" w:hAnsi="Amiri" w:eastAsia="Amiri" w:cs="Amiri"/>
          <w:color w:val="111111"/>
          <w:sz w:val="28"/>
          <w:sz w:val="28"/>
          <w:szCs w:val="28"/>
          <w:rtl w:val="true"/>
          <w:lang w:bidi="ar-SA"/>
        </w:rPr>
        <w:t>، و بُعده الناسوتيّ يُلجأه إلى ما يخالف ما لغيره من المصالح و المنافع،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مصالح كلّ أحدٍ في المجتمع و ما هو مطلوبٌ له يختلف مع ما هو المطلوب لغيره، فيحدث الخلاف و التنازع و البون و التنافر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هاتان المقدّمتان تحكمان بلزوم وجود والٍ يولّي أمر الحكم بين الناس ليعيش المجتمع على ما يصلحه و يقتضيه من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الدولة و الولاية من لوازم حياة الإنسان الإجتماعيّة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سيّدنا الأستاذ العلّامة الطباطبائي رحمه الله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تَجعَلُ فِيهَا مَنْ يُفْسِدُ فِيهَا وَ يَسْفِكُ الدِّمَاءَ</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يشير إلى ما للناس من بُعدهم الناسوتيّ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البعد يوجب الهَرَج و غلبة القويّ على الضعيف و ينتهي في آخر الأمر إلى نقض قواعد المجتمع، فتفسد و تضمحّل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اللازم الضروريّ وجود الدولة و الولاية في كلّ مجتمعٍ ليعيش الإنسان على ما هو اللائق به و يصل إلى كماله المطلوب له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مشهد السيّد الأستاذ رحمه الله و منظره بداهة العقل هو الحاكم بلزوم وجود الولاية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الرئيس رحمه الله أيضاً مشى على هذا الممشى مستنداً إلى قاعدة اللطف، فانّه رحمه الله ذهب في النمط التّاسع من كتابه الإشارات و التنبيهات إلى أنّ قاعدة اللطف تحكم بضرورة وجود النبيّ كرئيس المجتمع و قائده، و من بعد النبيّ نفس القاعدة تحكم بضرورة وجود الحكومة و الدولة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المحقّق نصيرالدين الطوسيّ رحمه الله يشير في شرح هذه القطعة من المتن إلى أنّ الإنسان خُلق للاستكمال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يصل إلى كماله اللائق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لايمكن الوصول إلى هذا الكمال إلّا في مجتمعٍ صالحٍ متّسقٍ خالٍ عن الهَرَج و الإضطراب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فلوانضممنا هاتين المقدّمتين إلى قاعدة اللطف نستنتج انّه يجب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لطفه أن يعيّن أحداً لأن يولّى أمر المجتمع و ينتظم روابط الناس حتّى تكون حياة الناس على ما هو اللائق بهم و يصلهم إلى كمالهم المطلوب لهم</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باحتياج الناس إلى الولاية، و هو جوادٌ يفعل ما ينبغي كما ينبغي، فمقتضى علمه و جوده أن يرسل الرسول و من بعده أن يعيّن الوالي لئلّا تقف قافلة المجتمع عن حركته الاستكماليّة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هذه الضرورة العقليّة قد أشير إليها في بعض أحاديث أهل البيت عليهم السلام، منها قول أميرالمؤمنين عليه السلام لمّا سمع قول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حقٍّ يُراد بها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لاحكم إلّاللّه ولكن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 إلّاللّه و انّه لابدّ للناس من أميرٍ برٍّ أو فاجرٍ يعمل في إمرته المؤمن و يستمتع فيه الكافر، و يُبلغ اللّه فيه الأجل و يجمع به الفيء و يقاتل به العدوّ و تأمن به السبل و يؤخذ به للضعيف من القويّ حتّى يستريح به برٌّ و يستراح من فاجرٍ</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نرى انّه عليه السلام رادّاً على الخوارج بيّن الفرق بين الحكم و الأمر، إذ لاريب في أنّ الحكم من خصائص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لايشترك فيه معه أحدٌ؛ أمّا الأمر و الولاية فهو من لوازم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فقولهم ناشٍ عن الخلط بين ما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و ما للناس بمقتضى حياتهم الإجتماعيّة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الكلام الثقيل العالي المرتبة أدّى الأمر إلى لزوم وجود الحكومة و لوكانت فاجرةً غير برّةٍ، إذ في صورة فقد الولاية الصالحة لابدّ و لاحيلة من وجود حكومةٍ غير صالحةٍ، إذ وجودها خيرٌ من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نفس الكلام أيضاً أشار أميرالمؤمنين عليه السلام إلى عددٍ و حَسَبٍ من وظائف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ثامن الحجج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أولي الأمر و أمر بطاعتهم؟</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كثيرةٍ؛ منها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الخلق لمّا وقعوا على حدٍّ محدودٍ و أُمروا أن لايتعدّوا ذلك الحدّ لما فيه من </w:t>
      </w:r>
    </w:p>
    <w:p>
      <w:pPr>
        <w:pStyle w:val="BookText"/>
        <w:rPr/>
      </w:pPr>
      <w:r>
        <w:rPr>
          <w:rFonts w:ascii="Amiri" w:hAnsi="Amiri" w:eastAsia="Amiri" w:cs="Amiri"/>
          <w:color w:val="111111"/>
          <w:sz w:val="28"/>
          <w:sz w:val="28"/>
          <w:szCs w:val="28"/>
          <w:rtl w:val="true"/>
          <w:lang w:bidi="ar-SA"/>
        </w:rPr>
        <w:t>فسادهم لم يكن يثبت ذلك و لايقوم إلّابأن يُجعل عليهم فيه أميناً يمنعهم من التعدّي و الدخول فيما خطر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لانجد فرقةً من الفرق و لاملّةً من الملل بقوا و عاشوا إلّابقيّمٍ و رئيسٍ لما لابدّ لهم منه في أمر دينهم و دنياهم، فلم يجز في حكمة الحكيم أن يترك الخلق ممّا يعلم انّه لابدّ لهم منه و لاقوام لهم إلّابه، فيقاتلون به عدوّهم و يقسمون به فيئهم و يقيم لهم جمعتهم و جماعتهم و يمنع ظالمهم من مظلومهم؛</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يجعل لهم إماماً قيّماً أميناً حافظاً مستودعاً لدرست الملّة و ذهب الدين و غيّرت السنة و الأحكام، و لزاد فيهم المبتدعون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قد وجدنا الخلق منقوصين محتاجين غير كاملين مع اختلافهم و اختلاف أهوائهم و تشتّت أنحائهم، فلو لم يجعل لهم فيها حافظاً لما جاء به الرسول لفسدوا على نحو ما بيّنا و غيّرت الشرائع و السنن و الأحكام و الإيمان؛ و كان في ذلك فساد الخلق أجمعين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هذا الحديث الثمين الّذي يُعدّ من غرر الأخبار أشار مولانا و سيّدنا الرضا عليه السلام إلى أمورٍ ثلاثةٍ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لمّيّة الاحتياج إلى الحكومة و الولاية، و هي تنظيم روابط الناس و إصلاح ما بينهم من التعاملات،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حكينا في هذه الصفحات عن الأستاذ العلّامة </w:t>
      </w:r>
    </w:p>
    <w:p>
      <w:pPr>
        <w:pStyle w:val="BookText"/>
        <w:rPr/>
      </w:pPr>
      <w:r>
        <w:rPr>
          <w:rFonts w:ascii="Amiri" w:hAnsi="Amiri" w:eastAsia="Amiri" w:cs="Amiri"/>
          <w:color w:val="111111"/>
          <w:sz w:val="28"/>
          <w:sz w:val="28"/>
          <w:szCs w:val="28"/>
          <w:rtl w:val="true"/>
          <w:lang w:bidi="ar-SA"/>
        </w:rPr>
        <w:t xml:space="preserve">الطباطبائيّ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الإنسان بما له من الوجه الناسوتيّ يختلف دائماً مع غيره، فلامناص من وجود حاكمٍ يرتفع الاختلافات و يصلح أمر المجتمع؛</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الاجابة عن حاجة الفطرة و بُغيتها، فانّ سيّدنا الرضا عليه السلام عدّ وجود الولاية مجاوبةً عمّا تقتضيه الفطرة و تحتاج إليه في كلّ عصرٍ و مصرٍ؛</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الختام لويحتاج الإنسان إلى الوالي و لوكان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باحتياجه هذا فمن الواجب عليه أن يسنّ عليهم قواعد الحكومة و كيفيّتها و يعيّن من بينهم أحداً ليقوم بأمرها حتّى يصلح المجتمع و أحوالهم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خاتمة الحديث و مؤخّره أشار عليه السلام إلى فائدةٍ أخرى من فوائد الحكومة، و هي بقاء الدين و حفظه عن التغيير و التخويل و الإنقلاب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إمعان النظر في هذا الحديث يُظهر أنّ جميع ما نقلناه عن الشيخ الرئيس رحمه الله و المحقّق الطوسيّ رحمه الله و العلّامة الطباطبائيّ رحمه الله لو لم يكن منقولاً عن هذا الحديث مباشراً فلابدّ أن يكون مقتبساً منه، بل جميع كلماتهم و ما جاؤوا به من دقائق الأفكار مجموعٌ و مركّزٌ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للحديث من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رحمه الله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الحسن بن إبراهيم عن يونس بن يعقوب قال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عند أبي عبداللّه عليه السلام جماعةٌ من أصحابه منهم حمران بن أعين و محمّد بن النعمان و هشام ابن سالم و الطيّار و جماعةٌ فيهم هشام بن الحكم و هو شابٌّ؛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ألَاتخبرني كيف صنعت بعمرو بن عبيد و كيف سألته؟ </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انّي أجُلّك و استحييك و لايعمل لساني بين يديك،</w:t>
      </w:r>
    </w:p>
    <w:p>
      <w:pPr>
        <w:pStyle w:val="BookText"/>
        <w:rPr/>
      </w:pP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أمرتكم بشيءٍ فافعلوا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ما كان فيه عمرو بن عبيد و جلوسه في مسجد البصرة، فعظم ذلك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و دخلت البصرة يوم الجمعة فأتيت مسجد البصرة، فإذا أنا بحلقةٍ كبيرةٍ فيها عمرو بن عبيد و عليه شملةٌ سوداء متّزراً بها من صوفٍ و شملةٌ مرتدئاً و الناس يسألونه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فاستفرجت الناس فافرجوا لي، ثمّ قعدت في آخر القوم على ركبتيّ،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إنّي رجلٌ غريبٌ تأذن لي في مسألةٍ؟،</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عينٌ؟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 هذا من السؤال؟ و شيءٌ تراه كيف تسأل عنه؟،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مسألتي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سل و إن كانت مسألتك 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اجبني فيها،</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عينٌ؟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تصنع بها؟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بها الألوان و الأشخاص،</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أنفٌ؟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به الرائحة،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فمٌ؟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أذوق به الطعم،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أذنٌ؟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بها الصوت،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قلبٌ؟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أميّز به كلّ ما ورد على هذه الجوارح و الحواسّ،</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في هذه الجوارح غنىً عن القلب؟</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و هي صحيحةٌ سليمةٌ؟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الجوارح إذا شكّت في شيءٍ شمّته أو رأته أو ذاقته أو سمعته ردّته إلى القلب فيستيقن اليقين و يبطل الشكّ،</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أقام اللّه القلب لشكّ الجوارح؟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القلب و إلّالم تستيقن الجوارح؟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جوارحك حتّى جعل لها إماماً يصحّح لها الصحيح و يتيقّن به ما شُكّ فيه، و يترك هذا الخلق كلّهم في حيرتهم و شكّهم و اختلافهم لايقيم لهم إماماً يردّون إليه شكّهم و حيرتهم، و يقيم لك إماماً لجوارحك تردّ إليه حيرتك و شكّك؟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 لم يقل 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 بن الحكم؟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من جُلسائه؟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إذاً هو</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ضمّني إليه و أقعدني في مجلسه و زال عن مجلسه و ما نطق حتّى قمت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أبوعبداللّه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علّمك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أخذته منك و ألّفته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مكتوبٌ في صحف إبراهيم و موسى</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صحيحٌ و لاإشكال فيه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بن إبراهيم و إن لم يذكر في مصادر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كرجال الشيخ</w:t>
      </w:r>
      <w:r>
        <w:rPr>
          <w:rStyle w:val="FootnoteAnchor"/>
          <w:rtl w:val="true"/>
        </w:rPr>
        <w:footnoteReference w:id="142"/>
      </w:r>
      <w:r>
        <w:rPr>
          <w:rFonts w:ascii="Amiri" w:hAnsi="Amiri" w:eastAsia="Amiri" w:cs="Amiri"/>
          <w:color w:val="111111"/>
          <w:sz w:val="28"/>
          <w:sz w:val="28"/>
          <w:szCs w:val="28"/>
          <w:rtl w:val="true"/>
          <w:lang w:bidi="ar-SA"/>
        </w:rPr>
        <w:t xml:space="preserve">و 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لابأس به، إذ صحّحه جمعٌ من أساتذة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الوليد مع كثرة دقّته و شدّة نظره و رأيه في توثيق الرجال صحّحه إذا استثنى خمسةً و عشرين رجلاً من رواة أحاديث كتاب نوادرالحكمة و صحّح غيرهم من رجال أسانيده، و هو من جملتهم؛ فصحّحه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نوح و شيخنا الصدوق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من تلامذة ابن الوليد أيضاً أيّدا قوله، فهما أيضاً قائلان بصحّة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فصحّحه ابن الوليد و ابن نوح و شيخنا الصدوق</w:t>
      </w:r>
      <w:r>
        <w:rPr>
          <w:rStyle w:val="FootnoteAnchor"/>
          <w:rtl w:val="true"/>
        </w:rPr>
        <w:footnoteReference w:id="143"/>
      </w:r>
      <w:r>
        <w:rPr>
          <w:rFonts w:ascii="Amiri" w:hAnsi="Amiri" w:eastAsia="Amiri" w:cs="Amiri"/>
          <w:color w:val="111111"/>
          <w:sz w:val="28"/>
          <w:sz w:val="28"/>
          <w:szCs w:val="28"/>
          <w:rtl w:val="true"/>
          <w:lang w:bidi="ar-SA"/>
        </w:rPr>
        <w:t xml:space="preserve">و تصحيحهم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عِظَم قدرهم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الاعتماد </w:t>
      </w:r>
    </w:p>
    <w:p>
      <w:pPr>
        <w:pStyle w:val="BookText"/>
        <w:rPr/>
      </w:pPr>
      <w:r>
        <w:rPr>
          <w:rFonts w:ascii="Amiri" w:hAnsi="Amiri" w:eastAsia="Amiri" w:cs="Amiri"/>
          <w:color w:val="111111"/>
          <w:sz w:val="28"/>
          <w:sz w:val="28"/>
          <w:szCs w:val="28"/>
          <w:rtl w:val="true"/>
          <w:lang w:bidi="ar-SA"/>
        </w:rPr>
        <w:t>عليه و على ما يرويه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دلالة الحديث على ما نحن فيه فلاتحتاج إلى مزيد بيانٍ، إذ 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أئمّتنا الإثنى عشر فقط، بل من يقوم بأمر الولاية والحكومة و يكون حاكماً على المجتمع ليقوم القسط و العدل و يحفظه و يمنعه عن الإنحراف و الزوال، كما انّ القلب يمنع جوارح الإنسان عن الإنحراف و يحفظها عن الخطأ</w:t>
      </w:r>
      <w:r>
        <w:rPr>
          <w:rFonts w:eastAsia="Amiri" w:cs="Amiri" w:ascii="Amiri" w:hAnsi="Amiri"/>
          <w:color w:val="111111"/>
          <w:sz w:val="28"/>
          <w:szCs w:val="28"/>
          <w:rtl w:val="true"/>
          <w:lang w:bidi="ar-SA"/>
        </w:rPr>
        <w:t xml:space="preserve">. </w:t>
      </w:r>
      <w:bookmarkStart w:id="166" w:name="pg18987_179711"/>
    </w:p>
    <w:p>
      <w:pPr>
        <w:pStyle w:val="Heading4"/>
        <w:numPr>
          <w:ilvl w:val="3"/>
          <w:numId w:val="1"/>
        </w:numPr>
        <w:rPr/>
      </w:pPr>
      <w:bookmarkStart w:id="167" w:name="__RefHeading___Toc13099716_1280447820"/>
      <w:bookmarkStart w:id="168" w:name="_Toc64"/>
      <w:bookmarkEnd w:id="166"/>
      <w:bookmarkEnd w:id="167"/>
      <w:r>
        <w:rPr>
          <w:rtl w:val="true"/>
        </w:rPr>
        <w:t>المقدّمة السادسة أصالة عدم تسلّط أحدٍ على أحدٍ</w:t>
      </w:r>
      <w:bookmarkEnd w:id="168"/>
    </w:p>
    <w:p>
      <w:pPr>
        <w:pStyle w:val="BookText"/>
        <w:rPr/>
      </w:pPr>
      <w:r>
        <w:rPr>
          <w:rFonts w:ascii="Amiri" w:hAnsi="Amiri" w:eastAsia="Amiri" w:cs="Amiri"/>
          <w:color w:val="111111"/>
          <w:sz w:val="28"/>
          <w:sz w:val="28"/>
          <w:szCs w:val="28"/>
          <w:rtl w:val="true"/>
          <w:lang w:bidi="ar-SA"/>
        </w:rPr>
        <w:t>من الأصول المقرّرة في الفقه الإسلاميّ هو أصل عدم تسلّط أحدٍ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لهذا الأصل من الدور البنّاء في مسألة ولاية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تمسّك به مخالفوها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بتوضيحٍ موجزٍ حول هذا الأصل ليكون الناظر في الرسالة على بصيرةٍ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لهذا الأصل صورةً اثباتيّةً، و هي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أنفسهم 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الأصلان يشيران إلى أمرٍ واحدٍ يؤيّده العقل، و هو أصالة تسلّط كلّ أحدٍ على ماله و نفسه، و عدم تسلّط غيره على ما يتعلّق به من المال و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يجب أن يُعلم أنّ هذا الأصل يُعدّ من الأصول الحيثيّة، و الأصول الحيثيّة ما لاإطلاق له و إن يظهر منه الإطلاق 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فلاإطلاق لهذا الأصل؛ فلاتسلّط للناس على أموالهم على وجهٍ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يؤيّده العقل و تشهد له سيرة العقلاء، فنرى العقلاء يحكمون بعدم تسلّط الإنسان على ماله في بعض الموارد، بل يحكمون بهَجره و عدم جواز تصرّفه فيه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سبيل المثال لوأراد أحدٌ أن يشتري بماله سمّاً أو قَشَباً قتّالاً ليدخله في قناة البلدة فيقتل به جميع أهلها، لايجوّز له العقلاء التمسّك بقاعدة التسليط، بل يحكمون بهَجره و عدم تسلّطه على أمواله؛ و هذا واضحٌ لامرية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زيادةً على ذلك فهيهنا خلافٌ نشأ بين فقهاء المسلمين من ناحيةٍ و بين غيرهم من علماء علم الحقوق من ناحيةٍ أخرى؛ و هو الخلاف في حيطة هذا الأصل،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حيطة تسلّط الناس على أموالهم؟، و متى يُحكم بهَجر المرء عن التصرّف في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علماء علم الحقوق المادّيّون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للمرء أن يتصرّف في أمواله ما لم يكن هذا التصرّف ضرراً على الغير، فحيطة السلطة عندهم ما لم يكن التصرّف سبباً لتضرّر الآخرين و ألماً و تعباً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فقهاؤنا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ذلك يجب أن يكون هذا التصرّف و التسلّط موافقاً لما حكم به الشرع و وافقه العقل، فجواز التصرّف من ناحيتي الشرع و العقل شرطٌ عندهم في صحّة التسليط، فلايجوز التمسّك بهذا الأصل في موارد لم يوافقها الشرع أو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المقام حديثٌ أورده الشيخ الكلينيّ رحمه الله في جامعه الكافي، و هو يؤيّد ما قلنا؛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العبّاس بن عمر الفُقيميّ عن هشام بن الحكم عن أبي عبداللّه عليه السلام انّه قال للزنديق الّذي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أثبتّ الأنبياء و الرسل؟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أثبتنا انّ لنا خالقاً صانعاً متعالياً عنّا و عن جميع ما خلق و كان ذلك الصانع حكيماً متعالياً لم يجز أن يشاهده خلقه و لايلامسوه فيباشرهم و يباشروه و يحاجّهم و يحاجّوه، ثبت انّ له سفراء في خلقه يعبّرون عنه إلى خلقه و عباده و يدلّونهم على مصالحهم و منافعهم و ما به بقاؤهم و في تركه فنائهم، فثبت الآمرون و الناهون عن الحكيم العليم في خلقه و المعبّرون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الأنبياء عليهم السلام و صفوته من خلقه، حكماء مؤدّبين بالحكمة مبعوثين بها غير مشاركين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مشاركتهم لهم في الخلق و </w:t>
      </w:r>
    </w:p>
    <w:p>
      <w:pPr>
        <w:pStyle w:val="BookText"/>
        <w:rPr/>
      </w:pP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مؤيّدين من عند الحكيم العليم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ثبت ذلك في كلّ دهرٍ و زمانٍ ممّا أتت به الرسل و الأنبياء من الدلائل و البراهين لكي لاتخلو أرض اللّه من حجّةٍ يكون معه علمٌ يدلّ على صدق مقالته و جواز عدالته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صحيحةٌ و لاإشكال فيها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عبّاس بن عمر و إن كان مجهولاً لم يُذكر في مصادر علم الرجال</w:t>
      </w:r>
      <w:r>
        <w:rPr>
          <w:rStyle w:val="FootnoteAnchor"/>
          <w:rtl w:val="true"/>
        </w:rPr>
        <w:footnoteReference w:id="145"/>
      </w:r>
      <w:r>
        <w:rPr>
          <w:rFonts w:ascii="Amiri" w:hAnsi="Amiri" w:eastAsia="Amiri" w:cs="Amiri"/>
          <w:color w:val="111111"/>
          <w:sz w:val="28"/>
          <w:sz w:val="28"/>
          <w:szCs w:val="28"/>
          <w:rtl w:val="true"/>
          <w:lang w:bidi="ar-SA"/>
        </w:rPr>
        <w:t>لكن صحّحه عليّ بن إبراهيم حيث روى عنه، إذ ابن إبراهيم ممّن لايروي إلّاعن ثقةٍ‌</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إبراهيم ممّن لايروي إلّاعن ثقةٍ؛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روى عن عبّاس بن عمر الفقيميّ؛</w:t>
      </w:r>
    </w:p>
    <w:p>
      <w:pPr>
        <w:pStyle w:val="BookText"/>
        <w:rPr/>
      </w:pPr>
      <w:r>
        <w:rPr>
          <w:rFonts w:ascii="Amiri" w:hAnsi="Amiri" w:eastAsia="Amiri" w:cs="Amiri"/>
          <w:color w:val="111111"/>
          <w:sz w:val="28"/>
          <w:sz w:val="28"/>
          <w:szCs w:val="28"/>
          <w:rtl w:val="true"/>
          <w:lang w:bidi="ar-SA"/>
        </w:rPr>
        <w:t>و نتيجة المقدّمتين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عبّاس بن عمر ثقةٌ، لأنّ عليّ بن إبراهيم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لنا في المقدّمتين نظرٌ، إذ ليس عليّ بن إبراهيم في عداد المشايخ الّذين ادُّعِي في حقّهم انّهم لايروون إلّاعن ثقةٍ على الإطلاق، إذ هولاء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يوجد ابن إبراهيم بينهم، بل ابن إبراهيم ادّعى في مقدّمة تفسيره انّه لايروي في هذا التفسير إلّاعن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الحال انّه لم يرو عن عبّاس بن عمر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لتفصيل 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الثقات و ترتيب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فثقات ابن إبراهيم منحصرون فيمن روى عنهم في تفسيره، و ليس عبّاس بن عمر منهم؛ فليس هو معدوداً في جملة ثقاته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لاريب في أن تصحيحه ليس بأقلّ مرتبة من تصحيح النجاشيّ و أضرابه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المحقّق الخوئيّ أيضاً مع شدّة احتياطه في أمر رجال الأسانيد ذهب إلى حجّيّة رواياته لمكان تصحيح عليّ بن إبراهيم إيّاه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كما يثبت حرّية الإنسان و سلطته على ماله و نفسه يذكّرنا انّه يحتاج إلى قانونٍ و دُستورٍ و شريعةٍ ليعيّن له ما له و ما عليه ليعيش الإنسان في مجالهما و حَقْلِهما حرّاً في غاية الحرّيّة</w:t>
      </w:r>
      <w:r>
        <w:rPr>
          <w:rFonts w:eastAsia="Amiri" w:cs="Amiri" w:ascii="Amiri" w:hAnsi="Amiri"/>
          <w:color w:val="111111"/>
          <w:sz w:val="28"/>
          <w:szCs w:val="28"/>
          <w:rtl w:val="true"/>
          <w:lang w:bidi="ar-SA"/>
        </w:rPr>
        <w:t>.</w:t>
      </w:r>
      <w:bookmarkStart w:id="169" w:name="pg18987_179715"/>
    </w:p>
    <w:p>
      <w:pPr>
        <w:pStyle w:val="Heading4"/>
        <w:numPr>
          <w:ilvl w:val="3"/>
          <w:numId w:val="1"/>
        </w:numPr>
        <w:rPr/>
      </w:pPr>
      <w:bookmarkStart w:id="170" w:name="__RefHeading___Toc13099718_1280447820"/>
      <w:bookmarkStart w:id="171" w:name="_Toc65"/>
      <w:bookmarkEnd w:id="169"/>
      <w:bookmarkEnd w:id="170"/>
      <w:r>
        <w:rPr>
          <w:rtl w:val="true"/>
        </w:rPr>
        <w:t>المقدّمة السّابعة أجناس الحكومة و الدولة و أنواعها</w:t>
      </w:r>
      <w:bookmarkEnd w:id="171"/>
    </w:p>
    <w:p>
      <w:pPr>
        <w:pStyle w:val="Heading5"/>
        <w:numPr>
          <w:ilvl w:val="4"/>
          <w:numId w:val="1"/>
        </w:numPr>
        <w:rPr/>
      </w:pPr>
      <w:bookmarkStart w:id="172" w:name="__RefHeading___Toc13099720_1280447820"/>
      <w:bookmarkStart w:id="173" w:name="_Toc66"/>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قُسّمت الدولة إلى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التغليبيّة؛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الإختياريّة أو الإنتخابيّة من قبل أعضاء المجتمع؛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الإنتصابيّة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عليه تتركّز دراستنا و مراجعتنا الآن، هي الحكومة الإختياريّة، إذ الحكومة الإنتصابيّة هي نفس ولاية الفقيه و وظيفة رئاسة المجتمع الّتي فوّضها أئمّة أهل البيت عليهم السلام إلى الفقيه الجامع لشرائط الزعامة؛ و سنفصّل الكلام حول هذه الدولة فيما يأتي من فصول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لاكلام لنا في الدولة التغليبيّة أيضاً، إذ ما هي إلّاغلبة الشديد القويّ على الضعيف الواهي و اقتداره و صولته عليه، و ليست دولةً واقعيّةً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حصيلة 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لمن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القاعدة لاريب في بطلانها و عدم جواز التمسّك بها في زعامة المجتمع و رئاستها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الجدير بالذكر انّ هذا القسم من الدولة هو الّتي شاع عند أهل السنّة و الجماعة طوال القرون، إذ لو لم تُقبل الحكومة الإنتصابيّة فأكثر مايكون من الدولات هي الدولة </w:t>
      </w:r>
      <w:bookmarkStart w:id="174" w:name="pg18987_179716"/>
    </w:p>
    <w:p>
      <w:pPr>
        <w:pStyle w:val="BookText"/>
        <w:rPr/>
      </w:pPr>
      <w:bookmarkEnd w:id="174"/>
      <w:r>
        <w:rPr>
          <w:rFonts w:ascii="Amiri" w:hAnsi="Amiri" w:eastAsia="Amiri" w:cs="Amiri"/>
          <w:color w:val="111111"/>
          <w:sz w:val="28"/>
          <w:sz w:val="28"/>
          <w:szCs w:val="28"/>
          <w:rtl w:val="true"/>
          <w:lang w:bidi="ar-SA"/>
        </w:rPr>
        <w:t>التغليبيّة؛ و هذا أمرٌ يشهد لصحّته صُراح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فنركّز البحث على الدولة الإختياريّة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الحكومة الإختياريّة</w:t>
      </w:r>
    </w:p>
    <w:p>
      <w:pPr>
        <w:pStyle w:val="BookText"/>
        <w:rPr/>
      </w:pPr>
      <w:r>
        <w:rPr>
          <w:rFonts w:ascii="Amiri" w:hAnsi="Amiri" w:eastAsia="Amiri" w:cs="Amiri"/>
          <w:color w:val="111111"/>
          <w:sz w:val="28"/>
          <w:sz w:val="28"/>
          <w:szCs w:val="28"/>
          <w:rtl w:val="true"/>
          <w:lang w:bidi="ar-SA"/>
        </w:rPr>
        <w:t xml:space="preserve">أشرنا فيما سبق إلى أنّ هذا القسم من أقسام الحكومة مع 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الإنتصابيّة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تمثّلا النوعين الرئيسيّين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مخالفوا الحكومة الإنتصابيّة يميلون إليها، بل يدافعون عنها و يعدّوها الطريق الوحيد للدولة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أنّنا لانقبل هذا القسم من الحكومة و لانخضع لها فعلينا أوّلاً أن نبيّن ما هي، ثمّ نبدي فحوصنا و انتقاداتنا حولها ليكون الطالب على بصيرةٍ من رأينا</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13099722_1280447820"/>
      <w:bookmarkStart w:id="176" w:name="_Toc67"/>
      <w:bookmarkEnd w:id="175"/>
      <w:r>
        <w:rPr>
          <w:rtl w:val="true"/>
        </w:rPr>
        <w:t>ما هي الحكومة الإختياريّة؟</w:t>
      </w:r>
      <w:bookmarkEnd w:id="176"/>
    </w:p>
    <w:p>
      <w:pPr>
        <w:pStyle w:val="Heading6"/>
        <w:numPr>
          <w:ilvl w:val="5"/>
          <w:numId w:val="1"/>
        </w:numPr>
        <w:rPr/>
      </w:pPr>
      <w:bookmarkStart w:id="177" w:name="__RefHeading___Toc13099724_1280447820"/>
      <w:bookmarkStart w:id="178" w:name="_Toc68"/>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 xml:space="preserve">للحكومة الإختياريّة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قامت على أساس الإنتخابات و الإختيارات العموميّة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تقريرات جاء بكلّ واحدٍ منها جمعٌ من مدافعيها؛ و 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مدافعي هذا القسم من الحكومة و الّذين خضعوا لها قد أبدوا ثلاثة آراء حول ماهيّة هذه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نفصّل الكلام حول هذه الآراء و البلاغات</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13099726_1280447820"/>
      <w:bookmarkStart w:id="180" w:name="_Toc69"/>
      <w:bookmarkEnd w:id="179"/>
      <w:r>
        <w:rPr>
          <w:rtl w:val="true"/>
        </w:rPr>
        <w:t>البيان أو البلاغ الأوّل</w:t>
      </w:r>
      <w:bookmarkEnd w:id="18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البيان قائمٌ على أساس الفصل بين الدين و الدولة، بمعنى انّ الناس و إن كانوا محتاجين إلى الدين ذوا الاقتضاء إليه و لكن يجب أن يُعلم أن لاارتباط بين الدين و الدولة؛ بل الدين أمرٌ يرتبط بحياة الإنسان في النشأة الأخرى، و هو الّذي يُريه طريق الفلاح و السعادة ليصل إلى كماله في تلك 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النشأة الحاضرة و الحياة المادّيّة و ما إليها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الدولة والتسنين و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فلايمكن أن يتكفّلها دينٌ و إن كان من الأديان </w:t>
      </w:r>
      <w:bookmarkStart w:id="181" w:name="pg18987_179717"/>
    </w:p>
    <w:p>
      <w:pPr>
        <w:pStyle w:val="BookText"/>
        <w:rPr/>
      </w:pPr>
      <w:bookmarkEnd w:id="181"/>
      <w:r>
        <w:rPr>
          <w:rFonts w:ascii="Amiri" w:hAnsi="Amiri" w:eastAsia="Amiri" w:cs="Amiri"/>
          <w:color w:val="111111"/>
          <w:sz w:val="28"/>
          <w:sz w:val="28"/>
          <w:szCs w:val="28"/>
          <w:rtl w:val="true"/>
          <w:lang w:bidi="ar-SA"/>
        </w:rPr>
        <w:t>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انّه لايمكن أن يُرجىٰ و يُنتظر من العلوم البشريّة غير المأخوذة من الأنبياء و الرسل أن تتكفّل سعادة الإنسان في نشأته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كما يعملون في تجاراتهم و استكشافهم الكرات المعلّقة في الجوّ على مقتضى عقولهم فعليهم أن يعملوا فيما يتعلّق بالدولة و الحكومة على مقتضاها من غير أن يحتاجون إلى الدين و الشريعة</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13099728_1280447820"/>
      <w:bookmarkStart w:id="183" w:name="_Toc70"/>
      <w:bookmarkEnd w:id="182"/>
      <w:r>
        <w:rPr>
          <w:rtl w:val="true"/>
        </w:rPr>
        <w:t>البيان أو البلاغ الثّاني</w:t>
      </w:r>
      <w:bookmarkEnd w:id="183"/>
    </w:p>
    <w:p>
      <w:pPr>
        <w:pStyle w:val="BookText"/>
        <w:rPr/>
      </w:pPr>
      <w:r>
        <w:rPr>
          <w:rFonts w:ascii="Amiri" w:hAnsi="Amiri" w:eastAsia="Amiri" w:cs="Amiri"/>
          <w:color w:val="111111"/>
          <w:sz w:val="28"/>
          <w:sz w:val="28"/>
          <w:szCs w:val="28"/>
          <w:rtl w:val="true"/>
          <w:lang w:bidi="ar-SA"/>
        </w:rPr>
        <w:t>هذا البيان ليس على مستوى البيان الأوّل في التصريح بالفصل بين الدين و الدولة، و لكنّه قائمٌ على أساس التفويض؛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فوّض إلى الناس ما يتعلّق بحياتهم الدنياويّة، و لادخل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نظرية الخلافة و اقتراحها الّتي إليها ذهب أهل السنّة و الجماعة طوال القرون هي نفس تلك البلاغ في صورةٍ توافق آراء المتديّنين، إذ بناءً على نظرية الخلافة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يعيّن أحداً للقيام برئاسة المجتمع، بل فوّض إلى الناس أن يختاروا والٍ يولّي أمرهم و يرشدهم إلى كمالهم في جميع ما يرتبط بحياتهم في النشأة الأولى</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13099730_1280447820"/>
      <w:bookmarkStart w:id="185" w:name="_Toc71"/>
      <w:bookmarkEnd w:id="184"/>
      <w:r>
        <w:rPr>
          <w:rtl w:val="true"/>
        </w:rPr>
        <w:t>البيان أو البلاغ الثّالث</w:t>
      </w:r>
      <w:bookmarkEnd w:id="185"/>
    </w:p>
    <w:p>
      <w:pPr>
        <w:pStyle w:val="BookText"/>
        <w:rPr/>
      </w:pPr>
      <w:r>
        <w:rPr>
          <w:rFonts w:ascii="Amiri" w:hAnsi="Amiri" w:eastAsia="Amiri" w:cs="Amiri"/>
          <w:color w:val="111111"/>
          <w:sz w:val="28"/>
          <w:sz w:val="28"/>
          <w:szCs w:val="28"/>
          <w:rtl w:val="true"/>
          <w:lang w:bidi="ar-SA"/>
        </w:rPr>
        <w:t>هذا البيان قائمٌ على أساس انّ لتشكّل الدولة مرحلتين و منزلين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مرحلة الإنشاء و درجته؛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مرحلة التنجّز و 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جعل الدولة و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مجعولةٌ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الجعل ليس إلّافي مرحلة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فعليّتها و تنجّزها فليس هي بجعل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مرحلة فعليّة الدولة ما تتمّ و لاتتكمّل إلّا </w:t>
      </w:r>
    </w:p>
    <w:p>
      <w:pPr>
        <w:pStyle w:val="BookText"/>
        <w:rPr/>
      </w:pPr>
      <w:r>
        <w:rPr>
          <w:rFonts w:ascii="Amiri" w:hAnsi="Amiri" w:eastAsia="Amiri" w:cs="Amiri"/>
          <w:color w:val="111111"/>
          <w:sz w:val="28"/>
          <w:sz w:val="28"/>
          <w:szCs w:val="28"/>
          <w:rtl w:val="true"/>
          <w:lang w:bidi="ar-SA"/>
        </w:rPr>
        <w:t>بالاختيارات و الإنتخابات العموميّة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مدافعوا 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أميرالمؤمنين عليه السلام حاكماً على مجتمع المسلمين و ولايته مجعولةٌ من قبله، و لكن يُشترط في فعليّتها أن يختاره الناس للقيام بأمر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والياً لايرتبط بالناس، و لكن وقوفه في مسند الأمارة موقوفٌ على 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نفسه يجري في رئيس المجتمع حالياً، إذ لو فرضنا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الفقيه حاكماً و وضعه في هذا المنصب لكن قيامه بأمر الأمارة موقوفٌ على اختيار الناس إيّاه، و ما لم ترفعه الاختيارات العموميّة إلى هذه المنزلة ليس له القيام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ثلاث تحريرات ذكرها مدافعوا هذا القسم من الدولة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 بعد بيان هذه التحريرات و الفراغ منه يجب علينا أن نذكر ما استدلّوا به لصحّة مذهبهم؛ ثمّ نبدي آراءنا حوله</w:t>
      </w:r>
      <w:r>
        <w:rPr>
          <w:rFonts w:eastAsia="Amiri" w:cs="Amiri" w:ascii="Amiri" w:hAnsi="Amiri"/>
          <w:color w:val="111111"/>
          <w:sz w:val="28"/>
          <w:szCs w:val="28"/>
          <w:rtl w:val="true"/>
          <w:lang w:bidi="ar-SA"/>
        </w:rPr>
        <w:t>.</w:t>
      </w:r>
      <w:bookmarkStart w:id="186" w:name="pg18987_179719"/>
    </w:p>
    <w:p>
      <w:pPr>
        <w:pStyle w:val="Heading5"/>
        <w:numPr>
          <w:ilvl w:val="4"/>
          <w:numId w:val="1"/>
        </w:numPr>
        <w:rPr/>
      </w:pPr>
      <w:bookmarkStart w:id="187" w:name="__RefHeading___Toc13099732_1280447820"/>
      <w:bookmarkStart w:id="188" w:name="_Toc72"/>
      <w:bookmarkEnd w:id="186"/>
      <w:bookmarkEnd w:id="187"/>
      <w:r>
        <w:rPr>
          <w:rtl w:val="true"/>
        </w:rPr>
        <w:t>الأدلّة الّتي استُدلّت بها على صحّة الدولة الإختياريّة</w:t>
      </w:r>
      <w:bookmarkEnd w:id="188"/>
    </w:p>
    <w:p>
      <w:pPr>
        <w:pStyle w:val="Heading6"/>
        <w:numPr>
          <w:ilvl w:val="5"/>
          <w:numId w:val="1"/>
        </w:numPr>
        <w:rPr/>
      </w:pPr>
      <w:bookmarkStart w:id="189" w:name="__RefHeading___Toc13099734_1280447820"/>
      <w:bookmarkStart w:id="190" w:name="_Toc73"/>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استدلّ الخاضعون للدولة الإختياريّة على صحّة مذهبهم بالأدلّة الأربعة الرائجة في فقه الشيعة الإماميّة؛ و هذا تفصيل كلامهم</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13099736_1280447820"/>
      <w:bookmarkStart w:id="192" w:name="_Toc74"/>
      <w:bookmarkEnd w:id="191"/>
      <w:r>
        <w:rPr/>
        <w:t>1</w:t>
      </w:r>
      <w:r>
        <w:rPr>
          <w:rtl w:val="true"/>
        </w:rPr>
        <w:t xml:space="preserve"> - </w:t>
      </w:r>
      <w:r>
        <w:rPr>
          <w:rtl w:val="true"/>
        </w:rPr>
        <w:t>القرآن الكريم</w:t>
      </w:r>
      <w:bookmarkEnd w:id="192"/>
    </w:p>
    <w:p>
      <w:pPr>
        <w:pStyle w:val="Heading6"/>
        <w:numPr>
          <w:ilvl w:val="5"/>
          <w:numId w:val="1"/>
        </w:numPr>
        <w:rPr/>
      </w:pPr>
      <w:bookmarkStart w:id="193" w:name="__RefHeading___Toc13099738_1280447820"/>
      <w:bookmarkStart w:id="194" w:name="_Toc75"/>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استدلّوا بأربعة أصناف من آيات القرآن الكريم</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13099740_1280447820"/>
      <w:bookmarkStart w:id="196" w:name="_Toc76"/>
      <w:bookmarkEnd w:id="195"/>
      <w:r>
        <w:rPr>
          <w:rtl w:val="true"/>
        </w:rPr>
        <w:t>الصنف الأوّل</w:t>
      </w:r>
      <w:r>
        <w:rPr>
          <w:rtl w:val="true"/>
        </w:rPr>
        <w:t xml:space="preserve">: </w:t>
      </w:r>
      <w:r>
        <w:rPr>
          <w:rtl w:val="true"/>
        </w:rPr>
        <w:t>آيات البيعة</w:t>
      </w:r>
      <w:bookmarkEnd w:id="196"/>
    </w:p>
    <w:p>
      <w:pPr>
        <w:pStyle w:val="Heading6"/>
        <w:numPr>
          <w:ilvl w:val="5"/>
          <w:numId w:val="1"/>
        </w:numPr>
        <w:rPr/>
      </w:pPr>
      <w:bookmarkStart w:id="197" w:name="__RefHeading___Toc13099742_1280447820"/>
      <w:bookmarkStart w:id="198" w:name="_Toc77"/>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و هذا الصنف يشتمل على آياتٍ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 أَثَابَهُمْ فَتْحاً قَرِيباً</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الْمُؤْمِنَاتُ يُبَايِعْنَكَ عَلَى أَنْ لَايُشْرِكْنَ بِاللَّهِ شَيْئاً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هذه الآيات المباركات تعلن أنّ بيعة الناس لها مدخلٌ تامٌّ في دولة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البيعة هي نفس ما يُطلق عليه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الإختيارات العموميّة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صار النبيّ صلى الله عليه و آله حاكماً و والياً إلّابعد ما اختاره الناس و جعلوه في هذه المنزلة</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13099744_1280447820"/>
      <w:bookmarkStart w:id="200" w:name="_Toc78"/>
      <w:bookmarkEnd w:id="199"/>
      <w:r>
        <w:rPr>
          <w:rtl w:val="true"/>
        </w:rPr>
        <w:t>و لنا فيه نظرٌ</w:t>
      </w:r>
      <w:r>
        <w:rPr>
          <w:rtl w:val="true"/>
        </w:rPr>
        <w:t>:</w:t>
      </w:r>
      <w:bookmarkEnd w:id="20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لادلالة فيها على ما ذهبوا إليه، بل هي تنفيه و تدلّ على خلافه، إذ تظهر من تلك </w:t>
      </w:r>
      <w:bookmarkStart w:id="201" w:name="pg18987_179720"/>
    </w:p>
    <w:p>
      <w:pPr>
        <w:pStyle w:val="BookText"/>
        <w:rPr/>
      </w:pPr>
      <w:bookmarkEnd w:id="201"/>
      <w:r>
        <w:rPr>
          <w:rFonts w:ascii="Amiri" w:hAnsi="Amiri" w:eastAsia="Amiri" w:cs="Amiri"/>
          <w:color w:val="111111"/>
          <w:sz w:val="28"/>
          <w:sz w:val="28"/>
          <w:szCs w:val="28"/>
          <w:rtl w:val="true"/>
          <w:lang w:bidi="ar-SA"/>
        </w:rPr>
        <w:t>الآيات أن لاارتباط بين بيعة الناس و بين حكم النبيّ صلى الله عليه و آله و حكومته، لأنّ بيعة الرضوان انعقدت في وقعة الحديبيّة في السنة السادسة من الهجرة</w:t>
      </w:r>
      <w:r>
        <w:rPr>
          <w:rStyle w:val="FootnoteAnchor"/>
          <w:rtl w:val="true"/>
        </w:rPr>
        <w:footnoteReference w:id="152"/>
      </w:r>
      <w:r>
        <w:rPr>
          <w:rFonts w:ascii="Amiri" w:hAnsi="Amiri" w:eastAsia="Amiri" w:cs="Amiri"/>
          <w:color w:val="111111"/>
          <w:sz w:val="28"/>
          <w:sz w:val="28"/>
          <w:szCs w:val="28"/>
          <w:rtl w:val="true"/>
          <w:lang w:bidi="ar-SA"/>
        </w:rPr>
        <w:t>، و كان النبيّ صلى الله عليه و آله يومئذٍ منذ ستّة سنوات قائماً على أمر الحكم و الدولة؛ فما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صيّرته والياً؟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بايعوا النبيّ صلى الله عليه و آله على اصطحابه و مرافقته ماكونوا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بيعة النساء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تدلّ على أن لادخل للبيعة في أمر الدولة</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13099746_1280447820"/>
      <w:bookmarkStart w:id="203" w:name="_Toc79"/>
      <w:bookmarkEnd w:id="202"/>
      <w:r>
        <w:rPr>
          <w:rtl w:val="true"/>
        </w:rPr>
        <w:t>الصنف الثّاني</w:t>
      </w:r>
      <w:r>
        <w:rPr>
          <w:rtl w:val="true"/>
        </w:rPr>
        <w:t xml:space="preserve">: </w:t>
      </w:r>
      <w:r>
        <w:rPr>
          <w:rtl w:val="true"/>
        </w:rPr>
        <w:t>آيات الشورىٰ‌</w:t>
      </w:r>
      <w:bookmarkEnd w:id="203"/>
    </w:p>
    <w:p>
      <w:pPr>
        <w:pStyle w:val="Heading6"/>
        <w:numPr>
          <w:ilvl w:val="5"/>
          <w:numId w:val="1"/>
        </w:numPr>
        <w:rPr/>
      </w:pPr>
      <w:bookmarkStart w:id="204" w:name="__RefHeading___Toc13099748_1280447820"/>
      <w:bookmarkStart w:id="205" w:name="_Toc80"/>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و هذا الصنف يشتمل على 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شَاوِرْهُمْ فِي الْأَمرِ فَإِذَا عَزَمتَ فَتَوَكَّلْ عَلَى اللَّهِ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أَمْرُهُمْ شُورَىٰ بَينَهُمْ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&lt;</w:t>
      </w:r>
      <w:r>
        <w:rPr>
          <w:rFonts w:eastAsia="Times New Roman" w:cs="Times New Roman" w:ascii="Times New Roman" w:hAnsi="Times New Roman"/>
          <w:color w:val="111111"/>
          <w:sz w:val="28"/>
          <w:szCs w:val="28"/>
          <w:lang w:val="en-US" w:bidi="en-US"/>
        </w:rPr>
        <w:t>a href="#ref-footnote4-page98" id="footnote4-page98" style="display:inline-block"&gt;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الأولى وردت بمعنى الحكومة، فالآية ناطقةٌ بأنّ الحكومة لاتستقيم إلّابالشورىٰ، فلاتستقرّ إلّاباختيار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الثّانية تدلّ على أنّ الحكم أمرٌ جُعِل على عاتق الناس، فاختيارهم تعيّنها لاانتصابه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13099750_1280447820"/>
      <w:bookmarkStart w:id="207" w:name="_Toc81"/>
      <w:bookmarkEnd w:id="206"/>
      <w:r>
        <w:rPr>
          <w:rtl w:val="true"/>
        </w:rPr>
        <w:t>و لنا فيه نظران</w:t>
      </w:r>
      <w:r>
        <w:rPr>
          <w:rtl w:val="true"/>
        </w:rPr>
        <w:t>:</w:t>
      </w:r>
      <w:bookmarkEnd w:id="20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ترد قطّ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بمعنى الحكومة؛ و جميع ما ورد من هذا </w:t>
      </w:r>
    </w:p>
    <w:p>
      <w:pPr>
        <w:pStyle w:val="BookText"/>
        <w:rPr/>
      </w:pPr>
      <w:r>
        <w:rPr>
          <w:rFonts w:ascii="Amiri" w:hAnsi="Amiri" w:eastAsia="Amiri" w:cs="Amiri"/>
          <w:color w:val="111111"/>
          <w:sz w:val="28"/>
          <w:sz w:val="28"/>
          <w:szCs w:val="28"/>
          <w:rtl w:val="true"/>
          <w:lang w:bidi="ar-SA"/>
        </w:rPr>
        <w:t>اللفظ فيه يدلّ على صحّة ما قلنا</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معلّقة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الكلام كلّه في أنّها لم ترد في القرآن الكريم بهذا المعنى، و الشاهد عليه قول المصنّفين في علم الوجوه، فانظر على سبيل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مفردات ألفاظ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لحبيش التفليسيّ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فعليهم أن يجيبوا لو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عنيتم بلفظ الأمرالحكومة؟، و لماذا ذهبتم إلى أنّ معناه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هذا القائل لم يسمع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فَتَوَكَّلْ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هذا الجزء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الجزء المتمّم لها و لايمكن تفسيرها مع غضّ النظر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يعلن انّ رأي الناس لادخل له في كيفيّة الأمر، بل الأمر موكولٌ إلى عزم النبيّ صلى الله عليه و آله و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فلادلالة في هذا الصنف أيضاً على مذهبهم؛ بل الآية الثّانية تخالفه بوضوحٍ‌</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الإية،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 لَو كُنتَ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يشهد لأنّ هذا أمرٌ استحبابيٌّ لا ارتباط بينه و بين أمر الحكم و الحكومة؛ قال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البكر تُستأمر، تطيّباً لقلبها لا انّه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بعض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النيشابوريّ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الكلبيّ و كثيرٌ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بها مخصوصٌ بالحرب، لأنّ اللام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للاستغراق، لخروج ما نزل فيه بالوحي بالاتّفاق، فهو إذن لمعهودٍ سابقٍ، و ليس ذلك إلّاما جرى من أمر الحرب في قصّة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غرائب القرآن و رغائب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أبوالسعود العماديّ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الحرب، إذ هو المعهود، أو فيه و في أمثاله ممّا تجري فيه المشاورة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أبي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جابر بن زيد و عكرمة و أبي نهيك و هي منسوبةٌ في بعض المصادر إلى سيّدنا جعفر بن محمّد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bookmarkStart w:id="208" w:name="pg18987_179722"/>
    </w:p>
    <w:p>
      <w:pPr>
        <w:pStyle w:val="Heading6"/>
        <w:numPr>
          <w:ilvl w:val="5"/>
          <w:numId w:val="1"/>
        </w:numPr>
        <w:rPr/>
      </w:pPr>
      <w:bookmarkStart w:id="209" w:name="__RefHeading___Toc13099752_1280447820"/>
      <w:bookmarkStart w:id="210" w:name="_Toc82"/>
      <w:bookmarkEnd w:id="208"/>
      <w:bookmarkEnd w:id="209"/>
      <w:r>
        <w:rPr>
          <w:rtl w:val="true"/>
        </w:rPr>
        <w:t>الصنف الثّالث</w:t>
      </w:r>
      <w:r>
        <w:rPr>
          <w:rtl w:val="true"/>
        </w:rPr>
        <w:t xml:space="preserve">: </w:t>
      </w:r>
      <w:r>
        <w:rPr>
          <w:rtl w:val="true"/>
        </w:rPr>
        <w:t>الآيات الّتي تبيّن منزلة الإنسان و مكانته</w:t>
      </w:r>
      <w:bookmarkEnd w:id="210"/>
    </w:p>
    <w:p>
      <w:pPr>
        <w:pStyle w:val="Heading6"/>
        <w:numPr>
          <w:ilvl w:val="5"/>
          <w:numId w:val="1"/>
        </w:numPr>
        <w:rPr/>
      </w:pPr>
      <w:bookmarkStart w:id="211" w:name="__RefHeading___Toc13099754_1280447820"/>
      <w:bookmarkStart w:id="212" w:name="_Toc83"/>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و هذا الصنف أيضاً يشتمل على 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تدلّان على أنّ الإنسان هو خليفة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و ما معنى للخلافة إلّاالمالكيّة و الإختيار البالغ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مختارون فيما يرجع إليهم، و منه الدولة و الحكومة و 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فوكّل اللّه أمر الحكم إلى الناس كما وكّل إليهم غيره من أمورهم</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13099756_1280447820"/>
      <w:bookmarkStart w:id="214" w:name="_Toc84"/>
      <w:bookmarkEnd w:id="213"/>
      <w:r>
        <w:rPr>
          <w:rtl w:val="true"/>
        </w:rPr>
        <w:t>و لنا فيه نظرٌ</w:t>
      </w:r>
      <w:r>
        <w:rPr>
          <w:rtl w:val="true"/>
        </w:rPr>
        <w:t>:</w:t>
      </w:r>
      <w:bookmarkEnd w:id="214"/>
    </w:p>
    <w:p>
      <w:pPr>
        <w:pStyle w:val="BookText"/>
        <w:rPr/>
      </w:pPr>
      <w:r>
        <w:rPr>
          <w:rFonts w:ascii="Amiri" w:hAnsi="Amiri" w:eastAsia="Amiri" w:cs="Amiri"/>
          <w:color w:val="111111"/>
          <w:sz w:val="28"/>
          <w:sz w:val="28"/>
          <w:szCs w:val="28"/>
          <w:rtl w:val="true"/>
          <w:lang w:bidi="ar-SA"/>
        </w:rPr>
        <w:t xml:space="preserve">إذ هاتان الآيتان و ما يشبههما من الآيات تدلّ على مرتبة الإنسان الروحانيّة، و تشير إلى أنّه هو الَمجلَى التامّ و المَظهَر الكامل لتجلّيه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ظهوره؛ فهو الُمجلِي و الظاهر و الإنسان الَمجلَى و المَظهَر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فيها بوجهٍ على أنّ الإنسان له الاختيار فيما يرجع إليه و يتعلّق به حتّى يُستدلّ بها على أنّ تعيين الوالي فُوّض إليهم حتّى يختاروه و يجعلوا أمرهم تحت يده</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13099758_1280447820"/>
      <w:bookmarkStart w:id="216" w:name="_Toc85"/>
      <w:bookmarkEnd w:id="215"/>
      <w:r>
        <w:rPr>
          <w:rtl w:val="true"/>
        </w:rPr>
        <w:t>الصنف الرّابع</w:t>
      </w:r>
      <w:r>
        <w:rPr>
          <w:rtl w:val="true"/>
        </w:rPr>
        <w:t xml:space="preserve">: </w:t>
      </w:r>
      <w:r>
        <w:rPr>
          <w:rtl w:val="true"/>
        </w:rPr>
        <w:t>الآيات الّتي خاطبت الناس فيما يرتبط بالمجتمع</w:t>
      </w:r>
      <w:bookmarkEnd w:id="216"/>
    </w:p>
    <w:p>
      <w:pPr>
        <w:pStyle w:val="Heading6"/>
        <w:numPr>
          <w:ilvl w:val="5"/>
          <w:numId w:val="1"/>
        </w:numPr>
        <w:rPr/>
      </w:pPr>
      <w:bookmarkStart w:id="217" w:name="__RefHeading___Toc13099760_1280447820"/>
      <w:bookmarkStart w:id="218" w:name="_Toc86"/>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و هذا الصنف يشتمل على ثلاثة آيات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159"/>
      </w:r>
      <w:bookmarkStart w:id="219" w:name="pg18987_179723"/>
    </w:p>
    <w:p>
      <w:pPr>
        <w:pStyle w:val="BookText"/>
        <w:rPr/>
      </w:pPr>
      <w:bookmarkEnd w:id="219"/>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وَ السَّارِقَةُ فَاقْطَعُوا أَيْدِيَهُمَا</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القرآن الكريم عموم الناس فيما يرجع إلى المجتمع و أموره،</w:t>
      </w:r>
    </w:p>
    <w:p>
      <w:pPr>
        <w:pStyle w:val="BookText"/>
        <w:rPr/>
      </w:pPr>
      <w:r>
        <w:rPr>
          <w:rFonts w:ascii="Amiri" w:hAnsi="Amiri" w:eastAsia="Amiri" w:cs="Amiri"/>
          <w:color w:val="111111"/>
          <w:sz w:val="28"/>
          <w:sz w:val="28"/>
          <w:szCs w:val="28"/>
          <w:rtl w:val="true"/>
          <w:lang w:bidi="ar-SA"/>
        </w:rPr>
        <w:t>فمن ناحيةٍ جميع الناس قد خوطبوا في تلك الآيات؛</w:t>
      </w:r>
    </w:p>
    <w:p>
      <w:pPr>
        <w:pStyle w:val="BookText"/>
        <w:rPr/>
      </w:pPr>
      <w:r>
        <w:rPr>
          <w:rFonts w:ascii="Amiri" w:hAnsi="Amiri" w:eastAsia="Amiri" w:cs="Amiri"/>
          <w:color w:val="111111"/>
          <w:sz w:val="28"/>
          <w:sz w:val="28"/>
          <w:szCs w:val="28"/>
          <w:rtl w:val="true"/>
          <w:lang w:bidi="ar-SA"/>
        </w:rPr>
        <w:t>و من ناحيةٍ أخرى لايمكن للجميع القيام بهذه الأمور، إذ لايمكن لآحاد الناس القيام بأمر إعداد القوّة و جلد الزاني و الزانية و قطع أيدي السارق و السارقة، إذ هذا القيام ينجرّ إلى الهَرَج و الإضطراب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فعليهم أن يختاروا حكومةً و والٍ ليولّى ما خوطبوا و أُمروا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الآيات تدلّ على أنّ أمر اختيار الحكومة و كيفيّتها مفوّضٌ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ساكني المجتمع</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13099762_1280447820"/>
      <w:bookmarkStart w:id="221" w:name="_Toc87"/>
      <w:bookmarkEnd w:id="220"/>
      <w:r>
        <w:rPr>
          <w:rtl w:val="true"/>
        </w:rPr>
        <w:t>و لنا فيه نظرٌ</w:t>
      </w:r>
      <w:r>
        <w:rPr>
          <w:rtl w:val="true"/>
        </w:rPr>
        <w:t>:</w:t>
      </w:r>
      <w:bookmarkEnd w:id="221"/>
    </w:p>
    <w:p>
      <w:pPr>
        <w:pStyle w:val="BookText"/>
        <w:rPr/>
      </w:pPr>
      <w:r>
        <w:rPr>
          <w:rFonts w:ascii="Amiri" w:hAnsi="Amiri" w:eastAsia="Amiri" w:cs="Amiri"/>
          <w:color w:val="111111"/>
          <w:sz w:val="28"/>
          <w:sz w:val="28"/>
          <w:szCs w:val="28"/>
          <w:rtl w:val="true"/>
          <w:lang w:bidi="ar-SA"/>
        </w:rPr>
        <w:t xml:space="preserve">إذ هذه الآيات نزلت لتبيّن وظائف الدولة الإسلاميّة، و قد خاطب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عموم الناس لأنّهم أيادي الدولة، و لايتمكّن الحكومة من أداء وظيفتها و نَفاذ ما فرض عليها إلّابمساعدةٍ و مظاهرةٍ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حيث خاطب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نبيّه صلى الله عليه و آله و الحال انّ الخطاب راجعٌ إلى عموم الناس</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فالقرآن الكريم تارةً يخاطب أهل المجتمع و يريد به رئيسه، و تارةً يخاطب رئيس المجتمع و يريد به أهاليه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هذا الخطاب ما أشرنا إليه من كون الناس أيادي الدولة</w:t>
      </w:r>
      <w:r>
        <w:rPr>
          <w:rFonts w:eastAsia="Amiri" w:cs="Amiri" w:ascii="Amiri" w:hAnsi="Amiri"/>
          <w:color w:val="111111"/>
          <w:sz w:val="28"/>
          <w:szCs w:val="28"/>
          <w:rtl w:val="true"/>
          <w:lang w:bidi="ar-SA"/>
        </w:rPr>
        <w:t xml:space="preserve">. </w:t>
      </w:r>
      <w:bookmarkStart w:id="222" w:name="pg18987_179724"/>
    </w:p>
    <w:p>
      <w:pPr>
        <w:pStyle w:val="Heading6"/>
        <w:numPr>
          <w:ilvl w:val="5"/>
          <w:numId w:val="1"/>
        </w:numPr>
        <w:rPr/>
      </w:pPr>
      <w:bookmarkStart w:id="223" w:name="__RefHeading___Toc13099764_1280447820"/>
      <w:bookmarkStart w:id="224" w:name="_Toc88"/>
      <w:bookmarkEnd w:id="222"/>
      <w:bookmarkEnd w:id="223"/>
      <w:r>
        <w:rPr/>
        <w:t>2</w:t>
      </w:r>
      <w:r>
        <w:rPr>
          <w:rtl w:val="true"/>
        </w:rPr>
        <w:t xml:space="preserve"> - </w:t>
      </w:r>
      <w:r>
        <w:rPr>
          <w:rtl w:val="true"/>
        </w:rPr>
        <w:t>السنّة الشريفة</w:t>
      </w:r>
      <w:bookmarkEnd w:id="224"/>
    </w:p>
    <w:p>
      <w:pPr>
        <w:pStyle w:val="Heading6"/>
        <w:numPr>
          <w:ilvl w:val="5"/>
          <w:numId w:val="1"/>
        </w:numPr>
        <w:rPr/>
      </w:pPr>
      <w:bookmarkStart w:id="225" w:name="__RefHeading___Toc13099766_1280447820"/>
      <w:bookmarkStart w:id="226" w:name="_Toc89"/>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أشرنا فيما سبق إلى أنّ الّذين خضعوا للدولة الإختياريّة و اختاروها تمسّكوا لصحّتها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بعد الفراغ من بيان استدلالهم بالآيات المباركات و إبداء ما لنا من الأنظار حوله، نبيّن ما استدلّوا به من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استدلّوا بالرسالة السادسة من رسائل نهج البلاغة، و ذهبوا إلى أنّها تشهد بأنّ أميرالمؤمنين عليه السلام كان يرى دولته قائمةً على أساس اختيار الناس، لا على أساس الإنتصاب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نصّ الرسالة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بايعني القوم الّذين بايعوا أبابكرٍ و عمر و عثمان على ما بايعوهم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للشاهد أن يختار و لاللغائب أن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الشورىٰ للمهاجرين و الأنصار، فإن اجتمعوا على رجلٍ و سمّوه إماماً كان ذلك لله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عن أمرهم خارجٌ بطعنٍ أو بدعةٍ رُدّوه إلى ما خرج منه، فإن أبىٰ قاتلوه على اتّباعه غير سبيل المؤمنين و ولّاه اللّه ما تولّى</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يلوح من هذه الرسالة الشريفة، انّ أميرالمؤمنين عليه السلام حينما أراد أن يستدلّ على قانونيّة ولايته و شرعيّتها، تمسّك بآراء الناس و اختيارهم إيّاه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اجتمعوا على رجلٍ و سمّوه إماماً كان ذلك للّه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فوّض إلى الناس أمر اختيار الوالي و انتخابه؛ فكان أميرالمؤمنين عليه السلام قائلاً بالدولة الاختياريّة الّتي اختارها الناس و جعلوها في تلك المكانة </w:t>
      </w:r>
      <w:bookmarkStart w:id="227" w:name="pg18987_179725"/>
    </w:p>
    <w:p>
      <w:pPr>
        <w:pStyle w:val="BookText"/>
        <w:rPr/>
      </w:pPr>
      <w:bookmarkEnd w:id="227"/>
      <w:r>
        <w:rPr>
          <w:rFonts w:ascii="Amiri" w:hAnsi="Amiri" w:eastAsia="Amiri" w:cs="Amiri"/>
          <w:color w:val="111111"/>
          <w:sz w:val="28"/>
          <w:sz w:val="28"/>
          <w:szCs w:val="28"/>
          <w:rtl w:val="true"/>
          <w:lang w:bidi="ar-SA"/>
        </w:rPr>
        <w:t xml:space="preserve">الرفيعة، لا بالدولة الإنتصابيّة المنصوبة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8" w:name="__RefHeading___Toc13099768_1280447820"/>
      <w:bookmarkStart w:id="229" w:name="_Toc90"/>
      <w:bookmarkEnd w:id="228"/>
      <w:r>
        <w:rPr>
          <w:rtl w:val="true"/>
        </w:rPr>
        <w:t>و لنا فيه نظران</w:t>
      </w:r>
      <w:bookmarkEnd w:id="229"/>
    </w:p>
    <w:p>
      <w:pPr>
        <w:pStyle w:val="BookText"/>
        <w:rPr/>
      </w:pPr>
      <w:r>
        <w:rPr>
          <w:rFonts w:ascii="Amiri" w:hAnsi="Amiri" w:eastAsia="Amiri" w:cs="Amiri"/>
          <w:color w:val="111111"/>
          <w:sz w:val="28"/>
          <w:sz w:val="28"/>
          <w:szCs w:val="28"/>
          <w:rtl w:val="true"/>
          <w:lang w:bidi="ar-SA"/>
        </w:rPr>
        <w:t>بهما يتمّ المطلوب من بيان ضعف قولهم هذا؛</w:t>
      </w:r>
    </w:p>
    <w:p>
      <w:pPr>
        <w:pStyle w:val="BookText"/>
        <w:rPr/>
      </w:pPr>
      <w:r>
        <w:rPr>
          <w:rFonts w:ascii="Amiri" w:hAnsi="Amiri" w:eastAsia="Amiri" w:cs="Amiri"/>
          <w:color w:val="111111"/>
          <w:sz w:val="28"/>
          <w:sz w:val="28"/>
          <w:szCs w:val="28"/>
          <w:rtl w:val="true"/>
          <w:lang w:bidi="ar-SA"/>
        </w:rPr>
        <w:t>النظر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الرسالة تدلّ على أنّ أبابكرٍ و عمر قاما في مقام الخلافة و رئاسة المجتمع باختيار الناس و انتخابهم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الواضح الّذي لايُشكّ فيه انّ حاضري السقيفة و منتخِبي أبي بكرٍ لم يبلغ عددهم حدّ الأصابع</w:t>
      </w:r>
      <w:r>
        <w:rPr>
          <w:rStyle w:val="FootnoteAnchor"/>
          <w:rtl w:val="true"/>
        </w:rPr>
        <w:footnoteReference w:id="166"/>
      </w:r>
      <w:r>
        <w:rPr>
          <w:rFonts w:ascii="Amiri" w:hAnsi="Amiri" w:eastAsia="Amiri" w:cs="Amiri"/>
          <w:color w:val="111111"/>
          <w:sz w:val="28"/>
          <w:sz w:val="28"/>
          <w:szCs w:val="28"/>
          <w:rtl w:val="true"/>
          <w:lang w:bidi="ar-SA"/>
        </w:rPr>
        <w:t>و عمر أيضاً ما نال هذا المقام إلّاباستخلافه أبوبكرٍ</w:t>
      </w:r>
      <w:r>
        <w:rPr>
          <w:rStyle w:val="FootnoteAnchor"/>
          <w:rtl w:val="true"/>
        </w:rPr>
        <w:footnoteReference w:id="167"/>
      </w:r>
      <w:r>
        <w:rPr>
          <w:rFonts w:ascii="Amiri" w:hAnsi="Amiri" w:eastAsia="Amiri" w:cs="Amiri"/>
          <w:color w:val="111111"/>
          <w:sz w:val="28"/>
          <w:sz w:val="28"/>
          <w:szCs w:val="28"/>
          <w:rtl w:val="true"/>
          <w:lang w:bidi="ar-SA"/>
        </w:rPr>
        <w:t>، فرئاستهما ما كانت باختيار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هذه الرسالة يدلّ على أنّ أميرالمؤمنين عليه السلام كان خاضعاً لخلافة الشيخين، على أنّ خلافتهما و خلافة من ثلّثهما ما كانت إلّامخالفةً لصريح الحقّ الواضح الّذي جاء به النبيّ صلى الله عليه و آله في وقعة الغدير على رؤوس الأشهاد، و في وقائع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المجمع عليه بين الإماميّة و من الثابت في أصولهم الكلاميّة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عدم جواز الإعتماد على ظهور ألفاظ الرسالة، إذ لامعنى للقول بأنّ أميرالمؤمنين عليه السلام قد أمضى خلافة الثلاثة في هذه الرسالة و حكم بصحّتها؛ بل الّذي لاريب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بينها و بين غيرها من كلماته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الرسالة ما كانت إلّامطابقةً لمباني مدرسة الخلفاء الكلاميّة، فاستفاد أميرالمؤمنين عليه السلام من هذه المباني للإحتجاج على معاوية الّذي كان من مدافعي تلك المدرسة من ناحيةٍ، و من مخالفي أميرالمؤمنين عليه السلام و منكري خلافته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فالحاكم على الرسالة هي المجادلة مع الخصم بما يُسكته، لاتبيين آرائه عليه السلام في أمر الخلافة و رئاسة المجتمع</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فلاظهور لهذه الرسالة على ما استفادوا منها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عليه السلام خطب و رسائل يعلن فيها آراءه و يبدي أنظاره حول خلافة من استخلف قبله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الخطب هي الحجّة في الباب، لا الرسالة الّتي خاطب بها أميرالمؤمنين عليه السلام أشدّ أعدائه و منكريه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الخطب الخطبة الشقشقيّة، و لابأس بنا لو زيّنا و وشّحنا هذه الدراسات بذكرها، لأنّ دلالتها على ما قلنا 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السيّد السنّد الرضيّ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تقمّصها فلانٌ و إنَّه ليعلم أنَّ محلّي منها محلّ القطب من الرَحا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ينحدر عنّي السيل و لايرقىٰ إليَّ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فسدلت دونها ثوباً، و طويت عنها كشحاًو طفقت أَرتَئِي بين أن أَصُولَ بيدٍ جذّاء، أو أصبر على طَخْيَةٍ عَمياء، يَهرَم فيها الكبير و يشيب فيها الصغير، و يكدح فيها مؤمنٌ حتّى يلقى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الصبر على هاتا أحجىٰ، فصبرت و في العين قذىٰ و في الحلق شجاً، أرى تراثي نهْباً حتّى مضى الأوّل لسبيله، فأدلىٰ بها إلى فلانٍ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بقول الأعشىٰ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حَيَّانَ أَخِي جَابِرِ </w:t>
      </w:r>
    </w:p>
    <w:p>
      <w:p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هو يستقيلها في حياته إذ عقدها لآخر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تَشَطَّرَا ضَرعَيهَا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فصيّرها في حوزةٍ خشناء يغلُظُ كَلْمُهَا و يخشُن مسُّها و يكثر العِثار فيها و الإعتذار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فصاحبها كراكب الصعبة إن أشنق لها خرم، و إن أسلس لها 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بخبطٍ و شماسٍ و تلوّنٍ و 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على طول المدّة و شدّة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مضىٰ لسبيله جعلها في جماعةٍ زعم أنّي أحدهم، فيا لَلّه و يا لِلشورى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متى اعترض الريب فيَّ مع الأوّل منهم حتّى صرت أُقرَنُ إلى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أسففت إذا أسفُّوا و طرت إذ طاروا، فصغا رجلٌ منهم لِضِغنِهِ و مال الآخرُ لصِهرِه مع هنٍ و 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قام ثالث القوم نافجاً حِضنَيه بين نَثِيلِه و مُعتَلَفِه، و قام معه بَنُو أبيِه يَخضَمُونَ مالَ اللّهِ خِضمةَ الإِبل نِبتةَ الربيعِ، إلى أن انتكث عليه فَتلُهُ، و أجهَزَ عليه عملُه و كَبَتْ به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 إلّاو الناس إليَّ كعُرْفِ الضَّبُع يَنثَالونَ عليَّ مِن كلّ جانِبٍ حتّى لقَد وُطِىءَ الحسنانِ وَ شُقَّ عِطفايَ، مجتمعين حولِي كرَبِيضة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نَهضتُ بِالأمرِ نَكثَت طائفةٌ و مَرقت أخرىٰ و فسق آخرون، كأنّهم لم يسمعوا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لَايُرِيدُونَ عُلُوّاً فِي الْأَرضِ وَ لَافَسَاداً وَ الْعَاقِبَةُ لِلْمُتَّقِينَ</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سمِعوها و وعوها، و لكنّهم حَلِيَتِ الدُّنيا في أعينهم و راقَهُم زِبرِجُهَا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 الّذي فلق الحبّة و برأ النَّسَمَة لولا حضورُ الحاضرِ و قيامُ الحجّةِ بوجودِ النَّاصرِ و ما أخذَ اللّهُ عَلَى العلماءِ أَلَّا يُقَارُّوا على كِظَّة ظالمٍ و لاسَغَبِ مظلومٍ، لأَلقيتُ حَبلَها علَى غارِبِها وَ لَسقَيتُ آخِرَهَا بكأسِ أوّلها، و لأَلفَيتم دنيَاكُم </w:t>
      </w:r>
      <w:bookmarkStart w:id="230" w:name="pg18987_179728"/>
    </w:p>
    <w:p>
      <w:pPr>
        <w:pStyle w:val="BookText"/>
        <w:rPr/>
      </w:pPr>
      <w:bookmarkEnd w:id="230"/>
      <w:r>
        <w:rPr>
          <w:rFonts w:ascii="Amiri" w:hAnsi="Amiri" w:eastAsia="Amiri" w:cs="Amiri"/>
          <w:color w:val="111111"/>
          <w:sz w:val="28"/>
          <w:sz w:val="28"/>
          <w:szCs w:val="28"/>
          <w:rtl w:val="true"/>
          <w:lang w:bidi="ar-SA"/>
        </w:rPr>
        <w:t>هذه أزهدَ عندِي مِن عَفطَة عَنزٍ</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1" w:name="__RefHeading___Toc13099770_1280447820"/>
      <w:bookmarkStart w:id="232" w:name="_Toc91"/>
      <w:bookmarkEnd w:id="231"/>
      <w:r>
        <w:rPr/>
        <w:t>3</w:t>
      </w:r>
      <w:r>
        <w:rPr>
          <w:rtl w:val="true"/>
        </w:rPr>
        <w:t xml:space="preserve"> - </w:t>
      </w:r>
      <w:r>
        <w:rPr>
          <w:rtl w:val="true"/>
        </w:rPr>
        <w:t>العقل</w:t>
      </w:r>
      <w:bookmarkEnd w:id="232"/>
    </w:p>
    <w:p>
      <w:pPr>
        <w:pStyle w:val="Heading6"/>
        <w:numPr>
          <w:ilvl w:val="5"/>
          <w:numId w:val="1"/>
        </w:numPr>
        <w:rPr/>
      </w:pPr>
      <w:bookmarkStart w:id="233" w:name="__RefHeading___Toc13099772_1280447820"/>
      <w:bookmarkStart w:id="234" w:name="_Toc92"/>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قد تُمسّك لصحّة الدولة الاختياريّة بالعقل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مدافعي هذا القسم من الحكومة و مناضليه ذهبوا إلى انّ العقل بقسميه النظريّ و العمليّ يدلّ على صحّة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أوّلاً كيفيّة تمسّكهم بالقسمين و استدلالهم بهما، ثمّ نذكر ما يختلج بالبال حوله</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13099774_1280447820"/>
      <w:bookmarkStart w:id="236" w:name="_Toc93"/>
      <w:bookmarkEnd w:id="235"/>
      <w:r>
        <w:rPr>
          <w:rtl w:val="true"/>
        </w:rPr>
        <w:t>بيان كيفيّة الاستدلال بالعقل النظريّ‌</w:t>
      </w:r>
      <w:bookmarkEnd w:id="23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النظريّ‌</w:t>
      </w:r>
      <w:r>
        <w:rPr>
          <w:rStyle w:val="FootnoteAnchor"/>
          <w:rtl w:val="true"/>
        </w:rPr>
        <w:footnoteReference w:id="172"/>
      </w:r>
      <w:r>
        <w:rPr>
          <w:rFonts w:ascii="Amiri" w:hAnsi="Amiri" w:eastAsia="Amiri" w:cs="Amiri"/>
          <w:color w:val="111111"/>
          <w:sz w:val="28"/>
          <w:sz w:val="28"/>
          <w:szCs w:val="28"/>
          <w:rtl w:val="true"/>
          <w:lang w:bidi="ar-SA"/>
        </w:rPr>
        <w:t>يدلّ على صحّة الدولة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لاريب في أنّ أمر المجتمع من غير وجود الدولة و الحكومة ينجرّ إلى الهَرَج و الإضطراب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لايستقيم أمر المجتمع بدونها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الواجب على أهل المجتمع أن يمنعوا و يردعوا من فساده و اضطرابه؛ فيجب بحكم العقل أن يختاروا والياً لينتظم أمرهم و ينهى مجتمعهم عن الزوال و الدثور</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13099776_1280447820"/>
      <w:bookmarkStart w:id="238" w:name="_Toc94"/>
      <w:bookmarkEnd w:id="237"/>
      <w:r>
        <w:rPr>
          <w:rtl w:val="true"/>
        </w:rPr>
        <w:t>بيان كيفيّة الاستدلال بالعقل العمليّ‌</w:t>
      </w:r>
      <w:bookmarkEnd w:id="23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العمليّ‌</w:t>
      </w:r>
      <w:r>
        <w:rPr>
          <w:rStyle w:val="FootnoteAnchor"/>
          <w:rtl w:val="true"/>
        </w:rPr>
        <w:footnoteReference w:id="173"/>
      </w:r>
      <w:r>
        <w:rPr>
          <w:rFonts w:ascii="Amiri" w:hAnsi="Amiri" w:eastAsia="Amiri" w:cs="Amiri"/>
          <w:color w:val="111111"/>
          <w:sz w:val="28"/>
          <w:sz w:val="28"/>
          <w:szCs w:val="28"/>
          <w:rtl w:val="true"/>
          <w:lang w:bidi="ar-SA"/>
        </w:rPr>
        <w:t>أيضاً يدلّ على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تسلّط الناس على أموالهم و أنفسهم قضت بولاية الناس على ما يتعلّق بهم من الأموال و الأنفس، ثمّ حكمت </w:t>
      </w:r>
      <w:bookmarkStart w:id="239" w:name="pg18987_179729"/>
    </w:p>
    <w:p>
      <w:pPr>
        <w:pStyle w:val="BookText"/>
        <w:rPr/>
      </w:pPr>
      <w:bookmarkEnd w:id="239"/>
      <w:r>
        <w:rPr>
          <w:rFonts w:ascii="Amiri" w:hAnsi="Amiri" w:eastAsia="Amiri" w:cs="Amiri"/>
          <w:color w:val="111111"/>
          <w:sz w:val="28"/>
          <w:sz w:val="28"/>
          <w:szCs w:val="28"/>
          <w:rtl w:val="true"/>
          <w:lang w:bidi="ar-SA"/>
        </w:rPr>
        <w:t>بأنّ لهم أن يختاروا مَن يحفظ ما يرتبط بهم؛ و هو الّذي يسمّى الحاكم و الوالي؛ فالحاكم وكيلٌ من قبلهم في حفظ الأموال و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العقل العمليّ بوجوب اختيار الناس مَن يكون وكيلاً من قبلهم في المحافظة عن أموالهم و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فالولاية مختارةٌ من قبلهم؛ و هذا معنى صحّة الدولة الاختياريّة بحكم العقل العمليّ</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13099778_1280447820"/>
      <w:bookmarkStart w:id="241" w:name="_Toc95"/>
      <w:bookmarkEnd w:id="240"/>
      <w:r>
        <w:rPr>
          <w:rtl w:val="true"/>
        </w:rPr>
        <w:t>و لنا في التقريرين أنظار،</w:t>
      </w:r>
      <w:bookmarkEnd w:id="241"/>
    </w:p>
    <w:p>
      <w:pPr>
        <w:pStyle w:val="BookText"/>
        <w:rPr/>
      </w:pPr>
      <w:r>
        <w:rPr>
          <w:rFonts w:ascii="Amiri" w:hAnsi="Amiri" w:eastAsia="Amiri" w:cs="Amiri"/>
          <w:color w:val="111111"/>
          <w:sz w:val="28"/>
          <w:sz w:val="28"/>
          <w:szCs w:val="28"/>
          <w:rtl w:val="true"/>
          <w:lang w:bidi="ar-SA"/>
        </w:rPr>
        <w:t>إذ كلاهما قابلٌ للردّ و النقد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هذين التقريرين وجوب إقامة الدولة يكون من الأحكام الثانويّة،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 إقامتها إلّاصيانةً للمجتمع عن الدثور و الإضمحلال؛ و لكن على مذهب الدولة الإنتصابيّة فانّ إقامة الحكم من الأحكام الأوّليّة،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من الولاية إلى مَن له هذه المكانة، و ليس هذا من الأحكام الثانويّة في شيءٍ؛ و شتّان ما بين الرأيين من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الدليلين لايطابق مدّعاهما، بل هما أخصّ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في أنّ العقل بقسميه النظريّ و العمليّ يحكم بوجوب إقامة الحكم في كلّ مجتمعٍ، إذ هي من ضروريّات و جِهاز حياة الإنسان الجماعيّة؛ هذا ممّا لاريب فيه و لاشكّ يعتريه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 الكلام في أنّ العقلين لايحكمان بأزيد من هذا، فلايحكمان بوجوب كون الحكم اختياريّاً و الدولة انتخابيّةً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يحكمان بضرورة إقامة الحكم، أمّا كيفيّة هذا الحكم و وجوب إقامته من قبل الناس فلادلالة فيهما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فالدليل أخصّ من المدّعى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لوفرضنا انّ للعقل هذه الدلالة فلايمكننا الإعتماد عليها أيضاً، إذ هذا </w:t>
      </w:r>
      <w:bookmarkStart w:id="242" w:name="pg18987_179730"/>
    </w:p>
    <w:p>
      <w:pPr>
        <w:pStyle w:val="BookText"/>
        <w:rPr/>
      </w:pPr>
      <w:bookmarkEnd w:id="242"/>
      <w:r>
        <w:rPr>
          <w:rFonts w:ascii="Amiri" w:hAnsi="Amiri" w:eastAsia="Amiri" w:cs="Amiri"/>
          <w:color w:val="111111"/>
          <w:sz w:val="28"/>
          <w:sz w:val="28"/>
          <w:szCs w:val="28"/>
          <w:rtl w:val="true"/>
          <w:lang w:bidi="ar-SA"/>
        </w:rPr>
        <w:t xml:space="preserve">الدليل مخصَّصٌ بما ورد في الذكر الحكيم،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هُوَ الوَلِيُّ</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يُخصَّص به؛ فلاإطلاق فيه</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13099780_1280447820"/>
      <w:bookmarkStart w:id="244" w:name="_Toc96"/>
      <w:bookmarkEnd w:id="243"/>
      <w:r>
        <w:rPr/>
        <w:t>4</w:t>
      </w:r>
      <w:r>
        <w:rPr>
          <w:rtl w:val="true"/>
        </w:rPr>
        <w:t xml:space="preserve"> - </w:t>
      </w:r>
      <w:r>
        <w:rPr>
          <w:rtl w:val="true"/>
        </w:rPr>
        <w:t>الإجماع</w:t>
      </w:r>
      <w:bookmarkEnd w:id="244"/>
    </w:p>
    <w:p>
      <w:pPr>
        <w:pStyle w:val="Heading6"/>
        <w:numPr>
          <w:ilvl w:val="5"/>
          <w:numId w:val="1"/>
        </w:numPr>
        <w:rPr/>
      </w:pPr>
      <w:bookmarkStart w:id="245" w:name="__RefHeading___Toc13099782_1280447820"/>
      <w:bookmarkStart w:id="246" w:name="_Toc97"/>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 xml:space="preserve">تمسّك المدافعون عن الحكومة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دفاعاً عمّا ذهبوا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بسيرة العقلاء، إذ لم يجدوا المسلمين مجمِعين على رأيهم فتمسّكوا بسيرة العقلاء بدلاً عن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السيرة المستمرّة تدلّ على اختيار الناس أميراً للأمارة</w:t>
      </w:r>
    </w:p>
    <w:p>
      <w:pPr>
        <w:pStyle w:val="Heading6"/>
        <w:numPr>
          <w:ilvl w:val="5"/>
          <w:numId w:val="1"/>
        </w:numPr>
        <w:rPr/>
      </w:pPr>
      <w:bookmarkStart w:id="247" w:name="__RefHeading___Toc13099784_1280447820"/>
      <w:bookmarkStart w:id="248" w:name="_Toc98"/>
      <w:bookmarkEnd w:id="247"/>
      <w:r>
        <w:rPr>
          <w:rtl w:val="true"/>
        </w:rPr>
        <w:t>و لنا فيه نظرٌ</w:t>
      </w:r>
      <w:r>
        <w:rPr>
          <w:rtl w:val="true"/>
        </w:rPr>
        <w:t>:</w:t>
      </w:r>
      <w:bookmarkEnd w:id="248"/>
    </w:p>
    <w:p>
      <w:pPr>
        <w:pStyle w:val="BookText"/>
        <w:rPr/>
      </w:pPr>
      <w:r>
        <w:rPr>
          <w:rFonts w:ascii="Amiri" w:hAnsi="Amiri" w:eastAsia="Amiri" w:cs="Amiri"/>
          <w:color w:val="111111"/>
          <w:sz w:val="28"/>
          <w:sz w:val="28"/>
          <w:szCs w:val="28"/>
          <w:rtl w:val="true"/>
          <w:lang w:bidi="ar-SA"/>
        </w:rPr>
        <w:t>إذ هذا العرْض يقوم على أساس تحريف السيرة المعصوميّة، بل على الخلاف و التضادّ الظاهر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فسيرة أميرالمؤمنين عليه السلام قبال الخلفاء و سيرة سيّدنا المجتبى عليه السلام قبال معاوية و سيرة سيّدالشهداء عليه السلام قبال يزيد و ما روي عن غيرهم من أهل بيت العصمة و الطهارة عليهم السلام يدلّ على عدم خضوعهم للدولة الاختياريّة؛ فيدلّ على مخالفتهم لهذه السيرة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السيرة المدّعاة بمكانٍ من البطلان، فالصفح عن الكلام حولها أولىٰ من التفوّه بها و جرحها و تضييفها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جميع ما تمسّك به مدافعوا الدولة الانتخابيّة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رأينا أنّهم تمسّكوا بالأدلة الأربعة؛ و بما أبدينا حولها ظهر بطلان ما استدلّوا به و عدم جواز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الأطروحة </w:t>
      </w:r>
      <w:bookmarkStart w:id="249" w:name="pg18987_179731"/>
    </w:p>
    <w:p>
      <w:pPr>
        <w:pStyle w:val="BookText"/>
        <w:rPr/>
      </w:pPr>
      <w:bookmarkEnd w:id="249"/>
      <w:r>
        <w:rPr>
          <w:rFonts w:ascii="Amiri" w:hAnsi="Amiri" w:eastAsia="Amiri" w:cs="Amiri"/>
          <w:color w:val="111111"/>
          <w:sz w:val="28"/>
          <w:sz w:val="28"/>
          <w:szCs w:val="28"/>
          <w:rtl w:val="true"/>
          <w:lang w:bidi="ar-SA"/>
        </w:rPr>
        <w:t>ليست عندنا بشيءٍ، بل ضعفها و سَخَافتها لايحتاج إلى مزيدٍ من البيان</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13099786_1280447820"/>
      <w:bookmarkStart w:id="251" w:name="_Toc99"/>
      <w:bookmarkEnd w:id="250"/>
      <w:r>
        <w:rPr>
          <w:rtl w:val="true"/>
        </w:rPr>
        <w:t>اشكالاتٌ على نظريّة الدّولة الإختياريّة</w:t>
      </w:r>
      <w:bookmarkEnd w:id="251"/>
    </w:p>
    <w:p>
      <w:pPr>
        <w:pStyle w:val="Heading6"/>
        <w:numPr>
          <w:ilvl w:val="5"/>
          <w:numId w:val="1"/>
        </w:numPr>
        <w:rPr/>
      </w:pPr>
      <w:bookmarkStart w:id="252" w:name="__RefHeading___Toc13099788_1280447820"/>
      <w:bookmarkStart w:id="253" w:name="_Toc100"/>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 xml:space="preserve">إضافةً على ذلك لنا إثنىٰ عشر نظراً بل إشكالاً في هذه النظريّة و الأطروحة، و لوثبتت الإشكالات و وقعت موقع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فلايمكن الدفاع عن هذه النظريّة، بل يجب الإنصراف عنها و الذهاب إلى ما يقابلها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نأتي بهذه الإشكالات مع مراعاة الإختصار حذراً عن التطويل</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13099790_1280447820"/>
      <w:bookmarkStart w:id="255" w:name="_Toc101"/>
      <w:bookmarkEnd w:id="254"/>
      <w:r>
        <w:rPr/>
        <w:t>1</w:t>
      </w:r>
      <w:r>
        <w:rPr>
          <w:rtl w:val="true"/>
        </w:rPr>
        <w:t xml:space="preserve"> - </w:t>
      </w:r>
      <w:r>
        <w:rPr>
          <w:rtl w:val="true"/>
        </w:rPr>
        <w:t>الإشكال الأوّل</w:t>
      </w:r>
      <w:r>
        <w:rPr>
          <w:rtl w:val="true"/>
        </w:rPr>
        <w:t>:</w:t>
      </w:r>
      <w:bookmarkEnd w:id="255"/>
    </w:p>
    <w:p>
      <w:pPr>
        <w:pStyle w:val="BookText"/>
        <w:rPr/>
      </w:pPr>
      <w:r>
        <w:rPr>
          <w:rFonts w:ascii="Amiri" w:hAnsi="Amiri" w:eastAsia="Amiri" w:cs="Amiri"/>
          <w:color w:val="111111"/>
          <w:sz w:val="28"/>
          <w:sz w:val="28"/>
          <w:szCs w:val="28"/>
          <w:rtl w:val="true"/>
          <w:lang w:bidi="ar-SA"/>
        </w:rPr>
        <w:t>القول بالدولة الاختياريّة يساوي نفيها، لأنّه لم توجد دولةٌ يختارها جميع الناس، بل في كلّ حكومةٍ مَن يرفضها و لم يقبلها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فالدولة الاختياريّة لم تتحقّق بعدُ</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13099792_1280447820"/>
      <w:bookmarkStart w:id="257" w:name="_Toc102"/>
      <w:bookmarkEnd w:id="256"/>
      <w:r>
        <w:rPr/>
        <w:t>2</w:t>
      </w:r>
      <w:r>
        <w:rPr>
          <w:rtl w:val="true"/>
        </w:rPr>
        <w:t xml:space="preserve"> - </w:t>
      </w:r>
      <w:r>
        <w:rPr>
          <w:rtl w:val="true"/>
        </w:rPr>
        <w:t>الإشكال الثّاني</w:t>
      </w:r>
      <w:r>
        <w:rPr>
          <w:rtl w:val="true"/>
        </w:rPr>
        <w:t>:</w:t>
      </w:r>
      <w:bookmarkEnd w:id="257"/>
    </w:p>
    <w:p>
      <w:pPr>
        <w:pStyle w:val="BookText"/>
        <w:rPr/>
      </w:pPr>
      <w:r>
        <w:rPr>
          <w:rFonts w:ascii="Amiri" w:hAnsi="Amiri" w:eastAsia="Amiri" w:cs="Amiri"/>
          <w:color w:val="111111"/>
          <w:sz w:val="28"/>
          <w:sz w:val="28"/>
          <w:szCs w:val="28"/>
          <w:rtl w:val="true"/>
          <w:lang w:bidi="ar-SA"/>
        </w:rPr>
        <w:t>قلنا في الإشكال السابق انّ في كلّ حكومةٍ يوجد قسطاً من أهالي المجتمع لايقبلونها و لايخضعون لحكمها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الدليل على وجوب قبول أحكامها و ما يصدر منها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المناوىء الكاره لايختار تلك الحكومة، فليست هي مختارةً من قبله حتّى تكون وكيلاً عنه في ما 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مدافعوا الدولة الاختياريّة يتمسّكون في المقام بأطروحة الإلتزام،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اختار جمعٌ بالغٌ من الناس دولةً فيجب على الباقين التسليم لحكمها و الإقرار بها، فاختيار الفئة الغالبة يدلّ على قانونيّة الدولة و شرعيّتها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الأطروحة أيضاً مجالٌ واسعٌ للنظر؛ و نكتفي باثنين منها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الالتزام لايكون إلّامن باب العناوين الثانويّة لا اختيار الدولة و انتخابها حقيقةً، و هذا ينافي أصل الاختيار</w:t>
      </w:r>
      <w:r>
        <w:rPr>
          <w:rFonts w:eastAsia="Amiri" w:cs="Amiri" w:ascii="Amiri" w:hAnsi="Amiri"/>
          <w:color w:val="111111"/>
          <w:sz w:val="28"/>
          <w:szCs w:val="28"/>
          <w:rtl w:val="true"/>
          <w:lang w:bidi="ar-SA"/>
        </w:rPr>
        <w:t xml:space="preserve">. </w:t>
      </w:r>
      <w:bookmarkStart w:id="258" w:name="pg18987_179732"/>
    </w:p>
    <w:p>
      <w:pPr>
        <w:pStyle w:val="BookText"/>
        <w:rPr/>
      </w:pPr>
      <w:bookmarkEnd w:id="258"/>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لاينفع إلّافي المحاورات العلميّة التئوريكيّة، أمّا في الواقع و عالم الخارج فلاينفع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نرى انّ المحاربة و التدافع قائمةٌ دائماً بين الأحزاب و الجمعيّات من ناحيةٍ و بين الدول من ناحيةٍ أخرىٰ في جميع العالم و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الأطروحة ينفع في القول فقط لا في العمل</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13099794_1280447820"/>
      <w:bookmarkStart w:id="260" w:name="_Toc103"/>
      <w:bookmarkEnd w:id="259"/>
      <w:r>
        <w:rPr/>
        <w:t>3</w:t>
      </w:r>
      <w:r>
        <w:rPr>
          <w:rtl w:val="true"/>
        </w:rPr>
        <w:t xml:space="preserve"> - </w:t>
      </w:r>
      <w:r>
        <w:rPr>
          <w:rtl w:val="true"/>
        </w:rPr>
        <w:t>الإشكال الثّالث</w:t>
      </w:r>
      <w:r>
        <w:rPr>
          <w:rtl w:val="true"/>
        </w:rPr>
        <w:t>:</w:t>
      </w:r>
      <w:bookmarkEnd w:id="260"/>
    </w:p>
    <w:p>
      <w:pPr>
        <w:pStyle w:val="BookText"/>
        <w:rPr/>
      </w:pPr>
      <w:r>
        <w:rPr>
          <w:rFonts w:ascii="Amiri" w:hAnsi="Amiri" w:eastAsia="Amiri" w:cs="Amiri"/>
          <w:color w:val="111111"/>
          <w:sz w:val="28"/>
          <w:sz w:val="28"/>
          <w:szCs w:val="28"/>
          <w:rtl w:val="true"/>
          <w:lang w:bidi="ar-SA"/>
        </w:rPr>
        <w:t xml:space="preserve">لو فرضنا انّ أطروحة الالتزام و ما شابهها من النظريّات حتّمت على كارهي الدولة الخضوع لحكمها و لكن ما هو المسوّق و السبب المجيز لتصرّفات الدولة فيما يتعلّق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رسوله صلى الله عليه و آله و الإمام عليه السلام؟، إذ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الْأَنفَالِ قُلِ الْأَنفَالُ لِلَّهِ وَ الرَّسُولِ</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يُعلن انّه لايجوز أن يتصرّف أحدٌ في الأنفال إلّابإذنٍ من مالكيه؛ و من الأنفال الأراضي و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دولةٍ اختياريّةٍ يتصرّف في الأراضي و المعادن و غيرها من مصاديق الأنفال يُعدّ غاصباً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لايمكن الحكم و تنسيق ما يتعلّق بالمجتمع و ترتيبه إلّابالتصرّف فيها، فكلّ دولةٍ اختياريّةٍ غاصبٌ لما لايجوز لها التصرّف فيه</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13099796_1280447820"/>
      <w:bookmarkStart w:id="262" w:name="_Toc104"/>
      <w:bookmarkEnd w:id="261"/>
      <w:r>
        <w:rPr/>
        <w:t>4</w:t>
      </w:r>
      <w:r>
        <w:rPr>
          <w:rtl w:val="true"/>
        </w:rPr>
        <w:t xml:space="preserve"> - </w:t>
      </w:r>
      <w:r>
        <w:rPr>
          <w:rtl w:val="true"/>
        </w:rPr>
        <w:t>الإشكال الرّابع</w:t>
      </w:r>
      <w:r>
        <w:rPr>
          <w:rtl w:val="true"/>
        </w:rPr>
        <w:t>:</w:t>
      </w:r>
      <w:bookmarkEnd w:id="26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انّ الدولة الأمويّة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الدول من زمن العبّاسيّين إلى عصرنا الحاضر </w:t>
      </w:r>
      <w:r>
        <w:rPr>
          <w:rFonts w:eastAsia="Amiri" w:cs="Amiri" w:ascii="Amiri" w:hAnsi="Amiri"/>
          <w:color w:val="111111"/>
          <w:sz w:val="28"/>
          <w:szCs w:val="28"/>
          <w:rtl w:val="true"/>
          <w:lang w:bidi="ar-SA"/>
        </w:rPr>
        <w:t xml:space="preserve">- </w:t>
      </w:r>
      <w:bookmarkStart w:id="263" w:name="pg18987_179733"/>
    </w:p>
    <w:p>
      <w:pPr>
        <w:pStyle w:val="BookText"/>
        <w:rPr/>
      </w:pPr>
      <w:bookmarkEnd w:id="263"/>
      <w:r>
        <w:rPr>
          <w:rFonts w:ascii="Amiri" w:hAnsi="Amiri" w:eastAsia="Amiri" w:cs="Amiri"/>
          <w:color w:val="111111"/>
          <w:sz w:val="28"/>
          <w:sz w:val="28"/>
          <w:szCs w:val="28"/>
          <w:rtl w:val="true"/>
          <w:lang w:bidi="ar-SA"/>
        </w:rPr>
        <w:t>كانت دولةً مختارةً من قبل الناس</w:t>
      </w:r>
      <w:r>
        <w:rPr>
          <w:rStyle w:val="FootnoteAnchor"/>
          <w:rtl w:val="true"/>
        </w:rPr>
        <w:footnoteReference w:id="176"/>
      </w:r>
      <w:r>
        <w:rPr>
          <w:rFonts w:ascii="Amiri" w:hAnsi="Amiri" w:eastAsia="Amiri" w:cs="Amiri"/>
          <w:color w:val="111111"/>
          <w:sz w:val="28"/>
          <w:sz w:val="28"/>
          <w:szCs w:val="28"/>
          <w:rtl w:val="true"/>
          <w:lang w:bidi="ar-SA"/>
        </w:rPr>
        <w:t xml:space="preserve">فيجب أن يكون جميع تصرّفات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كتعيينهم القضاة و الوكلاء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غصباً مخالفاً للحقّ الواقع، و كذلك تصرّفات فقهائنا من زمن المفيد إلى زمننا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الّذي لايحتاج إلى مزيدٍ من البيان انّ هذا القول لايستقيم إلّاعلى مباني أهل السنّة و الجماعة، أمّا الشيعة الإماميّة فكانت ترفضه طوال القرون؛ فهذا القول لايوافق مبانيها</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13099798_1280447820"/>
      <w:bookmarkStart w:id="265" w:name="_Toc105"/>
      <w:bookmarkEnd w:id="264"/>
      <w:r>
        <w:rPr/>
        <w:t>5</w:t>
      </w:r>
      <w:r>
        <w:rPr>
          <w:rtl w:val="true"/>
        </w:rPr>
        <w:t xml:space="preserve"> - </w:t>
      </w:r>
      <w:r>
        <w:rPr>
          <w:rtl w:val="true"/>
        </w:rPr>
        <w:t>الإشكال الخامس</w:t>
      </w:r>
      <w:r>
        <w:rPr>
          <w:rtl w:val="true"/>
        </w:rPr>
        <w:t>:</w:t>
      </w:r>
      <w:bookmarkEnd w:id="265"/>
    </w:p>
    <w:p>
      <w:pPr>
        <w:pStyle w:val="BookText"/>
        <w:rPr/>
      </w:pPr>
      <w:r>
        <w:rPr>
          <w:rFonts w:ascii="Amiri" w:hAnsi="Amiri" w:eastAsia="Amiri" w:cs="Amiri"/>
          <w:color w:val="111111"/>
          <w:sz w:val="28"/>
          <w:sz w:val="28"/>
          <w:szCs w:val="28"/>
          <w:rtl w:val="true"/>
          <w:lang w:bidi="ar-SA"/>
        </w:rPr>
        <w:t xml:space="preserve">من القواعد الواضحة الّتي سجّلتها ثقافة القرآن الكريم قاعدة ثبوت الولاية للأنبياء عليهم السلام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نبيٍّ كان حاكماً على مجتمعه و هذا الحكم كان مفوّضاً إليه من قبل مرسله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نرى انّهم عليهم السلام ما كانوا يخضعون للدولة الحاكمة على مجتمعاتهم و إنْ كانت مختارةً من قبل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فعدّهم أنفسهم والياً على المجتمع يخالف هذا القول جملةً و تفصيلاً</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13099800_1280447820"/>
      <w:bookmarkStart w:id="267" w:name="_Toc106"/>
      <w:bookmarkEnd w:id="266"/>
      <w:r>
        <w:rPr/>
        <w:t>6</w:t>
      </w:r>
      <w:r>
        <w:rPr>
          <w:rtl w:val="true"/>
        </w:rPr>
        <w:t xml:space="preserve"> - </w:t>
      </w:r>
      <w:r>
        <w:rPr>
          <w:rtl w:val="true"/>
        </w:rPr>
        <w:t>الإشكال السّادس</w:t>
      </w:r>
      <w:r>
        <w:rPr>
          <w:rtl w:val="true"/>
        </w:rPr>
        <w:t>:</w:t>
      </w:r>
      <w:bookmarkEnd w:id="26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لوكانت الدولة و القيام بها بيد المعصوم و من نصبه لهذا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كالمجتهد الجامع </w:t>
      </w:r>
      <w:bookmarkStart w:id="268" w:name="pg18987_179734"/>
    </w:p>
    <w:p>
      <w:pPr>
        <w:pStyle w:val="BookText"/>
        <w:rPr/>
      </w:pPr>
      <w:bookmarkEnd w:id="268"/>
      <w:r>
        <w:rPr>
          <w:rFonts w:ascii="Amiri" w:hAnsi="Amiri" w:eastAsia="Amiri" w:cs="Amiri"/>
          <w:color w:val="111111"/>
          <w:sz w:val="28"/>
          <w:sz w:val="28"/>
          <w:szCs w:val="28"/>
          <w:rtl w:val="true"/>
          <w:lang w:bidi="ar-SA"/>
        </w:rPr>
        <w:t xml:space="preserve">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فلاريب في أنّ هذه الدولة تسير على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لوكان الوالي ممّن ينتخبه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لايلزم أن يكون فقيهاً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الممكن جدّاً وقوع الإنحراف في مسيرها؛ و أقلّ مضرّاته تبديل الأحكام و تغييرها أو امّحائها و اندراسها</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13099802_1280447820"/>
      <w:bookmarkStart w:id="270" w:name="_Toc107"/>
      <w:bookmarkEnd w:id="269"/>
      <w:r>
        <w:rPr/>
        <w:t>7</w:t>
      </w:r>
      <w:r>
        <w:rPr>
          <w:rtl w:val="true"/>
        </w:rPr>
        <w:t xml:space="preserve"> - </w:t>
      </w:r>
      <w:r>
        <w:rPr>
          <w:rtl w:val="true"/>
        </w:rPr>
        <w:t>الإشكال السّابع</w:t>
      </w:r>
      <w:r>
        <w:rPr>
          <w:rtl w:val="true"/>
        </w:rPr>
        <w:t>:</w:t>
      </w:r>
      <w:bookmarkEnd w:id="270"/>
    </w:p>
    <w:p>
      <w:pPr>
        <w:pStyle w:val="BookText"/>
        <w:rPr/>
      </w:pPr>
      <w:r>
        <w:rPr>
          <w:rFonts w:ascii="Amiri" w:hAnsi="Amiri" w:eastAsia="Amiri" w:cs="Amiri"/>
          <w:color w:val="111111"/>
          <w:sz w:val="28"/>
          <w:sz w:val="28"/>
          <w:szCs w:val="28"/>
          <w:rtl w:val="true"/>
          <w:lang w:bidi="ar-SA"/>
        </w:rPr>
        <w:t>لايخفى ما للحكم من القيمة و المكانة لارتباطه بحياة الناس في كلّ الآنات و اللحظات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أحاديث أهل البيت عليهم السلام تتكفّل لبيان ما يحتاجوا إليه في حياتهم، فكان من الواجب أن يُذكر هذا القسم من الدولة فيما يُروى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لانجد ما يؤيّده فيه، بل لانجد له ذكراً و لاأثراً في مجاميعنا 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نرى انّ الدولة الاختياريّة لاتوافق ارتكاز الشيعة الإماميّة طوال القرون؛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المرتكز في أذهان الشيعة القول بصحّة هذا القسم من الحكم؛ و لايخفى ما للارتكاز من القيمة في أمثال الباب</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13099804_1280447820"/>
      <w:bookmarkStart w:id="272" w:name="_Toc108"/>
      <w:bookmarkEnd w:id="271"/>
      <w:r>
        <w:rPr/>
        <w:t>8</w:t>
      </w:r>
      <w:r>
        <w:rPr>
          <w:rtl w:val="true"/>
        </w:rPr>
        <w:t xml:space="preserve"> - </w:t>
      </w:r>
      <w:r>
        <w:rPr>
          <w:rtl w:val="true"/>
        </w:rPr>
        <w:t>الإشكال الثامن</w:t>
      </w:r>
      <w:r>
        <w:rPr>
          <w:rtl w:val="true"/>
        </w:rPr>
        <w:t>:</w:t>
      </w:r>
      <w:bookmarkEnd w:id="27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في الإشكال السابق انّ الدولة الانتخابيّة لاتوافق ارتكاز الشيعة الإماميّة؛ و الآن نزيد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انّها تخالفه، إذ من الأصول المثبتة عندهم أصل الإمامة و الولاية و بقاؤها من زمن أميرالمؤمنين عليه السلام إلى مبتدء عصر الغيبة، و من مبتدء عصر الغيبة إلى زمن ظهور الحجّة عليه السلام، و من زمن ظهوره عليه السلام إلى قيام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بأصل الإمامة في زمن الغيبة يساوي القول بكون رئاسة المجتمع مختصّةً بنوّاب الحجّة عليه السلام الخاصّة و العامّة؛ و على هذا الاختصاص أجمعت الإماميّة طوال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فإجماعهم العمليّ على ثبوت الولاية للنوّاب </w:t>
      </w:r>
      <w:bookmarkStart w:id="273" w:name="pg18987_179735"/>
    </w:p>
    <w:p>
      <w:pPr>
        <w:pStyle w:val="BookText"/>
        <w:rPr/>
      </w:pPr>
      <w:bookmarkEnd w:id="273"/>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دليلٍ على صحّة الدولة الانتصابيّة و عدم صحّة ما يقابلها من أقسام الدول</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13099806_1280447820"/>
      <w:bookmarkStart w:id="275" w:name="_Toc109"/>
      <w:bookmarkEnd w:id="274"/>
      <w:r>
        <w:rPr/>
        <w:t>9</w:t>
      </w:r>
      <w:r>
        <w:rPr>
          <w:rtl w:val="true"/>
        </w:rPr>
        <w:t xml:space="preserve"> - </w:t>
      </w:r>
      <w:r>
        <w:rPr>
          <w:rtl w:val="true"/>
        </w:rPr>
        <w:t>الإشكال التّاسع</w:t>
      </w:r>
      <w:r>
        <w:rPr>
          <w:rtl w:val="true"/>
        </w:rPr>
        <w:t>:</w:t>
      </w:r>
      <w:bookmarkEnd w:id="275"/>
    </w:p>
    <w:p>
      <w:pPr>
        <w:pStyle w:val="BookText"/>
        <w:rPr/>
      </w:pPr>
      <w:r>
        <w:rPr>
          <w:rFonts w:ascii="Amiri" w:hAnsi="Amiri" w:eastAsia="Amiri" w:cs="Amiri"/>
          <w:color w:val="111111"/>
          <w:sz w:val="28"/>
          <w:sz w:val="28"/>
          <w:szCs w:val="28"/>
          <w:rtl w:val="true"/>
          <w:lang w:bidi="ar-SA"/>
        </w:rPr>
        <w:t>قلنا فيما سبق من هذه الرسالة انّ من الأصول المثبتة عند الشارع و عقلاء العالم في جميع الأمصار و الأعصار أصل عدم ثبوت السلطة لأحدٍ على أحدٍ،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أن يسلّط نفسه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الأصل يخالف الدولة الاختياريّة، أمّا بالنسبة إلى الدولة الانتصابيّة فوردت على هذا الأصل مخصِّصات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مُلكُ السَّمَوَاتِ وَ الْأَرضِ</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 فخرج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استخلفه و استولاه من هذه القاعدة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يخالف الدولة الاختياريّة بينما لاخلاف له بالنسبة إلى الدولة الانتصابيّة</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13099808_1280447820"/>
      <w:bookmarkStart w:id="277" w:name="_Toc110"/>
      <w:bookmarkEnd w:id="276"/>
      <w:r>
        <w:rPr/>
        <w:t>10</w:t>
      </w:r>
      <w:r>
        <w:rPr>
          <w:rtl w:val="true"/>
        </w:rPr>
        <w:t xml:space="preserve"> - </w:t>
      </w:r>
      <w:r>
        <w:rPr>
          <w:rtl w:val="true"/>
        </w:rPr>
        <w:t>الإشكال العاشر</w:t>
      </w:r>
      <w:r>
        <w:rPr>
          <w:rtl w:val="true"/>
        </w:rPr>
        <w:t>:</w:t>
      </w:r>
      <w:bookmarkEnd w:id="277"/>
    </w:p>
    <w:p>
      <w:pPr>
        <w:pStyle w:val="BookText"/>
        <w:rPr/>
      </w:pPr>
      <w:r>
        <w:rPr>
          <w:rFonts w:ascii="Amiri" w:hAnsi="Amiri" w:eastAsia="Amiri" w:cs="Amiri"/>
          <w:color w:val="111111"/>
          <w:sz w:val="28"/>
          <w:sz w:val="28"/>
          <w:szCs w:val="28"/>
          <w:rtl w:val="true"/>
          <w:lang w:bidi="ar-SA"/>
        </w:rPr>
        <w:t xml:space="preserve">الدولة الاختياريّة تنافي توحّد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ربوبيّته و التوحيد في التشريع، و لاسنخيّة بينهما، إذ لاحكم و لاتقنين إلّاللّه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الدول الاختياريّة فليس التقنين 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لإجماع أهل المجتمع قسطٌ في وضع القوانين، بل هو الأصل فيه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الإشكال يتأكّد عليه العرفاء و الأخلاقيّون، منهم سيّدنا الأستاذ العلّامة </w:t>
      </w:r>
      <w:bookmarkStart w:id="278" w:name="pg18987_179736"/>
    </w:p>
    <w:p>
      <w:pPr>
        <w:pStyle w:val="BookText"/>
        <w:rPr/>
      </w:pPr>
      <w:bookmarkEnd w:id="278"/>
      <w:r>
        <w:rPr>
          <w:rFonts w:ascii="Amiri" w:hAnsi="Amiri" w:eastAsia="Amiri" w:cs="Amiri"/>
          <w:color w:val="111111"/>
          <w:sz w:val="28"/>
          <w:sz w:val="28"/>
          <w:szCs w:val="28"/>
          <w:rtl w:val="true"/>
          <w:lang w:bidi="ar-SA"/>
        </w:rPr>
        <w:t>الطباطبائيّ رحمه الله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9" w:name="__RefHeading___Toc13099810_1280447820"/>
      <w:bookmarkStart w:id="280" w:name="_Toc111"/>
      <w:bookmarkEnd w:id="279"/>
      <w:r>
        <w:rPr/>
        <w:t>11</w:t>
      </w:r>
      <w:r>
        <w:rPr>
          <w:rtl w:val="true"/>
        </w:rPr>
        <w:t xml:space="preserve"> - </w:t>
      </w:r>
      <w:r>
        <w:rPr>
          <w:rtl w:val="true"/>
        </w:rPr>
        <w:t>الإشكال الحادي عشر</w:t>
      </w:r>
      <w:r>
        <w:rPr>
          <w:rtl w:val="true"/>
        </w:rPr>
        <w:t>:</w:t>
      </w:r>
      <w:bookmarkEnd w:id="280"/>
    </w:p>
    <w:p>
      <w:pPr>
        <w:pStyle w:val="BookText"/>
        <w:rPr/>
      </w:pPr>
      <w:r>
        <w:rPr>
          <w:rFonts w:ascii="Amiri" w:hAnsi="Amiri" w:eastAsia="Amiri" w:cs="Amiri"/>
          <w:color w:val="111111"/>
          <w:sz w:val="28"/>
          <w:sz w:val="28"/>
          <w:szCs w:val="28"/>
          <w:rtl w:val="true"/>
          <w:lang w:bidi="ar-SA"/>
        </w:rPr>
        <w:t>ما معنى للدولة الاختياريّة إلّاقبول رأي السواد الأعظم و الأكثريّة و الخضوع له، و لايجوز هذا إلّاعلى القول باستطاعة السواد لاختيار مَن يصلح للقيام بالأمارة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انّ ثقافة القرآن الكريم تسجّل على أنّ عموم ساكني المجتمع لايستطيعون أن يختاروا مَن هو الأصلح للقيام بهذه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عدم استطاعتهم هذا ينشأ من أمورٍ، كتبعيّتهم عن الغير بسبب الدِعايات الانتخابيّة و الإعلانات؛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صَرَّفنَاهُ بَينَهُمْ لِيَذَّكَّرُوا فَأَبَى أَكثَرُ النَّاسِ إِلَّا كُفُوراً</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جِئنَاكُمْ بِالحَقِّ وَ لَكِنَّ أَكثَرَكُمْ لِلحَقِّ كَارِهُونَ</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أَكثَرَهُمْ يَجهَلُونَ</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لها من نظيرٍ في هذا الكتاب الكريم</w:t>
      </w:r>
      <w:r>
        <w:rPr>
          <w:rFonts w:eastAsia="Amiri" w:cs="Amiri" w:ascii="Amiri" w:hAnsi="Amiri"/>
          <w:color w:val="111111"/>
          <w:sz w:val="28"/>
          <w:szCs w:val="28"/>
          <w:rtl w:val="true"/>
          <w:lang w:bidi="ar-SA"/>
        </w:rPr>
        <w:t xml:space="preserve">. </w:t>
      </w:r>
      <w:bookmarkStart w:id="281" w:name="pg18987_179737"/>
    </w:p>
    <w:p>
      <w:pPr>
        <w:pStyle w:val="BookText"/>
        <w:rPr/>
      </w:pPr>
      <w:bookmarkEnd w:id="281"/>
      <w:r>
        <w:rPr>
          <w:rFonts w:ascii="Amiri" w:hAnsi="Amiri" w:eastAsia="Amiri" w:cs="Amiri"/>
          <w:color w:val="111111"/>
          <w:sz w:val="28"/>
          <w:sz w:val="28"/>
          <w:szCs w:val="28"/>
          <w:rtl w:val="true"/>
          <w:lang w:bidi="ar-SA"/>
        </w:rPr>
        <w:t>و لانعني بهذا الترديد في خبرويّة الناس فيما يرجع إليهم و علمهم بالوقائع و كونهم على بيّنةٍ من أمورهم، و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لها من الأهمّيّة البالغة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لايمكن الرجوع فيها إلى الاقتراح العامّ و الآراء العموميّة</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13099812_1280447820"/>
      <w:bookmarkStart w:id="283" w:name="_Toc112"/>
      <w:bookmarkEnd w:id="282"/>
      <w:r>
        <w:rPr/>
        <w:t>12</w:t>
      </w:r>
      <w:r>
        <w:rPr>
          <w:rtl w:val="true"/>
        </w:rPr>
        <w:t xml:space="preserve"> - </w:t>
      </w:r>
      <w:r>
        <w:rPr>
          <w:rtl w:val="true"/>
        </w:rPr>
        <w:t>الإشكال الثّاني عشر</w:t>
      </w:r>
      <w:r>
        <w:rPr>
          <w:rtl w:val="true"/>
        </w:rPr>
        <w:t>:</w:t>
      </w:r>
      <w:bookmarkEnd w:id="283"/>
    </w:p>
    <w:p>
      <w:pPr>
        <w:pStyle w:val="BookText"/>
        <w:rPr/>
      </w:pPr>
      <w:r>
        <w:rPr>
          <w:rFonts w:ascii="Amiri" w:hAnsi="Amiri" w:eastAsia="Amiri" w:cs="Amiri"/>
          <w:color w:val="111111"/>
          <w:sz w:val="28"/>
          <w:sz w:val="28"/>
          <w:szCs w:val="28"/>
          <w:rtl w:val="true"/>
          <w:lang w:bidi="ar-SA"/>
        </w:rPr>
        <w:t>هذا الإشكال مبنيٌّ على الإشكال السابق و متمّمٌ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في أنّ الناس في كثيرٍ من أعمالهم و أفعالهم اليوميّة يتّبعون قاعدة المنابهة و المحاكاة،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 عن الغير من غير علمٍ بسبب فعله و علّة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الباب يتمثّل علماء علم النفس و السيكولوجيا غالباً بمتابعة الشياة بعضهم عن بعضٍ، فلو فرضنا انّ فصلاً و رادعاً نُصب في طريق قطيعٍ أو رعيلٍ من الشياة بحيث تلجأ الشياة الأولىٰ إلى الخامسة إلى القَفْر و الوَثْب ثمّ رُفع هذا الرادع بحيث يمكن لباقي الشياة السير من غير وثْبٍ، نرى الباقي يسيرون كما سار الأوّلون؛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الشياة إذا وصل إلى موضع الفصل و أراد أن يجوز منه يَثِب من هذا الموضع من غير وجود فصلٍ و رادعٍ؛ و هذا ما يسمّوه قاعدة المنابهة و المحاكاة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كثيرٌ من الناس في كثيرٍ من أفعالهم يتّبعون هذه القاعدة، و هذا أمرٌ يشهد لصحّته 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فلواختار أحدٌ مجتمعاً احصائيّا و قام بدراسة ما يعمله الناس و البحث عنه في يومٍ واحدٍ يرى أنّ كثيراً من أعمالهم لاسبب له إلّاالتبعيّة عن الغير؛ فكيف يمكن الركون إلى آرائهم و الخصوع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الإشكال الثّاني عشر، و به تتمّ الإشكالات الإثني عشر الّتي قلنا بورودها على مختار البعض في مسألة كيفيّة الدولة و الحكم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ورد واحدٌ من هذه الإشكالات على مختارهم فقط ليجب عليهم الإقرار ببطلانه و الرجوع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إلى القارىء الكريم</w:t>
      </w:r>
      <w:r>
        <w:rPr>
          <w:rFonts w:eastAsia="Amiri" w:cs="Amiri" w:ascii="Amiri" w:hAnsi="Amiri"/>
          <w:color w:val="111111"/>
          <w:sz w:val="28"/>
          <w:szCs w:val="28"/>
          <w:rtl w:val="true"/>
          <w:lang w:bidi="ar-SA"/>
        </w:rPr>
        <w:t>.</w:t>
      </w:r>
      <w:bookmarkStart w:id="284" w:name="pg18987_179739"/>
    </w:p>
    <w:p>
      <w:pPr>
        <w:pStyle w:val="Heading4"/>
        <w:numPr>
          <w:ilvl w:val="3"/>
          <w:numId w:val="1"/>
        </w:numPr>
        <w:rPr/>
      </w:pPr>
      <w:bookmarkStart w:id="285" w:name="__RefHeading___Toc13099814_1280447820"/>
      <w:bookmarkStart w:id="286" w:name="_Toc113"/>
      <w:bookmarkEnd w:id="284"/>
      <w:bookmarkEnd w:id="285"/>
      <w:r>
        <w:rPr>
          <w:rtl w:val="true"/>
        </w:rPr>
        <w:t>المقدّمة الثّامنة أنواع الولاية و أجناسها في فقه الشيعة الإماميّة</w:t>
      </w:r>
      <w:bookmarkEnd w:id="286"/>
    </w:p>
    <w:p>
      <w:pPr>
        <w:pStyle w:val="Heading5"/>
        <w:numPr>
          <w:ilvl w:val="4"/>
          <w:numId w:val="1"/>
        </w:numPr>
        <w:rPr/>
      </w:pPr>
      <w:bookmarkStart w:id="287" w:name="__RefHeading___Toc13099816_1280447820"/>
      <w:bookmarkStart w:id="288" w:name="_Toc114"/>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سبقت فيما مضى الإشارة إلى أنّ قاعدة عدم تسلّط أحدٍ على أحدٍ هي من القواعد المقرّرة في فقه الإماميّة؛ و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هذه القاعدة لا ولاية لأحدٍ على أحدٍ، بل الولاية كلّها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منتفيةٌ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مثبتةٌ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توجد في فقهنا موارد تخصّص هذه القاعدة، و هي مجمعٌ عليها عند جميع فقهائنا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نذكر فهرساً و ثبَتاً يشمل تلك الموارد، و هي تبلغ اثني عشر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إيراد هذا الثبت كسر سورة ثبوت الولاية لأحدٍ على غيره، إذ استغربه بعضهم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يخالف العقل و الشرع؛ فها هوثبت الموارد</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13099818_1280447820"/>
      <w:bookmarkStart w:id="290" w:name="_Toc115"/>
      <w:bookmarkEnd w:id="289"/>
      <w:r>
        <w:rPr>
          <w:rtl w:val="true"/>
        </w:rPr>
        <w:t>ثبَتٌ لأقسام الولاية فى فقه الإماميّة</w:t>
      </w:r>
      <w:bookmarkEnd w:id="290"/>
    </w:p>
    <w:p>
      <w:pPr>
        <w:pStyle w:val="Heading6"/>
        <w:numPr>
          <w:ilvl w:val="5"/>
          <w:numId w:val="1"/>
        </w:numPr>
        <w:rPr/>
      </w:pPr>
      <w:bookmarkStart w:id="291" w:name="__RefHeading___Toc13099820_1280447820"/>
      <w:bookmarkStart w:id="292" w:name="_Toc116"/>
      <w:bookmarkEnd w:id="291"/>
      <w:r>
        <w:rPr/>
        <w:t>1</w:t>
      </w:r>
      <w:r>
        <w:rPr>
          <w:rtl w:val="true"/>
        </w:rPr>
        <w:t xml:space="preserve"> - </w:t>
      </w:r>
      <w:r>
        <w:rPr>
          <w:rtl w:val="true"/>
        </w:rPr>
        <w:t>ولاية الأب و الجدّ على الصغير و المجنون و السفيه</w:t>
      </w:r>
      <w:bookmarkEnd w:id="292"/>
    </w:p>
    <w:p>
      <w:pPr>
        <w:pStyle w:val="BookText"/>
        <w:rPr/>
      </w:pPr>
      <w:r>
        <w:rPr>
          <w:rFonts w:ascii="Amiri" w:hAnsi="Amiri" w:eastAsia="Amiri" w:cs="Amiri"/>
          <w:color w:val="111111"/>
          <w:sz w:val="28"/>
          <w:sz w:val="28"/>
          <w:szCs w:val="28"/>
          <w:rtl w:val="true"/>
          <w:lang w:bidi="ar-SA"/>
        </w:rPr>
        <w:t>هذه الولاية زيادةً على الشرع يؤيّدها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انّ تربية الطفل و تثقيبه و ثقافته موكولٌ على الأبوين فالولاية هذه تثبت على نفسه زيادةً على أمواله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فيجوز للأب تعزير الولد إذا كان تثقيبه موقوفاً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bookmarkStart w:id="293" w:name="pg18987_179740"/>
    </w:p>
    <w:p>
      <w:pPr>
        <w:pStyle w:val="BookText"/>
        <w:rPr/>
      </w:pPr>
      <w:bookmarkEnd w:id="293"/>
      <w:r>
        <w:rPr>
          <w:rFonts w:ascii="Amiri" w:hAnsi="Amiri" w:eastAsia="Amiri" w:cs="Amiri"/>
          <w:color w:val="111111"/>
          <w:sz w:val="28"/>
          <w:sz w:val="28"/>
          <w:szCs w:val="28"/>
          <w:rtl w:val="true"/>
          <w:lang w:bidi="ar-SA"/>
        </w:rPr>
        <w:t>الولاية ثابتةٌ للأمّ أيضاً لاشتراكها مع الأب في هذه الفريضة و إن لم يذهب كثيرٌ من الفقهاء إلى هذا القول</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13099822_1280447820"/>
      <w:bookmarkStart w:id="295" w:name="_Toc117"/>
      <w:bookmarkEnd w:id="294"/>
      <w:r>
        <w:rPr/>
        <w:t>2</w:t>
      </w:r>
      <w:r>
        <w:rPr>
          <w:rtl w:val="true"/>
        </w:rPr>
        <w:t xml:space="preserve"> - </w:t>
      </w:r>
      <w:r>
        <w:rPr>
          <w:rtl w:val="true"/>
        </w:rPr>
        <w:t>ولاية أولياء الميّت على جسده</w:t>
      </w:r>
      <w:bookmarkEnd w:id="295"/>
    </w:p>
    <w:p>
      <w:pPr>
        <w:pStyle w:val="BookText"/>
        <w:rPr/>
      </w:pPr>
      <w:r>
        <w:rPr>
          <w:rFonts w:ascii="Amiri" w:hAnsi="Amiri" w:eastAsia="Amiri" w:cs="Amiri"/>
          <w:color w:val="111111"/>
          <w:sz w:val="28"/>
          <w:sz w:val="28"/>
          <w:szCs w:val="28"/>
          <w:rtl w:val="true"/>
          <w:lang w:bidi="ar-SA"/>
        </w:rPr>
        <w:t>و هذه الولاية تجري في ما يرجع إليه من تغسيله و تكفينه و تدفينه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لو بادر أحدٌ بواحدٍ من الثلاثة من غير إذنٍ من وليّه فما فعله باطلٌ، و تصحيحه محتاجٌ إلى إذن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القسم من الولاية لافرق عندنا بين الأب و الإبن و الأمّ، فهو عندنا ثابتٌ للأمّ أيضاً خلافاً للمشهور</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13099824_1280447820"/>
      <w:bookmarkStart w:id="297" w:name="_Toc118"/>
      <w:bookmarkEnd w:id="296"/>
      <w:r>
        <w:rPr/>
        <w:t>3</w:t>
      </w:r>
      <w:r>
        <w:rPr>
          <w:rtl w:val="true"/>
        </w:rPr>
        <w:t xml:space="preserve"> - </w:t>
      </w:r>
      <w:r>
        <w:rPr>
          <w:rtl w:val="true"/>
        </w:rPr>
        <w:t>ولاية أولياء المقتول على دمه</w:t>
      </w:r>
      <w:bookmarkEnd w:id="297"/>
    </w:p>
    <w:p>
      <w:pPr>
        <w:pStyle w:val="BookText"/>
        <w:rPr/>
      </w:pPr>
      <w:r>
        <w:rPr>
          <w:rFonts w:ascii="Amiri" w:hAnsi="Amiri" w:eastAsia="Amiri" w:cs="Amiri"/>
          <w:color w:val="111111"/>
          <w:sz w:val="28"/>
          <w:sz w:val="28"/>
          <w:szCs w:val="28"/>
          <w:rtl w:val="true"/>
          <w:lang w:bidi="ar-SA"/>
        </w:rPr>
        <w:t>ثبت في فقهنا انّه لوقُتل أحدٌ فوليّه يختار أحداً من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يعفو القاتل؛</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 منه الدية؛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يطلب قصاصه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ولاية الوليّ على دم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أقرب نسيبٍ للمقتول الصالح للولاية هو وليّه، فلاتتعدّى هذه الولاية إلى أقربائه الصغار و المجانين و السفهاء</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13099826_1280447820"/>
      <w:bookmarkStart w:id="299" w:name="_Toc119"/>
      <w:bookmarkEnd w:id="298"/>
      <w:r>
        <w:rPr/>
        <w:t>4</w:t>
      </w:r>
      <w:r>
        <w:rPr>
          <w:rtl w:val="true"/>
        </w:rPr>
        <w:t xml:space="preserve"> - </w:t>
      </w:r>
      <w:r>
        <w:rPr>
          <w:rtl w:val="true"/>
        </w:rPr>
        <w:t>ولاية الوصيّ على أموال الموصيّ‌</w:t>
      </w:r>
      <w:bookmarkEnd w:id="29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الفقهاء على أن لووصّىٰ أحدٌ ثمّ مات فلوصيّه ولايةٌ على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مصاديق هذا القسم من الولاية انّه لووصّىٰ الموصيّ بما لايزيد على الثلث من غير تعيينٍ لموارد انفاقه </w:t>
      </w:r>
      <w:bookmarkStart w:id="300" w:name="pg18987_179741"/>
    </w:p>
    <w:p>
      <w:pPr>
        <w:pStyle w:val="BookText"/>
        <w:rPr/>
      </w:pPr>
      <w:bookmarkEnd w:id="300"/>
      <w:r>
        <w:rPr>
          <w:rFonts w:ascii="Amiri" w:hAnsi="Amiri" w:eastAsia="Amiri" w:cs="Amiri"/>
          <w:color w:val="111111"/>
          <w:sz w:val="28"/>
          <w:sz w:val="28"/>
          <w:szCs w:val="28"/>
          <w:rtl w:val="true"/>
          <w:lang w:bidi="ar-SA"/>
        </w:rPr>
        <w:t>و كيفيّة صرفه، فللوصيّ أن يختار مورداً لانفاق المال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الولاية تتّسع بحيث لايمكن لولد الموصيّ أن يعترض على الوصيّ في مورد الانفاق، بل هو يفعل كيفما يشاء</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13099828_1280447820"/>
      <w:bookmarkStart w:id="302" w:name="_Toc120"/>
      <w:bookmarkEnd w:id="301"/>
      <w:r>
        <w:rPr/>
        <w:t>5</w:t>
      </w:r>
      <w:r>
        <w:rPr>
          <w:rtl w:val="true"/>
        </w:rPr>
        <w:t xml:space="preserve"> - </w:t>
      </w:r>
      <w:r>
        <w:rPr>
          <w:rtl w:val="true"/>
        </w:rPr>
        <w:t>ولاية القيّم على الصغار و السفهاء</w:t>
      </w:r>
      <w:bookmarkEnd w:id="302"/>
    </w:p>
    <w:p>
      <w:pPr>
        <w:pStyle w:val="BookText"/>
        <w:rPr/>
      </w:pPr>
      <w:r>
        <w:rPr>
          <w:rFonts w:ascii="Amiri" w:hAnsi="Amiri" w:eastAsia="Amiri" w:cs="Amiri"/>
          <w:color w:val="111111"/>
          <w:sz w:val="28"/>
          <w:sz w:val="28"/>
          <w:szCs w:val="28"/>
          <w:rtl w:val="true"/>
          <w:lang w:bidi="ar-SA"/>
        </w:rPr>
        <w:t>للقيّم الولاية على الصغير و السفيه، فعليه تربيتهما و تثقيبهما من غير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يحكم به العقل 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يستطع الأب و الجدّ لأن يولّى أمر تربية الطفل فنصبوا و استجاروا له قيّماً ليقوم بها فله الولاية عليه، فلو اضطرّ هذا القيّم إلى ضربه لايجب عليه دفع الدية و تأديتها؛ و هذا معنى ولاية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المربّي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الصغير</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13099830_1280447820"/>
      <w:bookmarkStart w:id="304" w:name="_Toc121"/>
      <w:bookmarkEnd w:id="303"/>
      <w:r>
        <w:rPr/>
        <w:t>6</w:t>
      </w:r>
      <w:r>
        <w:rPr>
          <w:rtl w:val="true"/>
        </w:rPr>
        <w:t xml:space="preserve"> - </w:t>
      </w:r>
      <w:r>
        <w:rPr>
          <w:rtl w:val="true"/>
        </w:rPr>
        <w:t>الولاية على الوقف</w:t>
      </w:r>
      <w:bookmarkEnd w:id="304"/>
    </w:p>
    <w:p>
      <w:pPr>
        <w:pStyle w:val="BookText"/>
        <w:rPr/>
      </w:pPr>
      <w:r>
        <w:rPr>
          <w:rFonts w:ascii="Amiri" w:hAnsi="Amiri" w:eastAsia="Amiri" w:cs="Amiri"/>
          <w:color w:val="111111"/>
          <w:sz w:val="28"/>
          <w:sz w:val="28"/>
          <w:szCs w:val="28"/>
          <w:rtl w:val="true"/>
          <w:lang w:bidi="ar-SA"/>
        </w:rPr>
        <w:t>و هذه الولاية يختصّ بها الواقف، ثمّ من يتولّاه و يستولاه للمحافظة على مورد الوقف، ثمّ الدولة الإسلاميّة</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13099832_1280447820"/>
      <w:bookmarkStart w:id="306" w:name="_Toc122"/>
      <w:bookmarkEnd w:id="305"/>
      <w:r>
        <w:rPr/>
        <w:t>7</w:t>
      </w:r>
      <w:r>
        <w:rPr>
          <w:rtl w:val="true"/>
        </w:rPr>
        <w:t xml:space="preserve"> - </w:t>
      </w:r>
      <w:r>
        <w:rPr>
          <w:rtl w:val="true"/>
        </w:rPr>
        <w:t>ولاية الأب و الجدّ على نكاح الأبكار</w:t>
      </w:r>
      <w:bookmarkEnd w:id="306"/>
    </w:p>
    <w:p>
      <w:pPr>
        <w:pStyle w:val="BookText"/>
        <w:rPr/>
      </w:pPr>
      <w:r>
        <w:rPr>
          <w:rFonts w:ascii="Amiri" w:hAnsi="Amiri" w:eastAsia="Amiri" w:cs="Amiri"/>
          <w:color w:val="111111"/>
          <w:sz w:val="28"/>
          <w:sz w:val="28"/>
          <w:szCs w:val="28"/>
          <w:rtl w:val="true"/>
          <w:lang w:bidi="ar-SA"/>
        </w:rPr>
        <w:t>و هذه ليست ولايةً استقلاليّةً، بل هي ولايةٌ إذنيّةٌ بمعنى انّ انعقاد العقد ترتبط و تتعلّق بإذن البنت، و لكن صحّته موقوفٌ على إذن الأب أو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فلاولاية لهما عليه إلّابعد رضاها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أذنت في النكاح فحينئذٍ تتجدّد الولاية لأبيها أو جدّها عليه</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13099834_1280447820"/>
      <w:bookmarkStart w:id="308" w:name="_Toc123"/>
      <w:bookmarkEnd w:id="307"/>
      <w:r>
        <w:rPr/>
        <w:t>8</w:t>
      </w:r>
      <w:r>
        <w:rPr>
          <w:rtl w:val="true"/>
        </w:rPr>
        <w:t xml:space="preserve"> - </w:t>
      </w:r>
      <w:r>
        <w:rPr>
          <w:rtl w:val="true"/>
        </w:rPr>
        <w:t>ولاية المؤمنين كلٍّ على الآخر في الأمر بالمعروف و النهي عن المنكر</w:t>
      </w:r>
      <w:bookmarkEnd w:id="30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من أقسام الإشراف و المراقبة القوميّة و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bookmarkStart w:id="309" w:name="pg18987_179742"/>
    </w:p>
    <w:p>
      <w:pPr>
        <w:pStyle w:val="BookText"/>
        <w:rPr/>
      </w:pPr>
      <w:bookmarkEnd w:id="309"/>
      <w:r>
        <w:rPr>
          <w:rFonts w:ascii="Amiri" w:hAnsi="Amiri" w:eastAsia="Amiri" w:cs="Amiri"/>
          <w:color w:val="111111"/>
          <w:sz w:val="28"/>
          <w:sz w:val="28"/>
          <w:szCs w:val="28"/>
          <w:rtl w:val="true"/>
          <w:lang w:bidi="ar-SA"/>
        </w:rPr>
        <w:t>فوّض إلى كلّ مؤمنٍ ولايةً على غيره ليكون الأمر بالمعروف و النهي عن المنكر من الموظّف اللازم على كلّ واحدٍ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لهذا ذهب جمعٌ من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صاحب الجواهر</w:t>
      </w:r>
      <w:r>
        <w:rPr>
          <w:rStyle w:val="FootnoteAnchor"/>
          <w:rtl w:val="true"/>
        </w:rPr>
        <w:footnoteReference w:id="183"/>
      </w:r>
      <w:r>
        <w:rPr>
          <w:rFonts w:ascii="Amiri" w:hAnsi="Amiri" w:eastAsia="Amiri" w:cs="Amiri"/>
          <w:color w:val="111111"/>
          <w:sz w:val="28"/>
          <w:sz w:val="28"/>
          <w:szCs w:val="28"/>
          <w:rtl w:val="true"/>
          <w:lang w:bidi="ar-SA"/>
        </w:rPr>
        <w:t xml:space="preserve">و سيّدنا الأستاذ الإمام الخمينيّ </w:t>
      </w:r>
      <w:r>
        <w:rPr>
          <w:rFonts w:eastAsia="Amiri" w:cs="Amiri" w:ascii="Amiri" w:hAnsi="Amiri"/>
          <w:color w:val="111111"/>
          <w:sz w:val="28"/>
          <w:szCs w:val="28"/>
          <w:lang w:bidi="ar-SA"/>
        </w:rPr>
        <w:t>0</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الاستعلاء شرطٌ في تحقّق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فلوأمر و نهى من غير استعلاءٍ فما تحقّقا، و ما سقطت وظيفة الأمر و النهي عن عاتق الآمر و الناهي</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13099836_1280447820"/>
      <w:bookmarkStart w:id="311" w:name="_Toc124"/>
      <w:bookmarkEnd w:id="310"/>
      <w:r>
        <w:rPr/>
        <w:t>9</w:t>
      </w:r>
      <w:r>
        <w:rPr>
          <w:rtl w:val="true"/>
        </w:rPr>
        <w:t xml:space="preserve"> - </w:t>
      </w:r>
      <w:r>
        <w:rPr>
          <w:rtl w:val="true"/>
        </w:rPr>
        <w:t>ولاية المؤمنين على أموال الصغار و على ما يُعدّ من الأمور الحسبيّة</w:t>
      </w:r>
      <w:bookmarkEnd w:id="311"/>
    </w:p>
    <w:p>
      <w:pPr>
        <w:pStyle w:val="BookText"/>
        <w:rPr/>
      </w:pPr>
      <w:r>
        <w:rPr>
          <w:rFonts w:ascii="Amiri" w:hAnsi="Amiri" w:eastAsia="Amiri" w:cs="Amiri"/>
          <w:color w:val="111111"/>
          <w:sz w:val="28"/>
          <w:sz w:val="28"/>
          <w:szCs w:val="28"/>
          <w:rtl w:val="true"/>
          <w:lang w:bidi="ar-SA"/>
        </w:rPr>
        <w:t>سبق منا التوضيح حول الأمور الحسبيّة؛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العنوان يشتمل على كلّ ما لايرضى الشارع بتركه و إهماله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مصاديق القاعدة الحِفاظ على أموال الصغار و 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تتحقّق الدولة الإسلاميّة لتستولىٰ عليها فيجب على جميع المؤمنين القيام بالاحتفاظ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ولاية المؤمنين على أموال الصغار و ما يشبهه من مصاديق قاعدة الحسبة</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13099838_1280447820"/>
      <w:bookmarkStart w:id="313" w:name="_Toc125"/>
      <w:bookmarkEnd w:id="312"/>
      <w:r>
        <w:rPr/>
        <w:t>10</w:t>
      </w:r>
      <w:r>
        <w:rPr>
          <w:rtl w:val="true"/>
        </w:rPr>
        <w:t xml:space="preserve"> - </w:t>
      </w:r>
      <w:r>
        <w:rPr>
          <w:rtl w:val="true"/>
        </w:rPr>
        <w:t>ولاية المولىٰ على العبيد و الإماء</w:t>
      </w:r>
      <w:bookmarkEnd w:id="31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الولاية و إن كانت ثابتةً في فقهنا و لكن بما أنّها سالبةٌ موضوعاً و منتفيةٌ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تعالى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لانفصّل الكلام حولها</w:t>
      </w:r>
      <w:r>
        <w:rPr>
          <w:rFonts w:eastAsia="Amiri" w:cs="Amiri" w:ascii="Amiri" w:hAnsi="Amiri"/>
          <w:color w:val="111111"/>
          <w:sz w:val="28"/>
          <w:szCs w:val="28"/>
          <w:rtl w:val="true"/>
          <w:lang w:bidi="ar-SA"/>
        </w:rPr>
        <w:t xml:space="preserve">. </w:t>
      </w:r>
      <w:bookmarkStart w:id="314" w:name="pg18987_179743"/>
    </w:p>
    <w:p>
      <w:pPr>
        <w:pStyle w:val="Heading6"/>
        <w:numPr>
          <w:ilvl w:val="5"/>
          <w:numId w:val="1"/>
        </w:numPr>
        <w:rPr/>
      </w:pPr>
      <w:bookmarkStart w:id="315" w:name="__RefHeading___Toc13099840_1280447820"/>
      <w:bookmarkStart w:id="316" w:name="_Toc126"/>
      <w:bookmarkEnd w:id="314"/>
      <w:bookmarkEnd w:id="315"/>
      <w:r>
        <w:rPr/>
        <w:t>11</w:t>
      </w:r>
      <w:r>
        <w:rPr>
          <w:rtl w:val="true"/>
        </w:rPr>
        <w:t xml:space="preserve"> - </w:t>
      </w:r>
      <w:r>
        <w:rPr>
          <w:rtl w:val="true"/>
        </w:rPr>
        <w:t>ولاية الزوج على الزوجة</w:t>
      </w:r>
      <w:bookmarkEnd w:id="316"/>
    </w:p>
    <w:p>
      <w:pPr>
        <w:pStyle w:val="BookText"/>
        <w:rPr/>
      </w:pPr>
      <w:r>
        <w:rPr>
          <w:rFonts w:ascii="Amiri" w:hAnsi="Amiri" w:eastAsia="Amiri" w:cs="Amiri"/>
          <w:color w:val="111111"/>
          <w:sz w:val="28"/>
          <w:sz w:val="28"/>
          <w:szCs w:val="28"/>
          <w:rtl w:val="true"/>
          <w:lang w:bidi="ar-SA"/>
        </w:rPr>
        <w:t>و لايحتاج إلى مزيدٍ من البيان انّ هذه الولاية ليست كولاية القيّم على الصغير، بل هي كولاية رئيس المنظّمة أو الديوان على مستخدمه و مأموره و موظّفه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الولاية زيادةً على الشرع يؤيّدها العقل، إذ الرجل بما وُهِبَ له من ذهنٍ جماعيٍّ فعليه أن ينظر في أسرته و أعضائها؛ فله الولاية على زوجته و أبنائه</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13099842_1280447820"/>
      <w:bookmarkStart w:id="318" w:name="_Toc127"/>
      <w:bookmarkEnd w:id="317"/>
      <w:r>
        <w:rPr/>
        <w:t>12</w:t>
      </w:r>
      <w:r>
        <w:rPr>
          <w:rtl w:val="true"/>
        </w:rPr>
        <w:t xml:space="preserve"> - </w:t>
      </w:r>
      <w:r>
        <w:rPr>
          <w:rtl w:val="true"/>
        </w:rPr>
        <w:t>ولاية الفقيه على غيره</w:t>
      </w:r>
      <w:bookmarkEnd w:id="31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رأينا هذا القسم من الولاية أيضاً يُعدّ من أجزاء فهرسة الولايات الثابتة في فقه الإماميّة؛ و يأتي تفصيل الكلام حولها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9" w:name="pg18987_179745"/>
      <w:bookmarkStart w:id="320" w:name="pg18987_179745"/>
      <w:bookmarkEnd w:id="320"/>
    </w:p>
    <w:p>
      <w:pPr>
        <w:pStyle w:val="Heading4"/>
        <w:numPr>
          <w:ilvl w:val="3"/>
          <w:numId w:val="1"/>
        </w:numPr>
        <w:rPr/>
      </w:pPr>
      <w:bookmarkStart w:id="321" w:name="pg18987_179745"/>
      <w:bookmarkStart w:id="322" w:name="__RefHeading___Toc13099844_1280447820"/>
      <w:bookmarkStart w:id="323" w:name="_Toc128"/>
      <w:bookmarkEnd w:id="321"/>
      <w:bookmarkEnd w:id="322"/>
      <w:r>
        <w:rPr>
          <w:rtl w:val="true"/>
        </w:rPr>
        <w:t>المقدّمة التّاسعة الفروق و التباينات بين الولاية و الوكالة</w:t>
      </w:r>
      <w:bookmarkEnd w:id="323"/>
    </w:p>
    <w:p>
      <w:pPr>
        <w:pStyle w:val="Heading5"/>
        <w:numPr>
          <w:ilvl w:val="4"/>
          <w:numId w:val="1"/>
        </w:numPr>
        <w:rPr/>
      </w:pPr>
      <w:bookmarkStart w:id="324" w:name="__RefHeading___Toc13099846_1280447820"/>
      <w:bookmarkStart w:id="325" w:name="_Toc129"/>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ما هو الفاصل و الفارق الجوهريّ الضروريّ بين الاقتراحين الأساسيّين في كيفيّة الدولة؟،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التباين الصميم بين الدولة الاختياريّة الانتخابيّة و الدولة الانتصابيّة؟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الاختلاف عندنا تركّز على مكانة الحاكم في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فمدافعوا الحكومة الاختياريّة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في هذه الحكومة هو الوكيل من قبل الناس للقيام بالحفاظ على أموالهم و أنفسهم</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مدافعوا الحكومة الانتصابيّة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الوليّ، و له الولاية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فنرى انّ الفاصل الجوهريّ بين النظريّتين جعل مدافعي نظريّةٍ إيّاه وكيلاً، و جعل مدافعي نظريّةٍ أخرى إيّاه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الآن أن نفصّل الكلام حول الفروق بين الوكالة و الولاية ليكون الناظر في الرسالة على بصيرةٍ من التباينات بين النظريّتين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13099848_1280447820"/>
      <w:bookmarkStart w:id="327" w:name="_Toc130"/>
      <w:bookmarkEnd w:id="326"/>
      <w:r>
        <w:rPr/>
        <w:t>1</w:t>
      </w:r>
      <w:r>
        <w:rPr>
          <w:rtl w:val="true"/>
        </w:rPr>
        <w:t xml:space="preserve"> - </w:t>
      </w:r>
      <w:r>
        <w:rPr>
          <w:rtl w:val="true"/>
        </w:rPr>
        <w:t>الوكالة عقدٌ، و الولاية حكمٌ‌</w:t>
      </w:r>
      <w:bookmarkEnd w:id="32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انّ الوكالة تُعدّ من العقود، فتنعقد على سبيل المثال بين الناس من جهةٍ و بين الدولة </w:t>
      </w:r>
      <w:bookmarkStart w:id="328" w:name="pg18987_179746"/>
    </w:p>
    <w:p>
      <w:pPr>
        <w:pStyle w:val="BookText"/>
        <w:rPr/>
      </w:pPr>
      <w:bookmarkEnd w:id="328"/>
      <w:r>
        <w:rPr>
          <w:rFonts w:ascii="Amiri" w:hAnsi="Amiri" w:eastAsia="Amiri" w:cs="Amiri"/>
          <w:color w:val="111111"/>
          <w:sz w:val="28"/>
          <w:sz w:val="28"/>
          <w:szCs w:val="28"/>
          <w:rtl w:val="true"/>
          <w:lang w:bidi="ar-SA"/>
        </w:rPr>
        <w:t>من جهةٍ أخرى؛ بينما انّ الولاية تُعدّ من الأحكام الوضعيّة</w:t>
      </w:r>
      <w:r>
        <w:rPr>
          <w:rStyle w:val="FootnoteAnchor"/>
          <w:rtl w:val="true"/>
        </w:rPr>
        <w:footnoteReference w:id="186"/>
      </w:r>
      <w:r>
        <w:rPr>
          <w:rFonts w:ascii="Amiri" w:hAnsi="Amiri" w:eastAsia="Amiri" w:cs="Amiri"/>
          <w:color w:val="111111"/>
          <w:sz w:val="28"/>
          <w:sz w:val="28"/>
          <w:szCs w:val="28"/>
          <w:rtl w:val="true"/>
          <w:lang w:bidi="ar-SA"/>
        </w:rPr>
        <w:t xml:space="preserve">الّتي عيّنها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الدولة الاختياريّة على الناس أن يعيّنوا سعة وظائف الحاكم و ما له من القدرة و السلطة، و لكن في الحكومة الانتصابيّة ليس للناس رأيٌ في هذا، بل ولاية الحاكم الفقيه قد عُيّنت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نفس تلك الولاية و سعتها و جميع ما يرجع إليها</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13099850_1280447820"/>
      <w:bookmarkStart w:id="330" w:name="_Toc131"/>
      <w:bookmarkEnd w:id="329"/>
      <w:r>
        <w:rPr/>
        <w:t>2</w:t>
      </w:r>
      <w:r>
        <w:rPr>
          <w:rtl w:val="true"/>
        </w:rPr>
        <w:t xml:space="preserve"> - </w:t>
      </w:r>
      <w:r>
        <w:rPr>
          <w:rtl w:val="true"/>
        </w:rPr>
        <w:t>الرضا و القبول شرطٌ في الوكالة، لا في الولاية</w:t>
      </w:r>
      <w:bookmarkEnd w:id="330"/>
    </w:p>
    <w:p>
      <w:pPr>
        <w:pStyle w:val="BookText"/>
        <w:rPr/>
      </w:pPr>
      <w:r>
        <w:rPr>
          <w:rFonts w:ascii="Amiri" w:hAnsi="Amiri" w:eastAsia="Amiri" w:cs="Amiri"/>
          <w:color w:val="111111"/>
          <w:sz w:val="28"/>
          <w:sz w:val="28"/>
          <w:szCs w:val="28"/>
          <w:rtl w:val="true"/>
          <w:lang w:bidi="ar-SA"/>
        </w:rPr>
        <w:t>من الواضح الّذي لايحتاج إلى توضيحٍ انّ وكالة الوكيل منوطةٌ برضىٰ الموكّل،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الموكّل و قبوله شرطٌ في وكالته؛ و لكن ليس كذلك في الولاية، كما أجمعت الفقهاء على أنّ عدم رضىٰ الصغير المهجور بولاية أبيه على أمواله لايؤثّر في ولايته، بل الأب له الولاية و إن لم يكن الإبن الصغير راضياً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الرضىٰ و القبول لم يُشترط في الولاية</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13099852_1280447820"/>
      <w:bookmarkStart w:id="332" w:name="_Toc132"/>
      <w:bookmarkEnd w:id="331"/>
      <w:r>
        <w:rPr/>
        <w:t>3</w:t>
      </w:r>
      <w:r>
        <w:rPr>
          <w:rtl w:val="true"/>
        </w:rPr>
        <w:t xml:space="preserve"> - </w:t>
      </w:r>
      <w:r>
        <w:rPr>
          <w:rtl w:val="true"/>
        </w:rPr>
        <w:t>تُعيَّن سعة الوكالة، لا سعة الولاية</w:t>
      </w:r>
      <w:bookmarkEnd w:id="332"/>
    </w:p>
    <w:p>
      <w:pPr>
        <w:pStyle w:val="BookText"/>
        <w:rPr/>
      </w:pPr>
      <w:r>
        <w:rPr>
          <w:rFonts w:ascii="Amiri" w:hAnsi="Amiri" w:eastAsia="Amiri" w:cs="Amiri"/>
          <w:color w:val="111111"/>
          <w:sz w:val="28"/>
          <w:sz w:val="28"/>
          <w:szCs w:val="28"/>
          <w:rtl w:val="true"/>
          <w:lang w:bidi="ar-SA"/>
        </w:rPr>
        <w:t>بمعنى انّ الموكّل يعيّن سعة الوكالة و ما للوكيل من السلطة و المَلْك و الخيار؛ و لكن المولّى عليه لايعيّن سعة ولاية الوليّ و حيطة مشيّته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الوكالة للموكّل التفوّق و الألويّة على الوكيل، فله أن يعيّن سعة سلطته؛ و لكن في الولاية للوليّ التفضيل و الامتياز على المولّى عليه، فلايمكن للمولّى عليه أن يعيّن حيطة مشيّته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3" w:name="__RefHeading___Toc13099854_1280447820"/>
      <w:bookmarkStart w:id="334" w:name="_Toc133"/>
      <w:bookmarkEnd w:id="333"/>
      <w:r>
        <w:rPr/>
        <w:t>4</w:t>
      </w:r>
      <w:r>
        <w:rPr>
          <w:rtl w:val="true"/>
        </w:rPr>
        <w:t xml:space="preserve"> - </w:t>
      </w:r>
      <w:r>
        <w:rPr>
          <w:rtl w:val="true"/>
        </w:rPr>
        <w:t>للموكّل حقّ التصرّف، لاللمولّى عليه</w:t>
      </w:r>
      <w:bookmarkStart w:id="335" w:name="pg18987_179747"/>
      <w:bookmarkEnd w:id="334"/>
    </w:p>
    <w:p>
      <w:pPr>
        <w:pStyle w:val="BookText"/>
        <w:rPr/>
      </w:pPr>
      <w:bookmarkEnd w:id="335"/>
      <w:r>
        <w:rPr>
          <w:rFonts w:ascii="Amiri" w:hAnsi="Amiri" w:eastAsia="Amiri" w:cs="Amiri"/>
          <w:color w:val="111111"/>
          <w:sz w:val="28"/>
          <w:sz w:val="28"/>
          <w:szCs w:val="28"/>
          <w:rtl w:val="true"/>
          <w:lang w:bidi="ar-SA"/>
        </w:rPr>
        <w:t xml:space="preserve">بمعنى انّ الموكّل و لو أعطى لوكيله الوكالة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سبيل المثال استوكله في شراء داره على نحوٍ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له أن يبدي آراءه و أن يتصرّف فيها، فيمكن له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 داري من زيدٍ،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داري بثمن كذا؛ و لكن ليس للمولّى عليه حقّ التصرّف، فلوقال الإبن الصغير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ولّى أمر شراء دار الإبن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داري من زيدٍ، لانفوذ لكلامه، و ليس على الأب أن يقبل كلامه</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13099856_1280447820"/>
      <w:bookmarkStart w:id="337" w:name="_Toc134"/>
      <w:bookmarkEnd w:id="336"/>
      <w:r>
        <w:rPr/>
        <w:t>5</w:t>
      </w:r>
      <w:r>
        <w:rPr>
          <w:rtl w:val="true"/>
        </w:rPr>
        <w:t xml:space="preserve"> - </w:t>
      </w:r>
      <w:r>
        <w:rPr>
          <w:rtl w:val="true"/>
        </w:rPr>
        <w:t>البلوغ سنّ الرشد شرطٌ في الوكالة، لا في الولاية</w:t>
      </w:r>
      <w:bookmarkEnd w:id="337"/>
    </w:p>
    <w:p>
      <w:pPr>
        <w:pStyle w:val="BookText"/>
        <w:rPr/>
      </w:pPr>
      <w:r>
        <w:rPr>
          <w:rFonts w:ascii="Amiri" w:hAnsi="Amiri" w:eastAsia="Amiri" w:cs="Amiri"/>
          <w:color w:val="111111"/>
          <w:sz w:val="28"/>
          <w:sz w:val="28"/>
          <w:szCs w:val="28"/>
          <w:rtl w:val="true"/>
          <w:lang w:bidi="ar-SA"/>
        </w:rPr>
        <w:t>يُشترط في صحّة الوكالة بلوغ الموكّل سنّ الرشد و كونه مدرِكاً راشداً، فلواستوكل مَن لم يبلغ سنّ الرشد أحداً في أمرٍ لايُحكم بصحّة الوكالة، بل بطلانها بديهيٌّ لاريب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فالبلوغ شرطٌ في الوكالة، و لكن ليس كذلك في الولاية؛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فيها بلوغ المولّى عليه سنّ الرشد و كونه مدرِكاً راشداً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أقسام الولاية تدور حول عدم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لعدم الرشد أقسامٌ، و لانعني به عدم بلوغ الناس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سنفصّل الكلام حول معنى ولاية الفقيه على الناس فيما يأتي</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13099858_1280447820"/>
      <w:bookmarkStart w:id="339" w:name="_Toc135"/>
      <w:bookmarkEnd w:id="338"/>
      <w:r>
        <w:rPr/>
        <w:t>6</w:t>
      </w:r>
      <w:r>
        <w:rPr>
          <w:rtl w:val="true"/>
        </w:rPr>
        <w:t xml:space="preserve"> - </w:t>
      </w:r>
      <w:r>
        <w:rPr>
          <w:rtl w:val="true"/>
        </w:rPr>
        <w:t>الإقالة جائزةٌ في الوكالة، لا في الولاية</w:t>
      </w:r>
      <w:bookmarkEnd w:id="339"/>
    </w:p>
    <w:p>
      <w:pPr>
        <w:pStyle w:val="BookText"/>
        <w:rPr/>
      </w:pPr>
      <w:r>
        <w:rPr>
          <w:rFonts w:ascii="Amiri" w:hAnsi="Amiri" w:eastAsia="Amiri" w:cs="Amiri"/>
          <w:color w:val="111111"/>
          <w:sz w:val="28"/>
          <w:sz w:val="28"/>
          <w:szCs w:val="28"/>
          <w:rtl w:val="true"/>
          <w:lang w:bidi="ar-SA"/>
        </w:rPr>
        <w:t>بمعنى أنّ الموكّل يجوز له إقالة الوكالة و عزل الوكيل، و لكن لايجوز للمولّى عليه أن يعزل الوليّ و يُقيل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قلنا ظهر أنّ الوكالة من العقود الجائزة، لا العقود اللازمة</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13099860_1280447820"/>
      <w:bookmarkStart w:id="341" w:name="_Toc136"/>
      <w:bookmarkEnd w:id="340"/>
      <w:r>
        <w:rPr/>
        <w:t>7</w:t>
      </w:r>
      <w:r>
        <w:rPr>
          <w:rtl w:val="true"/>
        </w:rPr>
        <w:t xml:space="preserve"> - </w:t>
      </w:r>
      <w:r>
        <w:rPr>
          <w:rtl w:val="true"/>
        </w:rPr>
        <w:t>الاستفسار و الاستنطاق يجوز في الوكالة، لا في الولاية</w:t>
      </w:r>
      <w:bookmarkEnd w:id="34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انّ الموكّل يستطيع أن يستنطق الوكيل فيما يرتبط بالوكالة، و لكن المولّى عليه لايجوز له استنطاق الوليّ و الاستفسار منه</w:t>
      </w:r>
      <w:r>
        <w:rPr>
          <w:rFonts w:eastAsia="Amiri" w:cs="Amiri" w:ascii="Amiri" w:hAnsi="Amiri"/>
          <w:color w:val="111111"/>
          <w:sz w:val="28"/>
          <w:szCs w:val="28"/>
          <w:rtl w:val="true"/>
          <w:lang w:bidi="ar-SA"/>
        </w:rPr>
        <w:t xml:space="preserve">. </w:t>
      </w:r>
      <w:bookmarkStart w:id="342" w:name="pg18987_179748"/>
    </w:p>
    <w:p>
      <w:pPr>
        <w:pStyle w:val="Heading5"/>
        <w:numPr>
          <w:ilvl w:val="4"/>
          <w:numId w:val="1"/>
        </w:numPr>
        <w:rPr/>
      </w:pPr>
      <w:bookmarkStart w:id="343" w:name="__RefHeading___Toc13099862_1280447820"/>
      <w:bookmarkStart w:id="344" w:name="_Toc137"/>
      <w:bookmarkEnd w:id="342"/>
      <w:bookmarkEnd w:id="343"/>
      <w:r>
        <w:rPr/>
        <w:t>8</w:t>
      </w:r>
      <w:r>
        <w:rPr>
          <w:rtl w:val="true"/>
        </w:rPr>
        <w:t xml:space="preserve"> - </w:t>
      </w:r>
      <w:r>
        <w:rPr>
          <w:rtl w:val="true"/>
        </w:rPr>
        <w:t>الوكالة موقّتةٌ، والولاية دائمةٌ‌</w:t>
      </w:r>
      <w:bookmarkEnd w:id="344"/>
    </w:p>
    <w:p>
      <w:pPr>
        <w:pStyle w:val="BookText"/>
        <w:rPr/>
      </w:pPr>
      <w:r>
        <w:rPr>
          <w:rFonts w:ascii="Amiri" w:hAnsi="Amiri" w:eastAsia="Amiri" w:cs="Amiri"/>
          <w:color w:val="111111"/>
          <w:sz w:val="28"/>
          <w:sz w:val="28"/>
          <w:szCs w:val="28"/>
          <w:rtl w:val="true"/>
          <w:lang w:bidi="ar-SA"/>
        </w:rPr>
        <w:t>بمعنى جواز التوقيت في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للموكّل أن يستوكل أحداً لمدّة سنةٍ أو إلى أن يشتري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الموكّل أو الوكيل دوام الوكالة فيجب التنصيص به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الولاية فهي دائمةٌ لايجوز فيها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الولاية بزوال موردها، فتُفسخ ولاية الوليّ على أموال الصغير بزوال الصغر، أو بفقد المال و انقراضه</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13099864_1280447820"/>
      <w:bookmarkStart w:id="346" w:name="_Toc138"/>
      <w:bookmarkEnd w:id="345"/>
      <w:r>
        <w:rPr/>
        <w:t>9</w:t>
      </w:r>
      <w:r>
        <w:rPr>
          <w:rtl w:val="true"/>
        </w:rPr>
        <w:t xml:space="preserve"> - </w:t>
      </w:r>
      <w:r>
        <w:rPr>
          <w:rtl w:val="true"/>
        </w:rPr>
        <w:t>الموت يبطل الوكالة، لا الولاية</w:t>
      </w:r>
      <w:bookmarkEnd w:id="346"/>
    </w:p>
    <w:p>
      <w:pPr>
        <w:pStyle w:val="BookText"/>
        <w:rPr/>
      </w:pPr>
      <w:r>
        <w:rPr>
          <w:rFonts w:ascii="Amiri" w:hAnsi="Amiri" w:eastAsia="Amiri" w:cs="Amiri"/>
          <w:color w:val="111111"/>
          <w:sz w:val="28"/>
          <w:sz w:val="28"/>
          <w:szCs w:val="28"/>
          <w:rtl w:val="true"/>
          <w:lang w:bidi="ar-SA"/>
        </w:rPr>
        <w:t>بمعنى انّه لومات الموكّل تبطل الوكالة، أمّا لومات المولّى عليه فلاتبطل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عيّن صغيرٌ أحداً لأن يكون وكيلاً في اشتراء داره ثمّ مات هذا الصغير تبطل وكالة الوكيل و ينعزل منها، أمّا ولاية أبيه على أمواله فلاتُفسخ بموته</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13099866_1280447820"/>
      <w:bookmarkStart w:id="348" w:name="_Toc139"/>
      <w:bookmarkEnd w:id="347"/>
      <w:r>
        <w:rPr/>
        <w:t>10</w:t>
      </w:r>
      <w:r>
        <w:rPr>
          <w:rtl w:val="true"/>
        </w:rPr>
        <w:t xml:space="preserve"> - </w:t>
      </w:r>
      <w:r>
        <w:rPr>
          <w:rtl w:val="true"/>
        </w:rPr>
        <w:t>الاختيار في الردّ و القبول ثابتٌ للوكيل، لا للوليّ‌</w:t>
      </w:r>
      <w:bookmarkEnd w:id="348"/>
    </w:p>
    <w:p>
      <w:pPr>
        <w:pStyle w:val="BookText"/>
        <w:rPr/>
      </w:pPr>
      <w:r>
        <w:rPr>
          <w:rFonts w:ascii="Amiri" w:hAnsi="Amiri" w:eastAsia="Amiri" w:cs="Amiri"/>
          <w:color w:val="111111"/>
          <w:sz w:val="28"/>
          <w:sz w:val="28"/>
          <w:szCs w:val="28"/>
          <w:rtl w:val="true"/>
          <w:lang w:bidi="ar-SA"/>
        </w:rPr>
        <w:t>مضت الإشارة في الفارق الأوّل بين الوكيل و الوليّ من هذه الفهرسة إلى أنّ الوكالة من العقود و الولاية من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نزيد عليها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مختارٌ في ردّ الوكالة أو قبولها و في استدامتها أيضاً، و لكن الوليّ لا اختيار له في الردّ و القبول، و لاسيّما لو كانت الولاية متعيّنةً في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لومات الأب فلاخيار للجدّ في قبول الولاية على أموال حفيده و سبطه، بل هو ضروريٌّ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الوكيل فيمكن له أن يقبل الوكالة أو يردّها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تمّت هذه الفهرسة، و هي تشتمل على عشر فاصلٍ بين الوكالة و الولاية و الوكيل و الوليّ؛ و هي تمثّل إحدي الخلافات الرئيسيّة القاعديّة بين الدولة الاختياريّة و الحكومة الانتصابيّة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bookmarkStart w:id="349" w:name="pg18987_179749"/>
    </w:p>
    <w:p>
      <w:pPr>
        <w:pStyle w:val="Heading4"/>
        <w:numPr>
          <w:ilvl w:val="3"/>
          <w:numId w:val="1"/>
        </w:numPr>
        <w:rPr/>
      </w:pPr>
      <w:bookmarkStart w:id="350" w:name="__RefHeading___Toc13099868_1280447820"/>
      <w:bookmarkStart w:id="351" w:name="_Toc140"/>
      <w:bookmarkEnd w:id="349"/>
      <w:bookmarkEnd w:id="350"/>
      <w:r>
        <w:rPr>
          <w:rtl w:val="true"/>
        </w:rPr>
        <w:t>المقدّمة العاشرة الخاتميّة سند الدولة الانتصابيّة</w:t>
      </w:r>
      <w:bookmarkEnd w:id="351"/>
    </w:p>
    <w:p>
      <w:pPr>
        <w:pStyle w:val="BookText"/>
        <w:rPr/>
      </w:pP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في مجتمعٍ اسلاميٍّ صميمٍ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أنّ بعض مدافعي الدولة الاختياريّة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الإنسان أن يتّبع الأنبياء عليهم السلام في ما يرجع إلى الديانة، أمّا فيما يرجع إلى الحكم فعليه أن يتّبع حِجاه و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هو أساس الدولة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 الانتصابيّ فهو في رأينا يمثّل استمرار حكم النبيّ عليه السلام؛ و بما انّ النبيّ صلى الله عليه و آله هو خاتم الرسل و الأنبياء بحيث لايمكن أن يُبعث نبيٌّ بعده، فأحكامه دائميّةٌ لاتوقيت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أحكامه ما يتعلّق بالسطنة و فنّ الحكم و إدارة البلاد، فأحكامه صلى الله عليه و آله في الوالي و الولاية و الحاكم و الحكم أيضاً ثابتةٌ من غير توقيتٍ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فالخاتميّة سند الدولة الانتصابيّة و عونها و هذا الحكم استمرارٌ لها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تدلّ على خاتميّة القرآن بالنسبة إلى الكتب المنزلة أدلّةٌ نقليّةٌ أخرى، و لكن بما أنّها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خارجةٌ عن موضوع هذه الدراسة لانتعرّض لها، و نحيل القارىء الكريم إلى المفصّلات في فنّ الكلام و العقائد الإلهيّة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bookmarkStart w:id="352" w:name="pg18987_179751"/>
    </w:p>
    <w:p>
      <w:pPr>
        <w:pStyle w:val="Heading4"/>
        <w:numPr>
          <w:ilvl w:val="3"/>
          <w:numId w:val="1"/>
        </w:numPr>
        <w:rPr/>
      </w:pPr>
      <w:bookmarkStart w:id="353" w:name="__RefHeading___Toc13099870_1280447820"/>
      <w:bookmarkStart w:id="354" w:name="_Toc141"/>
      <w:bookmarkEnd w:id="352"/>
      <w:bookmarkEnd w:id="353"/>
      <w:r>
        <w:rPr>
          <w:rtl w:val="true"/>
        </w:rPr>
        <w:t>المقدّمة الحادية عشرة وضعة مسألة ولاية الفقيه و مكانتها العلميّة</w:t>
      </w:r>
      <w:bookmarkEnd w:id="354"/>
    </w:p>
    <w:p>
      <w:pPr>
        <w:pStyle w:val="Heading5"/>
        <w:numPr>
          <w:ilvl w:val="4"/>
          <w:numId w:val="1"/>
        </w:numPr>
        <w:rPr/>
      </w:pPr>
      <w:bookmarkStart w:id="355" w:name="__RefHeading___Toc13099872_1280447820"/>
      <w:bookmarkStart w:id="356" w:name="_Toc142"/>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من المباحث المطروحة حول مسألة ولاية الفقيه مبحث وضعتها العلميّة، بمعنى انّ هذه المسألة يجب أن يبحث عنها في أيّ علمٍ من العلوم الإسلاميّة؟؛ أ هي مسألةٌ فقهيّة؟، أم أصوليّةٌ؟، أم كلاميّةٌ؟، أم عرفانيّةٌ؟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الجواب عن هذه المسألة يجب التنبيه على أنّ هذا المبحث لافائدة فيه عمليّة و اجتماعيّة، بل هو من المباحث العلميّة الصرفة الصميمة؛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ككثيرٍ من المسائل يمكن أن يُبحث عنها في شتّى العلوم، و ذلك بتفاوت المشاهد و المناظر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قال الأصوليّون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مسألة التجرّي لها جوانب متعدّدة بها يمكن أن يدارسها الفقيه و الأصوليّ و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لمبحثنا أيضاً مناظر و مرائي متعدّدة نذكر أهمّها</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13099874_1280447820"/>
      <w:bookmarkStart w:id="358" w:name="_Toc143"/>
      <w:bookmarkEnd w:id="357"/>
      <w:r>
        <w:rPr/>
        <w:t>1</w:t>
      </w:r>
      <w:r>
        <w:rPr>
          <w:rtl w:val="true"/>
        </w:rPr>
        <w:t xml:space="preserve"> - </w:t>
      </w:r>
      <w:r>
        <w:rPr>
          <w:rtl w:val="true"/>
        </w:rPr>
        <w:t>المنظر الفقهيّ‌</w:t>
      </w:r>
      <w:bookmarkEnd w:id="35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الفقيه الجامع للشرائط قبول الولاية؟، و هل يجب على غيره امتثال أوامره؟، و هل يجب عليه القيام بأمر الحكومة؟، و 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فالإجابة عن هذه </w:t>
      </w:r>
      <w:bookmarkStart w:id="359" w:name="pg18987_179752"/>
    </w:p>
    <w:p>
      <w:pPr>
        <w:pStyle w:val="BookText"/>
        <w:rPr/>
      </w:pPr>
      <w:bookmarkEnd w:id="359"/>
      <w:r>
        <w:rPr>
          <w:rFonts w:ascii="Amiri" w:hAnsi="Amiri" w:eastAsia="Amiri" w:cs="Amiri"/>
          <w:color w:val="111111"/>
          <w:sz w:val="28"/>
          <w:sz w:val="28"/>
          <w:szCs w:val="28"/>
          <w:rtl w:val="true"/>
          <w:lang w:bidi="ar-SA"/>
        </w:rPr>
        <w:t>الأسؤلة جواباتٌ فقهيّةٌ؛ فللمسألة مشهدٌ فقهيٌّ</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13099876_1280447820"/>
      <w:bookmarkStart w:id="361" w:name="_Toc144"/>
      <w:bookmarkEnd w:id="360"/>
      <w:r>
        <w:rPr/>
        <w:t>2</w:t>
      </w:r>
      <w:r>
        <w:rPr>
          <w:rtl w:val="true"/>
        </w:rPr>
        <w:t xml:space="preserve"> - </w:t>
      </w:r>
      <w:r>
        <w:rPr>
          <w:rtl w:val="true"/>
        </w:rPr>
        <w:t>المنظر الكلاميّ‌</w:t>
      </w:r>
      <w:bookmarkEnd w:id="361"/>
    </w:p>
    <w:p>
      <w:pPr>
        <w:pStyle w:val="BookText"/>
        <w:rPr/>
      </w:pPr>
      <w:r>
        <w:rPr>
          <w:rFonts w:ascii="Amiri" w:hAnsi="Amiri" w:eastAsia="Amiri" w:cs="Amiri"/>
          <w:color w:val="111111"/>
          <w:sz w:val="28"/>
          <w:sz w:val="28"/>
          <w:szCs w:val="28"/>
          <w:rtl w:val="true"/>
          <w:lang w:bidi="ar-SA"/>
        </w:rPr>
        <w:t>لو بحثنا عن المسألة و ما يرتبط بها بما انّها استمرار أصل الإمامة، فالمسألة مسألةٌ 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تتركّز المسألة على الإجابة عن هذا السؤال القاعديّ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الولاية هذه هي استمرار ولاية النبيّ صلى الله عليه و آله و أهل بيته عليهم السلام؟، أم هي مستقلّةٌ لا ارتباط لها بها و لا صلة بينهما؟</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13099878_1280447820"/>
      <w:bookmarkStart w:id="363" w:name="_Toc145"/>
      <w:bookmarkEnd w:id="362"/>
      <w:r>
        <w:rPr/>
        <w:t>3</w:t>
      </w:r>
      <w:r>
        <w:rPr>
          <w:rtl w:val="true"/>
        </w:rPr>
        <w:t xml:space="preserve"> - </w:t>
      </w:r>
      <w:r>
        <w:rPr>
          <w:rtl w:val="true"/>
        </w:rPr>
        <w:t>المنظر التفسيريّ‌</w:t>
      </w:r>
      <w:bookmarkEnd w:id="363"/>
    </w:p>
    <w:p>
      <w:pPr>
        <w:pStyle w:val="BookText"/>
        <w:rPr/>
      </w:pPr>
      <w:r>
        <w:rPr>
          <w:rFonts w:ascii="Amiri" w:hAnsi="Amiri" w:eastAsia="Amiri" w:cs="Amiri"/>
          <w:color w:val="111111"/>
          <w:sz w:val="28"/>
          <w:sz w:val="28"/>
          <w:szCs w:val="28"/>
          <w:rtl w:val="true"/>
          <w:lang w:bidi="ar-SA"/>
        </w:rPr>
        <w:t>يُمكن جعل هذه المسألة من المسائل التفسيريّة لو نُظر إلى كثيرٍ من الآيات القرآنيّة بما له من الارتباط بمسألتنا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ما هو المراد منه، و من هو أولي الأمر؟، و هل يدلّ على ولاية الفقيه؟؛</w:t>
      </w:r>
    </w:p>
    <w:p>
      <w:pPr>
        <w:pStyle w:val="BookText"/>
        <w:rPr/>
      </w:pPr>
      <w:r>
        <w:rPr>
          <w:rFonts w:ascii="Amiri" w:hAnsi="Amiri" w:eastAsia="Amiri" w:cs="Amiri"/>
          <w:color w:val="111111"/>
          <w:sz w:val="28"/>
          <w:sz w:val="28"/>
          <w:szCs w:val="28"/>
          <w:rtl w:val="true"/>
          <w:lang w:bidi="ar-SA"/>
        </w:rPr>
        <w:t>و كذلك لو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لَاتَرْكَنُوا إِلَى الَّذِينَ ظَلَمُوا</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على حرمة تأييد من يدّعي الولاية إزاء الفقيه و أمامه؟؛ فالإجابة عن هذه الأسؤلة إجاباتٌ 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فللمسألة منظرٌ تفسيريٌّ أيضاً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لها مناظر أخرى كالمنظر العرفانيّ، أو الفلسفيّ، أو الأصوليّ‌</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bookmarkStart w:id="364" w:name="pg18987_179753"/>
    </w:p>
    <w:p>
      <w:pPr>
        <w:pStyle w:val="Heading4"/>
        <w:numPr>
          <w:ilvl w:val="3"/>
          <w:numId w:val="1"/>
        </w:numPr>
        <w:rPr/>
      </w:pPr>
      <w:bookmarkStart w:id="365" w:name="__RefHeading___Toc13099880_1280447820"/>
      <w:bookmarkStart w:id="366" w:name="_Toc146"/>
      <w:bookmarkEnd w:id="364"/>
      <w:bookmarkEnd w:id="365"/>
      <w:r>
        <w:rPr>
          <w:rtl w:val="true"/>
        </w:rPr>
        <w:t>المقدّمة الثّانية عشرة الولاء والولاية نظرةٌ لغويّةٌ، قرآنيّةٌ، روائيّةٌ و فقهيّةٌ‌</w:t>
      </w:r>
      <w:bookmarkEnd w:id="366"/>
    </w:p>
    <w:p>
      <w:pPr>
        <w:pStyle w:val="Heading5"/>
        <w:numPr>
          <w:ilvl w:val="4"/>
          <w:numId w:val="1"/>
        </w:numPr>
        <w:rPr/>
      </w:pPr>
      <w:bookmarkStart w:id="367" w:name="__RefHeading___Toc13099882_1280447820"/>
      <w:bookmarkStart w:id="368" w:name="_Toc147"/>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و في هذه المقدّمة نريد أن نبيّن معنى هذه الكلمة حسب ما جاء في مصادر اللغة و الكتاب الكريم و الأحاديث الشريفة و الجوامع الفقهيّة</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13099884_1280447820"/>
      <w:bookmarkStart w:id="370" w:name="_Toc148"/>
      <w:bookmarkEnd w:id="369"/>
      <w:r>
        <w:rPr>
          <w:rtl w:val="true"/>
        </w:rPr>
        <w:t>الوجهة اللغويّة</w:t>
      </w:r>
      <w:r>
        <w:rPr>
          <w:rtl w:val="true"/>
        </w:rPr>
        <w:t>:</w:t>
      </w:r>
      <w:bookmarkEnd w:id="370"/>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الوَِلاء و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الأوّلين و 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القرب بلافصلٍ، كما إذا جلس رجلان بحيث لم يتخلّل بينهما فصلٌ، فهذا ولاءٌ أو ولايةٌ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يشير ما ذكروه من معاني هاتين اللفظتين، كالمحبّة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قربٌ بلافصلٍ بين المحبّ و محبوبه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عدم الفصل بين الحاكم و بين من هو تحت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اللغوييّن من عدّ مأة معنىً لهذه المادّة، و كلّها يشير إلى ماذكرناه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الراغب الأصفهانيّ فإنّه بعد أن نهج هذا المنهج عزا إلى بعضهم القول بأنّ معنى المادّة هو التولّي و الحكم، و انّ ما اشتهر بين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معناه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القرب بلافصلٍ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معناها الوضعيّ، بل هو الشايع في موارد استعمالها</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الرجوع إلى مصادر اللغة يؤيّد قول الراغب، فهذا النهاية</w:t>
      </w:r>
      <w:r>
        <w:rPr>
          <w:rStyle w:val="FootnoteAnchor"/>
          <w:rtl w:val="true"/>
        </w:rPr>
        <w:footnoteReference w:id="193"/>
      </w:r>
      <w:r>
        <w:rPr>
          <w:rFonts w:ascii="IRNazanin" w:hAnsi="IRNazanin" w:eastAsia="IRNazanin"/>
          <w:color w:val="111111"/>
          <w:sz w:val="28"/>
          <w:sz w:val="28"/>
          <w:szCs w:val="28"/>
          <w:rtl w:val="true"/>
          <w:lang w:bidi="fa-IR"/>
        </w:rPr>
        <w:t>و منتهى الإرب</w:t>
      </w:r>
      <w:r>
        <w:rPr>
          <w:rStyle w:val="FootnoteAnchor"/>
          <w:rtl w:val="true"/>
        </w:rPr>
        <w:footnoteReference w:id="194"/>
      </w:r>
      <w:r>
        <w:rPr>
          <w:rFonts w:ascii="Amiri" w:hAnsi="Amiri" w:eastAsia="Amiri" w:cs="Amiri"/>
          <w:color w:val="111111"/>
          <w:sz w:val="28"/>
          <w:sz w:val="28"/>
          <w:szCs w:val="28"/>
          <w:rtl w:val="true"/>
          <w:lang w:bidi="ar-SA"/>
        </w:rPr>
        <w:t>من مصادر المتقدّمين و المتوسّطين، و المنجد</w:t>
      </w:r>
      <w:r>
        <w:rPr>
          <w:rStyle w:val="FootnoteAnchor"/>
          <w:rtl w:val="true"/>
        </w:rPr>
        <w:footnoteReference w:id="195"/>
      </w:r>
      <w:r>
        <w:rPr>
          <w:rFonts w:ascii="IRNazanin" w:hAnsi="IRNazanin" w:eastAsia="IRNazanin"/>
          <w:color w:val="111111"/>
          <w:sz w:val="28"/>
          <w:sz w:val="28"/>
          <w:szCs w:val="28"/>
          <w:rtl w:val="true"/>
          <w:lang w:bidi="fa-IR"/>
        </w:rPr>
        <w:t>و أقرب الموارد</w:t>
      </w:r>
      <w:r>
        <w:rPr>
          <w:rStyle w:val="FootnoteAnchor"/>
          <w:rtl w:val="true"/>
        </w:rPr>
        <w:footnoteReference w:id="196"/>
      </w:r>
      <w:r>
        <w:rPr>
          <w:rFonts w:ascii="Amiri" w:hAnsi="Amiri" w:eastAsia="Amiri" w:cs="Amiri"/>
          <w:color w:val="111111"/>
          <w:sz w:val="28"/>
          <w:sz w:val="28"/>
          <w:szCs w:val="28"/>
          <w:rtl w:val="true"/>
          <w:lang w:bidi="ar-SA"/>
        </w:rPr>
        <w:t>من مسفورات المتأخّرين؛ فقد أجمعت على أنّ معنى المادّة هو القرب بلافصلٍ؛ و أمّا غيره من معانيها فهو من المجاز المستعمل فيه لما بينهما من المناسبة و الارتباط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يبدو لي انّ معنى المادّة وضعاً هو السلطة و الحكم، و أمّا غيره ممّا ذكروه كمعنىً لها فهو من مصاديقه؛</w:t>
      </w:r>
    </w:p>
    <w:p>
      <w:pPr>
        <w:pStyle w:val="BookText"/>
        <w:rPr/>
      </w:pPr>
      <w:r>
        <w:rPr>
          <w:rFonts w:ascii="Amiri" w:hAnsi="Amiri" w:eastAsia="Amiri" w:cs="Amiri"/>
          <w:color w:val="111111"/>
          <w:sz w:val="28"/>
          <w:sz w:val="28"/>
          <w:szCs w:val="28"/>
          <w:rtl w:val="true"/>
          <w:lang w:bidi="ar-SA"/>
        </w:rPr>
        <w:t>فتفسير الولاء بالمحبّة يشير إلى تسلّط المحبّة على فؤاد المحبّ و ضميره؛</w:t>
      </w:r>
    </w:p>
    <w:p>
      <w:pPr>
        <w:pStyle w:val="BookText"/>
        <w:rPr/>
      </w:pPr>
      <w:r>
        <w:rPr>
          <w:rFonts w:ascii="Amiri" w:hAnsi="Amiri" w:eastAsia="Amiri" w:cs="Amiri"/>
          <w:color w:val="111111"/>
          <w:sz w:val="28"/>
          <w:sz w:val="28"/>
          <w:szCs w:val="28"/>
          <w:rtl w:val="true"/>
          <w:lang w:bidi="ar-SA"/>
        </w:rPr>
        <w:t>و تفسيره بالنصرة و المعاونة يشير إلى تسلّط الناصر على المنصور و إجراء حكمه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ذكروه من معنى المادّة المشهور أيضاً ينطبق على ما قلنا، إذ القرب من غير فصلٍ أيضاً يشير إلى سلطة أحد المتقاربين على الآخر؛ إذ الملاصقة الواقعة بينهما نشأت من هذه السلطة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لنا كلامٌ مع اللغوييّن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ذهبوا إليه من ذكر معنى واحدٍ كمعنى حقيقيٍّ للفظةٍ ثمّ عدّوا غيره من معانيها من المعاني المجازيّة، ممّا لايؤيّده العقل، إذ الظاهر انّ الألفاظ وضعت للمعاني العامّة و لتلك المعاني مصاديق تنطبق عليها، و عليه فلامجاز في اللغة رأساً</w:t>
      </w:r>
      <w:r>
        <w:rPr>
          <w:rFonts w:eastAsia="Amiri" w:cs="Amiri" w:ascii="Amiri" w:hAnsi="Amiri"/>
          <w:color w:val="111111"/>
          <w:sz w:val="28"/>
          <w:szCs w:val="28"/>
          <w:rtl w:val="true"/>
          <w:lang w:bidi="ar-SA"/>
        </w:rPr>
        <w:t xml:space="preserve">. </w:t>
      </w:r>
      <w:bookmarkStart w:id="371" w:name="pg18987_179755"/>
    </w:p>
    <w:p>
      <w:pPr>
        <w:pStyle w:val="BookText"/>
        <w:rPr/>
      </w:pPr>
      <w:bookmarkEnd w:id="371"/>
      <w:r>
        <w:rPr>
          <w:rFonts w:ascii="Amiri" w:hAnsi="Amiri" w:eastAsia="Amiri" w:cs="Amiri"/>
          <w:color w:val="111111"/>
          <w:sz w:val="28"/>
          <w:sz w:val="28"/>
          <w:szCs w:val="28"/>
          <w:rtl w:val="true"/>
          <w:lang w:bidi="ar-SA"/>
        </w:rPr>
        <w:t>و لوأردت تطبيق الكلام على ما نحن فيه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مشتقّاتها الولاء و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لمعنى عامٍّ هو الحكم و السلطة؛</w:t>
      </w:r>
    </w:p>
    <w:p>
      <w:pPr>
        <w:pStyle w:val="BookText"/>
        <w:rPr/>
      </w:pPr>
      <w:r>
        <w:rPr>
          <w:rFonts w:ascii="Amiri" w:hAnsi="Amiri" w:eastAsia="Amiri" w:cs="Amiri"/>
          <w:color w:val="111111"/>
          <w:sz w:val="28"/>
          <w:sz w:val="28"/>
          <w:szCs w:val="28"/>
          <w:rtl w:val="true"/>
          <w:lang w:bidi="ar-SA"/>
        </w:rPr>
        <w:t xml:space="preserve">و من مصاديقه القرب من غير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جلس رجلان من غير فصلٍ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المحبّة و الوداد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الحنوّ الواقع بين الأمّ و ولدها و لوكانت بينهما المئات من الفراسخ، و هي الناشئة من حكومة الولد على قلب الوالدة و ضميرها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من استعمال العامّ في الخاصّ،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معنى عامٍّ في مصداقٍ خاصٍّ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فلامجاز في اللغة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قلنا انّ الظاهر انّ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للإشارة إلى معنى كلّيٍّ هو الحكم و السلطة، و أمّا غيره من المعاني الّتي ذكروها كمعاني المادّة المجازيّة فهي مصاديقه و موارد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الوجهة اللغويّة؛</w:t>
      </w:r>
    </w:p>
    <w:p>
      <w:pPr>
        <w:pStyle w:val="Heading5"/>
        <w:numPr>
          <w:ilvl w:val="4"/>
          <w:numId w:val="1"/>
        </w:numPr>
        <w:rPr/>
      </w:pPr>
      <w:bookmarkStart w:id="372" w:name="__RefHeading___Toc13099886_1280447820"/>
      <w:bookmarkStart w:id="373" w:name="_Toc149"/>
      <w:bookmarkEnd w:id="372"/>
      <w:r>
        <w:rPr>
          <w:rtl w:val="true"/>
        </w:rPr>
        <w:t>الوجهة القرآنيّة</w:t>
      </w:r>
      <w:r>
        <w:rPr>
          <w:rtl w:val="true"/>
        </w:rPr>
        <w:t>:</w:t>
      </w:r>
      <w:bookmarkEnd w:id="373"/>
    </w:p>
    <w:p>
      <w:pPr>
        <w:pStyle w:val="BookText"/>
        <w:rPr/>
      </w:pPr>
      <w:r>
        <w:rPr>
          <w:rFonts w:ascii="Amiri" w:hAnsi="Amiri" w:eastAsia="Amiri" w:cs="Amiri"/>
          <w:color w:val="111111"/>
          <w:sz w:val="28"/>
          <w:sz w:val="28"/>
          <w:szCs w:val="28"/>
          <w:rtl w:val="true"/>
          <w:lang w:bidi="ar-SA"/>
        </w:rPr>
        <w:t>فانّ المادّة و ما اشتقّ منها استعمل في هذا الكتاب الكريم ما يناهز مأتين و ثلاثين مورداً؛ و جميع تلك الموارد يشير إلى ما ذكرنا من معناها العامّ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ربّما يتراءى في بادىء النظر من المعاني يجب إرجاعه إليه و جعله من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أشهرها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فانّ الولاية الواقعة بينهم الّتي جعلت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فُسّرت بالمحبّة و التودّد،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بما بينهم من المحبّة و الوداد يأمر بعضهم بعضاً بالمعروف و ينهى بعضهم بعضاً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من مذهب المفسّرين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مضى منّا انّ المحبّة من مصاديق الحكم، فالسلطة الّتي أنشأها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w:t>
      </w:r>
      <w:bookmarkStart w:id="374" w:name="pg18987_179756"/>
    </w:p>
    <w:p>
      <w:pPr>
        <w:pStyle w:val="BookText"/>
        <w:rPr/>
      </w:pPr>
      <w:bookmarkEnd w:id="374"/>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المؤمنين جعلت بعضهم أولياء بعضٍ، و هي نفسها حكمت بوجوب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قرّره سيّدنا الأستاذ الإمام الخميني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مضت منّا الإشارة إلى قوله و فتواه بوجوب كون الآمر بالمعروف آمراً غير متلطّفٍ و ملتمسٍ في أمره، و هكذا الناهي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أكّده أيضاً أستاذنا العلّامة السيّد الطباطبائيّ رحمه الله</w:t>
      </w:r>
      <w:r>
        <w:rPr>
          <w:rStyle w:val="FootnoteAnchor"/>
          <w:rtl w:val="true"/>
        </w:rPr>
        <w:footnoteReference w:id="199"/>
      </w:r>
      <w:r>
        <w:rPr>
          <w:rFonts w:ascii="Amiri" w:hAnsi="Amiri" w:eastAsia="Amiri" w:cs="Amiri"/>
          <w:color w:val="111111"/>
          <w:sz w:val="28"/>
          <w:sz w:val="28"/>
          <w:szCs w:val="28"/>
          <w:rtl w:val="true"/>
          <w:lang w:bidi="ar-SA"/>
        </w:rPr>
        <w:t xml:space="preserve">حيث ألحّ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مذيّلاً على بعض الآي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هذه المادّة لم تستعمل في الكتاب الكريم إلّا و فيها إشارةٌ إلى نوعٍ من الحكم و السلطة؛ و حيث استعملت المادّة مع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فاستعملت في هذا المعنى أيضاً،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و الإعراض يشير إلى الفصل و قطع السلطة الواقعة بين أحدٍ و غيره</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13099888_1280447820"/>
      <w:bookmarkStart w:id="376" w:name="_Toc150"/>
      <w:bookmarkEnd w:id="375"/>
      <w:r>
        <w:rPr>
          <w:rtl w:val="true"/>
        </w:rPr>
        <w:t>الوجهة الروائيّة</w:t>
      </w:r>
      <w:r>
        <w:rPr>
          <w:rtl w:val="true"/>
        </w:rPr>
        <w:t>:</w:t>
      </w:r>
      <w:bookmarkEnd w:id="376"/>
    </w:p>
    <w:p>
      <w:pPr>
        <w:pStyle w:val="BookText"/>
        <w:rPr/>
      </w:pPr>
      <w:r>
        <w:rPr>
          <w:rFonts w:ascii="Amiri" w:hAnsi="Amiri" w:eastAsia="Amiri" w:cs="Amiri"/>
          <w:color w:val="111111"/>
          <w:sz w:val="28"/>
          <w:sz w:val="28"/>
          <w:szCs w:val="28"/>
          <w:rtl w:val="true"/>
          <w:lang w:bidi="ar-SA"/>
        </w:rPr>
        <w:t xml:space="preserve">فمَن تأمّل في موارد استعمال اللفظة في المصادر الروائيّة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منها و المتأخّرة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يرى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لاسيّما في الأحاديث المتعلّقة بالاعتقادات، الباحثة عنها و الكاشفة عن خفيّاتها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استعملت في معنى الحكم و السلطة أيضاً؛ منها ما ذكره الشيخ الكلينيّ رحمه الله في قسم الأصول من جامعه الكافي</w:t>
      </w:r>
      <w:r>
        <w:rPr>
          <w:rStyle w:val="FootnoteAnchor"/>
          <w:rtl w:val="true"/>
        </w:rPr>
        <w:footnoteReference w:id="200"/>
      </w:r>
      <w:r>
        <w:rPr>
          <w:rFonts w:ascii="Amiri" w:hAnsi="Amiri" w:eastAsia="Amiri" w:cs="Amiri"/>
          <w:color w:val="111111"/>
          <w:sz w:val="28"/>
          <w:sz w:val="28"/>
          <w:szCs w:val="28"/>
          <w:rtl w:val="true"/>
          <w:lang w:bidi="ar-SA"/>
        </w:rPr>
        <w:t>في بابٍ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فيه عنهم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 الصوم، و الحجّ، 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يناد بشيءٍ كما نودي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صحيحةٌ سنداً؛ و مضمونها يعدّ من المتواترات، إذ هذا المضمون ورد في كثيرٍ من مصادر القوم الروائيّة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الجدير بالذكر هيهنا ما كان سيّدنا الأستاذ الإمام الخمينيّ رحمه الله ينقله عن شيخه و </w:t>
      </w:r>
    </w:p>
    <w:p>
      <w:pPr>
        <w:pStyle w:val="BookText"/>
        <w:rPr/>
      </w:pPr>
      <w:r>
        <w:rPr>
          <w:rFonts w:ascii="Amiri" w:hAnsi="Amiri" w:eastAsia="Amiri" w:cs="Amiri"/>
          <w:color w:val="111111"/>
          <w:sz w:val="28"/>
          <w:sz w:val="28"/>
          <w:szCs w:val="28"/>
          <w:rtl w:val="true"/>
          <w:lang w:bidi="ar-SA"/>
        </w:rPr>
        <w:t>أستاذه العلّامة الأصفهانيّ الشاه آباديّ من القول بأنّ الولاية الواردة في الحديث هي بفتح الأوّل، و معناها المحبّة، لا الحكومة؛ قال رحمه الله في محكيّ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الولاية بكسر الأوّل وردت بمعنى الحكومة، و بفتح الأوّل بمعنى المحبّة و الوداد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المذكور في الحديث هو الثّاني</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 عليه بأنّ الولاية بمعنى الحكومة تُعدّ من الأصول، لا من الفروع؛ بينما وحدة السياق تحكم بأنّ الوارد في الحديث هو من فروع الدين لا أصوله، إذ الصلاة و الزكاة و الصوم و الحجّ كلّها من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المجمع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فالولاية أيضاً من الفروع، فهي بفتح الأوّل بمعنى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المحبّة الواقعة بين المؤمنين هي الّتي تحكم بوجوب جريان الأمر بالمعروف و النهي عن المنكر في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أيضاً من فروع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كلامه رحمه الله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فروع الدين عشرٌ لاثمان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الولاية الواردة في الحديث مفتوحة الأوّل، و معناها المحبّة و الودّ، إذ الولاية بمعنى الحكم هي من أصول المذهب لا من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رحمه الله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بوجود الفرق بين اللفظة حالكونها مفتوحة الأوّل و بينها لو كان مجروراً ممّا لم نعثر له على نصٍّ من اللغويّين</w:t>
      </w:r>
      <w:r>
        <w:rPr>
          <w:rStyle w:val="FootnoteAnchor"/>
          <w:rtl w:val="true"/>
        </w:rPr>
        <w:footnoteReference w:id="202"/>
      </w:r>
      <w:r>
        <w:rPr>
          <w:rFonts w:ascii="Amiri" w:hAnsi="Amiri" w:eastAsia="Amiri" w:cs="Amiri"/>
          <w:color w:val="111111"/>
          <w:sz w:val="28"/>
          <w:sz w:val="28"/>
          <w:szCs w:val="28"/>
          <w:rtl w:val="true"/>
          <w:lang w:bidi="ar-SA"/>
        </w:rPr>
        <w:t>، بل لم تساعده اطلاقاتهم حينما سردوا معانيها؛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الرواية هي بمعنى المحبّة حسنٌ، بل هو تعبيرٌ </w:t>
      </w:r>
    </w:p>
    <w:p>
      <w:pPr>
        <w:pStyle w:val="BookText"/>
        <w:rPr/>
      </w:pPr>
      <w:r>
        <w:rPr>
          <w:rFonts w:ascii="Amiri" w:hAnsi="Amiri" w:eastAsia="Amiri" w:cs="Amiri"/>
          <w:color w:val="111111"/>
          <w:sz w:val="28"/>
          <w:sz w:val="28"/>
          <w:szCs w:val="28"/>
          <w:rtl w:val="true"/>
          <w:lang w:bidi="ar-SA"/>
        </w:rPr>
        <w:t>لطيفٌ و تحكم بحسنه وحدة السياق في الكلام، و هذا ممّا لاكلام فيه؛</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التعبير مع جودته و حسنه لايوافق غيرها من أحاديث الباب، إذ الظاهر من الجميع كون الولاية بمعنى الحكومة الّتي هي شأنٌ من شؤون الإمامة لا بمعنى المودّة و الحنوّ و الشفقة، و هذا منصوصٌ 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تلك الروايات ما رواه الكلينيّ رحمه الله</w:t>
      </w:r>
      <w:r>
        <w:rPr>
          <w:rStyle w:val="FootnoteAnchor"/>
          <w:rtl w:val="true"/>
        </w:rPr>
        <w:footnoteReference w:id="203"/>
      </w:r>
      <w:r>
        <w:rPr>
          <w:rFonts w:ascii="Amiri" w:hAnsi="Amiri" w:eastAsia="Amiri" w:cs="Amiri"/>
          <w:color w:val="111111"/>
          <w:sz w:val="28"/>
          <w:sz w:val="28"/>
          <w:szCs w:val="28"/>
          <w:rtl w:val="true"/>
          <w:lang w:bidi="ar-SA"/>
        </w:rPr>
        <w:t>في نفس الباب، 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و عبداللّه بن الصلت جميعاً عن حمادّ بن عيسى عن حريز بن عبداللّه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 الزكاة، و الحجّ، و الصوم، و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من ذلك أفضل؟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أفضل، لأنّها مفتاحهنّ و الوالي هو الدليل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ذروة الأمر و سنامه و مفتاحه و باب الأشياء و رضا الرحمن الطاعة للإمام بعد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 وَ مَنْ تَوَلَّى فَمَا أَرْسَلْنَاكَ عَلَيْهِمْ حَفِيظاً</w:t>
      </w:r>
      <w:r>
        <w:rPr>
          <w:rFonts w:eastAsia="Amiri" w:cs="Amiri" w:ascii="Amiri" w:hAnsi="Amiri"/>
          <w:color w:val="111111"/>
          <w:sz w:val="28"/>
          <w:szCs w:val="28"/>
          <w:rtl w:val="true"/>
          <w:lang w:bidi="ar-SA"/>
        </w:rPr>
        <w:t>»</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أنّ رجلاً قام ليله و صام نهاره و تصدّق بجميع ماله و حجّ جميع دهره و لم يعرف ولاية وليّ اللّه فيواليه و يكون جميع أعماله بدلالته إليه ما كان له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في ثوابه، و لا كان من أهل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المحسن منهم يدخله اللّه الجنّة بفضل رحمته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صدر الحديث يوافق ما ذهب إليه الشيخ العارف الشاه آباديّ رحمه الله، إذ السياق سياق سرد الفروع لا الأصول؛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الوالي هو الدليل عليهنّ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xml:space="preserve">: «... </w:t>
      </w:r>
      <w:bookmarkStart w:id="377" w:name="pg18987_179759"/>
    </w:p>
    <w:p>
      <w:pPr>
        <w:pStyle w:val="BookText"/>
        <w:rPr/>
      </w:pPr>
      <w:bookmarkEnd w:id="377"/>
      <w:r>
        <w:rPr>
          <w:rFonts w:ascii="Amiri" w:hAnsi="Amiri" w:eastAsia="Amiri" w:cs="Amiri"/>
          <w:color w:val="111111"/>
          <w:sz w:val="28"/>
          <w:sz w:val="28"/>
          <w:szCs w:val="28"/>
          <w:rtl w:val="true"/>
          <w:lang w:bidi="ar-SA"/>
        </w:rPr>
        <w:t>الطاعة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فصريحان في كون الولاية بمعنى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مختتم كلامه عليه السلام أيضاً ما يدلّ عليه دلالةً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أصرح منه ما في غيرها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يناد بشيءٍ ما نودي بالولاية يوم الغدير</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ينادي بأعلى صوته بأنّ الولاية هي الإمامة لاالخلّة و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أمرٌ قد حارت فيه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وحدة السياق تحكم بصحّة قوله رحمه الله و انضمام غيرها من الروايات إليها يحكم بالغاء قوله و تزييفه</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13099890_1280447820"/>
      <w:bookmarkStart w:id="379" w:name="_Toc151"/>
      <w:bookmarkEnd w:id="378"/>
      <w:r>
        <w:rPr>
          <w:rtl w:val="true"/>
        </w:rPr>
        <w:t>الوجهة الفقهيّة</w:t>
      </w:r>
      <w:r>
        <w:rPr>
          <w:rtl w:val="true"/>
        </w:rPr>
        <w:t>:</w:t>
      </w:r>
      <w:bookmarkEnd w:id="37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فكون الولاية بمعنى الحكم و السلطة فممّا لاريب فيه و لاشبهة تعتريه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جوامعنا الفقهيّة لايوجد فيها كون الولاية بمعنى المحبّة أو غيرها من معانيها و لامورداً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فنرى مثلاً انّ اللفظة وردت في العروة الوثقى ما يقرب من ستّةٍ و ثمانين مورداً</w:t>
      </w:r>
      <w:r>
        <w:rPr>
          <w:rStyle w:val="FootnoteAnchor"/>
          <w:rtl w:val="true"/>
        </w:rPr>
        <w:footnoteReference w:id="206"/>
      </w:r>
      <w:r>
        <w:rPr>
          <w:rFonts w:ascii="Amiri" w:hAnsi="Amiri" w:eastAsia="Amiri" w:cs="Amiri"/>
          <w:color w:val="111111"/>
          <w:sz w:val="28"/>
          <w:sz w:val="28"/>
          <w:szCs w:val="28"/>
          <w:rtl w:val="true"/>
          <w:lang w:bidi="ar-SA"/>
        </w:rPr>
        <w:t>، و لم يوجد في تلك الموارد حتّى موردٍ واحدٍ يخالف ما ذهبنا إليه؛ منها قولهم بثبوت الولاية للحاكم على إقامة الجمعة؛ و إقامة العيد؛ و على رؤية الهلال؛ و على اجبار الناس في أمر الحجّ لوتركوه جميعاً؛ و على تصدّي الأنفال؛ و على تولية المغانم و تقسيم الغنائم؛ و على تصدّى القضاء و إجراء الحدود و التعزيرات و الديات؛ و على الحكم بالطلاق لوغاب الزوج مدّةً بلغت حدّ الطلاق؛ و على الحكم بازالة الخمر و تعزير من توجد عنده؛ و على تجهيز الميّت مع فقد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الموارد الكثيرة الّتي تبلغ حدّ المئات بالنظر في جوامعنا المبسوطة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فتلخّص ممّا قلنا انّ معنى لفظة الولاية العامّ الموضوع لها هي الحكومة و السلطة؛ و ما ذُكر من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كالمحبّة و الخلّة، أو النصرة و المعاونة، أو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مصاديقه لامعانيها المجازيّة؛</w:t>
      </w:r>
    </w:p>
    <w:p>
      <w:pPr>
        <w:pStyle w:val="BookText"/>
        <w:rPr/>
      </w:pPr>
      <w:r>
        <w:rPr>
          <w:rFonts w:ascii="Amiri" w:hAnsi="Amiri" w:eastAsia="Amiri" w:cs="Amiri"/>
          <w:color w:val="111111"/>
          <w:sz w:val="28"/>
          <w:sz w:val="28"/>
          <w:szCs w:val="28"/>
          <w:rtl w:val="true"/>
          <w:lang w:bidi="ar-SA"/>
        </w:rPr>
        <w:t>و انّ الولاية لم ترد في الكتاب الكريم إلّامشيرةً إلى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أصرّ عليه بعض أساتذتنا كالإمام الخمينيّ رحمه الله و الأستاذ العلّامة الطباطبائيّ رحمه الله؛</w:t>
      </w:r>
    </w:p>
    <w:p>
      <w:pPr>
        <w:pStyle w:val="BookText"/>
        <w:rPr/>
      </w:pPr>
      <w:r>
        <w:rPr>
          <w:rFonts w:ascii="Amiri" w:hAnsi="Amiri" w:eastAsia="Amiri" w:cs="Amiri"/>
          <w:color w:val="111111"/>
          <w:sz w:val="28"/>
          <w:sz w:val="28"/>
          <w:szCs w:val="28"/>
          <w:rtl w:val="true"/>
          <w:lang w:bidi="ar-SA"/>
        </w:rPr>
        <w:t>و في الأحاديث العقائديّة أيضاً لم ترد إلّافيه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غيرها من الأحاديث فوردت قليلاً في غيره من مصاديق معناها العامّ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كالمحبّة و النصرة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الفقه فلم يوجد و لومورداً واحداً لاستعمال المادّة في غير هذا المعنى، و جميع هذا تشهد لصحّته موارد استعمال اللفظة في الكتاب و السنّة و مسفورات الفقهاء</w:t>
      </w:r>
      <w:r>
        <w:rPr>
          <w:rFonts w:eastAsia="Amiri" w:cs="Amiri" w:ascii="Amiri" w:hAnsi="Amiri"/>
          <w:color w:val="111111"/>
          <w:sz w:val="28"/>
          <w:szCs w:val="28"/>
          <w:rtl w:val="true"/>
          <w:lang w:bidi="ar-SA"/>
        </w:rPr>
        <w:t>.</w:t>
      </w:r>
      <w:bookmarkStart w:id="380" w:name="pg18987_179761"/>
    </w:p>
    <w:p>
      <w:pPr>
        <w:pStyle w:val="Heading4"/>
        <w:numPr>
          <w:ilvl w:val="3"/>
          <w:numId w:val="1"/>
        </w:numPr>
        <w:rPr/>
      </w:pPr>
      <w:bookmarkStart w:id="381" w:name="__RefHeading___Toc13099892_1280447820"/>
      <w:bookmarkStart w:id="382" w:name="_Toc152"/>
      <w:bookmarkEnd w:id="380"/>
      <w:bookmarkEnd w:id="381"/>
      <w:r>
        <w:rPr>
          <w:rtl w:val="true"/>
        </w:rPr>
        <w:t>المقدّمة الثّالثة عشرة بحثٌ ثبوتيٌّ حول حدود المسألة</w:t>
      </w:r>
      <w:bookmarkEnd w:id="382"/>
    </w:p>
    <w:p>
      <w:pPr>
        <w:pStyle w:val="Heading5"/>
        <w:numPr>
          <w:ilvl w:val="4"/>
          <w:numId w:val="1"/>
        </w:numPr>
        <w:rPr/>
      </w:pPr>
      <w:bookmarkStart w:id="383" w:name="__RefHeading___Toc13099894_1280447820"/>
      <w:bookmarkStart w:id="384" w:name="_Toc153"/>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في رأينا هذا المبحث هو المبحث الأخير من المباحث التمهيديّة، و بعد الفراغ منه نفصّل الكلام حول أدلّة الولاية للفقيه الجامع لشرائط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في الأدلّة يجب علينا أن نبيّن مُطالَباتنا و دعاوينا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لايخلو عن فائدةٍ، بل له أهمّيّةٌ بالغةٌ، ليكون القاريء على بصيرةٍ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الفهرسة تشتمل على تلك الدعاوي</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13099896_1280447820"/>
      <w:bookmarkStart w:id="386" w:name="_Toc154"/>
      <w:bookmarkEnd w:id="385"/>
      <w:r>
        <w:rPr/>
        <w:t>1</w:t>
      </w:r>
      <w:r>
        <w:rPr>
          <w:rtl w:val="true"/>
        </w:rPr>
        <w:t xml:space="preserve"> - </w:t>
      </w:r>
      <w:r>
        <w:rPr>
          <w:rtl w:val="true"/>
        </w:rPr>
        <w:t>الدعوى الأولىٰ‌</w:t>
      </w:r>
      <w:bookmarkEnd w:id="386"/>
    </w:p>
    <w:p>
      <w:pPr>
        <w:pStyle w:val="BookText"/>
        <w:rPr/>
      </w:pPr>
      <w:r>
        <w:rPr>
          <w:rFonts w:ascii="Amiri" w:hAnsi="Amiri" w:eastAsia="Amiri" w:cs="Amiri"/>
          <w:color w:val="111111"/>
          <w:sz w:val="28"/>
          <w:sz w:val="28"/>
          <w:szCs w:val="28"/>
          <w:rtl w:val="true"/>
          <w:lang w:bidi="ar-SA"/>
        </w:rPr>
        <w:t xml:space="preserve">القول بأنّ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هذه الولاية إلى الفقيه، فهو منصوبٌ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ندّعي انّ ولاية الفقيه هي استمرار ولاية أهل البيت عليهم السلام، و ولايتهم استمرار ولاية الرسول صلى الله عليه و آله، و ولايته صلى الله عليه و آله استمرار ولاية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تعيين المصداق؛ و سنبحث عنه</w:t>
      </w:r>
      <w:r>
        <w:rPr>
          <w:rFonts w:eastAsia="Amiri" w:cs="Amiri" w:ascii="Amiri" w:hAnsi="Amiri"/>
          <w:color w:val="111111"/>
          <w:sz w:val="28"/>
          <w:szCs w:val="28"/>
          <w:rtl w:val="true"/>
          <w:lang w:bidi="ar-SA"/>
        </w:rPr>
        <w:t xml:space="preserve">. </w:t>
      </w:r>
      <w:bookmarkStart w:id="387" w:name="pg18987_179762"/>
    </w:p>
    <w:p>
      <w:pPr>
        <w:pStyle w:val="Heading5"/>
        <w:numPr>
          <w:ilvl w:val="4"/>
          <w:numId w:val="1"/>
        </w:numPr>
        <w:rPr/>
      </w:pPr>
      <w:bookmarkStart w:id="388" w:name="__RefHeading___Toc13099898_1280447820"/>
      <w:bookmarkStart w:id="389" w:name="_Toc155"/>
      <w:bookmarkEnd w:id="387"/>
      <w:bookmarkEnd w:id="388"/>
      <w:r>
        <w:rPr/>
        <w:t>2</w:t>
      </w:r>
      <w:r>
        <w:rPr>
          <w:rtl w:val="true"/>
        </w:rPr>
        <w:t xml:space="preserve"> - </w:t>
      </w:r>
      <w:r>
        <w:rPr>
          <w:rtl w:val="true"/>
        </w:rPr>
        <w:t>الدعوى الثّانية</w:t>
      </w:r>
      <w:bookmarkEnd w:id="389"/>
    </w:p>
    <w:p>
      <w:pPr>
        <w:pStyle w:val="BookText"/>
        <w:rPr/>
      </w:pPr>
      <w:r>
        <w:rPr>
          <w:rFonts w:ascii="Amiri" w:hAnsi="Amiri" w:eastAsia="Amiri" w:cs="Amiri"/>
          <w:color w:val="111111"/>
          <w:sz w:val="28"/>
          <w:sz w:val="28"/>
          <w:szCs w:val="28"/>
          <w:rtl w:val="true"/>
          <w:lang w:bidi="ar-SA"/>
        </w:rPr>
        <w:t>القول بأنّ الواجبات و التكاليف الّتي كانت على عاتق أهل البيت عليهم السلام كلّها ثابتةٌ على عاتق الفقيه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الولاية التشريعيّة كانت من واجباتهم عليهم السلام، فهي الآن على عاتق الفقيه من غير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ولاية الفقيه المطلقة</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13099900_1280447820"/>
      <w:bookmarkStart w:id="391" w:name="_Toc156"/>
      <w:bookmarkEnd w:id="390"/>
      <w:r>
        <w:rPr/>
        <w:t>3</w:t>
      </w:r>
      <w:r>
        <w:rPr>
          <w:rtl w:val="true"/>
        </w:rPr>
        <w:t xml:space="preserve"> - </w:t>
      </w:r>
      <w:r>
        <w:rPr>
          <w:rtl w:val="true"/>
        </w:rPr>
        <w:t>الدعوى الثّالثة</w:t>
      </w:r>
      <w:bookmarkEnd w:id="391"/>
    </w:p>
    <w:p>
      <w:pPr>
        <w:pStyle w:val="BookText"/>
        <w:rPr/>
      </w:pPr>
      <w:r>
        <w:rPr>
          <w:rFonts w:ascii="Amiri" w:hAnsi="Amiri" w:eastAsia="Amiri" w:cs="Amiri"/>
          <w:color w:val="111111"/>
          <w:sz w:val="28"/>
          <w:sz w:val="28"/>
          <w:szCs w:val="28"/>
          <w:rtl w:val="true"/>
          <w:lang w:bidi="ar-SA"/>
        </w:rPr>
        <w:t>القول بأنّ ولاية الفقيه تُعدّ من الأحكام الأوّليّة، فهي كالصلاة و الصوم و غيرهما من الفرائض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هذه الولاية من الأحكام الثانويّة الّتي تختصّ بزمنٍ دون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كزمن الهَرَج و الاضطراب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 من الأحكام الأوّليّة الّتي شُرّعت لجميع الأعصار و الأمصار</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13099902_1280447820"/>
      <w:bookmarkStart w:id="393" w:name="_Toc157"/>
      <w:bookmarkEnd w:id="392"/>
      <w:r>
        <w:rPr/>
        <w:t>4</w:t>
      </w:r>
      <w:r>
        <w:rPr>
          <w:rtl w:val="true"/>
        </w:rPr>
        <w:t xml:space="preserve"> - </w:t>
      </w:r>
      <w:r>
        <w:rPr>
          <w:rtl w:val="true"/>
        </w:rPr>
        <w:t>الدعوى الرّابعة</w:t>
      </w:r>
      <w:bookmarkEnd w:id="393"/>
    </w:p>
    <w:p>
      <w:pPr>
        <w:pStyle w:val="BookText"/>
        <w:rPr/>
      </w:pPr>
      <w:r>
        <w:rPr>
          <w:rFonts w:ascii="Amiri" w:hAnsi="Amiri" w:eastAsia="Amiri" w:cs="Amiri"/>
          <w:color w:val="111111"/>
          <w:sz w:val="28"/>
          <w:sz w:val="28"/>
          <w:szCs w:val="28"/>
          <w:rtl w:val="true"/>
          <w:lang w:bidi="ar-SA"/>
        </w:rPr>
        <w:t>القول بثبوت الولاية للفقيه على تغيير عناوين الأحكام لوكانت هناك مفسدةٌ و مصلحةٌ 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فللفقيه بما له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مضت الإشارة إلى أنّ ولايته من الأحكام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بتغيير عناوين الأحكام لوتقتضيه مصلحةٌ أو مفسدةٌ تامّةٌ ملزمةٌ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صدر عن الميرزه الشيرازيّ الكبير رحمه الله بالنسبة إلى حرمة التنباك و من سيّدنا الأستاذ الإمام الخمينيّ رحمه الله بالنسبة إلى عطلة الحجّ يُعدّ من هذا القبيل</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13099904_1280447820"/>
      <w:bookmarkStart w:id="395" w:name="_Toc158"/>
      <w:bookmarkEnd w:id="394"/>
      <w:r>
        <w:rPr/>
        <w:t>5</w:t>
      </w:r>
      <w:r>
        <w:rPr>
          <w:rtl w:val="true"/>
        </w:rPr>
        <w:t xml:space="preserve"> - </w:t>
      </w:r>
      <w:r>
        <w:rPr>
          <w:rtl w:val="true"/>
        </w:rPr>
        <w:t>الدعوى الخامسة</w:t>
      </w:r>
      <w:bookmarkEnd w:id="39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بوجوب نصب الوليّ جميع الولاة و الحكّام في نظام الحكم بواسطةٍ أو بلاواسطةٍ</w:t>
      </w:r>
      <w:r>
        <w:rPr>
          <w:rFonts w:eastAsia="Amiri" w:cs="Amiri" w:ascii="Amiri" w:hAnsi="Amiri"/>
          <w:color w:val="111111"/>
          <w:sz w:val="28"/>
          <w:szCs w:val="28"/>
          <w:rtl w:val="true"/>
          <w:lang w:bidi="ar-SA"/>
        </w:rPr>
        <w:t xml:space="preserve">. </w:t>
      </w:r>
      <w:bookmarkStart w:id="396" w:name="pg18987_179763"/>
    </w:p>
    <w:p>
      <w:pPr>
        <w:pStyle w:val="BookText"/>
        <w:rPr/>
      </w:pPr>
      <w:bookmarkEnd w:id="396"/>
      <w:r>
        <w:rPr>
          <w:rFonts w:ascii="Amiri" w:hAnsi="Amiri" w:eastAsia="Amiri" w:cs="Amiri"/>
          <w:color w:val="111111"/>
          <w:sz w:val="28"/>
          <w:sz w:val="28"/>
          <w:szCs w:val="28"/>
          <w:rtl w:val="true"/>
          <w:lang w:bidi="ar-SA"/>
        </w:rPr>
        <w:t xml:space="preserve">فعلى سبيل المثال إذا اختار الناس الرئيس الجمهوريّة فعلى الوليّ تنفيذ حكمه، فهو منصوبٌ من قِبله، و كذلك في من يلي القوّة القضائيّة؛ و مثلهما غيرهما من 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كالوزراء و العمّال على البلاد و مديري الفروع و المتصرّفين و قائدي القوّاة المسلّحة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السرّ فيه ما مضت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سنعود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لمن عيّنه لهذا المسند و فوّضه إليه، و هو الفقيه الوليّ؛ فولاية جميع الولاة ملزوقةٌ و مقرونةٌ بولايته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ينصبهم في مناصبهم ليكون حكمهم حكماً إلهيّاً و لايعدّون من الطواغيت</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13099906_1280447820"/>
      <w:bookmarkStart w:id="398" w:name="_Toc159"/>
      <w:bookmarkEnd w:id="397"/>
      <w:r>
        <w:rPr/>
        <w:t>6</w:t>
      </w:r>
      <w:r>
        <w:rPr>
          <w:rtl w:val="true"/>
        </w:rPr>
        <w:t xml:space="preserve"> - </w:t>
      </w:r>
      <w:r>
        <w:rPr>
          <w:rtl w:val="true"/>
        </w:rPr>
        <w:t>الدعوى السادسة</w:t>
      </w:r>
      <w:bookmarkEnd w:id="398"/>
    </w:p>
    <w:p>
      <w:pPr>
        <w:pStyle w:val="BookText"/>
        <w:rPr/>
      </w:pPr>
      <w:r>
        <w:rPr>
          <w:rFonts w:ascii="Amiri" w:hAnsi="Amiri" w:eastAsia="Amiri" w:cs="Amiri"/>
          <w:color w:val="111111"/>
          <w:sz w:val="28"/>
          <w:sz w:val="28"/>
          <w:szCs w:val="28"/>
          <w:rtl w:val="true"/>
          <w:lang w:bidi="ar-SA"/>
        </w:rPr>
        <w:t xml:space="preserve">القول بأنّه لايقدر أحدٌ على نصب الفقيه الوليّ و لا على عزله، إذ ولاية الفقهاء مفوّضةٌ إليهم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فتمّت فيهم مرحلتى الاقتضاء و الانشاء، و ليس على أعضاء مجلس الخبراء و البارعين إلّاأن يكشفوا عن الأصلح لهذا المنصب، و بهذا الكشف تتمّ فيه مرحلة الفعليّة فيجلس على عرش الحكم العالى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الوليّ منصوباً من قبلهم فليس لهم و لالغيرهم عزله عن مسنده و رفضه منه، إذ ليست ولايته معطاةً من قبلهم حتّى يرجعوا إلى ما أعطوه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سنبحث عن شرائط لايجوز للوليّ تولية الأمر إلّاباتّصافه بها، و لو أخلّ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من منصبه و ليس له إذاً على الناس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سنفصّل الكلام حولها</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13099908_1280447820"/>
      <w:bookmarkStart w:id="400" w:name="_Toc160"/>
      <w:bookmarkEnd w:id="399"/>
      <w:r>
        <w:rPr/>
        <w:t>7</w:t>
      </w:r>
      <w:r>
        <w:rPr>
          <w:rtl w:val="true"/>
        </w:rPr>
        <w:t xml:space="preserve"> - </w:t>
      </w:r>
      <w:r>
        <w:rPr>
          <w:rtl w:val="true"/>
        </w:rPr>
        <w:t>الدعوى السابعة</w:t>
      </w:r>
      <w:bookmarkEnd w:id="40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بوجوب الطاعة عنه في جميع ما يأمر به و ينهى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كما يجري على آحاد </w:t>
      </w:r>
      <w:bookmarkStart w:id="401" w:name="pg18987_179764"/>
    </w:p>
    <w:p>
      <w:pPr>
        <w:pStyle w:val="BookText"/>
        <w:rPr/>
      </w:pPr>
      <w:bookmarkEnd w:id="401"/>
      <w:r>
        <w:rPr>
          <w:rFonts w:ascii="Amiri" w:hAnsi="Amiri" w:eastAsia="Amiri" w:cs="Amiri"/>
          <w:color w:val="111111"/>
          <w:sz w:val="28"/>
          <w:sz w:val="28"/>
          <w:szCs w:val="28"/>
          <w:rtl w:val="true"/>
          <w:lang w:bidi="ar-SA"/>
        </w:rPr>
        <w:t>الناس يجري على غيره من الفقهاء أصحاب الولاية أيضاً؛ و ذلك حذراً عن الهرج و الاضطراب في أمر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فولايته تحكم بوجوب متابعة الناس عنه حتّى المستنبطين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قابلاً للانعطاف، بل لو استبدّ في آرائه و أقواله و أفعاله يضرّ بعدالته؛ و بعض الأحيان لاستبداده ينعزل عن الحكومة</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13099910_1280447820"/>
      <w:bookmarkStart w:id="403" w:name="_Toc161"/>
      <w:bookmarkEnd w:id="402"/>
      <w:r>
        <w:rPr/>
        <w:t>8</w:t>
      </w:r>
      <w:r>
        <w:rPr>
          <w:rtl w:val="true"/>
        </w:rPr>
        <w:t xml:space="preserve"> - </w:t>
      </w:r>
      <w:r>
        <w:rPr>
          <w:rtl w:val="true"/>
        </w:rPr>
        <w:t>الدعوى الثّامنة</w:t>
      </w:r>
      <w:bookmarkEnd w:id="403"/>
    </w:p>
    <w:p>
      <w:pPr>
        <w:pStyle w:val="BookText"/>
        <w:rPr/>
      </w:pPr>
      <w:r>
        <w:rPr>
          <w:rFonts w:ascii="Amiri" w:hAnsi="Amiri" w:eastAsia="Amiri" w:cs="Amiri"/>
          <w:color w:val="111111"/>
          <w:sz w:val="28"/>
          <w:sz w:val="28"/>
          <w:szCs w:val="28"/>
          <w:rtl w:val="true"/>
          <w:lang w:bidi="ar-SA"/>
        </w:rPr>
        <w:t>القول بوجوب تقبّل الولاية و الاستجابة عنها على الفقيه الوليّ لو كان متعيّناً لها و كانت متعيّنةً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الوجوب وجوبٌ عينيٌّ، فلو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الاجتهاد في عصرٍ في واحدٍ و كان عادلاً ذاكفايةٍ للقيام بأمر الحكم يجب عليه أن يتقبّل الحكم من غير أن يأبى و يتمرّد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القول في فرض تعدّد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كثّرهم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على جميعهم أن يستعدّوا و يتهيّؤوا لتقبّل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الوجوب وجوبٌ كفائيٌّ</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13099912_1280447820"/>
      <w:bookmarkStart w:id="405" w:name="_Toc162"/>
      <w:bookmarkEnd w:id="404"/>
      <w:r>
        <w:rPr/>
        <w:t>9</w:t>
      </w:r>
      <w:r>
        <w:rPr>
          <w:rtl w:val="true"/>
        </w:rPr>
        <w:t xml:space="preserve"> - </w:t>
      </w:r>
      <w:r>
        <w:rPr>
          <w:rtl w:val="true"/>
        </w:rPr>
        <w:t>الدعوى التّاسعة</w:t>
      </w:r>
      <w:bookmarkEnd w:id="405"/>
    </w:p>
    <w:p>
      <w:pPr>
        <w:pStyle w:val="BookText"/>
        <w:rPr/>
      </w:pPr>
      <w:r>
        <w:rPr>
          <w:rFonts w:ascii="Amiri" w:hAnsi="Amiri" w:eastAsia="Amiri" w:cs="Amiri"/>
          <w:color w:val="111111"/>
          <w:sz w:val="28"/>
          <w:sz w:val="28"/>
          <w:szCs w:val="28"/>
          <w:rtl w:val="true"/>
          <w:lang w:bidi="ar-SA"/>
        </w:rPr>
        <w:t>إنّ التعدّد في الحكومة لمّا كان موجباً للهرج و اختلاف الآراء والأنظار، وينجرّ إلى ضعف الحكومة، فلابدّ من تعيين واحدٍ من المجتهدين الجامعين للشّرائط لهذا المنصب</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13099914_1280447820"/>
      <w:bookmarkStart w:id="407" w:name="_Toc163"/>
      <w:bookmarkEnd w:id="406"/>
      <w:r>
        <w:rPr/>
        <w:t>10</w:t>
      </w:r>
      <w:r>
        <w:rPr>
          <w:rtl w:val="true"/>
        </w:rPr>
        <w:t xml:space="preserve"> - </w:t>
      </w:r>
      <w:r>
        <w:rPr>
          <w:rtl w:val="true"/>
        </w:rPr>
        <w:t>الدعوى العاشرة</w:t>
      </w:r>
      <w:bookmarkEnd w:id="407"/>
    </w:p>
    <w:p>
      <w:pPr>
        <w:pStyle w:val="BookText"/>
        <w:rPr/>
      </w:pPr>
      <w:r>
        <w:rPr>
          <w:rFonts w:ascii="Amiri" w:hAnsi="Amiri" w:eastAsia="Amiri" w:cs="Amiri"/>
          <w:color w:val="111111"/>
          <w:sz w:val="28"/>
          <w:sz w:val="28"/>
          <w:szCs w:val="28"/>
          <w:rtl w:val="true"/>
          <w:lang w:bidi="ar-SA"/>
        </w:rPr>
        <w:t>القول بانحصار الدولة الحقّة في دولة الفقيه، فالحكومات بأجمعها تُعدّ من حكومة الطاغوت و لاحكم لها، كما انّ الفقيه لاحكم له إلّاإذا فوّضه المعصوم عليهم السلام إليه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سنبحث عن أدلّة تفويضه إليه العقليّة و النقليّة</w:t>
      </w:r>
      <w:r>
        <w:rPr>
          <w:rFonts w:eastAsia="Amiri" w:cs="Amiri" w:ascii="Amiri" w:hAnsi="Amiri"/>
          <w:color w:val="111111"/>
          <w:sz w:val="28"/>
          <w:szCs w:val="28"/>
          <w:rtl w:val="true"/>
          <w:lang w:bidi="ar-SA"/>
        </w:rPr>
        <w:t xml:space="preserve">. </w:t>
      </w:r>
      <w:bookmarkStart w:id="408" w:name="pg18987_179765"/>
    </w:p>
    <w:p>
      <w:pPr>
        <w:pStyle w:val="Heading5"/>
        <w:numPr>
          <w:ilvl w:val="4"/>
          <w:numId w:val="1"/>
        </w:numPr>
        <w:rPr/>
      </w:pPr>
      <w:bookmarkStart w:id="409" w:name="__RefHeading___Toc13099916_1280447820"/>
      <w:bookmarkStart w:id="410" w:name="_Toc164"/>
      <w:bookmarkEnd w:id="408"/>
      <w:bookmarkEnd w:id="409"/>
      <w:r>
        <w:rPr/>
        <w:t>11</w:t>
      </w:r>
      <w:r>
        <w:rPr>
          <w:rtl w:val="true"/>
        </w:rPr>
        <w:t xml:space="preserve"> - </w:t>
      </w:r>
      <w:r>
        <w:rPr>
          <w:rtl w:val="true"/>
        </w:rPr>
        <w:t>الدعوي الحادية عشرة</w:t>
      </w:r>
      <w:bookmarkEnd w:id="410"/>
    </w:p>
    <w:p>
      <w:pPr>
        <w:pStyle w:val="BookText"/>
        <w:rPr/>
      </w:pPr>
      <w:r>
        <w:rPr>
          <w:rFonts w:ascii="Amiri" w:hAnsi="Amiri" w:eastAsia="Amiri" w:cs="Amiri"/>
          <w:color w:val="111111"/>
          <w:sz w:val="28"/>
          <w:sz w:val="28"/>
          <w:szCs w:val="28"/>
          <w:rtl w:val="true"/>
          <w:lang w:bidi="ar-SA"/>
        </w:rPr>
        <w:t>القول بأنّ ولاية الفقيه غير مقيّدةٍ بزمنٍ دون زمنٍ، أو مصرٍ دون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نافذٌ ما لم يسقط عن منصبه باخلاله بما يشترط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فلايمكن تقييد ولايته زمنيّاً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يجري في غيره من الولاة كالرئيس الجمهوريّة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لايمكن تقييدها بأمكنةٍ دون أمكنةٍ أخرى</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13099918_1280447820"/>
      <w:bookmarkStart w:id="412" w:name="_Toc165"/>
      <w:bookmarkEnd w:id="411"/>
      <w:r>
        <w:rPr/>
        <w:t>12</w:t>
      </w:r>
      <w:r>
        <w:rPr>
          <w:rtl w:val="true"/>
        </w:rPr>
        <w:t xml:space="preserve"> - </w:t>
      </w:r>
      <w:r>
        <w:rPr>
          <w:rtl w:val="true"/>
        </w:rPr>
        <w:t>الدعوى الثّانية عشرة</w:t>
      </w:r>
      <w:bookmarkEnd w:id="412"/>
    </w:p>
    <w:p>
      <w:pPr>
        <w:pStyle w:val="BookText"/>
        <w:rPr/>
      </w:pPr>
      <w:r>
        <w:rPr>
          <w:rFonts w:ascii="Amiri" w:hAnsi="Amiri" w:eastAsia="Amiri" w:cs="Amiri"/>
          <w:color w:val="111111"/>
          <w:sz w:val="28"/>
          <w:sz w:val="28"/>
          <w:szCs w:val="28"/>
          <w:rtl w:val="true"/>
          <w:lang w:bidi="ar-SA"/>
        </w:rPr>
        <w:t>القول بأنّه لايجوز التقييد في سعة ولايته، إذ مرّت الإشارة إلى أنّ الولاية تُعدّ من الأحكام لا من العقود كالوكالة، فيمكن تقييد وكالة الوكيل سعةً كما يمكن تقييدها زمنيّاً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لايجوز تقييد سعة الولاية لأنّها تُعدّ من الأحكام،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قيّدها بوجوب كون الوليّ رجلاً مستنبطاً عادلاً ذاملكةٍ قدسيّةٍ مدبّرٍ للأمور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قيّدها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فلايمكن تقييد سعتها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هي دعاوينا في مسألة ولاية الفقيه و قد بلغت اثنتى عشرة 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هيهنا نكتةٌ هامّةٌ يجب الالمام بها،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الولاية المطلقة للفقيه يستلزم القول بجميع تلك الدعاوي و الخضوع لها، إذ من البديهيّ أنّه لوثبت انّ الولاية هذه تُعدّ من أحكام اللّه فيجب على الفقيه أن يتقبّلها؛</w:t>
      </w:r>
    </w:p>
    <w:p>
      <w:pPr>
        <w:pStyle w:val="BookText"/>
        <w:rPr/>
      </w:pPr>
      <w:r>
        <w:rPr>
          <w:rFonts w:ascii="Amiri" w:hAnsi="Amiri" w:eastAsia="Amiri" w:cs="Amiri"/>
          <w:color w:val="111111"/>
          <w:sz w:val="28"/>
          <w:sz w:val="28"/>
          <w:szCs w:val="28"/>
          <w:rtl w:val="true"/>
          <w:lang w:bidi="ar-SA"/>
        </w:rPr>
        <w:t>و يجب على غيره أن يخضع لحكمه، إذ الولاية التشريعيّة الّتي كانت من واجبات المعصومين عليهم السلام قد فُوّضت على عاتقه؛</w:t>
      </w:r>
    </w:p>
    <w:p>
      <w:pPr>
        <w:pStyle w:val="BookText"/>
        <w:rPr/>
      </w:pPr>
      <w:r>
        <w:rPr>
          <w:rFonts w:ascii="Amiri" w:hAnsi="Amiri" w:eastAsia="Amiri" w:cs="Amiri"/>
          <w:color w:val="111111"/>
          <w:sz w:val="28"/>
          <w:sz w:val="28"/>
          <w:szCs w:val="28"/>
          <w:rtl w:val="true"/>
          <w:lang w:bidi="ar-SA"/>
        </w:rPr>
        <w:t>فله تغيير عناوين الأحكام لوكانت هناك مصلحةٌ أو مفسدهٌ تامّةٌ ملزمةٌ؛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كانت ولايته مفوّضةً إليه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فولاية غيره من الولاة مقرونةٌ </w:t>
      </w:r>
    </w:p>
    <w:p>
      <w:pPr>
        <w:pStyle w:val="BookText"/>
        <w:rPr/>
      </w:pPr>
      <w:r>
        <w:rPr>
          <w:rFonts w:ascii="Amiri" w:hAnsi="Amiri" w:eastAsia="Amiri" w:cs="Amiri"/>
          <w:color w:val="111111"/>
          <w:sz w:val="28"/>
          <w:sz w:val="28"/>
          <w:szCs w:val="28"/>
          <w:rtl w:val="true"/>
          <w:lang w:bidi="ar-SA"/>
        </w:rPr>
        <w:t>بولايته، فكلّهم منصوبون من قِبله؛</w:t>
      </w:r>
    </w:p>
    <w:p>
      <w:pPr>
        <w:pStyle w:val="BookText"/>
        <w:rPr/>
      </w:pPr>
      <w:r>
        <w:rPr>
          <w:rFonts w:ascii="Amiri" w:hAnsi="Amiri" w:eastAsia="Amiri" w:cs="Amiri"/>
          <w:color w:val="111111"/>
          <w:sz w:val="28"/>
          <w:sz w:val="28"/>
          <w:szCs w:val="28"/>
          <w:rtl w:val="true"/>
          <w:lang w:bidi="ar-SA"/>
        </w:rPr>
        <w:t>و كذلك لايقدر أحدٌ على نصبه و لا على عزله؛</w:t>
      </w:r>
    </w:p>
    <w:p>
      <w:pPr>
        <w:pStyle w:val="BookText"/>
        <w:rPr/>
      </w:pPr>
      <w:r>
        <w:rPr>
          <w:rFonts w:ascii="Amiri" w:hAnsi="Amiri" w:eastAsia="Amiri" w:cs="Amiri"/>
          <w:color w:val="111111"/>
          <w:sz w:val="28"/>
          <w:sz w:val="28"/>
          <w:szCs w:val="28"/>
          <w:rtl w:val="true"/>
          <w:lang w:bidi="ar-SA"/>
        </w:rPr>
        <w:t xml:space="preserve">و يجب على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لحكمه، بل يجب على الجميع المحافظة على دولته؛</w:t>
      </w:r>
    </w:p>
    <w:p>
      <w:pPr>
        <w:pStyle w:val="BookText"/>
        <w:rPr/>
      </w:pPr>
      <w:r>
        <w:rPr>
          <w:rFonts w:ascii="Amiri" w:hAnsi="Amiri" w:eastAsia="Amiri" w:cs="Amiri"/>
          <w:color w:val="111111"/>
          <w:sz w:val="28"/>
          <w:sz w:val="28"/>
          <w:szCs w:val="28"/>
          <w:rtl w:val="true"/>
          <w:lang w:bidi="ar-SA"/>
        </w:rPr>
        <w:t xml:space="preserve">و لاتقييد في ولايته، إذ انّها تُعدّ من الأحكام و لاحكم على الأحكام إلّاللّه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تفصيل الكلام حول أدلّة ثبوتها له، إذ الدعاوي كلّها فرعٌ على أصل ثبوتها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تمهيده للورود في صلب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ثلاث عشرة مقدّمةً يجب الإلمام بها ليكون المبحث أكثر إيضاحاً و أقلّ لورود الشُبه و الإيرادات مورداً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 و قد انتهينا من البحث حولها، يجب علينا الورود في كنه المبحث و أصله، فنذكر فيما يأتي من أَبحاثنا ما يدلّ من الأدلّة الأربعة على ثبوت الولاية للفقيه ثم عن شرائطها العامّة، ثم عن الشّبهات و الإشكالات حول هذه النّظرية و الرّدود و الاجوبة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bookmarkStart w:id="413" w:name="pg18987_179767"/>
    </w:p>
    <w:p>
      <w:pPr>
        <w:pStyle w:val="Heading3"/>
        <w:numPr>
          <w:ilvl w:val="2"/>
          <w:numId w:val="1"/>
        </w:numPr>
        <w:rPr/>
      </w:pPr>
      <w:bookmarkStart w:id="414" w:name="__RefHeading___Toc13099920_1280447820"/>
      <w:bookmarkStart w:id="415" w:name="_Toc166"/>
      <w:bookmarkEnd w:id="413"/>
      <w:bookmarkEnd w:id="414"/>
      <w:r>
        <w:rPr>
          <w:rtl w:val="true"/>
        </w:rPr>
        <w:t>الفصل الثّاني الاستدلال بالأدلّة الأربعة على ثبوت الولاية للفقيه</w:t>
      </w:r>
      <w:bookmarkEnd w:id="41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6" w:name="__RefHeading___Toc13099922_1280447820"/>
      <w:bookmarkStart w:id="417" w:name="_Toc167"/>
      <w:bookmarkEnd w:id="416"/>
      <w:r>
        <w:rPr>
          <w:rtl w:val="true"/>
        </w:rPr>
        <w:t>اشارة</w:t>
      </w:r>
      <w:bookmarkEnd w:id="41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الفصل الثّاني الاستدلال بالأدلّة الأربعة على ثبوت الولاية للفقيه</w:t>
      </w:r>
    </w:p>
    <w:p>
      <w:pPr>
        <w:pStyle w:val="BookText"/>
        <w:rPr/>
      </w:pPr>
      <w:r>
        <w:rPr>
          <w:rFonts w:ascii="Amiri" w:hAnsi="Amiri" w:eastAsia="Amiri" w:cs="Amiri"/>
          <w:color w:val="111111"/>
          <w:sz w:val="28"/>
          <w:sz w:val="28"/>
          <w:szCs w:val="28"/>
          <w:rtl w:val="true"/>
          <w:lang w:bidi="ar-SA"/>
        </w:rPr>
        <w:t>بعد الفراغ من تبيين المقدّمات و تمهيد الممهّدات، نذكر ما استُدلّ به أو يُمكن أن يُستدلّ به على ثبوت الولاية بمعنى الأمارة و الحكم للفقيه الجامع لشرائط الإفتاء علماً 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نرى أنّ الأدلّة الأربعة بأسرها تدلّ على ثبوتها 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نقدّم الأدلّة العقليّة لأنّها الهامّة في الباب، ثمّ نؤيّدها و نقرّرها بنصوص الكتاب و السنّة لأنّها إذن تكون أوقع في القلوب</w:t>
      </w:r>
      <w:r>
        <w:rPr>
          <w:rFonts w:eastAsia="Amiri" w:cs="Amiri" w:ascii="Amiri" w:hAnsi="Amiri"/>
          <w:color w:val="111111"/>
          <w:sz w:val="28"/>
          <w:szCs w:val="28"/>
          <w:rtl w:val="true"/>
          <w:lang w:bidi="ar-SA"/>
        </w:rPr>
        <w:t>.</w:t>
      </w:r>
      <w:bookmarkStart w:id="418" w:name="pg18987_179770"/>
    </w:p>
    <w:p>
      <w:pPr>
        <w:pStyle w:val="Heading4"/>
        <w:numPr>
          <w:ilvl w:val="3"/>
          <w:numId w:val="1"/>
        </w:numPr>
        <w:rPr/>
      </w:pPr>
      <w:bookmarkStart w:id="419" w:name="__RefHeading___Toc13099924_1280447820"/>
      <w:bookmarkStart w:id="420" w:name="_Toc168"/>
      <w:bookmarkEnd w:id="418"/>
      <w:bookmarkEnd w:id="419"/>
      <w:r>
        <w:rPr>
          <w:rtl w:val="true"/>
        </w:rPr>
        <w:t>الأوّل</w:t>
      </w:r>
      <w:r>
        <w:rPr>
          <w:rtl w:val="true"/>
        </w:rPr>
        <w:t xml:space="preserve">: </w:t>
      </w:r>
      <w:r>
        <w:rPr>
          <w:rtl w:val="true"/>
        </w:rPr>
        <w:t>الأدلّة العقليّة الدالّة على ثبوت الولاية للفقيه</w:t>
      </w:r>
      <w:bookmarkEnd w:id="420"/>
    </w:p>
    <w:p>
      <w:pPr>
        <w:pStyle w:val="Heading5"/>
        <w:numPr>
          <w:ilvl w:val="4"/>
          <w:numId w:val="1"/>
        </w:numPr>
        <w:rPr/>
      </w:pPr>
      <w:bookmarkStart w:id="421" w:name="__RefHeading___Toc13099926_1280447820"/>
      <w:bookmarkStart w:id="422" w:name="_Toc169"/>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الأدلّة العقليّة الدالّة على ثبوتها له كثيرةٌ جدّاً، و ورد قسطٌ منها في كلام بعضهم، و قسطٌ في كلام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نرى انّ مجموعها يبلغ إلى عشرة دلائل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هيهنا ما هو المهمّ منها</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13099928_1280447820"/>
      <w:bookmarkStart w:id="424" w:name="_Toc170"/>
      <w:bookmarkEnd w:id="423"/>
      <w:r>
        <w:rPr>
          <w:rtl w:val="true"/>
        </w:rPr>
        <w:t>الأوّل من الأدلّة العقليّة</w:t>
      </w:r>
      <w:bookmarkEnd w:id="424"/>
    </w:p>
    <w:p>
      <w:pPr>
        <w:pStyle w:val="BookText"/>
        <w:rPr/>
      </w:pPr>
      <w:r>
        <w:rPr>
          <w:rFonts w:ascii="Amiri" w:hAnsi="Amiri" w:eastAsia="Amiri" w:cs="Amiri"/>
          <w:color w:val="111111"/>
          <w:sz w:val="28"/>
          <w:sz w:val="28"/>
          <w:szCs w:val="28"/>
          <w:rtl w:val="true"/>
          <w:lang w:bidi="ar-SA"/>
        </w:rPr>
        <w:t>و هذا الدليل يتشكّل 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لاريب في ثبوت أحكامٍ في الشريعة ترتبط بالمجتمع و شؤونه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ككثيرٍ من الأحكام العباديّة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لانسخ في أحكام هذه الشريعة المقدّسة، بل هي باقيةٌ في جميع الأزمنة و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النبيّ صلى الله عليه و آله و عصر حضور الإمام عليه السلام و عصر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ينصب أحداً في كلّ عصرٍ للقيام بمهمّة الأحكام و إجرائها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أحد أعلم بها من الفقيه، فالولاية على المجتمع ثابتةٌ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صورة القياس بالاختصار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نأتي بتوضيحٍ موجزٍ حول المقدّمتين و ما استنتجنا منهما؛ فنقول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الأحكام العباديّة ما هو وظيفةٌ للمرء باعتبار كونه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كالصلوات اليوميّة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ما هو ثابتٌ على المرء باعتبار كونه من أعضاء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كثيرٌ جدّاً، بل الأوّل لايزيد على ثلث الأحكام، و أمّا الثلثان الأخيران فهي أحكام الإسلام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الجمعة و جمع الزكوات و الأخماس و إقامة الحجّ و إجراء الديات و إقامة الحدود و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غيرها ممّا لايخفى على المتأمّل في الشريعة و أحكامها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المجمع عليه بين جميع المسلمين و فرقهم عدم عروض النسخ لتلك الأحكام، فهي باقيةٌ منذ عصر التشريع إلى أن تقوم القيامة، إذ لم يعقل أن تُوضع الأحكام لمدّة حياة النبيّ صلى الله عليه و آله أو حضور المعصوم عليه السلام، 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إلى يوم القيامة و حرامه حرامٌ إلى يوم القيامة</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الثابت عند العقل المبرهَن عليه في علمي الحكمة 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بما هو رحيمٌ على عباده الطالب لايصالهم إلى ما فيه خيرهم في النشأتين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ينصب أحداً للقيام بمهمّة اجراء الأحكام الجماعيّة في كلّ عصرٍ من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زمن النبي صلى الله عليه و آله فلاخلاف بين المسلمين في أنّه هو المنصوب له؛</w:t>
      </w:r>
    </w:p>
    <w:p>
      <w:pPr>
        <w:pStyle w:val="BookText"/>
        <w:rPr/>
      </w:pPr>
      <w:r>
        <w:rPr>
          <w:rFonts w:ascii="Amiri" w:hAnsi="Amiri" w:eastAsia="Amiri" w:cs="Amiri"/>
          <w:color w:val="111111"/>
          <w:sz w:val="28"/>
          <w:sz w:val="28"/>
          <w:szCs w:val="28"/>
          <w:rtl w:val="true"/>
          <w:lang w:bidi="ar-SA"/>
        </w:rPr>
        <w:t xml:space="preserve">و ذهبت الإماميّة إلى ثبوت هذا المنصب لخلفائه الّذين حازوا هذه المرتبة بالاستحقاق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الأئمّة الاثنى عشر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عصر الغيبة و عدم حضور النبيّ أو الإمام فيجب أيضاً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لايهمل أمر الناس، بل يرشدهم إلى ما هو الخير لهم، فيجب عليه أن يعيّن أحداً في كلّ زمنٍ ليقوم بأمر المجتمع و ولايته، إذ ليس هذا بأقلّ مرتبةً من جعل الهُدُب في فوق العين و أسفلها و تنظيم الأخمص و ما يشبههما من دقائق خلق الإنسان، بل و خلق الحيوان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سمّاه الحكماء بقاعدة الحكمة</w:t>
      </w:r>
      <w:r>
        <w:rPr>
          <w:rStyle w:val="FootnoteAnchor"/>
          <w:rtl w:val="true"/>
        </w:rPr>
        <w:footnoteReference w:id="209"/>
      </w:r>
      <w:r>
        <w:rPr>
          <w:rFonts w:ascii="Amiri" w:hAnsi="Amiri" w:eastAsia="Amiri" w:cs="Amiri"/>
          <w:color w:val="111111"/>
          <w:sz w:val="28"/>
          <w:sz w:val="28"/>
          <w:szCs w:val="28"/>
          <w:rtl w:val="true"/>
          <w:lang w:bidi="ar-SA"/>
        </w:rPr>
        <w:t>، و المتكلّمون بقاعدة اللطف</w:t>
      </w:r>
      <w:r>
        <w:rPr>
          <w:rStyle w:val="FootnoteAnchor"/>
          <w:rtl w:val="true"/>
        </w:rPr>
        <w:footnoteReference w:id="210"/>
      </w:r>
      <w:r>
        <w:rPr>
          <w:rFonts w:ascii="Amiri" w:hAnsi="Amiri" w:eastAsia="Amiri" w:cs="Amiri"/>
          <w:color w:val="111111"/>
          <w:sz w:val="28"/>
          <w:sz w:val="28"/>
          <w:szCs w:val="28"/>
          <w:rtl w:val="true"/>
          <w:lang w:bidi="ar-SA"/>
        </w:rPr>
        <w:t>، و مغزاهما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نبذاً يسيرةً حولها فيما مضى من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 القاعدة الحاكمة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ارسال الرسل و تعيين الأوصياء و الأئمّة حاكمةٌ عليه بوجوب نصب الحاكم في زمن غيبتهم؛</w:t>
      </w:r>
    </w:p>
    <w:p>
      <w:pPr>
        <w:pStyle w:val="BookText"/>
        <w:rPr/>
      </w:pPr>
      <w:r>
        <w:rPr>
          <w:rFonts w:ascii="Amiri" w:hAnsi="Amiri" w:eastAsia="Amiri" w:cs="Amiri"/>
          <w:color w:val="111111"/>
          <w:sz w:val="28"/>
          <w:sz w:val="28"/>
          <w:szCs w:val="28"/>
          <w:rtl w:val="true"/>
          <w:lang w:bidi="ar-SA"/>
        </w:rPr>
        <w:t xml:space="preserve">و لا أعرف بالأحكام و محيط التشريع و أبعد من الهوى و الفجور من الفقيه الجامع، فيجب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القاعدة أن ينصبه لئلّا يهمل أمر الناس طيلة زمن الغيبة البالغة حتّى الآن ما يزيد على ألفٍ من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في فرج صاحبنا و مولانا وليّالعصر و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لايمكن التنصيص بأسماء جميع من يأتي من الفقهاء في زمن الغيبة لكثرتهم و عدم حصرهم في عددٍ معيّنٍ، بل و ذكر أسمائهم يحتاج إلى دواوين بسيطة تبلغ المئات من المجلّدات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الشارع الحكم معلّقاً على العنوان المنطبق على الفقيه؛ فقال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في حلالنا و حرامنا و عرف 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انطبق عليه هذا العنوان الكلّيّ فهو الحاكم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مجتمع المسلمين</w:t>
      </w:r>
      <w:r>
        <w:rPr>
          <w:rFonts w:eastAsia="Amiri" w:cs="Amiri" w:ascii="Amiri" w:hAnsi="Amiri"/>
          <w:color w:val="111111"/>
          <w:sz w:val="28"/>
          <w:szCs w:val="28"/>
          <w:rtl w:val="true"/>
          <w:lang w:bidi="ar-SA"/>
        </w:rPr>
        <w:t xml:space="preserve">. </w:t>
      </w:r>
      <w:bookmarkStart w:id="425" w:name="pg18987_179773"/>
    </w:p>
    <w:p>
      <w:pPr>
        <w:pStyle w:val="BookText"/>
        <w:rPr/>
      </w:pPr>
      <w:bookmarkEnd w:id="425"/>
      <w:r>
        <w:rPr>
          <w:rFonts w:ascii="Amiri" w:hAnsi="Amiri" w:eastAsia="Amiri" w:cs="Amiri"/>
          <w:color w:val="111111"/>
          <w:sz w:val="28"/>
          <w:sz w:val="28"/>
          <w:szCs w:val="28"/>
          <w:rtl w:val="true"/>
          <w:lang w:bidi="ar-SA"/>
        </w:rPr>
        <w:t xml:space="preserve">و هذا العنوان ينطبق طيلة 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فقيهٍ حاز مراتب الفضل العلميّ و النقاء النفسيّ و الدَّهاء و الذكاء، هذه المراتب الثلاث الّتي هي اللوازم البنائيّة للقيام بأمر الحكم و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سنفصّل الكلام حول هذه الشروط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تقرير الدليل الأوّل من الأدلّة العقليّة الدالّة على ثبوت الولاية للفقيه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الدليل ذكره سيّدنا الأستاذ الإمام الخمينيّ رحمه الله</w:t>
      </w:r>
      <w:r>
        <w:rPr>
          <w:rStyle w:val="FootnoteAnchor"/>
          <w:rtl w:val="true"/>
        </w:rPr>
        <w:footnoteReference w:id="212"/>
      </w:r>
      <w:r>
        <w:rPr>
          <w:rFonts w:ascii="Amiri" w:hAnsi="Amiri" w:eastAsia="Amiri" w:cs="Amiri"/>
          <w:color w:val="111111"/>
          <w:sz w:val="28"/>
          <w:sz w:val="28"/>
          <w:szCs w:val="28"/>
          <w:rtl w:val="true"/>
          <w:lang w:bidi="ar-SA"/>
        </w:rPr>
        <w:t>، و قد استدلّ به أيضاً سماحة العلّامة آية اللّه العظمى الخوئيّ رحمه الله</w:t>
      </w:r>
      <w:r>
        <w:rPr>
          <w:rStyle w:val="FootnoteAnchor"/>
          <w:rtl w:val="true"/>
        </w:rPr>
        <w:footnoteReference w:id="213"/>
      </w:r>
      <w:r>
        <w:rPr>
          <w:rFonts w:ascii="Amiri" w:hAnsi="Amiri" w:eastAsia="Amiri" w:cs="Amiri"/>
          <w:color w:val="111111"/>
          <w:sz w:val="28"/>
          <w:sz w:val="28"/>
          <w:szCs w:val="28"/>
          <w:rtl w:val="true"/>
          <w:lang w:bidi="ar-SA"/>
        </w:rPr>
        <w:t>و سنأتي بنصّيهما بعد الفراغ من بيان الدليل الثّاني من الأدلّة العقليّة لما بين الأوّل و الثّاني من الأدلّة من الربط الوثيق</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13099930_1280447820"/>
      <w:bookmarkStart w:id="427" w:name="_Toc171"/>
      <w:bookmarkEnd w:id="426"/>
      <w:r>
        <w:rPr>
          <w:rtl w:val="true"/>
        </w:rPr>
        <w:t>الثّاني من الأدلّة العقليّة</w:t>
      </w:r>
      <w:bookmarkEnd w:id="427"/>
    </w:p>
    <w:p>
      <w:pPr>
        <w:pStyle w:val="BookText"/>
        <w:rPr/>
      </w:pPr>
      <w:r>
        <w:rPr>
          <w:rFonts w:ascii="Amiri" w:hAnsi="Amiri" w:eastAsia="Amiri" w:cs="Amiri"/>
          <w:color w:val="111111"/>
          <w:sz w:val="28"/>
          <w:sz w:val="28"/>
          <w:szCs w:val="28"/>
          <w:rtl w:val="true"/>
          <w:lang w:bidi="ar-SA"/>
        </w:rPr>
        <w:t>و هذا الدليل أيضاً يتشكّل 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الشريعة الإسلاميّة هي شريعةٌ كاملةٌ تامّةٌ جامعةٌ لجميع ما تحتاج إليه الناس في جميع الأعصار و الأمصار؛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نظام المجتمع و تنظيم روابط الناس و ما يرجع إليها من أهمّ ما يحتاجون إليه؛</w:t>
      </w:r>
    </w:p>
    <w:p>
      <w:pPr>
        <w:pStyle w:val="BookText"/>
        <w:rPr/>
      </w:pPr>
      <w:r>
        <w:rPr>
          <w:rFonts w:ascii="Amiri" w:hAnsi="Amiri" w:eastAsia="Amiri" w:cs="Amiri"/>
          <w:color w:val="111111"/>
          <w:sz w:val="28"/>
          <w:sz w:val="28"/>
          <w:szCs w:val="28"/>
          <w:rtl w:val="true"/>
          <w:lang w:bidi="ar-SA"/>
        </w:rPr>
        <w:t>و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الحكم و رئاسة المجتمع قد تبيّن في الشريعة و قد فُوّض فيها إلى من يصلح للقيام به، و هو الفقيه العادل المدبّر الفطن الّذي لاأصلح منه للقيام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لنفصّل بعض الكلام حول المقدّمتين و النتيجة؛ فنقول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الصغرى، فممّا لايحتاج إلى كثير بحثٍ، إذ كون هذا الدين ناسخاً لجميع الأديان المتقدّمة عليه و كونه خاتماً للشرايع يدلّ على احتوائه على جميع ما يحتاج إليه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لوفُرض وجود حكمٍ لم يُبيّن في هذه الشريعة يحكم العقل بنقصه و عدم كونه خاتماً للشرايع؛ </w:t>
      </w:r>
    </w:p>
    <w:p>
      <w:pPr>
        <w:pStyle w:val="BookText"/>
        <w:rPr/>
      </w:pPr>
      <w:r>
        <w:rPr>
          <w:rFonts w:ascii="Amiri" w:hAnsi="Amiri" w:eastAsia="Amiri" w:cs="Amiri"/>
          <w:color w:val="111111"/>
          <w:sz w:val="28"/>
          <w:sz w:val="28"/>
          <w:szCs w:val="28"/>
          <w:rtl w:val="true"/>
          <w:lang w:bidi="ar-SA"/>
        </w:rPr>
        <w:t>و قد تكلّمنا حول خاتميّة الإسلام و معناها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الصغرى أيضاً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يقرّبكم إلى الجنّة و يباعدكم من النار إلّاو قد أمرتكم به، و ما من شيءٍ يقرّبكم من النار و يباعدكم من الجنّة إلّاو قد نهيتكم عنه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الكبرى فمن البديهيّ الّذي لايحتاج إلى تفصيلٍ، إذ الإنسان مدنيٌّ بالطبع و هذا يحكم باحتياجه إلى قواعد تنظيم المجتمع و من يقوم باجرائها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مضت الإشارة إلى جبلّته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أمّا النتيجة أيضاً فواضحةٌ، إذ المقدّمتان تحكمان بوجوب بيان أحكام القائد و القيادة في الشريعة؛</w:t>
      </w:r>
    </w:p>
    <w:p>
      <w:pPr>
        <w:pStyle w:val="BookText"/>
        <w:rPr/>
      </w:pPr>
      <w:r>
        <w:rPr>
          <w:rFonts w:ascii="Amiri" w:hAnsi="Amiri" w:eastAsia="Amiri" w:cs="Amiri"/>
          <w:color w:val="111111"/>
          <w:sz w:val="28"/>
          <w:sz w:val="28"/>
          <w:szCs w:val="28"/>
          <w:rtl w:val="true"/>
          <w:lang w:bidi="ar-SA"/>
        </w:rPr>
        <w:t>أمّا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الفقيه العادل المدبّر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يحكم به العقل فضلاً عمّا ورد فيها في شأنه، إذ بداهة العقل تقرّر أن ليس أحدٌ أصلح للرئاسة ممّن اتّصف بالعلم و تحلّى بالعدالة بعد أن كان فطناً ذكيّاً قابلاً للقيادة و تنظيم أمور المجتمع الداخليّة و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يبدو انّ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لاغبار عليه و لاشبهة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هذان الدليلان قد ذكرهما السيّدان الآيتان الإمام الخمينيّ و العلّامة الخوئيّ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وعدنا قبل الورود في تقرير الثّاني من الأدلّة العقليّة أن نذكر نصّ كلامهما، لأنّ هذا لايخلو من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الأستاذ الإمام الخمينيّ رحمه الله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الأحكام الإلهيّة سواءٌ الأحكام المربوطة بالماليّات أو السياسات أو الحقوق لم تُنسخ، بل تبقى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بقاء تلك الأحكام يقضي </w:t>
      </w:r>
    </w:p>
    <w:p>
      <w:pPr>
        <w:pStyle w:val="BookText"/>
        <w:rPr/>
      </w:pPr>
      <w:r>
        <w:rPr>
          <w:rFonts w:ascii="Amiri" w:hAnsi="Amiri" w:eastAsia="Amiri" w:cs="Amiri"/>
          <w:color w:val="111111"/>
          <w:sz w:val="28"/>
          <w:sz w:val="28"/>
          <w:szCs w:val="28"/>
          <w:rtl w:val="true"/>
          <w:lang w:bidi="ar-SA"/>
        </w:rPr>
        <w:t>بضرورة حكومة و ولاية، و لايمكن إجراء أحكام اللّه إلّابها لئلّايلزم الهرج و 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حفظ النظام من الواجبات الأكيدة و اختلال أمور المسلمين من الأمور المبغوضة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لايمكن ذلك إلّابتشكيل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من أوضح ما يحتاج إليه المسلمون و لايُعقل ترك ذلك من الحكيم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دليل الإمامة بعينه دليلٌ على لزوم الحكومة بعد غيبة وليّالأمر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هذه السنين المتمادية و لعلّها تطول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من السنين، و العلم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يُعقل من حكمة الباري اهمال الملّة الإسلاميّة و عدم تعيين تكليفٍ لهم؟ أو رضى الحكيم بالهرج و المرج و اختلال النظام؟ و لم يأت بشرطٍ قاطعٍ للعذر لئلّاتكون للناس عليه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و إن كان من واضحات العقل فانّ لزوم الحكومة و بسط العدالة و التعليم و التربية و حفظ النظم و رفع الظلم و سدّ الثغور و المنع عن تجاوز الأجانب من أوضح أحكام العقول من غير فرقٍ بين عصرٍ و عصرٍ أو مصرٍ و مصرٍ</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نصّ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حذفنا جملةً منه تجنّباً عن التكرار، و هي رواية العلل عن مولانا الرضا عليه السلام و قد أوردناها في ما مضى من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سنشير إليها في الاستدلال بالأحاديث على ثبوت الولاية 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السيّد العلّامة آية اللّه العظمى الخوئيّ رحمه الله في تكلمة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منشئات بعض تلاميذه،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قلمه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فالعبارة هذه صدرت عن قلمه في أواخر حياته المباركة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للحاكم الجامع للشرائط إقامة الحدود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المعروف و المشهور بين الأصحاب، بل لم ينقل فيه خلافٌ إلّاما حكي عن ابني زهرة و إدريس من اقتصار ذلك بالإمام أو بمن نصبه لذلك، و هو لم يثبت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عدم ثبوت النسبة هو الصحيح، حيث أوردنا فيما مضى نصّ عبارتهما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فهما من القائلين بثبوت منصب اقامة الحدود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المحقّق في الشرايع و العلّامة في بعض كتبه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يتردّد في هذا الظهور بينما ذكرنا عباراتهما عن الشرايع و التذكرة، فلامجال للقول بتوقّف الحلّيّين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فلاخلاف فيها، بل هي إجماعيّةٌ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في الاستدلال على صحّة مذهبه،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إقامة الحدود إنّما شُرّعت للمصلحة العامّة و دفعاً للفساد و انتشار الفجور و الطغيان بين الناس، و هذا ينافي اختصاصه بزمانٍ دون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لحضور الإمام عليه السلام دخلٌ في ذلك قطعاً، فالحكمة المقتضية لتشريع الحدود تقضي لاقامتها في زمان الغيبة كما تقضي بها زمان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تقريره رحمه الله للأوّل من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نهج فيه منهج قاعدة الحكمة، و قد سبقت الإشارة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مقرّراً لثانيهما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أدلّة الحدود كتاباً و سنّةً مطلقةٌ و غير مقيّدةٍ بزمانٍ دون زمانٍ،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السَّارِقُ وَ السَّارِقَةُ فَاقْطَعُوا </w:t>
      </w:r>
    </w:p>
    <w:p>
      <w:pPr>
        <w:pStyle w:val="BookText"/>
        <w:rPr/>
      </w:pPr>
      <w:r>
        <w:rPr>
          <w:rFonts w:ascii="Amiri" w:hAnsi="Amiri" w:eastAsia="Amiri" w:cs="Amiri"/>
          <w:color w:val="111111"/>
          <w:sz w:val="28"/>
          <w:sz w:val="28"/>
          <w:szCs w:val="28"/>
          <w:rtl w:val="true"/>
          <w:lang w:bidi="ar-SA"/>
        </w:rPr>
        <w:t>أَيْدِيَهُمَا</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الأدلّة تدلّ على أنّه لابدّ من إقامة الحدود و لكنّها لاتدلّ على أنّ المتصدّي لاقامتها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الضروريّ انّ ذلك لم يُشرع لكلّ فردٍ من أفراد المسلمين، فانّه يوجب اختلال النظام و أن لايثبت حجرٌ على حجرٍ، بل يُستفاد من عدّة رواياتٍ انّه لايجوز إقامة الحدّ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لابدّ من الأخذ بالمقدار المتيقّن، و المتيقّن هو مَن إليه الأمر، و هو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صراح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أثبت أنّ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العدل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فُوّض إليه أمر إقامة الحدود و إجراء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بمهمّة إدارة المجتمع الاسلاميّ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أيّده بالمنقول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تؤيّد ذلك عدّة 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اسحاق بن يعقوب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الجدير بالذكر انّ المحقّق الخوئيّ رحمه الله توقّف في أبحاثه الرجاليّة في سند الرواية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أمّا الآن فقد حكم بصحّتها و جواز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أن يوصل لي كتاباً قد سألت فيه مسائل أشكلت عليَّ، فورد التوقيع الشريف بخطّ مولانا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أرشدك اللّه و ثبّتك،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الحوادث الواقعة فارجعوا فيها إلى رواة حديثنا، فإنّهم حجّتي عليكم و أنا حجّة اللّه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428" w:name="pg18987_179778"/>
    </w:p>
    <w:p>
      <w:pPr>
        <w:pStyle w:val="BookText"/>
        <w:rPr/>
      </w:pPr>
      <w:bookmarkEnd w:id="428"/>
      <w:r>
        <w:rPr>
          <w:rFonts w:ascii="Amiri" w:hAnsi="Amiri" w:eastAsia="Amiri" w:cs="Amiri"/>
          <w:color w:val="111111"/>
          <w:sz w:val="28"/>
          <w:sz w:val="28"/>
          <w:szCs w:val="28"/>
          <w:rtl w:val="true"/>
          <w:lang w:bidi="ar-SA"/>
        </w:rPr>
        <w:t>فالرواية الشريفة تدلّ على لزوم الرجوع في الأحكام و كذلك في الحوادث إلى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الحوادث ما يختصّ بأمر المجتمع و إدارته و رئاسة شؤونه، فهو مفوَّضٌ إليه، بل هو منصوبٌ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رحمه الله في البحث عمّا يضادّها من المرويّات في بعض الجوامع؛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الاستدلال على عدم الجواز بما في دعائم الإسلام</w:t>
      </w:r>
      <w:r>
        <w:rPr>
          <w:rStyle w:val="FootnoteAnchor"/>
          <w:rtl w:val="true"/>
        </w:rPr>
        <w:footnoteReference w:id="219"/>
      </w:r>
      <w:r>
        <w:rPr>
          <w:rFonts w:ascii="Amiri" w:hAnsi="Amiri" w:eastAsia="Amiri" w:cs="Amiri"/>
          <w:color w:val="111111"/>
          <w:sz w:val="28"/>
          <w:sz w:val="28"/>
          <w:szCs w:val="28"/>
          <w:rtl w:val="true"/>
          <w:lang w:bidi="ar-SA"/>
        </w:rPr>
        <w:t>و الأشعثيّات</w:t>
      </w:r>
      <w:r>
        <w:rPr>
          <w:rStyle w:val="FootnoteAnchor"/>
          <w:rtl w:val="true"/>
        </w:rPr>
        <w:footnoteReference w:id="220"/>
      </w:r>
      <w:r>
        <w:rPr>
          <w:rFonts w:ascii="Amiri" w:hAnsi="Amiri" w:eastAsia="Amiri" w:cs="Amiri"/>
          <w:color w:val="111111"/>
          <w:sz w:val="28"/>
          <w:sz w:val="28"/>
          <w:szCs w:val="28"/>
          <w:rtl w:val="true"/>
          <w:lang w:bidi="ar-SA"/>
        </w:rPr>
        <w:t>عن الصادق عليه السلام عن آبائه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لايصلح الحكم و لا الحدود و لا الجمعة إلّابإمامٍ</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دعائم الإسلام لارساله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الأشعثيّات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بالجعفريّات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أيضاًلم تثبت</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كلامه، و هو تمامٌ في اثبات هذه الولاية للفقيه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هيهنا نقطةٌ،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المحقّق الخوئيّ ذهب إلى أنّ ما في الدعائم و الأشعثيّات ضعيفٌ لايقاوم التوقيع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صحيحٌ، و لكنّ الكلام كلّه في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قول أميرالمؤمنين عليه السلام تشمل المعصوم، و مَن نصبه بالخصوص لاقامة الحكم و الجمعة و إجراء الحدود، و مَن إليه إلحكم و هو النائب العامّ عنه في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فلاتهافت بين هذه الرواية و ذلك التوقيع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لاغبار عليه</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13099932_1280447820"/>
      <w:bookmarkStart w:id="430" w:name="_Toc172"/>
      <w:bookmarkEnd w:id="429"/>
      <w:r>
        <w:rPr>
          <w:rtl w:val="true"/>
        </w:rPr>
        <w:t>الثّالث من الأدلّة العقليّة</w:t>
      </w:r>
      <w:bookmarkEnd w:id="43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من المثبَت تأريخيّاً أو فقل من الضروريّات في علم تأريخ الإسلام نصب الحكّام و القضاة و الوكلاء من ناحية المعصومين عليهم السلام من زمن تأسيس الدولة الإسلاميّة في مدينة </w:t>
      </w:r>
    </w:p>
    <w:p>
      <w:pPr>
        <w:pStyle w:val="BookText"/>
        <w:rPr/>
      </w:pPr>
      <w:r>
        <w:rPr>
          <w:rFonts w:ascii="Amiri" w:hAnsi="Amiri" w:eastAsia="Amiri" w:cs="Amiri"/>
          <w:color w:val="111111"/>
          <w:sz w:val="28"/>
          <w:sz w:val="28"/>
          <w:szCs w:val="28"/>
          <w:rtl w:val="true"/>
          <w:lang w:bidi="ar-SA"/>
        </w:rPr>
        <w:t>النبيّ إلى أن آن عصر الغيبة الكبرى، فنرى انّ النبيّ صلى الله عليه و آله و أميرالمؤمنين عليه السلام و الإمام المجتبى عليه السلام حينما ارتأسوا قد عيّنوا لكلّ ناحيةٍ من نواحي أرض المسلمين أميراً و قاضياً و أميناً على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صدر الزمن الّذي خرجت السلطة الظاهريّة من أيديهم استمرّوا هذه السيرة و عيّنوا في كلّ ناحيةٍ الخلّص من شيعتهم كالحاكم على مجتمع تابعيهم؛ و قد أمروهم بالرجوع إليهم و الانقياد لهم فيما حكموا به، و هذا معنى جعلهم عليهم السلام إيّاهم حاكماً على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لاريب في أنّه استمرّت هذه السيرة حتّى منتهى عصر الغيبة الصغرى، فهذا القاسم بن العلاء الهمداني كان وكيل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آذربيجان، كما في رجال النجاشيّ‌</w:t>
      </w:r>
      <w:r>
        <w:rPr>
          <w:rStyle w:val="FootnoteAnchor"/>
          <w:rtl w:val="true"/>
        </w:rPr>
        <w:footnoteReference w:id="223"/>
      </w:r>
      <w:r>
        <w:rPr>
          <w:rFonts w:ascii="Amiri" w:hAnsi="Amiri" w:eastAsia="Amiri" w:cs="Amiri"/>
          <w:color w:val="111111"/>
          <w:sz w:val="28"/>
          <w:sz w:val="28"/>
          <w:szCs w:val="28"/>
          <w:rtl w:val="true"/>
          <w:lang w:bidi="ar-SA"/>
        </w:rPr>
        <w:t>و تنقيح المقال</w:t>
      </w:r>
      <w:r>
        <w:rPr>
          <w:rStyle w:val="FootnoteAnchor"/>
          <w:rtl w:val="true"/>
        </w:rPr>
        <w:footnoteReference w:id="224"/>
      </w:r>
      <w:r>
        <w:rPr>
          <w:rFonts w:ascii="Amiri" w:hAnsi="Amiri" w:eastAsia="Amiri" w:cs="Amiri"/>
          <w:color w:val="111111"/>
          <w:sz w:val="28"/>
          <w:sz w:val="28"/>
          <w:szCs w:val="28"/>
          <w:rtl w:val="true"/>
          <w:lang w:bidi="ar-SA"/>
        </w:rPr>
        <w:t>و غيرهما</w:t>
      </w:r>
      <w:r>
        <w:rPr>
          <w:rStyle w:val="FootnoteAnchor"/>
          <w:rtl w:val="true"/>
        </w:rPr>
        <w:footnoteReference w:id="225"/>
      </w:r>
      <w:r>
        <w:rPr>
          <w:rFonts w:ascii="Amiri" w:hAnsi="Amiri" w:eastAsia="Amiri" w:cs="Amiri"/>
          <w:color w:val="111111"/>
          <w:sz w:val="28"/>
          <w:sz w:val="28"/>
          <w:szCs w:val="28"/>
          <w:rtl w:val="true"/>
          <w:lang w:bidi="ar-SA"/>
        </w:rPr>
        <w:t>من مصادر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بالرجوع إليها نرى انّ الرجالييّن قد صحّحوا كثيراً من الرواة معلّلين بانخراطهم في سلك الوكلاء</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لمن له أدنى معرفةٍ بها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لايُعقل أن يستمرّ نظام الإمامة و الخلافة الإلهيّة الكبرىٰ إلّامع استمرار لوازمه و شؤونه الّتي منها بقاء سلسلة الولاة و الوكلاء، إذ لامعنى لأن يكون 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اللّه أميراً على دار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مجتمع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يعيّن ولاةً لمجتمعات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لامناص من أن تكون الفقهاء هم الولاة من قِبَله لمعرفتهم بأوامره و نواهيه، و ما له رغبةٌ إليه و رغبةٌ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قوله عليه السلام</w:t>
      </w:r>
      <w:r>
        <w:rPr>
          <w:rFonts w:eastAsia="Amiri" w:cs="Amiri" w:ascii="Amiri" w:hAnsi="Amiri"/>
          <w:color w:val="111111"/>
          <w:sz w:val="28"/>
          <w:szCs w:val="28"/>
          <w:rtl w:val="true"/>
          <w:lang w:bidi="ar-SA"/>
        </w:rPr>
        <w:t xml:space="preserve">: </w:t>
      </w:r>
      <w:bookmarkStart w:id="431" w:name="pg18987_179780"/>
    </w:p>
    <w:p>
      <w:pPr>
        <w:pStyle w:val="BookText"/>
        <w:rPr/>
      </w:pPr>
      <w:bookmarkEnd w:id="4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حجّتي عليكم و أنا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الغيبة أنا حجّة اللّه الكبرىٰ و الراوي لحديثنا العارف به الواعي لها هو حجّتي على الناس، الّذي يجب عليهم الانقياد له</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13099934_1280447820"/>
      <w:bookmarkStart w:id="433" w:name="_Toc173"/>
      <w:bookmarkEnd w:id="432"/>
      <w:r>
        <w:rPr>
          <w:rtl w:val="true"/>
        </w:rPr>
        <w:t>الرّابع من الأدلّة العقليّة</w:t>
      </w:r>
      <w:bookmarkEnd w:id="433"/>
    </w:p>
    <w:p>
      <w:pPr>
        <w:pStyle w:val="BookText"/>
        <w:rPr/>
      </w:pPr>
      <w:r>
        <w:rPr>
          <w:rFonts w:ascii="Amiri" w:hAnsi="Amiri" w:eastAsia="Amiri" w:cs="Amiri"/>
          <w:color w:val="111111"/>
          <w:sz w:val="28"/>
          <w:sz w:val="28"/>
          <w:szCs w:val="28"/>
          <w:rtl w:val="true"/>
          <w:lang w:bidi="ar-SA"/>
        </w:rPr>
        <w:t>و هذا الدليل مبنيٌّ على بداهة بطلان اللغو في جعل الأحكام، إذ اللغو في الجعل قبيحٌ عند العقل و هو يحكم بقبحه، و لايصدر إلّاعن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لايُفرَض في محيط التشريع و جعل الأحكام، إذ الحكيم المطلق هو الحاكم على ذاك المحيط، و هو الواضع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لايُعقل أن يرجع فعله إلى اللغو بينما انّ القول بنفي الولاية عن الفقيه لايرجع إلّاإلى تعطيل الأحكام الإلهيّة و النواميس الشرعيّة، و هو يساوي اللغو في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إيّاها، إذ لامعنى له إلّاالقول بأنّه لايجب العمل بأحكام الشريعة الجماعيّة إلّافي دولة المعصوم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زمن استقرار النبيّ صلى الله عليه و آله على عرش السلطة إلى أن صالح الإمام المجتبى عليه السلام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عطّلت الأحكام إلى أن يقوم القائم عليه السلام و يستقرّ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لامعنى لهذا إلّاتعطيل الأحكام، و لامعنى للتعطيل إلّا سنوح اللغو في محيط التشريع؛ و هو قبيحٌ عن العقلاء فضلاً عن الحكيم 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القول بثبوت الولاية للفقيه العارف بمجاري الأحكام فلايفرض اللغو في التشريع، و عدم اللغو من المجمَع عليه؛ فلامناص من القول بثبوتها له</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13099936_1280447820"/>
      <w:bookmarkStart w:id="435" w:name="_Toc174"/>
      <w:bookmarkEnd w:id="434"/>
      <w:r>
        <w:rPr>
          <w:rtl w:val="true"/>
        </w:rPr>
        <w:t>الخامس من الأدلّة العقليّة</w:t>
      </w:r>
      <w:bookmarkEnd w:id="435"/>
    </w:p>
    <w:p>
      <w:pPr>
        <w:pStyle w:val="BookText"/>
        <w:rPr/>
      </w:pPr>
      <w:r>
        <w:rPr>
          <w:rFonts w:ascii="Amiri" w:hAnsi="Amiri" w:eastAsia="Amiri" w:cs="Amiri"/>
          <w:color w:val="111111"/>
          <w:sz w:val="28"/>
          <w:sz w:val="28"/>
          <w:szCs w:val="28"/>
          <w:rtl w:val="true"/>
          <w:lang w:bidi="ar-SA"/>
        </w:rPr>
        <w:t>و هذا الدليل مبنيٌّ على ما هو المطلوب المراد من خلق الإنسان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لاريب في أنّ الإنسان خُلق لأنّ يصل إلى كماله اللائق به المطلوب له، و ما دخل في حيّز </w:t>
      </w:r>
    </w:p>
    <w:p>
      <w:pPr>
        <w:pStyle w:val="BookText"/>
        <w:rPr/>
      </w:pPr>
      <w:r>
        <w:rPr>
          <w:rFonts w:ascii="Amiri" w:hAnsi="Amiri" w:eastAsia="Amiri" w:cs="Amiri"/>
          <w:color w:val="111111"/>
          <w:sz w:val="28"/>
          <w:sz w:val="28"/>
          <w:szCs w:val="28"/>
          <w:rtl w:val="true"/>
          <w:lang w:bidi="ar-SA"/>
        </w:rPr>
        <w:t xml:space="preserve">الوجود داخلٌ إلّاو له دورٌ في هذا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لَمْتَرَوا أَنَّ اللَّهَ سَخَّرَ لَكُمْ مَا فِي السَّمَاوَاتِ وَ مَا فِي الْأَرْضِ وَ أَسْبَغَ عَلَيْكُمْ نِعَمَهُ ظَاهِرَةً وَ بَاطِنَةً</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اصْطَنَعْتُكَ لِنَفْسِي</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قرّرته الثقافة الإسلاميّة، بل هو مذهب الحكماء الإلهيّين أيضاً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من أهمّ المعدّات لنيل الإنسان إلى هذه المرتبة إرسال الرسل و إنزال الكتب ليقوم الناس بالقسط و ليقوموا بمهمّة الحكم لتعيش الناس في مجتمعٍ قائمٍ على أساس القسط ليمكن لهم اقتناء ما هو المطلوب لهم و ما هو المراد من خلقهم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سلسلة الأنبياء و الأوصياء من زمن أبينا النبيّ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هبط إلى الأرض قبل أن يستقرّ فيه أحدٌ من هذا 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آن زمن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الهادون للناس إلى ما هو الكمال لهم روحيّاً كان أو جسميّاً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لايمكن اقتناء الكمال إلّافي ظلّ دولةٍ قائمةٍ على النواميس الشرعيّة و الأحكام الإلهيّة؛</w:t>
      </w:r>
    </w:p>
    <w:p>
      <w:pPr>
        <w:pStyle w:val="BookText"/>
        <w:rPr/>
      </w:pPr>
      <w:r>
        <w:rPr>
          <w:rFonts w:ascii="Amiri" w:hAnsi="Amiri" w:eastAsia="Amiri" w:cs="Amiri"/>
          <w:color w:val="111111"/>
          <w:sz w:val="28"/>
          <w:sz w:val="28"/>
          <w:szCs w:val="28"/>
          <w:rtl w:val="true"/>
          <w:lang w:bidi="ar-SA"/>
        </w:rPr>
        <w:t>و لاريب في استمرار الخلق في زمن غيبة المعصوم عليهم السلام، و هو المشاهد الآن؛</w:t>
      </w:r>
    </w:p>
    <w:p>
      <w:pPr>
        <w:pStyle w:val="BookText"/>
        <w:rPr/>
      </w:pPr>
      <w:r>
        <w:rPr>
          <w:rFonts w:ascii="Amiri" w:hAnsi="Amiri" w:eastAsia="Amiri" w:cs="Amiri"/>
          <w:color w:val="111111"/>
          <w:sz w:val="28"/>
          <w:sz w:val="28"/>
          <w:szCs w:val="28"/>
          <w:rtl w:val="true"/>
          <w:lang w:bidi="ar-SA"/>
        </w:rPr>
        <w:t xml:space="preserve">فلامناص من القول بأنّ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فوّض أمر الحكم إلى من هو الصالح له ليمهّد للناس الطريق إلى كمالهم اللائق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المقصود من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لاأصلح ممّن جمع بين العلم و العدالة و الكفاية، و هو الّذي نسمّيه الفقيه الجامع لشرائط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فقضيّة المطلوب من الخلق تقضي بضرورة تعيين الوالي في زمن الغيبة لئلّا تهمل الناس و ما هو المقصود من خلقهم</w:t>
      </w:r>
      <w:r>
        <w:rPr>
          <w:rFonts w:eastAsia="Amiri" w:cs="Amiri" w:ascii="Amiri" w:hAnsi="Amiri"/>
          <w:color w:val="111111"/>
          <w:sz w:val="28"/>
          <w:szCs w:val="28"/>
          <w:rtl w:val="true"/>
          <w:lang w:bidi="ar-SA"/>
        </w:rPr>
        <w:t xml:space="preserve">. </w:t>
      </w:r>
      <w:bookmarkStart w:id="436" w:name="pg18987_179782"/>
    </w:p>
    <w:p>
      <w:pPr>
        <w:pStyle w:val="Heading5"/>
        <w:numPr>
          <w:ilvl w:val="4"/>
          <w:numId w:val="1"/>
        </w:numPr>
        <w:rPr/>
      </w:pPr>
      <w:bookmarkStart w:id="437" w:name="__RefHeading___Toc13099938_1280447820"/>
      <w:bookmarkStart w:id="438" w:name="_Toc175"/>
      <w:bookmarkEnd w:id="436"/>
      <w:bookmarkEnd w:id="437"/>
      <w:r>
        <w:rPr>
          <w:rtl w:val="true"/>
        </w:rPr>
        <w:t>السّادس من الأدلّة العقليّة</w:t>
      </w:r>
      <w:bookmarkEnd w:id="438"/>
    </w:p>
    <w:p>
      <w:pPr>
        <w:pStyle w:val="BookText"/>
        <w:rPr/>
      </w:pPr>
      <w:r>
        <w:rPr>
          <w:rFonts w:ascii="Amiri" w:hAnsi="Amiri" w:eastAsia="Amiri" w:cs="Amiri"/>
          <w:color w:val="111111"/>
          <w:sz w:val="28"/>
          <w:sz w:val="28"/>
          <w:szCs w:val="28"/>
          <w:rtl w:val="true"/>
          <w:lang w:bidi="ar-SA"/>
        </w:rPr>
        <w:t xml:space="preserve">و هذا الدليل مبنيٌّ على أنّ للشيعة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كغيرهم من أهالي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الصِلات و العِلاقات الجماعيّة، فيحتاجون إلى مدبّرٍ صالحٍ ينظّم و يدبّر تلك العِلاقات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نسبك مادّة الدليل في صورة قياسٍ استثنائيٍّ؛ و هذه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تنظيم العِلاقات الجماعيّة يحتاج إلى مدبّرٍ و سائسٍ صالحٍ له؛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نُهيت الشيعة عن الركون إلى الفسقة في تنظيمها؛</w:t>
      </w:r>
    </w:p>
    <w:p>
      <w:pPr>
        <w:pStyle w:val="BookText"/>
        <w:rPr/>
      </w:pPr>
      <w:r>
        <w:rPr>
          <w:rFonts w:ascii="Amiri" w:hAnsi="Amiri" w:eastAsia="Amiri" w:cs="Amiri"/>
          <w:color w:val="111111"/>
          <w:sz w:val="28"/>
          <w:sz w:val="28"/>
          <w:szCs w:val="28"/>
          <w:rtl w:val="true"/>
          <w:lang w:bidi="ar-SA"/>
        </w:rPr>
        <w:t>و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الناهي أن يعيّن والٍ صالحٍ ليركنوا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لمتابعي أهل البيت عليهم السلام بما لهم من الطبع المدنيّ صِلاتٌ و علاقاتٌ مع غيرهم من أهالي المجتمع، و هذا ممّا لاريب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من المشاهَد المحسوس في كلّ عصرٍ، سواء فيه عصرنا هذا أو الأعصار المتقدّمة عليه أو اللاحقة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لاتنتظم تلك العلاقات إلّابمن يدبّرها و يسوس أمرها لئلّا يؤول أمر المجتمع إلى الهرج و الاضطراب؛</w:t>
      </w:r>
    </w:p>
    <w:p>
      <w:pPr>
        <w:pStyle w:val="BookText"/>
        <w:rPr/>
      </w:pPr>
      <w:r>
        <w:rPr>
          <w:rFonts w:ascii="Amiri" w:hAnsi="Amiri" w:eastAsia="Amiri" w:cs="Amiri"/>
          <w:color w:val="111111"/>
          <w:sz w:val="28"/>
          <w:sz w:val="28"/>
          <w:szCs w:val="28"/>
          <w:rtl w:val="true"/>
          <w:lang w:bidi="ar-SA"/>
        </w:rPr>
        <w:t xml:space="preserve">و لكن قد نُهيت الشيعة عن الركون إلى الظلمة و الفسقة غاصبي الخلافة و متابعيهم،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لَاتَرْكَنُوا إِلَى الَّذِينَ ظَلَمُوا</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 قَدْ أُمِرُوا أَنْ يَكْفُرُوا بِهِ</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مولانا الصادق عليه السلام بهذه الشريفة عند ما بيّن لعمر بن حنظلة حكم الرجوع إلى الفسقة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المرويّات عن أئمّة أهل البيت قسطٌ وافرٌ من تلك النواهي الناهية عن الرجوع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لاريب في أنّ الناس بحاجةٍ ماسّةٍ إلى مَن يتكفّل أمر تنظيم عِلاقاتهم الجماعيّة؛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حجج اللّه و أصحاب الخلافة الكبرى بالأصالة أن يعيّنوا ولاةً ليولّوا أمر الحكم و </w:t>
      </w:r>
    </w:p>
    <w:p>
      <w:pPr>
        <w:pStyle w:val="BookText"/>
        <w:rPr/>
      </w:pPr>
      <w:r>
        <w:rPr>
          <w:rFonts w:ascii="Amiri" w:hAnsi="Amiri" w:eastAsia="Amiri" w:cs="Amiri"/>
          <w:color w:val="111111"/>
          <w:sz w:val="28"/>
          <w:sz w:val="28"/>
          <w:szCs w:val="28"/>
          <w:rtl w:val="true"/>
          <w:lang w:bidi="ar-SA"/>
        </w:rPr>
        <w:t>تنظيم شؤون أهالي المجتمع؛</w:t>
      </w:r>
    </w:p>
    <w:p>
      <w:pPr>
        <w:pStyle w:val="BookText"/>
        <w:rPr/>
      </w:pPr>
      <w:r>
        <w:rPr>
          <w:rFonts w:ascii="Amiri" w:hAnsi="Amiri" w:eastAsia="Amiri" w:cs="Amiri"/>
          <w:color w:val="111111"/>
          <w:sz w:val="28"/>
          <w:sz w:val="28"/>
          <w:szCs w:val="28"/>
          <w:rtl w:val="true"/>
          <w:lang w:bidi="ar-SA"/>
        </w:rPr>
        <w:t>و لا أحد أصلح للقيام به من الفقيه الجامع لشرائط الإفتاء، فعليهم عليهم السلام أن يعيّنوه كوالٍ على مجتمع الشيعة؛ 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ينظران إلى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في حلالنا و حرامنا و عرف 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قال الإمام الحجّة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فارجعوا فيها إلى رواة حديثا فإنّهم حجّتي عليكم و أنا حجّة اللّه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فقضيّة العِلاقات الجماعيّة تحكم بوجوب هذا النصب و الجعل لئلّا يختلّ أمر الهيئة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عيانٌ جليٌّ لايمكن لعاقلٍ أن يرتاب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تؤيّد الأدلّة العقليّة السيرة المستمرّة بين الشيعة الإماميّة الدالّة على وجوب الرجوع إلى الفقيه العدل الخبير بما تحتاج إليه الناس فيما يرجع إلى دينهم و دنياهم، و ليس هذا إلّا صورةً أخرى عمّا نحن بصدده من إثبات الولاية للفقيه فيما يرجع إلى حياة الناس الدنياويّة و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السيرة كانت بمرأىً من المعصومين عليهم السلام، و هم لم يردعوا عنها بل و نصبوا جمعاً من أصحابهم للجلوس في المسجد و الإفتاء فيما يشكل على الناس و أمروا بالرجوع إليهم و الخضوع لما حكموا به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السيرة حجّةٌ، و هي تؤيّد القول بثبوت الولاية له</w:t>
      </w:r>
      <w:r>
        <w:rPr>
          <w:rFonts w:eastAsia="Amiri" w:cs="Amiri" w:ascii="Amiri" w:hAnsi="Amiri"/>
          <w:color w:val="111111"/>
          <w:sz w:val="28"/>
          <w:szCs w:val="28"/>
          <w:rtl w:val="true"/>
          <w:lang w:bidi="ar-SA"/>
        </w:rPr>
        <w:t>.</w:t>
      </w:r>
      <w:bookmarkStart w:id="439" w:name="pg18987_179784"/>
    </w:p>
    <w:p>
      <w:pPr>
        <w:pStyle w:val="Heading4"/>
        <w:numPr>
          <w:ilvl w:val="3"/>
          <w:numId w:val="1"/>
        </w:numPr>
        <w:rPr/>
      </w:pPr>
      <w:bookmarkStart w:id="440" w:name="__RefHeading___Toc13099940_1280447820"/>
      <w:bookmarkStart w:id="441" w:name="_Toc176"/>
      <w:bookmarkEnd w:id="439"/>
      <w:bookmarkEnd w:id="440"/>
      <w:r>
        <w:rPr>
          <w:rtl w:val="true"/>
        </w:rPr>
        <w:t>الثّاني</w:t>
      </w:r>
      <w:r>
        <w:rPr>
          <w:rtl w:val="true"/>
        </w:rPr>
        <w:t xml:space="preserve">: </w:t>
      </w:r>
      <w:r>
        <w:rPr>
          <w:rtl w:val="true"/>
        </w:rPr>
        <w:t>الاستدلال بالكتاب على ثبوت الولاية للفقيه</w:t>
      </w:r>
      <w:bookmarkEnd w:id="441"/>
    </w:p>
    <w:p>
      <w:pPr>
        <w:pStyle w:val="Heading5"/>
        <w:numPr>
          <w:ilvl w:val="4"/>
          <w:numId w:val="1"/>
        </w:numPr>
        <w:rPr/>
      </w:pPr>
      <w:bookmarkStart w:id="442" w:name="__RefHeading___Toc13099942_1280447820"/>
      <w:bookmarkStart w:id="443" w:name="_Toc177"/>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و قبل الخوض في صلب المبحث يجب أن ننبّه على نكتتين</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13099944_1280447820"/>
      <w:bookmarkStart w:id="445" w:name="_Toc178"/>
      <w:bookmarkEnd w:id="444"/>
      <w:r>
        <w:rPr>
          <w:rtl w:val="true"/>
        </w:rPr>
        <w:t>النكتة الأولى</w:t>
      </w:r>
      <w:r>
        <w:rPr>
          <w:rtl w:val="true"/>
        </w:rPr>
        <w:t>:</w:t>
      </w:r>
      <w:bookmarkEnd w:id="445"/>
    </w:p>
    <w:p>
      <w:pPr>
        <w:pStyle w:val="BookText"/>
        <w:rPr/>
      </w:pPr>
      <w:r>
        <w:rPr>
          <w:rFonts w:ascii="Amiri" w:hAnsi="Amiri" w:eastAsia="Amiri" w:cs="Amiri"/>
          <w:color w:val="111111"/>
          <w:sz w:val="28"/>
          <w:sz w:val="28"/>
          <w:szCs w:val="28"/>
          <w:rtl w:val="true"/>
          <w:lang w:bidi="ar-SA"/>
        </w:rPr>
        <w:t xml:space="preserve">يبدو من التأمّل في مسفورات الفقهاء انّهم لم يتمسّكوا لإثبات الولاية للفقيه بالآيات القرآنيّة، فمنهم من أوجز في البحث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منهم من توسّع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كثاني النراقيَّين رحمه الله من المتأخّرين و السيّد الأستاذ الإمام الخمينيّ رحمه الله من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كلّهم يشتركون في عدم التمسّك بها في ثبوتها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نرى انّ قسطاً من الكريمات القرآنيّة يدلّ عليها و يزيد عددها على عشر آيات، فهذا بحثٌ مبكّرٌ يُعدُّ من فرائد هذه الرسالة، فهو يحتاج إلى مزيدٍ من البحث و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لإثباتها بواسطة القرآن الكريم شأنٌ من الشأن</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13099946_1280447820"/>
      <w:bookmarkStart w:id="447" w:name="_Toc179"/>
      <w:bookmarkEnd w:id="446"/>
      <w:r>
        <w:rPr>
          <w:rtl w:val="true"/>
        </w:rPr>
        <w:t>النكتة الثّانية</w:t>
      </w:r>
      <w:r>
        <w:rPr>
          <w:rtl w:val="true"/>
        </w:rPr>
        <w:t>:</w:t>
      </w:r>
      <w:bookmarkEnd w:id="447"/>
    </w:p>
    <w:p>
      <w:pPr>
        <w:pStyle w:val="BookText"/>
        <w:rPr/>
      </w:pPr>
      <w:r>
        <w:rPr>
          <w:rFonts w:ascii="Amiri" w:hAnsi="Amiri" w:eastAsia="Amiri" w:cs="Amiri"/>
          <w:color w:val="111111"/>
          <w:sz w:val="28"/>
          <w:sz w:val="28"/>
          <w:szCs w:val="28"/>
          <w:rtl w:val="true"/>
          <w:lang w:bidi="ar-SA"/>
        </w:rPr>
        <w:t>و لوفرضنا انّ الآيات لاتدلّ على اثباتها له فهذا الفرض لايضرّ المثبتين لها، و لاينفع جاحديها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ككثيرٍ من أحكامنا الفقهيّة الأوّليّة و ضروريّاتنا العقائديّة الّتي لم تذكر في هذا الكتاب الكريم، أو فقل ذُكرت و لكن علمها موكولٌ إلى أصحابه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لنؤيّد هذا بما رواه الكلينيّ في جامعه الكافي</w:t>
      </w:r>
      <w:r>
        <w:rPr>
          <w:rStyle w:val="FootnoteAnchor"/>
          <w:rtl w:val="true"/>
        </w:rPr>
        <w:footnoteReference w:id="234"/>
      </w:r>
      <w:r>
        <w:rPr>
          <w:rFonts w:ascii="Amiri" w:hAnsi="Amiri" w:eastAsia="Amiri" w:cs="Amiri"/>
          <w:color w:val="111111"/>
          <w:sz w:val="28"/>
          <w:sz w:val="28"/>
          <w:szCs w:val="28"/>
          <w:rtl w:val="true"/>
          <w:lang w:bidi="ar-SA"/>
        </w:rPr>
        <w:t>في الصحيح عن أبي بصير انّه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لم يسمّ عليّاً و أهل بيته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48" w:name="pg18987_179785"/>
    </w:p>
    <w:p>
      <w:pPr>
        <w:pStyle w:val="BookText"/>
        <w:rPr/>
      </w:pPr>
      <w:bookmarkEnd w:id="44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نزلت عليه الصلاة لم يسمّ اللّه لهم ثلاثاً و لاأربعاً حتّى كان رسول اللّه صلى الله عليه و آله هو الّذي فسّر ذلك لهم، و نزلت عليه الزكاة و لم يسمّ لهم من كلّ أربعين درهماً درهمٌ حتّى كان رسول اللّه صلى الله عليه و آله هو الّذي فسّر ذلك لهم، و نزل الحجّ فلم يقل لهم طوفوا أسبوعاً حتّى كان رسول اللّه صلى الله عليه و آله هو الّذي فسّر ذلك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كفايةٌ عن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فلندخل في أصل الاستدلال بالكريمات القرآنيّة على ثبوت الولاية للفقيه و صلبه</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13099948_1280447820"/>
      <w:bookmarkStart w:id="450" w:name="_Toc180"/>
      <w:bookmarkEnd w:id="449"/>
      <w:r>
        <w:rPr>
          <w:rtl w:val="true"/>
        </w:rPr>
        <w:t>الآية الأولى</w:t>
      </w:r>
      <w:bookmarkEnd w:id="45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 فَإِنْ تَنَازَعْتُمْ فِي شَيْ‌ءٍ فَرُدُّوهُ إِلَى اللَّهِ وَ الرَّسُولِ</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لاريب في أنّ الظاهر من الآية المباركة هو إثبات أصل الدولة و السلطة الإسلاميّة، فهي بصدد اثباتها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شأنها شأن الإشارة إلى ما لها من الأهميّة البالغة؛ و هذا ظهورها البدويّ و مايبدو منها في بادىء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الظهور بمكانٍ من الوضوح حتّى أنّ إخواننا السنّة و الجماعة تمسّكوا بها منذ أن ارتحل النبيّ صلى الله عليه و آله إلى حدّ الآن لوجوب الخضوع للحاكم و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الاستدلال بها على ثبوت الولاية للفقيه فالظاهر انّه لم يرد في كلمات الأكابر، لا منّا و لا من العامّة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رفض النبيّ صلى الله عليه و آله و أئمّة أهل البيت عليهم السلام وجوب الطاعة عمّن ترأّس و استوى على عرش السلطة و استقرّ عليه لوكان متغلّباً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الرفض يحكم به العقل، إذ لايجوّز العقل أن يحكم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المتابعة عن الظلمة و الفُسّاق، و ارسال الرسل خير شاهدٍ على عدم رضى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بالمتابعة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ورد في بعض مرويّاتنا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بالأئمّة الإثنى عشر، و هذا التفسير هو السبب الوحيد في عدم الاستدلال بها على ثبوت الولاية للفقيه من قِبل أعلامنا و لو المتأخّرين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تلك المرويّات</w:t>
      </w:r>
      <w:r>
        <w:rPr>
          <w:rStyle w:val="FootnoteAnchor"/>
          <w:rtl w:val="true"/>
        </w:rPr>
        <w:footnoteReference w:id="237"/>
      </w:r>
      <w:r>
        <w:rPr>
          <w:rFonts w:ascii="Amiri" w:hAnsi="Amiri" w:eastAsia="Amiri" w:cs="Amiri"/>
          <w:color w:val="111111"/>
          <w:sz w:val="28"/>
          <w:sz w:val="28"/>
          <w:szCs w:val="28"/>
          <w:rtl w:val="true"/>
          <w:lang w:bidi="ar-SA"/>
        </w:rPr>
        <w:t>ما رواه ابن بابويه</w:t>
      </w:r>
      <w:r>
        <w:rPr>
          <w:rStyle w:val="FootnoteAnchor"/>
          <w:rtl w:val="true"/>
        </w:rPr>
        <w:footnoteReference w:id="2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غير واحدٍ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عن حفص بن محمّد الفزاريّ عن الحسين بن محمّد بن سماعة عن أحمد بن الحرث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المفضّل بن عمر عن يونس بن ظبيان عن جابر بن يزيد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جابر بن عبداللّه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اللّه و رسوله، فمن أولي الأمر الّذين قرن اللّه طاعتهم بطاعتك؟</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خلفائي يا جابر و أئمّة المسلمين من بعدي، أوّلهم عليّ بن أبي طالب، ثمّ الحسن، ثمّ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سرد أسماء أبنائه عليه و عليهم السلام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سميّيّ محمّد و كنيّيّ حجّة اللّه في أرضه و بقيّته في عباده ابن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رحمه الله</w:t>
      </w:r>
      <w:r>
        <w:rPr>
          <w:rStyle w:val="FootnoteAnchor"/>
          <w:rtl w:val="true"/>
        </w:rPr>
        <w:footnoteReference w:id="239"/>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الحسين بن محمّد عن الحسن بن عليٍّ الوشّاء عن أحمد بن عائد عن أبي أذينة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أباجعفر عليه 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عُني خاصّةً أمر جميع المؤمنين إلى يوم القيامة بطاعتنا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نظائرهما كثيرٌ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انّ ما ورد في تلك الروايات 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بالأئمّة الإثنى عشر المعصومين هو السبب الوحيد في عدم الاستدلال بالآية الشريفة على ثبوت الولاية للفقيه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ورد في تلك الروايات من حصر الأولياء في المعصومين هل هو حصرٌ حقيقيٌّ؟ أو حصرٌ إضافيٌّ؟؛</w:t>
      </w:r>
    </w:p>
    <w:p>
      <w:pPr>
        <w:pStyle w:val="BookText"/>
        <w:rPr/>
      </w:pPr>
      <w:r>
        <w:rPr>
          <w:rFonts w:ascii="Amiri" w:hAnsi="Amiri" w:eastAsia="Amiri" w:cs="Amiri"/>
          <w:color w:val="111111"/>
          <w:sz w:val="28"/>
          <w:sz w:val="28"/>
          <w:szCs w:val="28"/>
          <w:rtl w:val="true"/>
          <w:lang w:bidi="ar-SA"/>
        </w:rPr>
        <w:t>فلوكان الحصر إضافيّاً فالرواية صدرت لبيان نفي الولاية عمّن تصدّاها متغلّباً من غير أن يكون أهلاً لها، فالرواية وردت لتزييف ما استدلّت به أصحاب السقيفة و تابعوهم بالآية الشريفة على وجوب الطاعة عن الولاة الظلمة الفسقة، كمعاوية و ابنه، و مروان و آله، و العبّاسييّن المتجاهرين بالفجور الشاربين للخمر على رؤوس الأشهاد اللاعبين بالنرد و 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حذا حذو النبيّ صلى الله عليه و آله و خلفائه من التخلّي عن الجهل بالأحكام الشرعيّة و التحلّي بالعدالة و استيفاء الكفاية الذاتيّة فلالسان للرواية على نفي الولاية عنه، بل و لادلالة لها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الفقيه الجامع لشرائط الفتيا هو الّذي حاز السبق في ميدان العلم و العدالة و الكفاية، فهو المأمور بطاعته كما انّ النبيّ صلى الله عليه و آله و أهل بيته عليهم السلام هم المأمورون بطاعتهم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الشريفة كما تدلّ على وجوب الطاعة عن المعصومين عليهم السلام تدلّ على وجوب الطاعة عن خلفائهم في كلّ عصرٍ و مصرٍ، و هم الفقهاء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لوفرضنا انّ الحصر الوارد في </w:t>
      </w:r>
      <w:bookmarkStart w:id="451" w:name="pg18987_179788"/>
    </w:p>
    <w:p>
      <w:pPr>
        <w:pStyle w:val="BookText"/>
        <w:rPr/>
      </w:pPr>
      <w:bookmarkEnd w:id="451"/>
      <w:r>
        <w:rPr>
          <w:rFonts w:ascii="Amiri" w:hAnsi="Amiri" w:eastAsia="Amiri" w:cs="Amiri"/>
          <w:color w:val="111111"/>
          <w:sz w:val="28"/>
          <w:sz w:val="28"/>
          <w:szCs w:val="28"/>
          <w:rtl w:val="true"/>
          <w:lang w:bidi="ar-SA"/>
        </w:rPr>
        <w:t>تلك الروايات حصرٌ إضافيٌّ؛</w:t>
      </w:r>
    </w:p>
    <w:p>
      <w:pPr>
        <w:pStyle w:val="BookText"/>
        <w:rPr/>
      </w:pPr>
      <w:r>
        <w:rPr>
          <w:rFonts w:ascii="Amiri" w:hAnsi="Amiri" w:eastAsia="Amiri" w:cs="Amiri"/>
          <w:color w:val="111111"/>
          <w:sz w:val="28"/>
          <w:sz w:val="28"/>
          <w:szCs w:val="28"/>
          <w:rtl w:val="true"/>
          <w:lang w:bidi="ar-SA"/>
        </w:rPr>
        <w:t>و لوفرضنا انّ الحصر حصرٌ حقيقيٌّ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المستنبَطة أو قاعدة الجري تحكمان بوجوب الطاعة عمّن انخرط في سلكهم و تحلّى بأوصافهم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لاريب في اختصاص بعض مراتب الولاية بالمعصومين الأربعة عشر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مضى تفصيل الكلام في ذلك في صدر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الشريفة تدلّ على ثبوت الولاية في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تبيين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القضاء و في رئاسة المجتمع للفقيه، كما تدلّ على ثبوتها و ثبوت ما هو أعلى منها لأئمّتنا الأربعة عشر؛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الاستدلال بالآية الشريفة تامٌّ لاغبار عليه</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13099950_1280447820"/>
      <w:bookmarkStart w:id="453" w:name="_Toc181"/>
      <w:bookmarkEnd w:id="452"/>
      <w:r>
        <w:rPr>
          <w:rtl w:val="true"/>
        </w:rPr>
        <w:t>الآية الثّانية</w:t>
      </w:r>
      <w:bookmarkEnd w:id="453"/>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لَمْتَرَ إِلَى الَّذِينَ يَزْعَمُونَ أَنَّهُمْ آمَنُوا بِمَا أُنْزِلَ إِلَيْكَ وَ مَا أُنْزِلَ مِنْ قَبْلِكَ يُرِيدُونَ أَنْ يَتَحَاكَمُوا إِلَى الطَّاغُوتِ وَ قَدْ أُمِرُوا أَنْ يَكْفُرُوا بِهِ وَ يُرِيدُ الشَّيْطَانُ أَنْ يُضِلَّهُمْ ضَلَالاً بَعِيداً</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للآية المباركة ظهورٌ جليٌّ في حرمة الرجوع إلى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القرآن الكريم يُطلق و يُراد منه ما هو المضادّ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 وَ الَّذِينَ كَفَرُوا أَولِيَاؤُهُمُ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على أنّ الآية الأولى عدّت الرجوع إلى الطاغوت حراماً، انّ انضمامها </w:t>
      </w:r>
    </w:p>
    <w:p>
      <w:pPr>
        <w:pStyle w:val="BookText"/>
        <w:rPr/>
      </w:pPr>
      <w:r>
        <w:rPr>
          <w:rFonts w:ascii="Amiri" w:hAnsi="Amiri" w:eastAsia="Amiri" w:cs="Amiri"/>
          <w:color w:val="111111"/>
          <w:sz w:val="28"/>
          <w:sz w:val="28"/>
          <w:szCs w:val="28"/>
          <w:rtl w:val="true"/>
          <w:lang w:bidi="ar-SA"/>
        </w:rPr>
        <w:t>بالثانية تدلّ على أنّ الرجوع إليهم و عدم الكفر بهم يخرج الإنسان من النور إلى الظلمات، و يجعل عاقبة أمره و مسيره إلى النار؛ فمن الواجب ترك الرجوع إليهم و عدم الاعتماد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البديهيّ انّ الرجوع إلى الدولة و السلطة يُعدّ من لوازم حياة الإنسان الجمعيّة، و لامناص له منه؛ فترى ماذا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تراه يعمد على من أُمِر أن يكفر به؟، أو يخرج من المجتمع و يعيش فريداً وحيداً؟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لاريب في أنّ الأوّل محذورٌ شرعاً، و الثّاني ممتنعٌ عقلاً؛ فلاسبيل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الطريق الّذي أبدعه الشارع هو الرجوع إلى حكم اللّه و الخضوع له، و لكن ما هو الطريق للوصول إلى حكم اللّه في زمن خروج الدولة عن أيدي أهل البيت عليهم السلام و استقرار غيرهم على عرش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له طريقٌ إلّاالرجوع إلى مَن كان نائباً عنهم عليهم السلام ذا سلطةٍ من قِبلهم حتّى لم يكن المراجع إليه معدوداً في المخرجين من النور إلى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يحكم بأنّ النوّاب عن المعصوم في زمن خروج الأمر من أيديهم هم الفقهاء العدول أصحاب الدراية و الكياسة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حكم العقل ما روي عن الصادق عليه السلام في مقبولة عمر بن حنظلة حيث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في حلالنا و حرامنا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فليرضوا به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الشريفة تثبت أوّلاً حاجة الناس للرجوع إلى الحاكم و الدولة؛</w:t>
      </w:r>
    </w:p>
    <w:p>
      <w:pPr>
        <w:pStyle w:val="BookText"/>
        <w:rPr/>
      </w:pPr>
      <w:r>
        <w:rPr>
          <w:rFonts w:ascii="Amiri" w:hAnsi="Amiri" w:eastAsia="Amiri" w:cs="Amiri"/>
          <w:color w:val="111111"/>
          <w:sz w:val="28"/>
          <w:sz w:val="28"/>
          <w:szCs w:val="28"/>
          <w:rtl w:val="true"/>
          <w:lang w:bidi="ar-SA"/>
        </w:rPr>
        <w:t>ثمّ تثبت ثانياً حرمة الرجوع إلى الطواغيب و الدول غير المشروعة؛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فيحكم العقل من انضمام هاتين المقدّمتين بوجوب نصب والٍ إلهيٍّ لم يكن الرجوع إليه معدوداً في الرجوع إلى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الوالي إلّاالفقيه الجامع لشرائط الفتيا علماً و عملاً</w:t>
      </w:r>
      <w:r>
        <w:rPr>
          <w:rFonts w:eastAsia="Amiri" w:cs="Amiri" w:ascii="Amiri" w:hAnsi="Amiri"/>
          <w:color w:val="111111"/>
          <w:sz w:val="28"/>
          <w:szCs w:val="28"/>
          <w:rtl w:val="true"/>
          <w:lang w:bidi="ar-SA"/>
        </w:rPr>
        <w:t xml:space="preserve">. </w:t>
      </w:r>
      <w:bookmarkStart w:id="454" w:name="pg18987_179790"/>
    </w:p>
    <w:p>
      <w:pPr>
        <w:pStyle w:val="BookText"/>
        <w:rPr/>
      </w:pPr>
      <w:bookmarkEnd w:id="454"/>
      <w:r>
        <w:rPr>
          <w:rFonts w:ascii="Amiri" w:hAnsi="Amiri" w:eastAsia="Amiri" w:cs="Amiri"/>
          <w:color w:val="111111"/>
          <w:sz w:val="28"/>
          <w:sz w:val="28"/>
          <w:szCs w:val="28"/>
          <w:rtl w:val="true"/>
          <w:lang w:bidi="ar-SA"/>
        </w:rPr>
        <w:t>و هذا الحصر حصرٌ حقيقيٌّ يحكم به كلٌّ من العقل 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فللآية الشريفة دلالةٌ واضحةٌ على ثبوت منصب الولاية للفقهاء العدول طيلة زمن خروج الحكم و السلطة عن أيدي المعصومين عليهم السلام</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13099952_1280447820"/>
      <w:bookmarkStart w:id="456" w:name="_Toc182"/>
      <w:bookmarkEnd w:id="455"/>
      <w:r>
        <w:rPr>
          <w:rtl w:val="true"/>
        </w:rPr>
        <w:t>الآية الثّالثة</w:t>
      </w:r>
      <w:bookmarkEnd w:id="456"/>
    </w:p>
    <w:p>
      <w:pPr>
        <w:pStyle w:val="Heading6"/>
        <w:numPr>
          <w:ilvl w:val="5"/>
          <w:numId w:val="1"/>
        </w:numPr>
        <w:rPr/>
      </w:pPr>
      <w:bookmarkStart w:id="457" w:name="__RefHeading___Toc13099954_1280447820"/>
      <w:bookmarkStart w:id="458" w:name="_Toc183"/>
      <w:bookmarkEnd w:id="457"/>
      <w:r>
        <w:rPr>
          <w:rtl w:val="true"/>
        </w:rPr>
        <w:t>اشارة</w:t>
      </w:r>
      <w:bookmarkEnd w:id="45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جَاءَهُمْ أَمْرٌ مِنَ الْأَمْنِ أَوِ الْخَوفِ أَذَاعُوا بِهِ وَ لَو رَدُّوهُ إِلَى الرَّسُولِ وَ إِلَى أُولِي الْأَمْرِ مِنْهُمْ لَعَلِمَهُ الَّذِينَ يَسْتَنْبِطُونَهُ مِنْهُمْ وَ لَولَا فَضْلُ اللَّهِ عَلَيْكُمْ وَ رَحْمَتُهُ لَاتَّبَعْتُمُ الشَّيْطَانَ إِلَّا قَلِيلاً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الكريمة على اثبات الولاية للفقيه تتمّ بالنظر إلى هذه النكات المستخرجة من نصّها الشريف</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13099956_1280447820"/>
      <w:bookmarkStart w:id="460" w:name="_Toc184"/>
      <w:bookmarkEnd w:id="459"/>
      <w:r>
        <w:rPr>
          <w:rtl w:val="true"/>
        </w:rPr>
        <w:t>النكتة الأولى</w:t>
      </w:r>
      <w:r>
        <w:rPr>
          <w:rtl w:val="true"/>
        </w:rPr>
        <w:t>:</w:t>
      </w:r>
      <w:bookmarkEnd w:id="460"/>
    </w:p>
    <w:p>
      <w:pPr>
        <w:pStyle w:val="BookText"/>
        <w:rPr/>
      </w:pPr>
      <w:r>
        <w:rPr>
          <w:rFonts w:ascii="Amiri" w:hAnsi="Amiri" w:eastAsia="Amiri" w:cs="Amiri"/>
          <w:color w:val="111111"/>
          <w:sz w:val="28"/>
          <w:sz w:val="28"/>
          <w:szCs w:val="28"/>
          <w:rtl w:val="true"/>
          <w:lang w:bidi="ar-SA"/>
        </w:rPr>
        <w:t>إنّ للحياة الجماعيّة مُشاخّاةٌ متنوّعةٌ منها مايرجع إلى السعة و الدعة، و منها ما هو من قبيل المشاكل و 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عبّرت الكريمة عن الأوّل بالأمن، و عن الثّاني بالخوف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الْأَمْنِ أَوِ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مظاهرات الحياة الإنسانيّة المتنوّعة</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13099958_1280447820"/>
      <w:bookmarkStart w:id="462" w:name="_Toc185"/>
      <w:bookmarkEnd w:id="461"/>
      <w:r>
        <w:rPr>
          <w:rtl w:val="true"/>
        </w:rPr>
        <w:t>النكتة الثّانية</w:t>
      </w:r>
      <w:r>
        <w:rPr>
          <w:rtl w:val="true"/>
        </w:rPr>
        <w:t>:</w:t>
      </w:r>
      <w:bookmarkEnd w:id="462"/>
    </w:p>
    <w:p>
      <w:pPr>
        <w:pStyle w:val="BookText"/>
        <w:rPr/>
      </w:pPr>
      <w:r>
        <w:rPr>
          <w:rFonts w:ascii="Amiri" w:hAnsi="Amiri" w:eastAsia="Amiri" w:cs="Amiri"/>
          <w:color w:val="111111"/>
          <w:sz w:val="28"/>
          <w:sz w:val="28"/>
          <w:szCs w:val="28"/>
          <w:rtl w:val="true"/>
          <w:lang w:bidi="ar-SA"/>
        </w:rPr>
        <w:t>إنّ من المرغوب فيه المأمور به ارجاع تلك المظاهرات إلى الرسول لوأمكن، و إلى أولي الأمر من بعده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13099960_1280447820"/>
      <w:bookmarkStart w:id="464" w:name="_Toc186"/>
      <w:bookmarkEnd w:id="463"/>
      <w:r>
        <w:rPr>
          <w:rtl w:val="true"/>
        </w:rPr>
        <w:t>النكتة الثّالثة</w:t>
      </w:r>
      <w:r>
        <w:rPr>
          <w:rtl w:val="true"/>
        </w:rPr>
        <w:t>:</w:t>
      </w:r>
      <w:bookmarkEnd w:id="464"/>
    </w:p>
    <w:p>
      <w:pPr>
        <w:pStyle w:val="BookText"/>
        <w:rPr/>
      </w:pPr>
      <w:r>
        <w:rPr>
          <w:rFonts w:ascii="Amiri" w:hAnsi="Amiri" w:eastAsia="Amiri" w:cs="Amiri"/>
          <w:color w:val="111111"/>
          <w:sz w:val="28"/>
          <w:sz w:val="28"/>
          <w:szCs w:val="28"/>
          <w:rtl w:val="true"/>
          <w:lang w:bidi="ar-SA"/>
        </w:rPr>
        <w:t>إنّ من المنهيّ عنه الالتواء في تلك المظاهرات و عدم الرجوع إلى الرسول و إلى أولي 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هذه النكتة يشير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أَذَاعُوا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الاستبداد بالفكر و الرأي عند ظهور الأمن أو الخوف و عدم ارجاع أمرهما إليهما</w:t>
      </w:r>
      <w:r>
        <w:rPr>
          <w:rFonts w:eastAsia="Amiri" w:cs="Amiri" w:ascii="Amiri" w:hAnsi="Amiri"/>
          <w:color w:val="111111"/>
          <w:sz w:val="28"/>
          <w:szCs w:val="28"/>
          <w:rtl w:val="true"/>
          <w:lang w:bidi="ar-SA"/>
        </w:rPr>
        <w:t xml:space="preserve">. </w:t>
      </w:r>
      <w:bookmarkStart w:id="465" w:name="pg18987_179791"/>
    </w:p>
    <w:p>
      <w:pPr>
        <w:pStyle w:val="Heading6"/>
        <w:numPr>
          <w:ilvl w:val="5"/>
          <w:numId w:val="1"/>
        </w:numPr>
        <w:rPr/>
      </w:pPr>
      <w:bookmarkStart w:id="466" w:name="__RefHeading___Toc13099962_1280447820"/>
      <w:bookmarkStart w:id="467" w:name="_Toc187"/>
      <w:bookmarkEnd w:id="465"/>
      <w:bookmarkEnd w:id="466"/>
      <w:r>
        <w:rPr>
          <w:rtl w:val="true"/>
        </w:rPr>
        <w:t>النكتة الرّابعة</w:t>
      </w:r>
      <w:r>
        <w:rPr>
          <w:rtl w:val="true"/>
        </w:rPr>
        <w:t>:</w:t>
      </w:r>
      <w:bookmarkEnd w:id="467"/>
    </w:p>
    <w:p>
      <w:pPr>
        <w:pStyle w:val="BookText"/>
        <w:rPr/>
      </w:pPr>
      <w:r>
        <w:rPr>
          <w:rFonts w:ascii="Amiri" w:hAnsi="Amiri" w:eastAsia="Amiri" w:cs="Amiri"/>
          <w:color w:val="111111"/>
          <w:sz w:val="28"/>
          <w:sz w:val="28"/>
          <w:szCs w:val="28"/>
          <w:rtl w:val="true"/>
          <w:lang w:bidi="ar-SA"/>
        </w:rPr>
        <w:t xml:space="preserve">و لكن مَن أولي الأمر الّذين أُمِرنا باتّباعهم في تلك الوقائع؟ يجيب عن هذا السؤال البنّاء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يَسْتَنْبِطُونَهُ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فوّض ولاية الأمر في الوقائع الإجتماعيّة إلى مَن كان محيطاً بالشريعة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خبيراً بما يحتاج إليه المجتمع، و ليس هو إلّاالفقيه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للفقه و الخبرويّة بالنسبة إلى حوائج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ما نسمّيه بولاية المجتهد الجامع لشرائط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فدلالة الكريمة على وجوب الرجوع إلى الفقيه في المشاكل الإجتماعيّة و الخضوع لرأيه و حكمه تامّةٌ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تنصيص هذه الكريمة على تعيين مصداق الولاية بعد النبيّ، و هو المستنبط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هذه الكريمة على ما نحن بصدده أولى من سابقتيه</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13099964_1280447820"/>
      <w:bookmarkStart w:id="469" w:name="_Toc188"/>
      <w:bookmarkEnd w:id="468"/>
      <w:r>
        <w:rPr>
          <w:rtl w:val="true"/>
        </w:rPr>
        <w:t>الآية الرّابعة</w:t>
      </w:r>
      <w:bookmarkEnd w:id="469"/>
    </w:p>
    <w:p>
      <w:pPr>
        <w:pStyle w:val="Heading6"/>
        <w:numPr>
          <w:ilvl w:val="5"/>
          <w:numId w:val="1"/>
        </w:numPr>
        <w:rPr/>
      </w:pPr>
      <w:bookmarkStart w:id="470" w:name="__RefHeading___Toc13099966_1280447820"/>
      <w:bookmarkStart w:id="471" w:name="_Toc189"/>
      <w:bookmarkEnd w:id="470"/>
      <w:r>
        <w:rPr>
          <w:rtl w:val="true"/>
        </w:rPr>
        <w:t>اشارة</w:t>
      </w:r>
      <w:bookmarkEnd w:id="47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الْمَلَإِ مِنْ بَنِي إِسْرَائِيلَ مِنْ بَعْدِ مُوسَى إِذْ قَالُوا لِنَبِيٍّ لَهُمُ ابْعَثْ لَنَا مَلِكاً نُقَاتِلْ فِي سَبِيلِ اللَّهِ قَالَ هَلْ عَسَيْتُمْ إِنْ كُتِبَ عَلَيْكُمُ الْقِتَالُ أَلَّا تُقَاتِلُوا قَالُوا وَ مَا لَنَا أَلَّا نُقَاتِلَ فِي سَبِيلِ اللَّهِ وَ قَدْ أُخْرِجْنَا مِنْ دِيَارِنَا وَ أَبْنَائِنَا فَلَمَّاكُتِبَ عَلَيْهِمُ الْقِتَالُ تَوَلَّوا إِلَّا قَلِيلاً مِنْهُمْ وَ اللَّهُ عَلِيمٌ بِالظَّالِمِينَ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لَهُمْنَبِيُّهُمْ إِنَّ اللَّهَ قَدْ بَعَثَ لَكُمْ طَالُوتَ مَلِكاً قَالُوا أَنَّى يَكُونُ لَهُ الْمُلْكُ عَلَيْنَا وَ نَحْنُأَحَقُّ بِالْمُلْكِ مِنْهُ وَ لَمْيُؤْتَ سَعَةً مِنَ الْمَالِ قَالَ إِنَّ اللَّهَ اصْطَفَاهُ عَلَيْكُمْ وَ زَادَهُ بَسْطَةً فِي الْعِلْمِ وَ الْجِسْمِ وَ اللَّهُ يُؤْتِي مُلْكَهُ مَنْ يَشَاءُ وَ اللَّهُ وَاسِعٌ عَلِيمٌ</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472" w:name="pg18987_179792"/>
    </w:p>
    <w:p>
      <w:pPr>
        <w:pStyle w:val="BookText"/>
        <w:rPr/>
      </w:pPr>
      <w:bookmarkEnd w:id="472"/>
      <w:r>
        <w:rPr>
          <w:rFonts w:ascii="Amiri" w:hAnsi="Amiri" w:eastAsia="Amiri" w:cs="Amiri"/>
          <w:color w:val="111111"/>
          <w:sz w:val="28"/>
          <w:sz w:val="28"/>
          <w:szCs w:val="28"/>
          <w:rtl w:val="true"/>
          <w:lang w:bidi="ar-SA"/>
        </w:rPr>
        <w:t>و الاستدلال بالآية الشريفة لما نحن بصدده يتمّ بالنظر إلى عدّة نقاطٍ</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13099968_1280447820"/>
      <w:bookmarkStart w:id="474" w:name="_Toc190"/>
      <w:bookmarkEnd w:id="473"/>
      <w:r>
        <w:rPr>
          <w:rtl w:val="true"/>
        </w:rPr>
        <w:t>النقطة الأولى</w:t>
      </w:r>
      <w:r>
        <w:rPr>
          <w:rtl w:val="true"/>
        </w:rPr>
        <w:t>:</w:t>
      </w:r>
      <w:bookmarkEnd w:id="474"/>
    </w:p>
    <w:p>
      <w:pPr>
        <w:pStyle w:val="BookText"/>
        <w:rPr/>
      </w:pPr>
      <w:r>
        <w:rPr>
          <w:rFonts w:ascii="Amiri" w:hAnsi="Amiri" w:eastAsia="Amiri" w:cs="Amiri"/>
          <w:color w:val="111111"/>
          <w:sz w:val="28"/>
          <w:sz w:val="28"/>
          <w:szCs w:val="28"/>
          <w:rtl w:val="true"/>
          <w:lang w:bidi="ar-SA"/>
        </w:rPr>
        <w:t xml:space="preserve">أكّدت الآية على لزوم الدولة و الرئاسة في المجتمع، و هذا يظهر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 لَنَا مَلِكاً</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13099970_1280447820"/>
      <w:bookmarkStart w:id="476" w:name="_Toc191"/>
      <w:bookmarkEnd w:id="475"/>
      <w:r>
        <w:rPr>
          <w:rtl w:val="true"/>
        </w:rPr>
        <w:t>النقطة الثّانية</w:t>
      </w:r>
      <w:r>
        <w:rPr>
          <w:rtl w:val="true"/>
        </w:rPr>
        <w:t>:</w:t>
      </w:r>
      <w:bookmarkEnd w:id="476"/>
    </w:p>
    <w:p>
      <w:pPr>
        <w:pStyle w:val="BookText"/>
        <w:rPr/>
      </w:pPr>
      <w:r>
        <w:rPr>
          <w:rFonts w:ascii="Amiri" w:hAnsi="Amiri" w:eastAsia="Amiri" w:cs="Amiri"/>
          <w:color w:val="111111"/>
          <w:sz w:val="28"/>
          <w:sz w:val="28"/>
          <w:szCs w:val="28"/>
          <w:rtl w:val="true"/>
          <w:lang w:bidi="ar-SA"/>
        </w:rPr>
        <w:t xml:space="preserve">إنّ القرآن الكريم يقرّر سيرة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أشراف القوم و شرفائهم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التمسوا إلى نبيّهم أن يعيّن لهم قائداً يولّي أمر الجيش في الحرب، و من هذا التقرير يظهر عدم كفاية الناس في اختيار الوالي، بل من اللازم أن يكون الوالي مختاراً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هذا الأمر كان مرتكزاً في أذهان الملأ حيث ما اجترؤوا في تعيين الو الي بالاستبداد بأهوائهم أو بالانتخابات العموميّة و القوميّة</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13099972_1280447820"/>
      <w:bookmarkStart w:id="478" w:name="_Toc192"/>
      <w:bookmarkEnd w:id="477"/>
      <w:r>
        <w:rPr>
          <w:rtl w:val="true"/>
        </w:rPr>
        <w:t>النقطة الثّالثة</w:t>
      </w:r>
      <w:r>
        <w:rPr>
          <w:rtl w:val="true"/>
        </w:rPr>
        <w:t>:</w:t>
      </w:r>
      <w:bookmarkEnd w:id="478"/>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ما فعل من تفويض الأمر إلى شابٍّ منهم لم يكن معدوداً في الأثرياء أو رؤساء الأقوام أو ذوي الشوكة بأنّ المدار في إعطاء الولاية ليس إلّاعلى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بمواقع الأمور؛</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للقيام بأمرها، و عبّر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عَلَيْكُمْ وَ زَادَهُ بَسْطَةً فِي الْعِلْمِ وَ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الكفاية لأن يكون القائد الأعلى يدبّر أمر الجيش و يهدي الناس إلى ما فيه الظفر و الفتح</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13099974_1280447820"/>
      <w:bookmarkStart w:id="480" w:name="_Toc193"/>
      <w:bookmarkEnd w:id="479"/>
      <w:r>
        <w:rPr>
          <w:rtl w:val="true"/>
        </w:rPr>
        <w:t>النقطة الرّابعة</w:t>
      </w:r>
      <w:r>
        <w:rPr>
          <w:rtl w:val="true"/>
        </w:rPr>
        <w:t>:</w:t>
      </w:r>
      <w:bookmarkEnd w:id="480"/>
    </w:p>
    <w:p>
      <w:pPr>
        <w:pStyle w:val="BookText"/>
        <w:rPr/>
      </w:pPr>
      <w:r>
        <w:rPr>
          <w:rFonts w:ascii="Amiri" w:hAnsi="Amiri" w:eastAsia="Amiri" w:cs="Amiri"/>
          <w:color w:val="111111"/>
          <w:sz w:val="28"/>
          <w:sz w:val="28"/>
          <w:szCs w:val="28"/>
          <w:rtl w:val="true"/>
          <w:lang w:bidi="ar-SA"/>
        </w:rPr>
        <w:t xml:space="preserve">ثمّ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قاعدةٍ كلّيّةٍ في أمر الولاة،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مُلْكَهُ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و فعله محكمٌ، فلايعطي ملكه إلّامن حاز مرتبتين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مرتبة العلم؛</w:t>
      </w:r>
    </w:p>
    <w:p>
      <w:pPr>
        <w:pStyle w:val="BookText"/>
        <w:rPr/>
      </w:pPr>
      <w:r>
        <w:rPr>
          <w:rFonts w:ascii="Amiri" w:hAnsi="Amiri" w:eastAsia="Amiri" w:cs="Amiri"/>
          <w:color w:val="111111"/>
          <w:sz w:val="28"/>
          <w:sz w:val="28"/>
          <w:szCs w:val="28"/>
          <w:rtl w:val="true"/>
          <w:lang w:bidi="ar-SA"/>
        </w:rPr>
        <w:t>و مرتبة الكفاية</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13099976_1280447820"/>
      <w:bookmarkStart w:id="482" w:name="_Toc194"/>
      <w:bookmarkEnd w:id="481"/>
      <w:r>
        <w:rPr>
          <w:rtl w:val="true"/>
        </w:rPr>
        <w:t>النقطة الخامسة</w:t>
      </w:r>
      <w:r>
        <w:rPr>
          <w:rtl w:val="true"/>
        </w:rPr>
        <w:t>:</w:t>
      </w:r>
      <w:bookmarkEnd w:id="48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الناس بعد انقطاع سلسلة الإمامة و الخلافة الإلهيّة </w:t>
      </w:r>
      <w:bookmarkStart w:id="483" w:name="pg18987_179793"/>
    </w:p>
    <w:p>
      <w:pPr>
        <w:pStyle w:val="BookText"/>
        <w:rPr/>
      </w:pPr>
      <w:bookmarkEnd w:id="483"/>
      <w:r>
        <w:rPr>
          <w:rFonts w:ascii="Amiri" w:hAnsi="Amiri" w:eastAsia="Amiri" w:cs="Amiri"/>
          <w:color w:val="111111"/>
          <w:sz w:val="28"/>
          <w:sz w:val="28"/>
          <w:szCs w:val="28"/>
          <w:rtl w:val="true"/>
          <w:lang w:bidi="ar-SA"/>
        </w:rPr>
        <w:t>بالأصالة في سعةٍ من أمر الدولة و الولاية؟ أم يحتاجون إليه في كلّ الآنات من حياتهم الجماعيّة؟</w:t>
      </w:r>
    </w:p>
    <w:p>
      <w:pPr>
        <w:pStyle w:val="BookText"/>
        <w:rPr/>
      </w:pPr>
      <w:r>
        <w:rPr>
          <w:rFonts w:ascii="Amiri" w:hAnsi="Amiri" w:eastAsia="Amiri" w:cs="Amiri"/>
          <w:color w:val="111111"/>
          <w:sz w:val="28"/>
          <w:sz w:val="28"/>
          <w:szCs w:val="28"/>
          <w:rtl w:val="true"/>
          <w:lang w:bidi="ar-SA"/>
        </w:rPr>
        <w:t xml:space="preserve">لاريب في ثبوت حاجتهم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مضت الإشارة إلى لمّيّة هذا الاحتياج، و قلنا انّ الإنسان بما هو مدنيٌّ بالطبع يحتاج إلى أن يعيش في المجتمع، و الحياة الإجتماعيّة لابدّ لها من الانتظام و لاينتظم أمر المجتمع إلّابالدولة، فالناس بحاجةٍ دائمةٍ ماسّةٍ إلى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لاولاية إلّابالوالي؛ فالناس مضطرّون إلى وجود والٍ في كلّ عصرٍ و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لايصلح للولاية إلّامن حاز 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لاأعلم من الفقيه المستنبط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فلوحاز فقيهٌ مرتبة الكفاية و الخبرويّة بمواقع الأمور ليتمكّن من جعل الأمور في مجاريها فهو الّذي أعطاه اللّه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الولاية على المجتمع، و على الناس الخضوع لحكمه و رأيه؛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فدلالة الكريمة على ثبوت الولاية للفقيه تامّةٌ لامجال للارتياب فيها</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13099978_1280447820"/>
      <w:bookmarkStart w:id="485" w:name="_Toc195"/>
      <w:bookmarkEnd w:id="484"/>
      <w:r>
        <w:rPr>
          <w:rtl w:val="true"/>
        </w:rPr>
        <w:t>الآية الخامسة</w:t>
      </w:r>
      <w:bookmarkEnd w:id="48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شُرَكَائِكُمْ مَنْ يَهْدِي إِلَى الْحَقِّ قُلِ اللَّهُ يَهْدِي لِلْحَقِّ أَ فَمَنْ يَهْدِي إِلَى الْحَقِّ أَحَقُّ أَنْ يُتَّبَعَ أَ مَّنْ لَايَهِدِّي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دلّت هذه الكريمة على أنّ التبعيّة ممّن ليس له شأن الهداية قبيحٌ، ثمّ قرّر على هذه الدقيقة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لَكُمْ كَيْفَ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للعقل أن يحكم بهذه الدقيقة فما لكم لاتتّبعون ما حكمت به العقول بل تخالفونه؟</w:t>
      </w:r>
      <w:r>
        <w:rPr>
          <w:rFonts w:eastAsia="Amiri" w:cs="Amiri" w:ascii="Amiri" w:hAnsi="Amiri"/>
          <w:color w:val="111111"/>
          <w:sz w:val="28"/>
          <w:szCs w:val="28"/>
          <w:rtl w:val="true"/>
          <w:lang w:bidi="ar-SA"/>
        </w:rPr>
        <w:t xml:space="preserve">!. </w:t>
      </w:r>
      <w:bookmarkStart w:id="486" w:name="pg18987_179794"/>
    </w:p>
    <w:p>
      <w:pPr>
        <w:pStyle w:val="BookText"/>
        <w:rPr/>
      </w:pPr>
      <w:bookmarkEnd w:id="486"/>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 مَّنْ لَايَهِدِّي إِلَّا أَنْ يُهْدَى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يُستنبط منه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صدر الكريمة لاينحصر في الأوثان، لأنّ الوثن ليس من شأنه أن يُهدى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التجأت إليه الناس في أمر دينهم أو دنياهم من غير أن يكون صالحاً لارشادهم إلى ما هو الخير لهم من أمرهما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تقدّم الهادي على المهديّ ممّا لامجال للنقاش فيه، بل العقل يحكم به من غير أن يحتاج فيه إلى تأمّلٍ أو تنقيبٍ؛ و هذا نظير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لَايَعْلَمُونَ</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الْأَعْمَى وَ الْبَصِيرُ</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حيث يُجاب بتقدّم العالم و البصير على الجاهل و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فيما نحن فيه، فانّ تقدّم الهادي على غيره بمكانٍ من الوضوح عند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قلنا انّ الآية دلّت على وجوب متابعة الناس عمّن يدبّر أمرهم؛</w:t>
      </w:r>
    </w:p>
    <w:p>
      <w:pPr>
        <w:pStyle w:val="BookText"/>
        <w:rPr/>
      </w:pPr>
      <w:r>
        <w:rPr>
          <w:rFonts w:ascii="Amiri" w:hAnsi="Amiri" w:eastAsia="Amiri" w:cs="Amiri"/>
          <w:color w:val="111111"/>
          <w:sz w:val="28"/>
          <w:sz w:val="28"/>
          <w:szCs w:val="28"/>
          <w:rtl w:val="true"/>
          <w:lang w:bidi="ar-SA"/>
        </w:rPr>
        <w:t>ثمّ دلّت على قبح المتابعة عمّن ليس له شأن هداية الناس إلى ما هو الخير لهم؛</w:t>
      </w:r>
    </w:p>
    <w:p>
      <w:pPr>
        <w:pStyle w:val="BookText"/>
        <w:rPr/>
      </w:pPr>
      <w:r>
        <w:rPr>
          <w:rFonts w:ascii="Amiri" w:hAnsi="Amiri" w:eastAsia="Amiri" w:cs="Amiri"/>
          <w:color w:val="111111"/>
          <w:sz w:val="28"/>
          <w:sz w:val="28"/>
          <w:szCs w:val="28"/>
          <w:rtl w:val="true"/>
          <w:lang w:bidi="ar-SA"/>
        </w:rPr>
        <w:t>و النتيجة الحاصلة عن المقدّمتين وجوب المتابعة عمّن له شأن الهداية فيما يرتبط بنشأة الناس الدنياويّة و حياتهم الأخرويّة؛ و ليس هو إلّاالفقيه البالغ مرتبتي الفقه و الكفاية لتدبير أمر المجتمع لئلّا يحكم العقل بقبح التبعيّة عنه؛ و هذا واضحٌ</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13099980_1280447820"/>
      <w:bookmarkStart w:id="488" w:name="_Toc196"/>
      <w:bookmarkEnd w:id="487"/>
      <w:r>
        <w:rPr>
          <w:rtl w:val="true"/>
        </w:rPr>
        <w:t>الآية السادسة</w:t>
      </w:r>
      <w:bookmarkEnd w:id="48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لَاتَتَّخِذُوا بِطَانَةً مِنْ دُونِكُمْ لَايَأْلُونَكُمْ خَبَالاً وَدُّوا مَا عَنِتُّمْ قَدْ بَدَتِ الْبَغْضَاءُ مِنْ أَفْوَاهِهِمْ وَ مَا تُخْفِي صُدُورُهُمْ أَكْبَرُ قَدْ بَيَّنَّا لَكُمُ </w:t>
      </w:r>
      <w:bookmarkStart w:id="489" w:name="pg18987_179795"/>
    </w:p>
    <w:p>
      <w:pPr>
        <w:pStyle w:val="BookText"/>
        <w:rPr/>
      </w:pPr>
      <w:bookmarkEnd w:id="489"/>
      <w:r>
        <w:rPr>
          <w:rFonts w:ascii="Amiri" w:hAnsi="Amiri" w:eastAsia="Amiri" w:cs="Amiri"/>
          <w:color w:val="111111"/>
          <w:sz w:val="28"/>
          <w:sz w:val="28"/>
          <w:szCs w:val="28"/>
          <w:rtl w:val="true"/>
          <w:lang w:bidi="ar-SA"/>
        </w:rPr>
        <w:t>الْآيَاتِ إِنْ كُنْتُمْ تَعْقِلُونَ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لَاتَتَّخِذُوا بِطَانَةً مِنْ دُونِكُمْ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مختصّاً بكم يستبطن أموركم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استعارةٌ من بطانة الثوب، بدلالة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اختصصته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فصدر الآية الشريفة دلّ على النهي عن اتّخاذ المؤمنين غيرَهم 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اختصاصهم غيرهم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لااختصاص أشدّ من تولية الأمر، فلايجوز أن يولّي أمر المؤمنين مَن ليس منهم، بل يجب أن يولّيه من 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كان أعلمهم بمواقعه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هو إلّاالفقيه العدل الخبير بمواقع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بَيَّنَا الْآيَاتِ إِنْ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بأنّ العاقل لايرتاب في صحّة هذا القول، بل العقل يحكم بها و على العقلاء أن يتّبعوه</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13099982_1280447820"/>
      <w:bookmarkStart w:id="491" w:name="_Toc197"/>
      <w:bookmarkEnd w:id="490"/>
      <w:r>
        <w:rPr>
          <w:rtl w:val="true"/>
        </w:rPr>
        <w:t>الآية السابعة</w:t>
      </w:r>
      <w:bookmarkEnd w:id="491"/>
    </w:p>
    <w:p>
      <w:pPr>
        <w:pStyle w:val="Heading6"/>
        <w:numPr>
          <w:ilvl w:val="5"/>
          <w:numId w:val="1"/>
        </w:numPr>
        <w:rPr/>
      </w:pPr>
      <w:bookmarkStart w:id="492" w:name="__RefHeading___Toc13099984_1280447820"/>
      <w:bookmarkStart w:id="493" w:name="_Toc198"/>
      <w:bookmarkEnd w:id="492"/>
      <w:r>
        <w:rPr>
          <w:rtl w:val="true"/>
        </w:rPr>
        <w:t>اشارة</w:t>
      </w:r>
      <w:bookmarkEnd w:id="493"/>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الْمَلِكُ ائْتُونِي بِهِ أَسْتَخْلِصْهُ لِنَفْسِي فَلَمَّا كَلَّمَهُ قَالَ إِنَّكَ الْيَومَ لَدَيْنَا مَكِينٌ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اجْعَلْنِي عَلَى خَزَائِنِ الْأَرْضِ إِنِّي حَفِيظٌ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مَكَّنَّا لِيُوسُفَ فِي الْأَرْضِ يَتَبَوَّأُ مِنْهَا حَيْثُ يَشَاءُ نُصِيبُ بِرَحْمَتِنَا مَنْ نَشَاءُ وَ لَانُضِيعُ أَجْرَ الُْمحْسِنِينَ</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الاستدلال بها على المقصود يتمّ بالنظر إلى عدّة نكاتٍ</w:t>
      </w:r>
      <w:r>
        <w:rPr>
          <w:rFonts w:eastAsia="Amiri" w:cs="Amiri" w:ascii="Amiri" w:hAnsi="Amiri"/>
          <w:color w:val="111111"/>
          <w:sz w:val="28"/>
          <w:szCs w:val="28"/>
          <w:rtl w:val="true"/>
          <w:lang w:bidi="ar-SA"/>
        </w:rPr>
        <w:t xml:space="preserve">: </w:t>
      </w:r>
      <w:bookmarkStart w:id="494" w:name="pg18987_179796"/>
    </w:p>
    <w:p>
      <w:pPr>
        <w:pStyle w:val="Heading6"/>
        <w:numPr>
          <w:ilvl w:val="5"/>
          <w:numId w:val="1"/>
        </w:numPr>
        <w:rPr/>
      </w:pPr>
      <w:bookmarkStart w:id="495" w:name="__RefHeading___Toc13099986_1280447820"/>
      <w:bookmarkStart w:id="496" w:name="_Toc199"/>
      <w:bookmarkEnd w:id="494"/>
      <w:bookmarkEnd w:id="495"/>
      <w:r>
        <w:rPr>
          <w:rtl w:val="true"/>
        </w:rPr>
        <w:t>النكتة الأولى</w:t>
      </w:r>
      <w:r>
        <w:rPr>
          <w:rtl w:val="true"/>
        </w:rPr>
        <w:t>:</w:t>
      </w:r>
      <w:bookmarkEnd w:id="496"/>
    </w:p>
    <w:p>
      <w:pPr>
        <w:pStyle w:val="BookText"/>
        <w:rPr/>
      </w:pPr>
      <w:r>
        <w:rPr>
          <w:rFonts w:ascii="Amiri" w:hAnsi="Amiri" w:eastAsia="Amiri" w:cs="Amiri"/>
          <w:color w:val="111111"/>
          <w:sz w:val="28"/>
          <w:sz w:val="28"/>
          <w:szCs w:val="28"/>
          <w:rtl w:val="true"/>
          <w:lang w:bidi="ar-SA"/>
        </w:rPr>
        <w:t xml:space="preserve">المستفاد من الآية محبوبيّة الدولة الإلهيّة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تظهر ممّا فعل النبيّ يوسف عليه السلام من الدخول في دولة عزيز و التعاون معه، و لازمه دخول النبيّ تحت حكم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ما كان محذوراً بالنظر إلى ما سيؤول إليه الأمر من كونه عليه السلام والياً على الملك مؤسّساً لدولةٍ إلهيّةٍ تابعةٍ لرأي النبيّ التابع لحكم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روي عن أئمّة أهل البيت من أمرهم بعض شيعتهم باستدامة الوزارة و الأمارة في دولة الجور</w:t>
      </w:r>
      <w:r>
        <w:rPr>
          <w:rStyle w:val="FootnoteAnchor"/>
          <w:rtl w:val="true"/>
        </w:rPr>
        <w:footnoteReference w:id="251"/>
      </w:r>
      <w:r>
        <w:rPr>
          <w:rFonts w:ascii="Amiri" w:hAnsi="Amiri" w:eastAsia="Amiri" w:cs="Amiri"/>
          <w:color w:val="111111"/>
          <w:sz w:val="28"/>
          <w:sz w:val="28"/>
          <w:szCs w:val="28"/>
          <w:rtl w:val="true"/>
          <w:lang w:bidi="ar-SA"/>
        </w:rPr>
        <w:t>، نظراً إلى أنّها يمكن أن تمهّد السبيل لتأسيس دولةٍ إسلاميّةٍ</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13099988_1280447820"/>
      <w:bookmarkStart w:id="498" w:name="_Toc200"/>
      <w:bookmarkEnd w:id="497"/>
      <w:r>
        <w:rPr>
          <w:rtl w:val="true"/>
        </w:rPr>
        <w:t>النكتة الثّانية</w:t>
      </w:r>
      <w:r>
        <w:rPr>
          <w:rtl w:val="true"/>
        </w:rPr>
        <w:t>:</w:t>
      </w:r>
      <w:bookmarkEnd w:id="498"/>
    </w:p>
    <w:p>
      <w:pPr>
        <w:pStyle w:val="BookText"/>
        <w:rPr/>
      </w:pPr>
      <w:r>
        <w:rPr>
          <w:rFonts w:ascii="Amiri" w:hAnsi="Amiri" w:eastAsia="Amiri" w:cs="Amiri"/>
          <w:color w:val="111111"/>
          <w:sz w:val="28"/>
          <w:sz w:val="28"/>
          <w:szCs w:val="28"/>
          <w:rtl w:val="true"/>
          <w:lang w:bidi="ar-SA"/>
        </w:rPr>
        <w:t>يستفاد من الآية الشريفة انّ للحاكم في الدولة الإلهيّة شروطاً لايحقّ له الحكم إلّابإحرازها و الاتّصاف بها؛ و هي المشار إليها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حَفِيظٌ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علّل عليه السلام ما طلب من عزيز من جعله ما نسمّيه اليوم وزير الماليّة بكونه حفيظاً عليماً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على أداء ما يقتضيه هذا المنصب من الوظائف و الإجابة عن حاجاته و متطلّباته </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13099990_1280447820"/>
      <w:bookmarkStart w:id="500" w:name="_Toc201"/>
      <w:bookmarkEnd w:id="499"/>
      <w:r>
        <w:rPr>
          <w:rtl w:val="true"/>
        </w:rPr>
        <w:t>النكتة الثّالثة</w:t>
      </w:r>
      <w:r>
        <w:rPr>
          <w:rtl w:val="true"/>
        </w:rPr>
        <w:t>:</w:t>
      </w:r>
      <w:bookmarkEnd w:id="500"/>
    </w:p>
    <w:p>
      <w:pPr>
        <w:pStyle w:val="BookText"/>
        <w:rPr/>
      </w:pPr>
      <w:r>
        <w:rPr>
          <w:rFonts w:ascii="Amiri" w:hAnsi="Amiri" w:eastAsia="Amiri" w:cs="Amiri"/>
          <w:color w:val="111111"/>
          <w:sz w:val="28"/>
          <w:sz w:val="28"/>
          <w:szCs w:val="28"/>
          <w:rtl w:val="true"/>
          <w:lang w:bidi="ar-SA"/>
        </w:rPr>
        <w:t>ليس قول يوسف عليه السلام إخباراً عن وقعةٍ جزئيّةٍ خارجيّةٍ، بل هو بيان قاعدةٍ كليّةٍ يؤيّدها العقل و تقرّر عليها سيرة العقلاء من أنّه لايجوز لأحدٍ القيام بأمرٍ إلّاو كان متمكّناً منه قادراً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هذا كان مرتكزاً في ضمير الملك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الْيَومَ لَدَينَا مَكِينٌ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ذومكنةٍ من القيام بالمناصب الهامّة الأمين عليها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فالمحصّل من الآية الشريفة محبوبيّة القيام بتشكيل الدولة الإلهيّة و تأسيسها، بل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يستفاد من سيرة النبيّ يوسف عليه السلام حيث ما بطؤَ و ما تأخّر في القرار في </w:t>
      </w:r>
      <w:bookmarkStart w:id="501" w:name="pg18987_179797"/>
    </w:p>
    <w:p>
      <w:pPr>
        <w:pStyle w:val="BookText"/>
        <w:rPr/>
      </w:pPr>
      <w:bookmarkEnd w:id="501"/>
      <w:r>
        <w:rPr>
          <w:rFonts w:ascii="Amiri" w:hAnsi="Amiri" w:eastAsia="Amiri" w:cs="Amiri"/>
          <w:color w:val="111111"/>
          <w:sz w:val="28"/>
          <w:sz w:val="28"/>
          <w:szCs w:val="28"/>
          <w:rtl w:val="true"/>
          <w:lang w:bidi="ar-SA"/>
        </w:rPr>
        <w:t xml:space="preserve">منصب وزارة الماليّة، الّذي هو من أهمّ المناصب و أشرفها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وجوب كون الوالي ذا كفايةٍ للإجابة عن متطلّبات منصبه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انقطاع سلسلة النبوّة و في عصر غيبة الإمام عليه السلام لا أحد أحقّ من الفقيه العادل المدبّر بالولاية، إذ هو العليم بأحكام اللّه المدبّر لمقتضيات هذا المنصب الجليل و العادل للاحتراز عن الجور و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تماميّة دلالة الكريمة على ما نحن بصدده</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13099992_1280447820"/>
      <w:bookmarkStart w:id="503" w:name="_Toc202"/>
      <w:bookmarkEnd w:id="502"/>
      <w:r>
        <w:rPr>
          <w:rtl w:val="true"/>
        </w:rPr>
        <w:t>الآية الثّامنة</w:t>
      </w:r>
      <w:bookmarkEnd w:id="503"/>
    </w:p>
    <w:p>
      <w:pPr>
        <w:pStyle w:val="Heading6"/>
        <w:numPr>
          <w:ilvl w:val="5"/>
          <w:numId w:val="1"/>
        </w:numPr>
        <w:rPr/>
      </w:pPr>
      <w:bookmarkStart w:id="504" w:name="__RefHeading___Toc13099994_1280447820"/>
      <w:bookmarkStart w:id="505" w:name="_Toc203"/>
      <w:bookmarkEnd w:id="504"/>
      <w:r>
        <w:rPr>
          <w:rtl w:val="true"/>
        </w:rPr>
        <w:t>اشارة</w:t>
      </w:r>
      <w:bookmarkEnd w:id="50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 وَ أَنْزَلْنَا الْحَدِيدَ فِيهِ بَأْسٌ شَدِيدٌ وَ مَنَافِعُ لِلنَّاسِ</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الاستدلال بهذه الكريمة أيضاً يتمّ بالنظر إلى مقدّمتين، إحداهما مأخوذةٌ من نفس الآية، و الأخرى من حكم العقل</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13099996_1280447820"/>
      <w:bookmarkStart w:id="507" w:name="_Toc204"/>
      <w:bookmarkEnd w:id="506"/>
      <w:r>
        <w:rPr>
          <w:rtl w:val="true"/>
        </w:rPr>
        <w:t>أمّا المقدّمة الأولى</w:t>
      </w:r>
      <w:r>
        <w:rPr>
          <w:rtl w:val="true"/>
        </w:rPr>
        <w:t>:</w:t>
      </w:r>
      <w:bookmarkEnd w:id="507"/>
    </w:p>
    <w:p>
      <w:pPr>
        <w:pStyle w:val="BookText"/>
        <w:rPr/>
      </w:pPr>
      <w:r>
        <w:rPr>
          <w:rFonts w:ascii="Amiri" w:hAnsi="Amiri" w:eastAsia="Amiri" w:cs="Amiri"/>
          <w:color w:val="111111"/>
          <w:sz w:val="28"/>
          <w:sz w:val="28"/>
          <w:szCs w:val="28"/>
          <w:rtl w:val="true"/>
          <w:lang w:bidi="ar-SA"/>
        </w:rPr>
        <w:t>فالظاهر انّ الآية الكريمة تدلّ على نكاتٍ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ولاية الأنبياء عليهم السلام الولايةَ في التشريع، و الولاية في القضاء؛ و إليها يشير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مَعَهُمُ الْكِتَابَ وَ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ولايتهم الولاية على المجتمع، بل لهم الرئاسة عليه؛ و إليها يشير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الْحَدِيدَ فِيهِ بَأْسٌ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فالمحصّل من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غايات إرسال الرسل و الغرض منه تولية أمر المجتمع فيما يرجع إلى تبيين الأحكام و القضاء و السلطة و الرئاسة العامّة عليه</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13099998_1280447820"/>
      <w:bookmarkStart w:id="509" w:name="_Toc205"/>
      <w:bookmarkEnd w:id="508"/>
      <w:r>
        <w:rPr>
          <w:rtl w:val="true"/>
        </w:rPr>
        <w:t>أمّا المقدّمة الثّانية</w:t>
      </w:r>
      <w:r>
        <w:rPr>
          <w:rtl w:val="true"/>
        </w:rPr>
        <w:t>:</w:t>
      </w:r>
      <w:bookmarkEnd w:id="50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ممّا حكم به العقل، و قد أشرنا إليها مراراً من كون المجتمع لابدّ له </w:t>
      </w:r>
      <w:bookmarkStart w:id="510" w:name="pg18987_179798"/>
    </w:p>
    <w:p>
      <w:pPr>
        <w:pStyle w:val="BookText"/>
        <w:rPr/>
      </w:pPr>
      <w:bookmarkEnd w:id="510"/>
      <w:r>
        <w:rPr>
          <w:rFonts w:ascii="Amiri" w:hAnsi="Amiri" w:eastAsia="Amiri" w:cs="Amiri"/>
          <w:color w:val="111111"/>
          <w:sz w:val="28"/>
          <w:sz w:val="28"/>
          <w:szCs w:val="28"/>
          <w:rtl w:val="true"/>
          <w:lang w:bidi="ar-SA"/>
        </w:rPr>
        <w:t>من الدولة، و هذا لايختصّ بزمنٍ دون 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القاعدة جاريةٌ في عصر الأنبياء عليهم السلام كما هي جاريةٌ في عصر المعصومين عليهم السلام، و هي بعينها جاريةٌ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القائم في مقامهم عليهم السلام في مرتبة رئاسة المجتمع من كان متّصفاً بالشرطين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حيازة الولاية التشريعيّة و الولاية في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متحلّياً بالعلم محيطاً بالشريعة ثمّ تخلّق بالعدالة الّتي هي من أعظم صفات الأنبياء و أبرزها فله الولاية على المجتمع، و له 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إلّاالفقيه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شرط الكفاية فقد عُومل معه معاملة المفروغ منه، إذ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لايفوّض الرئاسة إلّاإلى من كان كافياً لها، لا عاجزاً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بيان كيفيّة الاستدلال بهذه الآية المباركة على ثبوت الولاية للفقيه العدل القابل لتدبير أمور المجتمع</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13100000_1280447820"/>
      <w:bookmarkStart w:id="512" w:name="_Toc206"/>
      <w:bookmarkEnd w:id="511"/>
      <w:r>
        <w:rPr>
          <w:rtl w:val="true"/>
        </w:rPr>
        <w:t>الآية التّاسعة</w:t>
      </w:r>
      <w:bookmarkEnd w:id="512"/>
    </w:p>
    <w:p>
      <w:pPr>
        <w:pStyle w:val="Heading6"/>
        <w:numPr>
          <w:ilvl w:val="5"/>
          <w:numId w:val="1"/>
        </w:numPr>
        <w:rPr/>
      </w:pPr>
      <w:bookmarkStart w:id="513" w:name="__RefHeading___Toc13100002_1280447820"/>
      <w:bookmarkStart w:id="514" w:name="_Toc207"/>
      <w:bookmarkEnd w:id="513"/>
      <w:r>
        <w:rPr>
          <w:rtl w:val="true"/>
        </w:rPr>
        <w:t>اشارة</w:t>
      </w:r>
      <w:bookmarkEnd w:id="514"/>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لَايَتَّخِذِ الْمُؤْمِنُونَ الْكَافِرِينَ أَولِيَاءَ مِنْ دُونِ الْمُؤْمِنِينَ وَ مَنْ يَفْعَلْ ذَلِكَ فَلَيْسَ مِنَ اللَّهِ فِي شَيْ‌ءٍ إِلَّا أَنْ تَتَّقُوا مِنْهُمْ تُقَاةً وَ يُحَذِّرُكُمُ اللَّهُ نَفْسَهُ وَ إِلَى اللَّهِ الْمَصِيرُ</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من الآية الشريفة عدّة نكاتٍ</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13100004_1280447820"/>
      <w:bookmarkStart w:id="516" w:name="_Toc208"/>
      <w:bookmarkEnd w:id="515"/>
      <w:r>
        <w:rPr>
          <w:rtl w:val="true"/>
        </w:rPr>
        <w:t>النكتة الأولى</w:t>
      </w:r>
      <w:r>
        <w:rPr>
          <w:rtl w:val="true"/>
        </w:rPr>
        <w:t>:</w:t>
      </w:r>
      <w:bookmarkEnd w:id="51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تأكيدها البالغ على حرمة اتّخاذ المؤمنين الكافرين 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سنشير إليها في النكتة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يُصطاد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يَفْعَلْ ذَلِكَ فَلَيْسَ مِنَ اللَّهِ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العبارة لم ترد في القرآن الكريم إلّافي هذا الموضع، فالحكم الّذي أكّده اللّه </w:t>
      </w:r>
      <w:r>
        <w:rPr>
          <w:rFonts w:eastAsia="Amiri" w:cs="Amiri" w:ascii="Amiri" w:hAnsi="Amiri"/>
          <w:color w:val="111111"/>
          <w:sz w:val="28"/>
          <w:szCs w:val="28"/>
          <w:rtl w:val="true"/>
          <w:lang w:bidi="ar-SA"/>
        </w:rPr>
        <w:t xml:space="preserve">- </w:t>
      </w:r>
      <w:bookmarkStart w:id="517" w:name="pg18987_179799"/>
    </w:p>
    <w:p>
      <w:pPr>
        <w:pStyle w:val="BookText"/>
        <w:rPr/>
      </w:pPr>
      <w:bookmarkEnd w:id="517"/>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العبارة الفخمة بمكانٍ من الأهمّيّة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غيره من تأكيدات الآية</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13100006_1280447820"/>
      <w:bookmarkStart w:id="519" w:name="_Toc209"/>
      <w:bookmarkEnd w:id="518"/>
      <w:r>
        <w:rPr>
          <w:rtl w:val="true"/>
        </w:rPr>
        <w:t>النكتة الثّانية</w:t>
      </w:r>
      <w:r>
        <w:rPr>
          <w:rtl w:val="true"/>
        </w:rPr>
        <w:t>:</w:t>
      </w:r>
      <w:bookmarkEnd w:id="519"/>
    </w:p>
    <w:p>
      <w:pPr>
        <w:pStyle w:val="BookText"/>
        <w:rPr/>
      </w:pPr>
      <w:r>
        <w:rPr>
          <w:rFonts w:ascii="Amiri" w:hAnsi="Amiri" w:eastAsia="Amiri" w:cs="Amiri"/>
          <w:color w:val="111111"/>
          <w:sz w:val="28"/>
          <w:sz w:val="28"/>
          <w:szCs w:val="28"/>
          <w:rtl w:val="true"/>
          <w:lang w:bidi="ar-SA"/>
        </w:rPr>
        <w:t xml:space="preserve">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لَايَتَّخِذِ الْمُؤْمِنُونَ الْكَافِرِينَ أَولِيَاءَ مِنْ دُونِ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 و المودّة، بل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الزعامة و الرئاسة؛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لَايَنْهَاكُمُ اللَّهُ عَنِ الَّذِينَ لَمْيُقَاتِلُوكُمْ فِي الدِّينِ وَ لَمْيُخْرِجُوكُمْ مِنْ دِيَارِكُمْ أَنْ تَبَرُّوهُمْ وَ تُقْسِطُوا إِلَيْهِمْ إِنَّ اللَّهَ يُحِبُّ الْمُقْسِطِينَ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يَنْهَاكُمُ اللَّهُ عَنِ الَّذِينَ قَاتَلُوكُمْ فِي الدِّينِ وَ أَخْرَجُوكُمْ مِنْ دِيَارِكُمْ وَ ظَاهَرُوا عَلَى إِخْرَاجِكُمْ أَنْ تَوَلَّوهُمْ وَ مَنْ يَتَوَلَّهُمْ فَأُولَئِكَ هُمُ الظَّالِمُونَ</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إذ الظاهر من هذه الكريمة جواز مَحبّة الكافرين و مودّتهم و التعلّق و المواصلة بهم ما لم يكونوا محاربين، و لم يستعدّوا للقتال ضدّ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فجواز المواصلة مع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نطقت به الكريمة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 الولاية في الآية الأولى الّتي هي محذورةٌ منها بأبلغ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بمعنى تفويض رئاسة المجتمع إلى الكافرين دون المؤمنين، فالولاية ولاية الرئاسة لا ولاية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لوكان المراد منها هي المحبّة أيضاً فلايضرّ الاستدلال بالآية، إذ الفحوى تدلّ على المطلوب منها، إذ لو نهى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مودّتهم و المواصلة بهم فينهى عن كونهم والياً على المسلمين و مجتمعهم بالفحوى، بل و بطريق الأولويّة؛ و هذا ظاهرٌ</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13100008_1280447820"/>
      <w:bookmarkStart w:id="521" w:name="_Toc210"/>
      <w:bookmarkEnd w:id="520"/>
      <w:r>
        <w:rPr>
          <w:rtl w:val="true"/>
        </w:rPr>
        <w:t>النكتة الثّالثة</w:t>
      </w:r>
      <w:r>
        <w:rPr>
          <w:rtl w:val="true"/>
        </w:rPr>
        <w:t>:</w:t>
      </w:r>
      <w:bookmarkEnd w:id="52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جحدوا ضروريّات الإسلام فقط و لم يؤمنوا بها قطّ، بل المراد من الكفر هيهنا معناه العامّ الشامل الّذي يشمل الكفر العمليّ أيضاً؛ كالحكم بغير ما أنزله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لَمْيَحْكُمْ بِمَا أَنْزَلَ اللَّهُ فَاؤُلَئِكَ هُمُ الظَّالِمُونَ</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فالمحصّل من الآية حرمة تفويض رئاسة المجتمع إلى من لم يكن مؤمناً تامّاً </w:t>
      </w:r>
      <w:bookmarkStart w:id="522" w:name="pg18987_179800"/>
    </w:p>
    <w:p>
      <w:pPr>
        <w:pStyle w:val="BookText"/>
        <w:rPr/>
      </w:pPr>
      <w:bookmarkEnd w:id="522"/>
      <w:r>
        <w:rPr>
          <w:rFonts w:ascii="Amiri" w:hAnsi="Amiri" w:eastAsia="Amiri" w:cs="Amiri"/>
          <w:color w:val="111111"/>
          <w:sz w:val="28"/>
          <w:sz w:val="28"/>
          <w:szCs w:val="28"/>
          <w:rtl w:val="true"/>
          <w:lang w:bidi="ar-SA"/>
        </w:rPr>
        <w:t>بحيث لم تشب ايمانَه شائبةُ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تدلّ على أنّ اللّه جعل العالم الّذي حكم بما أنزل اللّه والياً على الدولة، و على الناس أن يتّبعوه، إذ لوخالفوه و سلّموها إلى من هو دونه فليسوا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فعلهم هذا مؤيّداً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إلّاالفقيه الجامع لشرائط الافتاء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فدلالة الآية على ثبوت الولاية للفقيه و نفيها عن غيره تامّةٌ واضحةٌ</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13100010_1280447820"/>
      <w:bookmarkStart w:id="524" w:name="_Toc211"/>
      <w:bookmarkEnd w:id="523"/>
      <w:r>
        <w:rPr>
          <w:rtl w:val="true"/>
        </w:rPr>
        <w:t>الآية العاشرة</w:t>
      </w:r>
      <w:bookmarkEnd w:id="524"/>
    </w:p>
    <w:p>
      <w:pPr>
        <w:pStyle w:val="Heading6"/>
        <w:numPr>
          <w:ilvl w:val="5"/>
          <w:numId w:val="1"/>
        </w:numPr>
        <w:rPr/>
      </w:pPr>
      <w:bookmarkStart w:id="525" w:name="__RefHeading___Toc13100012_1280447820"/>
      <w:bookmarkStart w:id="526" w:name="_Toc212"/>
      <w:bookmarkEnd w:id="525"/>
      <w:r>
        <w:rPr>
          <w:rtl w:val="true"/>
        </w:rPr>
        <w:t>اشارة</w:t>
      </w:r>
      <w:bookmarkEnd w:id="526"/>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فِي كُلِّ أُمَّةٍ رَسُولاً أَنِ اعْبُدُوا اللَّهَ وَ اجْتَنِبُوا الطَّاغُوتَ فَمِنْهُمْ مَنْ هَدَى اللَّهُ وَ مِنْهُمْ مَنْ حَقَّتْ عَلَيْهِ الظَّلَالَةُ فَسِيرُوا فِي الْأَرْضِ فَانْظُرُوا كَيْفَ كَانَ عَاقِبَةُ الْمُكَذِّبِينَ</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الشريفة تدلّ على أمورٍ</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13100014_1280447820"/>
      <w:bookmarkStart w:id="528" w:name="_Toc213"/>
      <w:bookmarkEnd w:id="527"/>
      <w:r>
        <w:rPr>
          <w:rtl w:val="true"/>
        </w:rPr>
        <w:t>الأمر الأوّل</w:t>
      </w:r>
      <w:r>
        <w:rPr>
          <w:rtl w:val="true"/>
        </w:rPr>
        <w:t>:</w:t>
      </w:r>
      <w:bookmarkEnd w:id="528"/>
    </w:p>
    <w:p>
      <w:pPr>
        <w:pStyle w:val="BookText"/>
        <w:rPr/>
      </w:pPr>
      <w:r>
        <w:rPr>
          <w:rFonts w:ascii="Amiri" w:hAnsi="Amiri" w:eastAsia="Amiri" w:cs="Amiri"/>
          <w:color w:val="111111"/>
          <w:sz w:val="28"/>
          <w:sz w:val="28"/>
          <w:szCs w:val="28"/>
          <w:rtl w:val="true"/>
          <w:lang w:bidi="ar-SA"/>
        </w:rPr>
        <w:t xml:space="preserve">عموم حاجة الناس إلى الأنبياء، فعمّ الارسال جميع الملل و الأمصار، و لااختصاص له ببعضها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بَعَثْنَا فِي كُلِّ أُمَّةٍ رَسُولاً</w:t>
      </w:r>
      <w:r>
        <w:rPr>
          <w:rFonts w:eastAsia="Amiri" w:cs="Amiri" w:ascii="Amiri" w:hAnsi="Amiri"/>
          <w:color w:val="111111"/>
          <w:sz w:val="28"/>
          <w:szCs w:val="28"/>
          <w:rtl w:val="true"/>
          <w:lang w:bidi="ar-SA"/>
        </w:rPr>
        <w:t>» -.</w:t>
      </w:r>
    </w:p>
    <w:p>
      <w:pPr>
        <w:pStyle w:val="Heading6"/>
        <w:numPr>
          <w:ilvl w:val="5"/>
          <w:numId w:val="1"/>
        </w:numPr>
        <w:rPr/>
      </w:pPr>
      <w:bookmarkStart w:id="529" w:name="__RefHeading___Toc13100016_1280447820"/>
      <w:bookmarkStart w:id="530" w:name="_Toc214"/>
      <w:bookmarkEnd w:id="529"/>
      <w:r>
        <w:rPr>
          <w:rtl w:val="true"/>
        </w:rPr>
        <w:t>الأمر الثّاني</w:t>
      </w:r>
      <w:r>
        <w:rPr>
          <w:rtl w:val="true"/>
        </w:rPr>
        <w:t>:</w:t>
      </w:r>
      <w:bookmarkEnd w:id="530"/>
    </w:p>
    <w:p>
      <w:pPr>
        <w:pStyle w:val="BookText"/>
        <w:rPr/>
      </w:pPr>
      <w:r>
        <w:rPr>
          <w:rFonts w:ascii="Amiri" w:hAnsi="Amiri" w:eastAsia="Amiri" w:cs="Amiri"/>
          <w:color w:val="111111"/>
          <w:sz w:val="28"/>
          <w:sz w:val="28"/>
          <w:szCs w:val="28"/>
          <w:rtl w:val="true"/>
          <w:lang w:bidi="ar-SA"/>
        </w:rPr>
        <w:t xml:space="preserve">بيان وظيفة الأنبياء بالنسبة إلى ما يرجع إلى العقائد و الأفعال العباديّة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إلى التوحيد و لوازمه من العبادات و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مأخوذٌ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اعْبُدُوا اللَّهَ</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13100018_1280447820"/>
      <w:bookmarkStart w:id="532" w:name="_Toc215"/>
      <w:bookmarkEnd w:id="531"/>
      <w:r>
        <w:rPr>
          <w:rtl w:val="true"/>
        </w:rPr>
        <w:t>الأمر الثّالث</w:t>
      </w:r>
      <w:r>
        <w:rPr>
          <w:rtl w:val="true"/>
        </w:rPr>
        <w:t>:</w:t>
      </w:r>
      <w:bookmarkEnd w:id="53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وظيفة الأنبياء بالنسبة إلى ما يرجع إلى المجتمع، و هو القيام لنفي الطواغيت و عزلهم عن عرش الحكم ليكون الحكم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اجْتَنِبُوا الطَّاغُوتَ</w:t>
      </w:r>
      <w:r>
        <w:rPr>
          <w:rFonts w:eastAsia="Amiri" w:cs="Amiri" w:ascii="Amiri" w:hAnsi="Amiri"/>
          <w:color w:val="111111"/>
          <w:sz w:val="28"/>
          <w:szCs w:val="28"/>
          <w:rtl w:val="true"/>
          <w:lang w:bidi="ar-SA"/>
        </w:rPr>
        <w:t xml:space="preserve">». </w:t>
      </w:r>
      <w:bookmarkStart w:id="533" w:name="pg18987_179801"/>
    </w:p>
    <w:p>
      <w:pPr>
        <w:pStyle w:val="Heading6"/>
        <w:numPr>
          <w:ilvl w:val="5"/>
          <w:numId w:val="1"/>
        </w:numPr>
        <w:rPr/>
      </w:pPr>
      <w:bookmarkStart w:id="534" w:name="__RefHeading___Toc13100020_1280447820"/>
      <w:bookmarkStart w:id="535" w:name="_Toc216"/>
      <w:bookmarkEnd w:id="533"/>
      <w:bookmarkEnd w:id="534"/>
      <w:r>
        <w:rPr>
          <w:rtl w:val="true"/>
        </w:rPr>
        <w:t>الأمر الرّابع</w:t>
      </w:r>
      <w:r>
        <w:rPr>
          <w:rtl w:val="true"/>
        </w:rPr>
        <w:t>:</w:t>
      </w:r>
      <w:bookmarkEnd w:id="535"/>
    </w:p>
    <w:p>
      <w:pPr>
        <w:pStyle w:val="BookText"/>
        <w:rPr/>
      </w:pPr>
      <w:r>
        <w:rPr>
          <w:rFonts w:ascii="Amiri" w:hAnsi="Amiri" w:eastAsia="Amiri" w:cs="Amiri"/>
          <w:color w:val="111111"/>
          <w:sz w:val="28"/>
          <w:sz w:val="28"/>
          <w:szCs w:val="28"/>
          <w:rtl w:val="true"/>
          <w:lang w:bidi="ar-SA"/>
        </w:rPr>
        <w:t xml:space="preserve">ثمّ في مختتم الآية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عليه الأقوام قبال دعوة الأنبياء،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هَدَى اللَّهُ وَ مِنْهُمْ مَنْ حَقَّتْ عَلَيْهِ الضَّلَالَةُ</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13100022_1280447820"/>
      <w:bookmarkStart w:id="537" w:name="_Toc217"/>
      <w:bookmarkEnd w:id="536"/>
      <w:r>
        <w:rPr>
          <w:rtl w:val="true"/>
        </w:rPr>
        <w:t>الأمر الخامس</w:t>
      </w:r>
      <w:r>
        <w:rPr>
          <w:rtl w:val="true"/>
        </w:rPr>
        <w:t>:</w:t>
      </w:r>
      <w:bookmarkEnd w:id="537"/>
    </w:p>
    <w:p>
      <w:pPr>
        <w:pStyle w:val="BookText"/>
        <w:rPr/>
      </w:pPr>
      <w:r>
        <w:rPr>
          <w:rFonts w:ascii="Amiri" w:hAnsi="Amiri" w:eastAsia="Amiri" w:cs="Amiri"/>
          <w:color w:val="111111"/>
          <w:sz w:val="28"/>
          <w:sz w:val="28"/>
          <w:szCs w:val="28"/>
          <w:rtl w:val="true"/>
          <w:lang w:bidi="ar-SA"/>
        </w:rPr>
        <w:t xml:space="preserve">ثمّ دعا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جميع المخاطبين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النظر و التأمّل في عاقبة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أجابوا دعوة نبيّهم و خضعوا لها؛ و الّذين لم ينقادوا لها، بل عصوه و جحدوا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فَسِيرُوا فِي الْأَرْضِ فَانْظُرُوا كَيْفَ كَانَ عَاقِبَةُ الْمُكَذِّبِينَ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الشريفة تنادي بأعلى صوتها بأنّ الأمم الماضية جميعها كانت بحاجةٍ ماسّةٍ إلى من يقوم بأمرها في ناحيتي التشريع و القيام بأمر الدولة الإلهيّة، و على الناس أن يخضعوا لحكمه لئلّا تسير عاقبة أمرهم إلى البوار و الوبال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اختصاص لهم بهذا الأمر، بل حاجة المجتمع إليه حاجةٌ دائمةٌ مستمرّةٌ باستمرا الإنسان و حياته الجمعيّة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حكم به العقل و دلّت عليه خاتميّة نبيّنا صلى الله عليه و آله و شريعته، فمن الواجب أن يكون في كلّ عصرٍ من يقوم بأمر رئاسة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شأن الأنبياء المبلّغين الّذين عرّفنا اللّه بهم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رِسَالَاتِ اللَّهِ وَ يَخْشَونَهُ وَ لَايَخْشَونَ أَحَداً إِلَّا اللَّهَ</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العالمون بأحكام الشريعة و ذووا الكفاية لمهمّة السلطة و الدولة؛ و هذا شأن الفقيه العادل المدبّر للأمور لأن يجلس مجلس الأنبياء في ناحيتي تبيين الأحكام و إرشاد المجتمع إلى ما هو الخير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الآية على ثبوت الولاية له واضحةٌ لاخدشة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مختتم مبحث الاستدلال بالآيات الكريمات على ثبوتها له نشير إشارةً اجماليةً إلى جملةٍ من الآيات الدالّة عليها، و تلك الآيات كثيرةٌ جدّاً، بل يمكن أن تقرب من مأة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الآيات الدالّة على إجراء الحدود؛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السَّارِقُ وَ السَّارِقَةُ فَاقْطَعُوا أَيْدِيَهُمَا جَزَاءً بِمَا كَسَبَا نَكَالاً مِنَ اللَّهِ وَ اللَّهُ </w:t>
      </w:r>
    </w:p>
    <w:p>
      <w:pPr>
        <w:pStyle w:val="BookText"/>
        <w:rPr/>
      </w:pPr>
      <w:r>
        <w:rPr>
          <w:rFonts w:ascii="Amiri" w:hAnsi="Amiri" w:eastAsia="Amiri" w:cs="Amiri"/>
          <w:color w:val="111111"/>
          <w:sz w:val="28"/>
          <w:sz w:val="28"/>
          <w:szCs w:val="28"/>
          <w:rtl w:val="true"/>
          <w:lang w:bidi="ar-SA"/>
        </w:rPr>
        <w:t>عَزِيزٌ حَكِيمٌ</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حيث دلّ على وجوب قطع أيدي السارقين، و لايمكن إجراء هذا الحكم إلّابحكومةٍ، و لاحكومة إلّابحاكمٍ، و لايصلح لهذا المنصب إلّامن عرف الحكم ليجريه على مقتضاه؛ و ليس إلّاالفقيه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و منها الآيات الدالّة على وجوب تقوية الدولة الإسلاميّة؛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لايمكن إعداد القوّة و تجهيز الجيش لمقابلة الأعداء إلّابحكومةٍ و 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الآيات الدالّة على أخذ الأنفال و الزكوات و الأخماس؛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الْأَنْفَالِ قُلِ الْأَنْفَالُ لِلَّهِ وَ الرَّسُولِ</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الدالّ على وجوب استقرار أحدٍ في كلّ عصرٍ في مقام الرسول صلى الله عليه و آله من حيث ولايته على المجتمع ليدبّر أمر الأنفال من الأراضي و المعادن و المياه و الغنائم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الآيات الدالّة على وجوب تأمين الأمنيّة الإجتماعيّة و الإقتصاديّة؛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أَو يُنْفَوا مِنَ الْأَرْضِ </w:t>
      </w:r>
    </w:p>
    <w:p>
      <w:pPr>
        <w:pStyle w:val="BookText"/>
        <w:rPr/>
      </w:pPr>
      <w:r>
        <w:rPr>
          <w:rFonts w:ascii="Amiri" w:hAnsi="Amiri" w:eastAsia="Amiri" w:cs="Amiri"/>
          <w:color w:val="111111"/>
          <w:sz w:val="28"/>
          <w:sz w:val="28"/>
          <w:szCs w:val="28"/>
          <w:rtl w:val="true"/>
          <w:lang w:bidi="ar-SA"/>
        </w:rPr>
        <w:t>ذَلِكَ لَهُمْ خِزْيٌ فِي الدُّنْيَا وَ لَهُمْ فِي الْآخِرَةِ عَذَابٌ عَظِيمٌ</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تقريب الاستدلال بالآيتين الشريفتين ما مرّ في السابقة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الآيات الدالّة على وجوب ترويج الدين في ناحية عباديّاته و معاملاته و سياساته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كثيرةٌ لايسع هذا المختصر الإشارة إليه؛ و فيما ذُكر كفايةٌ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فتلخّصت ممّا قلنا جميعاً صحّة الاستدلال بالآيات القرآنيّة على ثبوت الولاية للفقيه؛ و الحمد للّه ربّ العالمين</w:t>
      </w:r>
      <w:r>
        <w:rPr>
          <w:rFonts w:eastAsia="Amiri" w:cs="Amiri" w:ascii="Amiri" w:hAnsi="Amiri"/>
          <w:color w:val="111111"/>
          <w:sz w:val="28"/>
          <w:szCs w:val="28"/>
          <w:rtl w:val="true"/>
          <w:lang w:bidi="ar-SA"/>
        </w:rPr>
        <w:t>.</w:t>
      </w:r>
      <w:bookmarkStart w:id="538" w:name="pg18987_179804"/>
    </w:p>
    <w:p>
      <w:pPr>
        <w:pStyle w:val="Heading4"/>
        <w:numPr>
          <w:ilvl w:val="3"/>
          <w:numId w:val="1"/>
        </w:numPr>
        <w:rPr/>
      </w:pPr>
      <w:bookmarkStart w:id="539" w:name="__RefHeading___Toc13100024_1280447820"/>
      <w:bookmarkStart w:id="540" w:name="_Toc218"/>
      <w:bookmarkEnd w:id="538"/>
      <w:bookmarkEnd w:id="539"/>
      <w:r>
        <w:rPr>
          <w:rtl w:val="true"/>
        </w:rPr>
        <w:t>الثّالث</w:t>
      </w:r>
      <w:r>
        <w:rPr>
          <w:rtl w:val="true"/>
        </w:rPr>
        <w:t xml:space="preserve">: </w:t>
      </w:r>
      <w:r>
        <w:rPr>
          <w:rtl w:val="true"/>
        </w:rPr>
        <w:t>الاستدلال بالإجماع على ثبوت الولاية للفقيه</w:t>
      </w:r>
      <w:bookmarkEnd w:id="540"/>
    </w:p>
    <w:p>
      <w:pPr>
        <w:pStyle w:val="BookText"/>
        <w:rPr/>
      </w:pPr>
      <w:r>
        <w:rPr>
          <w:rFonts w:ascii="Amiri" w:hAnsi="Amiri" w:eastAsia="Amiri" w:cs="Amiri"/>
          <w:color w:val="111111"/>
          <w:sz w:val="28"/>
          <w:sz w:val="28"/>
          <w:szCs w:val="28"/>
          <w:rtl w:val="true"/>
          <w:lang w:bidi="ar-SA"/>
        </w:rPr>
        <w:t>قد أشرنا فيما سبق من هذه الرسالة إلى أقوال جمعٍ من فقهائنا المتقدّمين و المتأخّرين في المسألة، و رينا أنّهم قد أطبقوا على ثبوت الولاية للفقيه العدل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الأقوال بلغت قدر خمسٍ و عشرين قولاً، و غيرها كثيرةٌ ربّما يعثر المتتبّع على ما يزيد عليها أضعافاً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ندّعي ثبوت الإجماع المحصّل في المسألة</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الإجماع على ذلك منقولٌ في العوائد أيضاً؛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عوائدالأيّام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المراغيّ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الدليل على عموم الولاية الإجماع المنقول و المحصّل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انظر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البدرالزاهر في صلاة الجمعة و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النورالمبين في شرح التحرير و 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الظاهر انّ للنظر في هذا الإجماع مجالاً واسعاً، إذ نرى كثيراً من الفقهاء لايقبلون ولاية الفقيه على نحو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على سبيل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القضاء و الشهادات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للمحقّق الرشتيّ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القضاء و الشهادات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فقه الباقر، للشيخ العلّامة البهاريّ الهمدانيّ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هي معدودةٌ من معاقد الإجماعات القليلة في فقهنا، لأنّ المسائل المجمع عليها بين المتقدّمين و المتأخّرين قليلةٌ يسيرةٌ لاتبلغ عددها حدّ أصابع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المسألة من معاقد الإجماع المنقول أيضاً حيث ادّعى فيه كثيرٌ من الفقهاء ثبوت التسلّم و الاتّفاق، و لنكتف بذكر عبارتين من فقيهين فحلين من أكابر فقهاء الإماميّة، و العبارتان تدلّان على ثبوت الإجماع المنقول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المحقّق الثّاني رحمه الله في جامع المقاصد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أصحابنا على أنّ الفقيه العادل الأمين الجامع للشرائط المعبّر عنه بالمجتهد نائبٌ من قبل أئمّة الهدى عليهم السلام في حال الغيبة في جميع ما للنيابة فيه المدخل</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ادّعاء الاتّفاق في مسألةٍ و لاسيّما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الأعلام المتّفق على سعة تتبّعه و احاطته بالآراء و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كون المسألة معقداً للإجماع؛ فهو إجماعٌ منقولٌ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الفقيه الكبير صاحب الجواهر رحمه الله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قول المحقّق الكركيّ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لولا عموم الولاية لبقي كثيرٌ من الأمور المتعلّقة بشيعتهم 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الغريب وسوسة بعض الناس في ذلك، بل كأنّه ماذاق من طعم الفقه شيئاً و لافهم من لحن قولهم و رموزهم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فالمسألة من الواضحات الّتي لاتحتاج إلى أدلّةٍ</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ظاهرَ الأصحاب عملاً و فتوىً فى سائر الأبواب عمومَها بل لعلّه من المسلّمات، أو الضروريّات عندهم</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وسوس موسوسٌ في حجّية قول ثاني المحقِّقَين و الفقيه النجفيّ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مدى حجّيّتهما،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فعليه بالرجوع إلى ما نقلنا من عبائر الفقهاء فيما سلف من هذه الرسالة؛ و فيها كفايةٌ عن وسوسته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لانعيدها حبّاً للإختصار و مجانبةً عن التطويل</w:t>
      </w:r>
      <w:r>
        <w:rPr>
          <w:rFonts w:eastAsia="Amiri" w:cs="Amiri" w:ascii="Amiri" w:hAnsi="Amiri"/>
          <w:color w:val="111111"/>
          <w:sz w:val="28"/>
          <w:szCs w:val="28"/>
          <w:rtl w:val="true"/>
          <w:lang w:bidi="ar-SA"/>
        </w:rPr>
        <w:t>.</w:t>
      </w:r>
      <w:bookmarkStart w:id="541" w:name="pg18987_179807"/>
    </w:p>
    <w:p>
      <w:pPr>
        <w:pStyle w:val="Heading4"/>
        <w:numPr>
          <w:ilvl w:val="3"/>
          <w:numId w:val="1"/>
        </w:numPr>
        <w:rPr/>
      </w:pPr>
      <w:bookmarkStart w:id="542" w:name="__RefHeading___Toc13100026_1280447820"/>
      <w:bookmarkStart w:id="543" w:name="_Toc219"/>
      <w:bookmarkEnd w:id="541"/>
      <w:bookmarkEnd w:id="542"/>
      <w:r>
        <w:rPr>
          <w:rtl w:val="true"/>
        </w:rPr>
        <w:t>الرّابع الاستدلال بالروايات على ثبوت الولاية للفقيه و</w:t>
      </w:r>
      <w:bookmarkEnd w:id="543"/>
    </w:p>
    <w:p>
      <w:pPr>
        <w:pStyle w:val="Heading5"/>
        <w:numPr>
          <w:ilvl w:val="4"/>
          <w:numId w:val="1"/>
        </w:numPr>
        <w:rPr/>
      </w:pPr>
      <w:bookmarkStart w:id="544" w:name="__RefHeading___Toc13100028_1280447820"/>
      <w:bookmarkStart w:id="545" w:name="_Toc220"/>
      <w:bookmarkEnd w:id="544"/>
      <w:r>
        <w:rPr>
          <w:rtl w:val="true"/>
        </w:rPr>
        <w:t>اشارة</w:t>
      </w:r>
      <w:bookmarkEnd w:id="545"/>
    </w:p>
    <w:p>
      <w:pPr>
        <w:pStyle w:val="BookText"/>
        <w:rPr/>
      </w:pPr>
      <w:r>
        <w:rPr>
          <w:rFonts w:ascii="Amiri" w:hAnsi="Amiri" w:eastAsia="Amiri" w:cs="Amiri"/>
          <w:color w:val="111111"/>
          <w:sz w:val="28"/>
          <w:sz w:val="28"/>
          <w:szCs w:val="28"/>
          <w:rtl w:val="true"/>
          <w:lang w:bidi="ar-SA"/>
        </w:rPr>
        <w:t>الروايات هي العمدة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 قبل الورود في صلب المبحث أربع نكاتٍ تمهيديّةٍ</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13100030_1280447820"/>
      <w:bookmarkStart w:id="547" w:name="_Toc221"/>
      <w:bookmarkEnd w:id="546"/>
      <w:r>
        <w:rPr>
          <w:rtl w:val="true"/>
        </w:rPr>
        <w:t>النكتة الأولى</w:t>
      </w:r>
      <w:r>
        <w:rPr>
          <w:rtl w:val="true"/>
        </w:rPr>
        <w:t>:</w:t>
      </w:r>
      <w:bookmarkEnd w:id="547"/>
    </w:p>
    <w:p>
      <w:pPr>
        <w:pStyle w:val="BookText"/>
        <w:rPr/>
      </w:pPr>
      <w:r>
        <w:rPr>
          <w:rFonts w:ascii="Amiri" w:hAnsi="Amiri" w:eastAsia="Amiri" w:cs="Amiri"/>
          <w:color w:val="111111"/>
          <w:sz w:val="28"/>
          <w:sz w:val="28"/>
          <w:szCs w:val="28"/>
          <w:rtl w:val="true"/>
          <w:lang w:bidi="ar-SA"/>
        </w:rPr>
        <w:t>إنّ من روايات الباب ما وفّت الفقهاء حقّه من البحث و التحقيق سنداً و متناً؛ و منها ما لم يستوفوا حقّها مع ما لها من الشأن والأهمّيّة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قسطاً صالحاً من روايات الباب مع بحثٍ موجزٍ حول كلّ واحدٍ منها من ناحيتي السند و المتن</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13100032_1280447820"/>
      <w:bookmarkStart w:id="549" w:name="_Toc222"/>
      <w:bookmarkEnd w:id="548"/>
      <w:r>
        <w:rPr>
          <w:rtl w:val="true"/>
        </w:rPr>
        <w:t>النكتة الثّانية</w:t>
      </w:r>
      <w:r>
        <w:rPr>
          <w:rtl w:val="true"/>
        </w:rPr>
        <w:t>:</w:t>
      </w:r>
      <w:bookmarkEnd w:id="549"/>
    </w:p>
    <w:p>
      <w:pPr>
        <w:pStyle w:val="BookText"/>
        <w:rPr/>
      </w:pPr>
      <w:r>
        <w:rPr>
          <w:rFonts w:ascii="Amiri" w:hAnsi="Amiri" w:eastAsia="Amiri" w:cs="Amiri"/>
          <w:color w:val="111111"/>
          <w:sz w:val="28"/>
          <w:sz w:val="28"/>
          <w:szCs w:val="28"/>
          <w:rtl w:val="true"/>
          <w:lang w:bidi="ar-SA"/>
        </w:rPr>
        <w:t>إنّ روايات الباب كثيرةٌ بحيث يبدو لنا أنّها متواترةٌ بالتواتر المعنويّ، إذ انّها تقرب من ثلاثين روايةً، و لاريب في أنّ هذا العدد الهائل يثبت التواتر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لوثبت هذا القسم من التواتر في روايةٍ فلانحتاج إلى كثير بحثٍ من سندها أو كيفيّة دلالتها، لأنّ مجموعها بما هو مجموعٌ يسفر النقاب عن مضمونها و ما هو المراد منها؛ و مع ذلك فنأتي بتوضيحٍ حول كلّ روايةٍ على حدةٍ ليكون بحثنا هذا أسدّ للفراغ و أوقع في قلوب الباحثين</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13100034_1280447820"/>
      <w:bookmarkStart w:id="551" w:name="_Toc223"/>
      <w:bookmarkEnd w:id="550"/>
      <w:r>
        <w:rPr>
          <w:rtl w:val="true"/>
        </w:rPr>
        <w:t>النكتة الثّالثة</w:t>
      </w:r>
      <w:r>
        <w:rPr>
          <w:rtl w:val="true"/>
        </w:rPr>
        <w:t>:</w:t>
      </w:r>
      <w:bookmarkEnd w:id="551"/>
    </w:p>
    <w:p>
      <w:pPr>
        <w:pStyle w:val="BookText"/>
        <w:rPr/>
      </w:pPr>
      <w:r>
        <w:rPr>
          <w:rFonts w:ascii="Amiri" w:hAnsi="Amiri" w:eastAsia="Amiri" w:cs="Amiri"/>
          <w:color w:val="111111"/>
          <w:sz w:val="28"/>
          <w:sz w:val="28"/>
          <w:szCs w:val="28"/>
          <w:rtl w:val="true"/>
          <w:lang w:bidi="ar-SA"/>
        </w:rPr>
        <w:t>من روايات الباب ما هو صحيحٌ سنداً و دلالةً، و منها ما هو صحيحٌ سنداً أو دلالةً، و منها ما هو ضعيفٌ سنداً أو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سيمرّ بك الكلام حول كلّ واحدٍ منها في تذييلاتنا عليها</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13100036_1280447820"/>
      <w:bookmarkStart w:id="553" w:name="_Toc224"/>
      <w:bookmarkEnd w:id="552"/>
      <w:r>
        <w:rPr>
          <w:rtl w:val="true"/>
        </w:rPr>
        <w:t>النكتة الرّابعة</w:t>
      </w:r>
      <w:r>
        <w:rPr>
          <w:rtl w:val="true"/>
        </w:rPr>
        <w:t>:</w:t>
      </w:r>
      <w:bookmarkEnd w:id="55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سيّدنا الأستاذ آية اللّه العظمى البروجرديّ رحمه الله يرى انّ قسطاً وافراً </w:t>
      </w:r>
      <w:bookmarkStart w:id="554" w:name="pg18987_179808"/>
    </w:p>
    <w:p>
      <w:pPr>
        <w:pStyle w:val="BookText"/>
        <w:rPr/>
      </w:pPr>
      <w:bookmarkEnd w:id="554"/>
      <w:r>
        <w:rPr>
          <w:rFonts w:ascii="Amiri" w:hAnsi="Amiri" w:eastAsia="Amiri" w:cs="Amiri"/>
          <w:color w:val="111111"/>
          <w:sz w:val="28"/>
          <w:sz w:val="28"/>
          <w:szCs w:val="28"/>
          <w:rtl w:val="true"/>
          <w:lang w:bidi="ar-SA"/>
        </w:rPr>
        <w:t>من روايات الباب لم يصل إلينا، بل هو العمدة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فيه انّ هذه المسألة ليست بأدنى مرتبة من مسألة الحجّ أو الخمس، و لقد نشاهد ما في البابين و أمثالهما من كثرة الروايات الواردة ما يسجّل على أنّ الروايات الصادرة في شأن هذه المسألة كانت أكثر ممّا بأيدينا اليوم، بل لايقاس الموجود منها بما فقدت و لم تصل إليه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رحمه الله يذهب إلى أنّها كانت مبثوثةً في أصولنا الأربعمأة، لكن تناولتها أيدي الخونة فمنعتنا و حرّمتنا عن اقتنائها و الوصول إليها؛ و مع ذلك كلّه نرى انّ الموجود منها إلى حدّ الآن كافٍ في ثبوت مؤدّاها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اثبات الولاية للفقيه العدل المدبّر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الآن بعد الفراغ من هذه النكات التمهيديّة ندخل في صلب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مستعيناً باللّه متوكّلاً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نمطنا و أسلوبنا في هذا الباب ذكر الحديث أوّلاً ثمّ البحث عنه سنداً؛ ثمّ الكلام حول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وتوفيقه </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13100038_1280447820"/>
      <w:bookmarkStart w:id="556" w:name="_Toc225"/>
      <w:bookmarkEnd w:id="555"/>
      <w:r>
        <w:rPr>
          <w:rtl w:val="true"/>
        </w:rPr>
        <w:t>الرواية الأولى</w:t>
      </w:r>
      <w:bookmarkEnd w:id="556"/>
    </w:p>
    <w:p>
      <w:pPr>
        <w:pStyle w:val="BookText"/>
        <w:rPr/>
      </w:pPr>
      <w:r>
        <w:rPr>
          <w:rFonts w:ascii="Amiri" w:hAnsi="Amiri" w:eastAsia="Amiri" w:cs="Amiri"/>
          <w:color w:val="111111"/>
          <w:sz w:val="28"/>
          <w:sz w:val="28"/>
          <w:szCs w:val="28"/>
          <w:rtl w:val="true"/>
          <w:lang w:bidi="ar-SA"/>
        </w:rPr>
        <w:t>ما رواه المشايخ الثلاث</w:t>
      </w:r>
      <w:r>
        <w:rPr>
          <w:rStyle w:val="FootnoteAnchor"/>
          <w:rtl w:val="true"/>
        </w:rPr>
        <w:footnoteReference w:id="267"/>
      </w:r>
      <w:r>
        <w:rPr>
          <w:rFonts w:ascii="Amiri" w:hAnsi="Amiri" w:eastAsia="Amiri" w:cs="Amiri"/>
          <w:color w:val="111111"/>
          <w:sz w:val="28"/>
          <w:sz w:val="28"/>
          <w:szCs w:val="28"/>
          <w:rtl w:val="true"/>
          <w:lang w:bidi="ar-SA"/>
        </w:rPr>
        <w:t>بسندٍ صحيحٍ عن اسحاق بن يعقوب مكاتبةً عن الحجّة عليه السلام، فانّه عليه السلام قال في هذه المكاتبة الرفيعة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الحوادث الواقعة فارجعوا فيها إلى رواة حديثنا، فإنّهم حجّتي عليكم و أنا حجّة اللّه</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557" w:name="pg18987_179809"/>
    </w:p>
    <w:p>
      <w:pPr>
        <w:pStyle w:val="BookText"/>
        <w:rPr/>
      </w:pPr>
      <w:bookmarkEnd w:id="557"/>
      <w:r>
        <w:rPr>
          <w:rFonts w:ascii="Amiri" w:hAnsi="Amiri" w:eastAsia="Amiri" w:cs="Amiri"/>
          <w:color w:val="111111"/>
          <w:sz w:val="28"/>
          <w:sz w:val="28"/>
          <w:szCs w:val="28"/>
          <w:rtl w:val="true"/>
          <w:lang w:bidi="ar-SA"/>
        </w:rPr>
        <w:t xml:space="preserve">أمّا السند فصحيحٌ لابأس به حيث رواها الكلينيّ عن أخيه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طريق الشيخ و الصدوق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موصولٌ إلى صاحب الكافي بواسطة الأجلّاء و زعماء الطائفة، منهم الشيخ المفيد</w:t>
      </w:r>
      <w:r>
        <w:rPr>
          <w:rStyle w:val="FootnoteAnchor"/>
          <w:rtl w:val="true"/>
        </w:rPr>
        <w:footnoteReference w:id="269"/>
      </w:r>
      <w:r>
        <w:rPr>
          <w:rFonts w:ascii="Amiri" w:hAnsi="Amiri" w:eastAsia="Amiri" w:cs="Amiri"/>
          <w:color w:val="111111"/>
          <w:sz w:val="28"/>
          <w:sz w:val="28"/>
          <w:szCs w:val="28"/>
          <w:rtl w:val="true"/>
          <w:lang w:bidi="ar-SA"/>
        </w:rPr>
        <w:t>و ابن قولويه و أبوغالب الزراريّ‌</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إشكالان يشبه أن يكونا وسوستين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إسحاق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أخو محمّد بن يعقوب صاحب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 في مصادر علم الرجال، فلم يُذكر في دواوين النجاشيّ و الشيخ و الكشّي و أضرابهم</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13100040_1280447820"/>
      <w:bookmarkStart w:id="559" w:name="_Toc226"/>
      <w:bookmarkEnd w:id="558"/>
      <w:r>
        <w:rPr>
          <w:rtl w:val="true"/>
        </w:rPr>
        <w:t>و الجواب</w:t>
      </w:r>
      <w:r>
        <w:rPr>
          <w:rtl w:val="true"/>
        </w:rPr>
        <w:t>:</w:t>
      </w:r>
      <w:bookmarkEnd w:id="559"/>
    </w:p>
    <w:p>
      <w:pPr>
        <w:pStyle w:val="BookText"/>
        <w:rPr/>
      </w:pPr>
      <w:r>
        <w:rPr>
          <w:rFonts w:ascii="Amiri" w:hAnsi="Amiri" w:eastAsia="Amiri" w:cs="Amiri"/>
          <w:color w:val="111111"/>
          <w:sz w:val="28"/>
          <w:sz w:val="28"/>
          <w:szCs w:val="28"/>
          <w:rtl w:val="true"/>
          <w:lang w:bidi="ar-SA"/>
        </w:rPr>
        <w:t>إنّ عدم ذكر بعض الأعاظم في مصادر علم الرجال لايضرّ به و لاينحطّ مرويّاته عن مرتبة الإعتماد، لأنّ من المشايخ من كان بمرتبةٍ من الشهرة حتّى منعت شهرته أن يصحّح أو يُذكر في عداد الرواة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أمثلته إبراهيم أبو عليّ بن إبراهيم حيث لم يُذكر في مصادر الرجاليّين بالتنصيص على تعديله</w:t>
      </w:r>
      <w:r>
        <w:rPr>
          <w:rStyle w:val="FootnoteAnchor"/>
          <w:rtl w:val="true"/>
        </w:rPr>
        <w:footnoteReference w:id="272"/>
      </w:r>
      <w:r>
        <w:rPr>
          <w:rFonts w:ascii="Amiri" w:hAnsi="Amiri" w:eastAsia="Amiri" w:cs="Amiri"/>
          <w:color w:val="111111"/>
          <w:sz w:val="28"/>
          <w:sz w:val="28"/>
          <w:szCs w:val="28"/>
          <w:rtl w:val="true"/>
          <w:lang w:bidi="ar-SA"/>
        </w:rPr>
        <w:t>، بينما انّ رواياته في الكافي كثيرةٌ بحيث بلغت ما يقرب من ألف روايةٍ‌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560" w:name="pg18987_179810"/>
    </w:p>
    <w:p>
      <w:pPr>
        <w:pStyle w:val="BookText"/>
        <w:rPr/>
      </w:pPr>
      <w:bookmarkEnd w:id="560"/>
      <w:r>
        <w:rPr>
          <w:rFonts w:ascii="Amiri" w:hAnsi="Amiri" w:eastAsia="Amiri" w:cs="Amiri"/>
          <w:color w:val="111111"/>
          <w:sz w:val="28"/>
          <w:sz w:val="28"/>
          <w:szCs w:val="28"/>
          <w:rtl w:val="true"/>
          <w:lang w:bidi="ar-SA"/>
        </w:rPr>
        <w:t>و من أمثلته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الكلينيّ نفسه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يجترىء أحدٌ بأن يقول عدم ذكر الكلينيّ و الصدوق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 الرجال دليلٌ على عدم جواز الإعتماد عليهما و على أضرابهما؟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المبنى هناك هو المبنى هيهنا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أن يعود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كثرة روايات المشايخ الثلاث و أضرابهم و تداول الأيدي كتبهم و مرويّاتهم و تلقّي الأعلام إيّاهم بالقبول في جميع العصور يدلّ على تصحيحهم، بل على ما هو فوق التصحيح؛ و أين شأنهم و شأن إسحاق بن يعقوب الّذي لم يوجد منه حديثٌ إلّاهذه المكاتبة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تصحيح الكلينيّ يدلّ على تصحيح أخيه هذا حيث كان في مشهده و منظره و مرءاه، و نقله عنه يُعلن اعتماده عليه و تصحيحه و توثيقه إيّاه في رأيه؛ إذ لايُظنّ بالكلينيّ أن يروي ممّن لايثق به كائناً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لافرق بين أخيه و بين غيره في هذا المضمار</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13100042_1280447820"/>
      <w:bookmarkStart w:id="562" w:name="_Toc227"/>
      <w:bookmarkEnd w:id="561"/>
      <w:r>
        <w:rPr>
          <w:rtl w:val="true"/>
        </w:rPr>
        <w:t>الثّاني</w:t>
      </w:r>
      <w:r>
        <w:rPr>
          <w:rtl w:val="true"/>
        </w:rPr>
        <w:t>:</w:t>
      </w:r>
      <w:bookmarkEnd w:id="562"/>
    </w:p>
    <w:p>
      <w:pPr>
        <w:pStyle w:val="BookText"/>
        <w:rPr/>
      </w:pPr>
      <w:r>
        <w:rPr>
          <w:rFonts w:ascii="Amiri" w:hAnsi="Amiri" w:eastAsia="Amiri" w:cs="Amiri"/>
          <w:color w:val="111111"/>
          <w:sz w:val="28"/>
          <w:sz w:val="28"/>
          <w:szCs w:val="28"/>
          <w:rtl w:val="true"/>
          <w:lang w:bidi="ar-SA"/>
        </w:rPr>
        <w:t>لماذا لم ترد هذه المكاتبة في الكافي؟ و لوكانت الكلينيّ رحمه الله قائلاً بتصحيحها لكان يجب عليه أن يذكرها في جامعه الكبير</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13100044_1280447820"/>
      <w:bookmarkStart w:id="564" w:name="_Toc228"/>
      <w:bookmarkEnd w:id="563"/>
      <w:r>
        <w:rPr>
          <w:rtl w:val="true"/>
        </w:rPr>
        <w:t>و الجواب</w:t>
      </w:r>
      <w:r>
        <w:rPr>
          <w:rtl w:val="true"/>
        </w:rPr>
        <w:t>:</w:t>
      </w:r>
      <w:bookmarkEnd w:id="56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التسليم لهذا الوجوب،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لامعنى لهذا الوجوب و اللابدّيّة، إذ كما انّ كثيراً ممّا رواه الصدوق في غير الفقيه لم يوجد فيه، و لم يقل أحدٌ بتضعيف ما لم يروه فيه و عدم جواز الركون إليه؛ فكذلك عدم رواية الكلينيّ رحمه الله مرويّاً من مرويّاته في الكافي لايدلّ على تضعيفه، بل لامعنى للقول بأنّه على المشايخ الثلاث أن يودّعوا في جوامعهم الأصليّة كلّما عثرت عليه أيديهم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الصدوق رحمه الله و قد أشرنا إلى سيرته؛ و هذا الطوسيّ رحمه الله و من رواياته الّتي فصّل الكلام حولها في أماليه أو ذكرها في غيره من آثاره ما </w:t>
      </w:r>
    </w:p>
    <w:p>
      <w:pPr>
        <w:pStyle w:val="BookText"/>
        <w:rPr/>
      </w:pPr>
      <w:r>
        <w:rPr>
          <w:rFonts w:ascii="Amiri" w:hAnsi="Amiri" w:eastAsia="Amiri" w:cs="Amiri"/>
          <w:color w:val="111111"/>
          <w:sz w:val="28"/>
          <w:sz w:val="28"/>
          <w:szCs w:val="28"/>
          <w:rtl w:val="true"/>
          <w:lang w:bidi="ar-SA"/>
        </w:rPr>
        <w:t>لم يوجد في جامعه التهذيب؛ و هذا واضحٌ و لايحتاج إلى مزيد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السبب فيما فعل المحقّق آية اللّه العظمى الخوئيّ رحمه الله من الإعتماد على المكاتبة و جعْل صحّته من المفروغ عنه</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المتن و دلالته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المكاتبة على إثبات الولاية للفقيه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لايُصغى إلى مقالة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الألف و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فأمر الحجّة عليه السلام بالرجوع إلى الفقهاء يرجع إلى المورد المسؤول عنه في هذه المكاتبة، لا إلى جميع الموارد؛ فلاتدلّ على مطلق الولاية في جميع الحوادث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منّا كراراً الإشارة إلى لزوم وجود الوالي و الحاكم في جميع الجوامع؛ و الحوادث الواقعة اليوم و كلّما نبعد عن زمن النبيّ صلى الله عليه و آله تزيد على ما كانت في عهده صلى الله عليه و آله و في ما يقرب منه من الزمن، بل لايقاس ماتوجد اليوم من تلك الحوادث بما كانت تحدث في تلك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حكم الحجّة عليه السلام بوجوب الرجوع إلى الفقيه في الحوادث المتعلّقة بتلك الزمن ليحكم بالفحوى بالرجوع إليه فيما يحدث من الحوادث في زماننا هذا؛ بل و فيما مضى قبله من الأزمنة و ما يأتي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فلاوجه لاختصاص أمره عليه السلام بالرجوع إلى الفقيه بالحوادث المسؤول عنها في تلك التوقيع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لايُسمع أيضاً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رواة أحاديثنا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لاتدلّ على أنّ المراد منها هو المستنبط العدل، بل يمكن الرجوع إلى الراوي و لو لم يكن عالماً عادلاً؛ بل يمكن و لوكان عامّياً أو فاسقاً أو عامّياً فاسقاً؛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من شرائط الراوي أن يكون عدلاً إماميّاً، فلايمكن الركون إلى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الراوي لو لم يكن عالماً بما يرويه غير فاهمٍ لدقائقه و ظرائفه فما هو الفرق بينه و بين غيره من الناس؟ و بأيّ سببٍ يجب الرجوع و الركون إليه؟ و كيف يصحّح العقل هذا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البيّن كون </w:t>
      </w:r>
      <w:bookmarkStart w:id="565" w:name="pg18987_179812"/>
    </w:p>
    <w:p>
      <w:pPr>
        <w:pStyle w:val="BookText"/>
        <w:rPr/>
      </w:pPr>
      <w:bookmarkEnd w:id="565"/>
      <w:r>
        <w:rPr>
          <w:rFonts w:ascii="Amiri" w:hAnsi="Amiri" w:eastAsia="Amiri" w:cs="Amiri"/>
          <w:color w:val="111111"/>
          <w:sz w:val="28"/>
          <w:sz w:val="28"/>
          <w:szCs w:val="28"/>
          <w:rtl w:val="true"/>
          <w:lang w:bidi="ar-SA"/>
        </w:rPr>
        <w:t>المراد من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عالماً عادلاً؛ و ليس هو إلّاما نسمّيه الفقيه الجامع لشرائط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زيادةً على ذلك كلّه فانّ عموم التعليل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حجّتي عليكم و أنا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ما نحن بصدده، إذ علّل وجوب الرجوع إلى الفقيه بكونه حجّة الحجّة على الناس، فمن حاز هذه المرتبة و بلغ حدّ الولاية التشريعيّة بأن صار معدوداً في عداد الفقهاء و سلسلتهم فهو الحجّة على الناس من قِبل الحجّة عليه السلام؛ فله الولاية على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ترى من الممكن أن يُخدش في هذه المكاتبة و دلالتها على ثبوت الولاية للفقيه،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دلالتها عليها واضحةٌ جدّاً و لاتحتاج إلى مزيدٍ من التوضيح</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13100046_1280447820"/>
      <w:bookmarkStart w:id="567" w:name="_Toc229"/>
      <w:bookmarkEnd w:id="566"/>
      <w:r>
        <w:rPr>
          <w:rtl w:val="true"/>
        </w:rPr>
        <w:t>الرواية الثّانية</w:t>
      </w:r>
      <w:bookmarkEnd w:id="567"/>
    </w:p>
    <w:p>
      <w:pPr>
        <w:pStyle w:val="Heading6"/>
        <w:numPr>
          <w:ilvl w:val="5"/>
          <w:numId w:val="1"/>
        </w:numPr>
        <w:rPr/>
      </w:pPr>
      <w:bookmarkStart w:id="568" w:name="__RefHeading___Toc13100048_1280447820"/>
      <w:bookmarkStart w:id="569" w:name="_Toc230"/>
      <w:bookmarkEnd w:id="568"/>
      <w:r>
        <w:rPr>
          <w:rtl w:val="true"/>
        </w:rPr>
        <w:t>اشارة</w:t>
      </w:r>
      <w:bookmarkEnd w:id="569"/>
    </w:p>
    <w:p>
      <w:pPr>
        <w:pStyle w:val="BookText"/>
        <w:rPr/>
      </w:pPr>
      <w:r>
        <w:rPr>
          <w:rFonts w:ascii="Amiri" w:hAnsi="Amiri" w:eastAsia="Amiri" w:cs="Amiri"/>
          <w:color w:val="111111"/>
          <w:sz w:val="28"/>
          <w:sz w:val="28"/>
          <w:szCs w:val="28"/>
          <w:rtl w:val="true"/>
          <w:lang w:bidi="ar-SA"/>
        </w:rPr>
        <w:t>ما رواه جمعٌ من الأعلام منهم الصدوق رحمه الله في الفقيه</w:t>
      </w:r>
      <w:r>
        <w:rPr>
          <w:rStyle w:val="FootnoteAnchor"/>
          <w:rtl w:val="true"/>
        </w:rPr>
        <w:footnoteReference w:id="276"/>
      </w:r>
      <w:r>
        <w:rPr>
          <w:rFonts w:ascii="Amiri" w:hAnsi="Amiri" w:eastAsia="Amiri" w:cs="Amiri"/>
          <w:color w:val="111111"/>
          <w:sz w:val="28"/>
          <w:sz w:val="28"/>
          <w:szCs w:val="28"/>
          <w:rtl w:val="true"/>
          <w:lang w:bidi="ar-SA"/>
        </w:rPr>
        <w:t>في عداد جازماته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ارحم خلفائي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خلفاؤك؟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بعدي يروون حديثي و سنّتي فيعلّمونها الناس من بعدي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السند فلابأس به، إذ نذهب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لكثيرٍ من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حجّيّة جازمات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الرواية كانت عنده صحيحةً ثابتة الإسناد إلى النبيّ صلى الله عليه و آله فنسبها إليه، فهذا شهادةٌ منه بصحّة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قوله بأدون و أقلّ مرتبة من كلام النجاشيّ و نظائره؛ </w:t>
      </w:r>
    </w:p>
    <w:p>
      <w:pPr>
        <w:pStyle w:val="BookText"/>
        <w:rPr/>
      </w:pPr>
      <w:r>
        <w:rPr>
          <w:rFonts w:ascii="IRNazanin" w:hAnsi="IRNazanin" w:eastAsia="IRNazanin"/>
          <w:color w:val="111111"/>
          <w:sz w:val="28"/>
          <w:sz w:val="28"/>
          <w:szCs w:val="28"/>
          <w:rtl w:val="true"/>
          <w:lang w:bidi="fa-IR"/>
        </w:rPr>
        <w:t>فلابأس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أضف إلى ذلك انّ جمعاً من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صاحبا الجواهر</w:t>
      </w:r>
      <w:r>
        <w:rPr>
          <w:rStyle w:val="FootnoteAnchor"/>
          <w:rtl w:val="true"/>
        </w:rPr>
        <w:footnoteReference w:id="277"/>
      </w:r>
      <w:r>
        <w:rPr>
          <w:rFonts w:ascii="IRNazanin" w:hAnsi="IRNazanin" w:eastAsia="IRNazanin"/>
          <w:color w:val="111111"/>
          <w:sz w:val="28"/>
          <w:sz w:val="28"/>
          <w:szCs w:val="28"/>
          <w:rtl w:val="true"/>
          <w:lang w:bidi="fa-IR"/>
        </w:rPr>
        <w:t>و المستند</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تلقّوها بالقبول و رووها و حكموا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أعلى من جميع ذلك و أرفع ما ذهب إليه السيّد الأستاذ الإمام الخمينيّ رحمه الله حيث عدّها من المتواترات، فانّه حكى في كتاب البيع مذيّلاً عليها انّها وردت في ما يقرب من مأتي موردٍ</w:t>
      </w:r>
      <w:r>
        <w:rPr>
          <w:rStyle w:val="FootnoteAnchor"/>
          <w:rtl w:val="true"/>
        </w:rPr>
        <w:footnoteReference w:id="279"/>
      </w:r>
      <w:r>
        <w:rPr>
          <w:rFonts w:ascii="Amiri" w:hAnsi="Amiri" w:eastAsia="Amiri" w:cs="Amiri"/>
          <w:color w:val="111111"/>
          <w:sz w:val="28"/>
          <w:sz w:val="28"/>
          <w:szCs w:val="28"/>
          <w:rtl w:val="true"/>
          <w:lang w:bidi="ar-SA"/>
        </w:rPr>
        <w:t>و هذا يدلّ على ثبوت التواتر اللفظيّ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فلامجال للترديد في صحّة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دلالتها على ما نحن بصدده، فتتمّ بالنظر إلى صدرها، و هو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ارحم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على ما هو عليه المستخلَف منه، فللخفاء ما للرسول في الولاية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الأحكام و منصب القضاء و مرتبة السلطة على 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لاريب في أنّ المتيقّن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لاأشبه منه بالمستخلَف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المجتهد الجامع لشرائط الفتيا، لأنّه صلى الله عليه و آله فسّر الخليفة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يروون عنّي أحاديثي و سنّتي فيعلّمونها الناس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الراوي للأحاديث و السنّة الواعي لهما الّذي يعلّمهما الناس ليس إلّاالفقيه الجامع، فهو المتيقّن من مصاديق الخلافة، فهو خليفة الرسول صلى الله عليه و آله في جميع ما له من أنحاء الولاية التشريعيّة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تقرير تقريب الاستدلال بهذه الرواية على إثبات الولاية للفقيه</w:t>
      </w:r>
      <w:r>
        <w:rPr>
          <w:rFonts w:eastAsia="Amiri" w:cs="Amiri" w:ascii="Amiri" w:hAnsi="Amiri"/>
          <w:color w:val="111111"/>
          <w:sz w:val="28"/>
          <w:szCs w:val="28"/>
          <w:rtl w:val="true"/>
          <w:lang w:bidi="ar-SA"/>
        </w:rPr>
        <w:t xml:space="preserve">. </w:t>
      </w:r>
      <w:bookmarkStart w:id="570" w:name="pg18987_179814"/>
    </w:p>
    <w:p>
      <w:pPr>
        <w:pStyle w:val="BookText"/>
        <w:rPr/>
      </w:pPr>
      <w:bookmarkEnd w:id="570"/>
      <w:r>
        <w:rPr>
          <w:rFonts w:ascii="Amiri" w:hAnsi="Amiri" w:eastAsia="Amiri" w:cs="Amiri"/>
          <w:color w:val="111111"/>
          <w:sz w:val="28"/>
          <w:sz w:val="28"/>
          <w:szCs w:val="28"/>
          <w:rtl w:val="true"/>
          <w:lang w:bidi="ar-SA"/>
        </w:rPr>
        <w:t>ثمّ هيهنا ثلاثة إشكالاتٍ وردت على استدلالنا هذا، و المحصّل منها عدم دلالتها على المطلوب منها؛ و هي</w:t>
      </w:r>
      <w:r>
        <w:rPr>
          <w:rFonts w:eastAsia="Amiri" w:cs="Amiri" w:ascii="Amiri" w:hAnsi="Amiri"/>
          <w:color w:val="111111"/>
          <w:sz w:val="28"/>
          <w:szCs w:val="28"/>
          <w:rtl w:val="true"/>
          <w:lang w:bidi="ar-SA"/>
        </w:rPr>
        <w:t>:</w:t>
      </w:r>
    </w:p>
    <w:p>
      <w:pPr>
        <w:pStyle w:val="Heading6"/>
        <w:numPr>
          <w:ilvl w:val="5"/>
          <w:numId w:val="1"/>
        </w:numPr>
        <w:rPr/>
      </w:pPr>
      <w:bookmarkStart w:id="571" w:name="__RefHeading___Toc13100050_1280447820"/>
      <w:bookmarkStart w:id="572" w:name="_Toc231"/>
      <w:bookmarkEnd w:id="571"/>
      <w:r>
        <w:rPr>
          <w:rtl w:val="true"/>
        </w:rPr>
        <w:t>الإشكال الأوّل</w:t>
      </w:r>
      <w:r>
        <w:rPr>
          <w:rtl w:val="true"/>
        </w:rPr>
        <w:t>:</w:t>
      </w:r>
      <w:bookmarkEnd w:id="572"/>
    </w:p>
    <w:p>
      <w:pPr>
        <w:pStyle w:val="BookText"/>
        <w:rPr/>
      </w:pP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ليس مطلق من روى الحديث و السنّة و علّمهما الناس، بل المراد منها ينحصر في أئمّتنا الإثنى عشر، إذ ورد في كثيرٍ من مرويّات الخاصّة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عليهم السلام</w:t>
      </w:r>
      <w:r>
        <w:rPr>
          <w:rStyle w:val="FootnoteAnchor"/>
          <w:rtl w:val="true"/>
        </w:rPr>
        <w:footnoteReference w:id="281"/>
      </w:r>
      <w:r>
        <w:rPr>
          <w:rFonts w:ascii="Amiri" w:hAnsi="Amiri" w:eastAsia="Amiri" w:cs="Amiri"/>
          <w:color w:val="111111"/>
          <w:sz w:val="28"/>
          <w:sz w:val="28"/>
          <w:szCs w:val="28"/>
          <w:rtl w:val="true"/>
          <w:lang w:bidi="ar-SA"/>
        </w:rPr>
        <w:t>، فهم الخلفاء لا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ثبت أنّ المراد بالخلفاء هم الأئمّة عليهم السلام فيُفهم 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نفسهم عليهم السلام، فهم الخلفاء العلماء لا غيرهم، فلايجوز الاستدلال بالرواية على ثبوت مناصب النبيّ صلى الله عليه و آله لغيرهم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كالفقيه العدل المدبّر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فلادلالة لها على ثبوتها له؛</w:t>
      </w:r>
    </w:p>
    <w:p>
      <w:pPr>
        <w:pStyle w:val="Heading6"/>
        <w:numPr>
          <w:ilvl w:val="5"/>
          <w:numId w:val="1"/>
        </w:numPr>
        <w:rPr/>
      </w:pPr>
      <w:bookmarkStart w:id="573" w:name="__RefHeading___Toc13100052_1280447820"/>
      <w:bookmarkStart w:id="574" w:name="_Toc232"/>
      <w:bookmarkEnd w:id="573"/>
      <w:r>
        <w:rPr>
          <w:rtl w:val="true"/>
        </w:rPr>
        <w:t>و الجواب</w:t>
      </w:r>
      <w:r>
        <w:rPr>
          <w:rtl w:val="true"/>
        </w:rPr>
        <w:t>:</w:t>
      </w:r>
      <w:bookmarkEnd w:id="574"/>
    </w:p>
    <w:p>
      <w:pPr>
        <w:pStyle w:val="BookText"/>
        <w:rPr/>
      </w:pPr>
      <w:r>
        <w:rPr>
          <w:rFonts w:ascii="Amiri" w:hAnsi="Amiri" w:eastAsia="Amiri" w:cs="Amiri"/>
          <w:color w:val="111111"/>
          <w:sz w:val="28"/>
          <w:sz w:val="28"/>
          <w:szCs w:val="28"/>
          <w:rtl w:val="true"/>
          <w:lang w:bidi="ar-SA"/>
        </w:rPr>
        <w:t xml:space="preserve">إنّ الفحص التامّ البالغ يدلّ على أنّ 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المحقّق الكمبانيّ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المكاسب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يشبههما لم تطلق على أهل البيت عليهم السلام قطّ، فهذه مجموعة أحاديث النبيّ في أهل بيته و خلفائه بالاستحقاق عليهم السلام؛ و هذه مجموعة أدعيتنا و مأثوراتنا عنهم عليهم السلام و لم نجد فيها و لامورداً واحداً قد أُطلقت اللفظة عليهم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يأتون من بعدي و يروون أحاديثي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أئمّتنا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العبارة هو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المراد من الخلفاء في هذه الرواية خصوص أهل البيت عليهم السلام</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13100054_1280447820"/>
      <w:bookmarkStart w:id="576" w:name="_Toc233"/>
      <w:bookmarkEnd w:id="575"/>
      <w:r>
        <w:rPr>
          <w:rtl w:val="true"/>
        </w:rPr>
        <w:t>الإشكال الثّاني</w:t>
      </w:r>
      <w:r>
        <w:rPr>
          <w:rtl w:val="true"/>
        </w:rPr>
        <w:t>:</w:t>
      </w:r>
      <w:bookmarkEnd w:id="57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الفقهاء، و لكن لاإطلاق في </w:t>
      </w:r>
      <w:bookmarkStart w:id="577" w:name="pg18987_179815"/>
    </w:p>
    <w:p>
      <w:pPr>
        <w:pStyle w:val="BookText"/>
        <w:rPr/>
      </w:pPr>
      <w:bookmarkEnd w:id="577"/>
      <w:r>
        <w:rPr>
          <w:rFonts w:ascii="Amiri" w:hAnsi="Amiri" w:eastAsia="Amiri" w:cs="Amiri"/>
          <w:color w:val="111111"/>
          <w:sz w:val="28"/>
          <w:sz w:val="28"/>
          <w:szCs w:val="28"/>
          <w:rtl w:val="true"/>
          <w:lang w:bidi="ar-SA"/>
        </w:rPr>
        <w:t>خلافتهم و سعتها، فلايشمل الخلافة في الرئاسة على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ما يظهر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يأتون من بعدي و يروون عنّي أحاديثي و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العبارة قيدٌ يقيّد سعة الخلافة، فهم خلفاؤه في رواية سنّته و تبيينه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الولاية التشريعيّة في تبيين الأحكام خلافةً عنه صلى الله عليه و آله، لا على نحوٍ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فلاتشمل سعة خلافتهم الخلافة في الحكم و الدولة</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13100056_1280447820"/>
      <w:bookmarkStart w:id="579" w:name="_Toc234"/>
      <w:bookmarkEnd w:id="578"/>
      <w:r>
        <w:rPr>
          <w:rtl w:val="true"/>
        </w:rPr>
        <w:t>و الجواب عنه</w:t>
      </w:r>
      <w:bookmarkEnd w:id="579"/>
    </w:p>
    <w:p>
      <w:pPr>
        <w:pStyle w:val="BookText"/>
        <w:rPr/>
      </w:pPr>
      <w:r>
        <w:rPr>
          <w:rFonts w:ascii="Amiri" w:hAnsi="Amiri" w:eastAsia="Amiri" w:cs="Amiri"/>
          <w:color w:val="111111"/>
          <w:sz w:val="28"/>
          <w:sz w:val="28"/>
          <w:szCs w:val="28"/>
          <w:rtl w:val="true"/>
          <w:lang w:bidi="ar-SA"/>
        </w:rPr>
        <w:t>يظهر بالتأمّل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سأله السائل أن يعرّف له خلفائه،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خلفاؤك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طلب التعريف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العبارة المتمّمة للرواية قيداً تقيّد الخلافة، بل هي صدرت لأن يعرّف الناس خلفائه، فلاتقييد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دقيقةٌ أصوليّةٌ قد فصّلنا الكلام حولها في أصول الفقه، و هي ما ذهب إليه المحقّق الخراسانيّ صاحب الكفاية رحمه الله</w:t>
      </w:r>
      <w:r>
        <w:rPr>
          <w:rStyle w:val="FootnoteAnchor"/>
          <w:rtl w:val="true"/>
        </w:rPr>
        <w:footnoteReference w:id="284"/>
      </w:r>
      <w:r>
        <w:rPr>
          <w:rFonts w:ascii="Amiri" w:hAnsi="Amiri" w:eastAsia="Amiri" w:cs="Amiri"/>
          <w:color w:val="111111"/>
          <w:sz w:val="28"/>
          <w:sz w:val="28"/>
          <w:szCs w:val="28"/>
          <w:rtl w:val="true"/>
          <w:lang w:bidi="ar-SA"/>
        </w:rPr>
        <w:t>من أنّه لوشكّ في كون شيءٍ مقيّداً من غير أن يكون القيد مذكوراً في الكلام فلنا أن ننفىٰ احتمال وجود القيد بأصالة عدم القيد و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لوشكّ في قيديّة الموجود فلاطاقة لهذا الأصل على نفي قيديّته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أوضحنا في محلّه انّ قوله هذا رحمه الله لايستقيم في رأينا و لانقبله و لانخضع له، حيث إنّ هذا الأصل له أن ينفى احتمال كون قرينةٍ غير موجودةٍ في الكلام كما له أن ينفى قرينيّة الموجود؛ و لاتسع هذا المختصر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ممشانا لوشكّ في كون العبارة قيداً مخصّصاً لسعة الخلافة فلنا أن نجحد قيديّتها بالأصل</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13100058_1280447820"/>
      <w:bookmarkStart w:id="581" w:name="_Toc235"/>
      <w:bookmarkEnd w:id="580"/>
      <w:r>
        <w:rPr>
          <w:rtl w:val="true"/>
        </w:rPr>
        <w:t>الإشكال الثّالث</w:t>
      </w:r>
      <w:bookmarkEnd w:id="5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ما أورده السيّد العلّامة آية اللّه العظمى الميلانيّ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هو و إن كان من القائلين بثبوت الولاية المطلقة للفقيه و لكنّه استشكل في الاستدلال بهذا الحديث</w:t>
      </w:r>
      <w:bookmarkStart w:id="582" w:name="pg18987_179816"/>
    </w:p>
    <w:p>
      <w:pPr>
        <w:pStyle w:val="BookText"/>
        <w:rPr/>
      </w:pPr>
      <w:bookmarkEnd w:id="582"/>
      <w:r>
        <w:rPr>
          <w:rFonts w:ascii="Amiri" w:hAnsi="Amiri" w:eastAsia="Amiri" w:cs="Amiri"/>
          <w:color w:val="111111"/>
          <w:sz w:val="28"/>
          <w:sz w:val="28"/>
          <w:szCs w:val="28"/>
          <w:rtl w:val="true"/>
          <w:lang w:bidi="ar-SA"/>
        </w:rPr>
        <w:t>على ثبوتها 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لايفرض أن يكون خليفةً في عرض خليفةٍ أخرى،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 خليفتين على مسند الخلافة بحيث يكون بعضهما في عرض الآخر أمرٌ لايقبله العقل؛ و الفقهاء في كلّ عصرٍ كثيرون بحيث لايمكن ضبطهم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لانتشارهم في البلاد و الأمصار المتعدّدة و النواحي الشتيتة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بل المراد منهم أئمّتنا الطاهرين عليهم السلام</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13100060_1280447820"/>
      <w:bookmarkStart w:id="584" w:name="_Toc236"/>
      <w:bookmarkEnd w:id="583"/>
      <w:r>
        <w:rPr>
          <w:rtl w:val="true"/>
        </w:rPr>
        <w:t>و الجواب</w:t>
      </w:r>
      <w:r>
        <w:rPr>
          <w:rtl w:val="true"/>
        </w:rPr>
        <w:t>:</w:t>
      </w:r>
      <w:bookmarkEnd w:id="584"/>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لايُعقل أن تكون خليفتان في عرضٍ واحدٍ، و لكن لاإشكال في اتّصاف عدّةٍ بوصف الخلافة كلّ واحدٍ في طول الآخر، إذ القيام باقتناء مسند الرئاسة لايمكن في كلّ عصرٍ إلّالفقيهٍ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الولاية التشريعيّة بمعنى الزعامة و الرئاسة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اتّصاف عدّةٍ بوصف الخلافة بمعنى كونهم مصاديق الخلافة التشريعيّة بمعنى تبيين الأحكام فلامحذور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لايُفرض أن يقوم رجلان في عصرٍ واحدٍ في مسند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منه؟</w:t>
      </w:r>
    </w:p>
    <w:p>
      <w:pPr>
        <w:pStyle w:val="BookText"/>
        <w:rPr/>
      </w:pPr>
      <w:r>
        <w:rPr>
          <w:rFonts w:ascii="Amiri" w:hAnsi="Amiri" w:eastAsia="Amiri" w:cs="Amiri"/>
          <w:color w:val="111111"/>
          <w:sz w:val="28"/>
          <w:sz w:val="28"/>
          <w:szCs w:val="28"/>
          <w:rtl w:val="true"/>
          <w:lang w:bidi="ar-SA"/>
        </w:rPr>
        <w:t>هل المراد عدم الفرض في جعلهما؟</w:t>
      </w:r>
    </w:p>
    <w:p>
      <w:pPr>
        <w:pStyle w:val="BookText"/>
        <w:rPr/>
      </w:pPr>
      <w:r>
        <w:rPr>
          <w:rFonts w:ascii="Amiri" w:hAnsi="Amiri" w:eastAsia="Amiri" w:cs="Amiri"/>
          <w:color w:val="111111"/>
          <w:sz w:val="28"/>
          <w:sz w:val="28"/>
          <w:szCs w:val="28"/>
          <w:rtl w:val="true"/>
          <w:lang w:bidi="ar-SA"/>
        </w:rPr>
        <w:t>أم في قيامهما بوظائف الخلافة؟</w:t>
      </w:r>
    </w:p>
    <w:p>
      <w:pPr>
        <w:pStyle w:val="BookText"/>
        <w:rPr/>
      </w:pPr>
      <w:r>
        <w:rPr>
          <w:rFonts w:ascii="Amiri" w:hAnsi="Amiri" w:eastAsia="Amiri" w:cs="Amiri"/>
          <w:color w:val="111111"/>
          <w:sz w:val="28"/>
          <w:sz w:val="28"/>
          <w:szCs w:val="28"/>
          <w:rtl w:val="true"/>
          <w:lang w:bidi="ar-SA"/>
        </w:rPr>
        <w:t>أمّا الثّاني فهو حقٌّ، إذ ليست الولاية و الحكومة في كلّ عصرٍ إلّامتحقّقةً في فقيهٍ واحدٍ حيث لم يُفرض وجود حكومتين و دولتين مستقلّتين يكون كلٌّ منهما في عرض الآخر؛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فلا، إذ جعْل عدّةٍ من الصالحين لاقتناء مسند الخلافة في عصرٍ واحدٍ لامحذور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نشاهد من سيرة أميرالمؤمنين عليه السلام و ابنيه الحسن عليه السلام و الحسين عليه السلام حيث كان كلّ واحدٍ منهم خليفة الرسول في تبيين الأحكام، و أمّا في رئاسة المجتمع فما تولّوا الخلافة إلّاواحداً بعد واحدٍ؛ فنرى انّ سيّدالشهداء عليه السلام كان تابعاً لأخيه عليه السلام تبعيّةً تامّةً حتّى استشهد المجتبى عليه السلام فصار أميراً على الناس رئيساً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فلامحذور في جعْل خلفاءَ كلّ واحدٍ في طول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تمام المحذور في قيام كلّ واحدٍ منهم بالاستقرار على عرش السلطة </w:t>
      </w:r>
      <w:bookmarkStart w:id="585" w:name="pg18987_179817"/>
    </w:p>
    <w:p>
      <w:pPr>
        <w:pStyle w:val="BookText"/>
        <w:rPr/>
      </w:pPr>
      <w:bookmarkEnd w:id="585"/>
      <w:r>
        <w:rPr>
          <w:rFonts w:ascii="Amiri" w:hAnsi="Amiri" w:eastAsia="Amiri" w:cs="Amiri"/>
          <w:color w:val="111111"/>
          <w:sz w:val="28"/>
          <w:sz w:val="28"/>
          <w:szCs w:val="28"/>
          <w:rtl w:val="true"/>
          <w:lang w:bidi="ar-SA"/>
        </w:rPr>
        <w:t>في عرضٍ واحدٍ؛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تماميّة الاستدلال بهذا الحديث الشريف على ثبوت الولاية للفقيه</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13100062_1280447820"/>
      <w:bookmarkStart w:id="587" w:name="_Toc237"/>
      <w:bookmarkEnd w:id="586"/>
      <w:r>
        <w:rPr>
          <w:rtl w:val="true"/>
        </w:rPr>
        <w:t>الرواية الثّالثة</w:t>
      </w:r>
      <w:bookmarkEnd w:id="587"/>
    </w:p>
    <w:p>
      <w:pPr>
        <w:pStyle w:val="Heading6"/>
        <w:numPr>
          <w:ilvl w:val="5"/>
          <w:numId w:val="1"/>
        </w:numPr>
        <w:rPr/>
      </w:pPr>
      <w:bookmarkStart w:id="588" w:name="__RefHeading___Toc13100064_1280447820"/>
      <w:bookmarkStart w:id="589" w:name="_Toc238"/>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و هي ما رواه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محمّد بن الحسين عن محمّد بن عيسى عن صفوان بن يحيى عن داود بن الحصين عن عمر بن حنظلة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أباعبداللّه عليه السلام عن رجلين من أصحابنا بينهما منازعةٌ في دينٍ أو ميراثٍ، فتحاكما إلى السلطان أو إلى القضاة، أ يحلّ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فإنّما تحاكم إلى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يُحكم له فإنّما يأخذ سحتاً و إن كان حقّاً ثابتاً له، لأنّه أخذه بحكم الطاغوت و ما أمر اللّه أن يُكفر به؛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 قَدْ أُمِرُوا أَنْ يَكفُرُوا بِهِ</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مَن كان منكم قد روى حديثنا و نظر في حلالنا و حرامنا و عرف أحكامنا فليرضوا به حكماً، فإنّي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حكم بحكمنا فلم يُقبل منه فإنّما استخفّ بحكم اللّه و علينا ردّ، و الرادّ علينا الرادّ على اللّه، و هو على حدّ الشرك باللّه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السند فعندنا صحيحٌ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رهطٌ فيه بأنّ عمر بن حنظلة مجهولٌ لم يذكر في مصادر الرجالييّن، فلايمكن الركون إلى مرويّاته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انّ غفلة أهل الجرح و التعديل عن ذكره لايضرّ بحاله، إذ يوجد كثيرٌ من القرائن الّتي يستفاد منها جواز الركون إليه و الاعتماد على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الصادق عليه السلام إيّاه، فانّه ليس أدنى مرتبةً من توثيق الشيخ و النجاشيّ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يزيد بن خليفة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بن حنظلة أتانا عنك بوقتٍ؟ فقال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لايُكذّب علينا</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صريحٌ في إمضائه عليه السلام مرويّاته؛</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صفوان بن يحيى في السند يدلّ على صحّته، إذ صفوان من أصحاب الإجماع؛ بل هو و ابن أبي عمير و البزنطيّ رهطٌ لم يُحك عن أحدٍ من المتقدّمين الخلاف في تصحيحهم و تصحيح جميع ما وقعوا في سنده</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نصّ على ذلك شيخ المشايخ الطوسيّ رحمه الله في العُدّة</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مصحّحةٌ بصفوان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كثيرٍ من المشايخ الأجلّاء عليه و على رواياته، فانّ الرواة عنه كثيرون منهم ما يقرب من سبعين رجلاً كلّهم من أجلّاء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كزرارة و ابن فضّال و ابن بكيرٍ و ابن رحام و ابن حازم و هشام بن سالم و أمثالهم</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الاعتماد ينبىء عن كونه معروفاً بين القدماء بالفضل و الفضيلة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المحمّدين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الكتب الأربعة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فإنّهم قد أودعوا في مجاميعهم من رواياته ما يقرب من سبعين روايةً‌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الحديث بين فقهائنا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تلقّوه بالقبول</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التسمية هذه تنادي بأنّ الحديث لم يكن عندهم مخدوشاً أو مشكوكاً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اعتماد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لاسيّما المتقدّمين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 تدلّ على تصحيحها و جواز الركون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المتأخّرين إيّاه، و هذا و إن كان تصحيحاً عن حدسٍ و اجتهادٍ لا عن حسٍّ و عيانٍ و لكن ينبغي أن يُذكر، و لاأقلّ من كونه قرينةً على صحّة حاله و إن لم يكن دليلاً مستقلّاً عليها؛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الشهيدَين في الدراية</w:t>
      </w:r>
      <w:r>
        <w:rPr>
          <w:rStyle w:val="FootnoteAnchor"/>
          <w:rtl w:val="true"/>
        </w:rPr>
        <w:footnoteReference w:id="293"/>
      </w:r>
      <w:r>
        <w:rPr>
          <w:rFonts w:ascii="Amiri" w:hAnsi="Amiri" w:eastAsia="Amiri" w:cs="Amiri"/>
          <w:color w:val="111111"/>
          <w:sz w:val="28"/>
          <w:sz w:val="28"/>
          <w:szCs w:val="28"/>
          <w:rtl w:val="true"/>
          <w:lang w:bidi="ar-SA"/>
        </w:rPr>
        <w:t>، و العلّامة المجلسيّ في الوجيزة</w:t>
      </w:r>
      <w:r>
        <w:rPr>
          <w:rStyle w:val="FootnoteAnchor"/>
          <w:rtl w:val="true"/>
        </w:rPr>
        <w:footnoteReference w:id="294"/>
      </w:r>
      <w:r>
        <w:rPr>
          <w:rFonts w:ascii="Amiri" w:hAnsi="Amiri" w:eastAsia="Amiri" w:cs="Amiri"/>
          <w:color w:val="111111"/>
          <w:sz w:val="28"/>
          <w:sz w:val="28"/>
          <w:szCs w:val="28"/>
          <w:rtl w:val="true"/>
          <w:lang w:bidi="ar-SA"/>
        </w:rPr>
        <w:t>، و المامقانيّ في تنقيح المقال</w:t>
      </w:r>
      <w:r>
        <w:rPr>
          <w:rStyle w:val="FootnoteAnchor"/>
          <w:rtl w:val="true"/>
        </w:rPr>
        <w:footnoteReference w:id="295"/>
      </w:r>
      <w:r>
        <w:rPr>
          <w:rFonts w:ascii="Amiri" w:hAnsi="Amiri" w:eastAsia="Amiri" w:cs="Amiri"/>
          <w:color w:val="111111"/>
          <w:sz w:val="28"/>
          <w:sz w:val="28"/>
          <w:szCs w:val="28"/>
          <w:rtl w:val="true"/>
          <w:lang w:bidi="ar-SA"/>
        </w:rPr>
        <w:t>، و الأردبيليّ في جامع الرواة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فتلخّص ممّا قلنا جميعاً انّ السند لابأس به، و لاسيّما لوانضمّ بعض هذه القرائن الستّ إلى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فالمحصّل منه جواز الأخذ برواياته و القول بتصحيحها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فعله المحقّق العلّامة السيّد الخوئي رحمه الله حيث ذهب في معجمه</w:t>
      </w:r>
      <w:r>
        <w:rPr>
          <w:rStyle w:val="FootnoteAnchor"/>
          <w:rtl w:val="true"/>
        </w:rPr>
        <w:footnoteReference w:id="297"/>
      </w:r>
      <w:r>
        <w:rPr>
          <w:rFonts w:ascii="Amiri" w:hAnsi="Amiri" w:eastAsia="Amiri" w:cs="Amiri"/>
          <w:color w:val="111111"/>
          <w:sz w:val="28"/>
          <w:sz w:val="28"/>
          <w:szCs w:val="28"/>
          <w:rtl w:val="true"/>
          <w:lang w:bidi="ar-SA"/>
        </w:rPr>
        <w:t xml:space="preserve">إلى كونه </w:t>
      </w:r>
    </w:p>
    <w:p>
      <w:pPr>
        <w:pStyle w:val="BookText"/>
        <w:rPr/>
      </w:pPr>
      <w:r>
        <w:rPr>
          <w:rFonts w:ascii="Amiri" w:hAnsi="Amiri" w:eastAsia="Amiri" w:cs="Amiri"/>
          <w:color w:val="111111"/>
          <w:sz w:val="28"/>
          <w:sz w:val="28"/>
          <w:szCs w:val="28"/>
          <w:rtl w:val="true"/>
          <w:lang w:bidi="ar-SA"/>
        </w:rPr>
        <w:t>مجهولاً لم يوثّق، فلم يُعتمد على رواياته؛ بينما تلقّى المقبولة في كتاب القضاء و الشهادات</w:t>
      </w:r>
      <w:r>
        <w:rPr>
          <w:rStyle w:val="FootnoteAnchor"/>
          <w:rtl w:val="true"/>
        </w:rPr>
        <w:footnoteReference w:id="298"/>
      </w:r>
      <w:r>
        <w:rPr>
          <w:rFonts w:ascii="Amiri" w:hAnsi="Amiri" w:eastAsia="Amiri" w:cs="Amiri"/>
          <w:color w:val="111111"/>
          <w:sz w:val="28"/>
          <w:sz w:val="28"/>
          <w:szCs w:val="28"/>
          <w:rtl w:val="true"/>
          <w:lang w:bidi="ar-SA"/>
        </w:rPr>
        <w:t>بالقبول و حكم بتصحيحها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رحمه الله في الحصّة الأخيرة من حياته المباركة قد حدث له رأيٌ جديدٌ، فذهب إلى ما ذهب إليه في فقهه و هجر ما مال إليه في أبحاثه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دلالة المقبولة على ثبوت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السلطة و الرئاسة على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للفقيه فلاخدشة فيها؛ بل هي أظهر من أن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نقول مراعياً للاختصار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عمر بن حنظلة سأل الصادق عليه السلام عن حكم الرجوع إلى حكّام الجور و قضاتهم فيما يحدث للشيعة من الأمور الّتي هي بأيدي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كالترافع في الديون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بأيدي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كالترافع في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عليه السلام عن سؤاله بحرمة الرجوع إليهم، بل حكم بأنّ أحكامهم باطلةٌ، و لوأخذ المحقّ حقّه بواسطة حكمهم فانّ ما أخذه سحتٌ لايحلّ له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عليه السلام بكريمةٍ تفسّر قوله،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 قَدْ أُمِرُوا أَنْ يَكفُرُوا بِهِ</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و هي ظاهرةٌ أشدّ الظهور في حرمة الرجوع إلى الطواغيت و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من المرتكَز في بال ابن حنظلة انّ الشيعة بما لهم من الحياة الجماعيّة محتاجون إلى الولاية و الحكومة و الوالي و الحاكم 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يصنعان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لايحلّ لهم الرجوع إلى الطواغيت؟ فأجاب عليه السلام بوجود والٍ بينهم قد أمضى الشرع ولايته،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من كان منكم ممّن قد روى حديثنا و نظر في حلالنا و حرامنا و عرف 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عليه السلام إلى شرطين رئيسيّين من شرائط من يتصدّى لهذا المنصب، و هما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كونه من الإماميّة؛ </w:t>
      </w:r>
      <w:bookmarkStart w:id="590" w:name="pg18987_179821"/>
    </w:p>
    <w:p>
      <w:pPr>
        <w:pStyle w:val="BookText"/>
        <w:rPr/>
      </w:pPr>
      <w:bookmarkEnd w:id="590"/>
      <w:r>
        <w:rPr>
          <w:rFonts w:ascii="Amiri" w:hAnsi="Amiri" w:eastAsia="Amiri" w:cs="Amiri"/>
          <w:color w:val="111111"/>
          <w:sz w:val="28"/>
          <w:sz w:val="28"/>
          <w:szCs w:val="28"/>
          <w:rtl w:val="true"/>
          <w:lang w:bidi="ar-SA"/>
        </w:rPr>
        <w:t>و كونه فقيهاً عارفاً بالأحكام و مستنداتها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عليه السلام إلى ما للشيعة من الوظيفة قباله،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فليرضوا به حكماً فإنّي قد جعلته عليكم حاكماً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فحكم الفقيه و حكومته نشأ من حكم الصادق و حكومته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إلى هذه النكتة الرفيعة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حكم بحكمنا فلم يُقبل منه فإنّما استخفّ بحكم اللّه و علينا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ولايته منشأةٌ من ولايتهم عليهم السلام، بل هي استمرارها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استخفّ بها و لم يقبلها فكأنّه لم يقبل ولايتهم عليهم السلام و ردّ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الرادّ علينا الرادّ على اللّه، و هو على حدّ الشرك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ردّ ولايته فمآل أمره إلى الشرك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ظهور المقبولة فيما نحن بصدده</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للمحقّق العلّامة آية اللّه الشيخ مرتضى الحائريّ رحمه الله أيضاً في هذا التقريب نظرٌ؛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علينا أن نشير إلى نكتتين هامّتين</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13100066_1280447820"/>
      <w:bookmarkStart w:id="592" w:name="_Toc239"/>
      <w:bookmarkEnd w:id="591"/>
      <w:r>
        <w:rPr>
          <w:rtl w:val="true"/>
        </w:rPr>
        <w:t>النكتة الأولى</w:t>
      </w:r>
      <w:r>
        <w:rPr>
          <w:rtl w:val="true"/>
        </w:rPr>
        <w:t>:</w:t>
      </w:r>
      <w:bookmarkEnd w:id="59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عليه السلام في هذا الحديث إلى وجوب كون الوالي إماميّاً عالماً بالأحكام، أمّا كونه عادلاً فكأنّه عليه السلام أرسله إرسال المسلّمات حيث كان من المرتكَز عنده و عند ابن حنظلة انّ غير العادل لايصلح للاستقرار على عرش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بيان المرجّحات بين رجلين حازا شرائط اقتناء هذا المنصب أشار إلى أنّ الأعدليّة تُعدّ من مرجّحات أحدهما على الآخر؛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و هذا يدلّ على أنّ العدالة هي من شرائط الفقيه الحاكم</w:t>
      </w:r>
      <w:r>
        <w:rPr>
          <w:rFonts w:eastAsia="Amiri" w:cs="Amiri" w:ascii="Amiri" w:hAnsi="Amiri"/>
          <w:color w:val="111111"/>
          <w:sz w:val="28"/>
          <w:szCs w:val="28"/>
          <w:rtl w:val="true"/>
          <w:lang w:bidi="ar-SA"/>
        </w:rPr>
        <w:t xml:space="preserve">. </w:t>
      </w:r>
      <w:bookmarkStart w:id="593" w:name="pg18987_179822"/>
    </w:p>
    <w:p>
      <w:pPr>
        <w:pStyle w:val="Heading6"/>
        <w:numPr>
          <w:ilvl w:val="5"/>
          <w:numId w:val="1"/>
        </w:numPr>
        <w:rPr/>
      </w:pPr>
      <w:bookmarkStart w:id="594" w:name="__RefHeading___Toc13100068_1280447820"/>
      <w:bookmarkStart w:id="595" w:name="_Toc240"/>
      <w:bookmarkEnd w:id="593"/>
      <w:bookmarkEnd w:id="594"/>
      <w:r>
        <w:rPr>
          <w:rtl w:val="true"/>
        </w:rPr>
        <w:t>النكتة الثّانية</w:t>
      </w:r>
      <w:r>
        <w:rPr>
          <w:rtl w:val="true"/>
        </w:rPr>
        <w:t>:</w:t>
      </w:r>
      <w:bookmarkEnd w:id="595"/>
    </w:p>
    <w:p>
      <w:pPr>
        <w:pStyle w:val="BookText"/>
        <w:rPr/>
      </w:pPr>
      <w:r>
        <w:rPr>
          <w:rFonts w:ascii="Amiri" w:hAnsi="Amiri" w:eastAsia="Amiri" w:cs="Amiri"/>
          <w:color w:val="111111"/>
          <w:sz w:val="28"/>
          <w:sz w:val="28"/>
          <w:szCs w:val="28"/>
          <w:rtl w:val="true"/>
          <w:lang w:bidi="ar-SA"/>
        </w:rPr>
        <w:t>استشكل بعضهم في دلالة الحديث على ثبوت الولاية للفقيه بأنّ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جعلته عليكم قاضياً، فمراد الإمام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للقاضي الولاية في القضاء، لا الولاية في رئاسة المجتمع، فلاتدلّ على ثبوتها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الشيخ الأعظم رحمه الله عن هذا الإشكال بما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لصرف ظهور اللفظة عن معناه الوضعيّ إلى معنى آخر، بل لاجواز لهذا الصرف، فإنّه عليه السلام لوأراد أن يتلفّظ بلفظة القاضي لكان يتلفّظ به، و ماكان شيءٌ رادعاً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فاتيانه عليه السلام بهذه الكلمة يدلّ على أنّها حجّةٌ في معناها الوضعيّ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منها الولاية في الحكم لا في القضاء فقط</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لنا عن هذا الإشكال جوابٌ آخر، و الظاهر انّها أدقّ ممّا مضت الإشارة إليه من قول الشيخ الأعظم رحمه الله؛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السائل سأل عن الرجوع إلى الحاكم و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القوّة المجريّة و القوّة القضائيّة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قاضياً ليصير الجواب أخصّ من السؤال حيث لم يشر الإمام في جوابه حينئذٍ إلى ما يرجع إلى القوّة المجريّة، فيكون جوابه ناقصاً لم يف بمراد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قبيحٌ عن المعصوم، بل سيرتهم عليهم السلام تشهد بأنّ أجوبتهم عن المسائل أجوبةٌ شاملة الأطراف جامعةٌ لجميع ما للسؤال فيه 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حمل الحاكم على ما هو الظاهر منه لئلّا يكون الجواب منافياً لشأن الإمام في الإجابة عمّا سُئل منه</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13100070_1280447820"/>
      <w:bookmarkStart w:id="597" w:name="_Toc241"/>
      <w:bookmarkEnd w:id="596"/>
      <w:r>
        <w:rPr>
          <w:rtl w:val="true"/>
        </w:rPr>
        <w:t>الرواية الرّابعة</w:t>
      </w:r>
      <w:bookmarkEnd w:id="59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مشهورة أبي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عليّ بن محبوب عن أحمد بن محمّد عن الحسين بن سعيد عن أبي الجهم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أبوعبداللّه عليه السلام إلى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إذا وقعت بينكم خصومةٌ أو تدارى في شيءٍ من الأخذ و العطاء أن تتحاكموا إلى أحدٍ من هؤلاء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اجعلوا بينكم رجلاً ممّن قد عرف حلالنا و حرامنا فإنّي قد جعلته عليكم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أن يخاصم بعضكم بعضاً إلى السلطان الجائر</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فلابأس به، فرجاله صحاحٌ باتفاق الرجالييّن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محمّد بن عليّ بن محبوب و أحمد بن محمّد بن عيسى</w:t>
      </w:r>
      <w:r>
        <w:rPr>
          <w:rStyle w:val="FootnoteAnchor"/>
          <w:rtl w:val="true"/>
        </w:rPr>
        <w:footnoteReference w:id="304"/>
      </w:r>
      <w:r>
        <w:rPr>
          <w:rFonts w:ascii="Amiri" w:hAnsi="Amiri" w:eastAsia="Amiri" w:cs="Amiri"/>
          <w:color w:val="111111"/>
          <w:sz w:val="28"/>
          <w:sz w:val="28"/>
          <w:szCs w:val="28"/>
          <w:rtl w:val="true"/>
          <w:lang w:bidi="ar-SA"/>
        </w:rPr>
        <w:t>الَّذَين ادُّعي فيهما أنّهما لايرويان إلّاعن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اشتهار الحديث بين الفقهاء بحيث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فكثيراً مّا نراهم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مشهورة أبي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أبوخديجة في مشهورته</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و مايشبههما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فلامجال للخدشة فيه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دلالةً فللمشهورة دلالةٌ واضحةٌ على ما نحن بصدده، إذ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الخصومة أو التداري في شيءٍ من الأخذ و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إلّانموذجاً من المشاكل الحالية الجماعيّة و وقائعها المستحدثة الّتي تحدث للشيعة كغيرهم بما لهم من الحياة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فمنعهم الإمام عليه السلام عن الرجوع فيها إلى هؤلاء الفسّاق</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البيّن حاجة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والٍ يولّي أمرهم؛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لهذا المنصب الجليل الخطير من كان عارفاً بدقائق الفقه و رموزه ليتمكّن من جعل الأمور في مجاريها الّتي عيّنتها الشريعة؛ </w:t>
      </w:r>
    </w:p>
    <w:p>
      <w:pPr>
        <w:pStyle w:val="BookText"/>
        <w:rPr/>
      </w:pPr>
      <w:r>
        <w:rPr>
          <w:rFonts w:ascii="Amiri" w:hAnsi="Amiri" w:eastAsia="Amiri" w:cs="Amiri"/>
          <w:color w:val="111111"/>
          <w:sz w:val="28"/>
          <w:sz w:val="28"/>
          <w:szCs w:val="28"/>
          <w:rtl w:val="true"/>
          <w:lang w:bidi="ar-SA"/>
        </w:rPr>
        <w:t>ثمّ أعلن أنّ ولاية هذا الفقيه العارف بمباني الأحكام مجعولةٌ من قبله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قاضياً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أكّد عليه السلام كلامه بمؤكِّدٍ،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إيّاكم أن يخاصم بعضكم بعضاً إلى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هيهنا إشكالٌ قد تعرّض له بعضهم،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لايشمل الحكم و السلطة، بل الظاهر منه جعل الفقيه في منصب القضاء؛ فله أن يحكم في المرافعات و الخصومات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ثبوت الولاية بمعنى الحكم و السلطة للفقيه فلاظهور لهذا الكلام فيه؛</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المصطلح في الفقه، و هو رفع الخصومات على ما تقتضيه الأحكام المفصّلة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يحتاج إلى الشاهد و البيّنة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فصّل الكلام فيه في كتاب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المعنى شايعٌ جدّاً،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رَبُّكَ أَلَّاتَعْبُدُوا إِلَّا إِيَّاهُ</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لَامُؤْمِنَةٍ إِذَا قَضَى اللَّهُ وَ رَسُولُهُ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كم لهما من نظيرٍ في الكتاب و السنّة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قلنا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 الاستدلال به </w:t>
      </w:r>
      <w:bookmarkStart w:id="598" w:name="pg18987_179825"/>
    </w:p>
    <w:p>
      <w:pPr>
        <w:pStyle w:val="BookText"/>
        <w:rPr/>
      </w:pPr>
      <w:bookmarkEnd w:id="598"/>
      <w:r>
        <w:rPr>
          <w:rFonts w:ascii="IRNazanin" w:hAnsi="IRNazanin" w:eastAsia="IRNazanin"/>
          <w:color w:val="111111"/>
          <w:sz w:val="28"/>
          <w:sz w:val="28"/>
          <w:szCs w:val="28"/>
          <w:rtl w:val="true"/>
          <w:lang w:bidi="fa-IR"/>
        </w:rPr>
        <w:t>على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القاضي معناه اللغويّ، لأنّ الإمام منع شيعته عن الرجوع إلى الفسقة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الخصومات و رفعها، و الحكم فيها من شأن القضاة؛</w:t>
      </w:r>
    </w:p>
    <w:p>
      <w:pPr>
        <w:pStyle w:val="BookText"/>
        <w:rPr/>
      </w:pPr>
      <w:r>
        <w:rPr>
          <w:rFonts w:ascii="Amiri" w:hAnsi="Amiri" w:eastAsia="Amiri" w:cs="Amiri"/>
          <w:color w:val="111111"/>
          <w:sz w:val="28"/>
          <w:sz w:val="28"/>
          <w:szCs w:val="28"/>
          <w:rtl w:val="true"/>
          <w:lang w:bidi="ar-SA"/>
        </w:rPr>
        <w:t xml:space="preserve">و في التداري في شيءٍ من الأخذ و العطاء، و الحكم فيه من شأن الحاكم؛ و الحاكم أعلى من القاضي المصطلح، 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هو الحاكم، و القضاء المصطلح شأنٌ من شؤونه و مرتبةٌ من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أصرّ هذا القائل على قوله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المصطلح، و لكن ما هو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إيّاكم أن يخاصم بعضكم بعضاً إلى السلطان الجائر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لامجال للقول بأنّ الإمام عليه السلام قد جعل للشيعة قاضياً يرجعون إليه فيما يرتبط بالقضاء و لكن لم يجعل لهم سلطاناً يرجعون إليه فيما يرتبط بالسلطة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مرّ منّا مراراً انّ الدولة من لوازم المجتمع، و الإنسان مدنيٌّ بالطبع لاينتظم حياته و عيشه إلّافي مجتمعٍ، فلابدّ له من والٍ و 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فلوتماشينا مع هذا القائل و خصصنا صدر الحديث بالقاضي المصطلح، فلامناص من القول بأنّ ذيله صدر لبيان انّ الإمام عليه السلام فوّض منصب الحكم و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منصب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كان عارفاً بدقائق الفقه، و ليس هو إلّاالفقيه الجامع لشرائط 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سلطان الإسلام الحاكم على المجتمع؛ فدلالة المشهورة على ما نحن بصدده واضحةٌ تامّةٌ</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13100072_1280447820"/>
      <w:bookmarkStart w:id="600" w:name="_Toc242"/>
      <w:bookmarkEnd w:id="599"/>
      <w:r>
        <w:rPr>
          <w:rtl w:val="true"/>
        </w:rPr>
        <w:t>الرواية الخامسة</w:t>
      </w:r>
      <w:bookmarkEnd w:id="60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نفس مشهورة أبي خديجة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بإسناده عن أحمد بن عائذ عن أبي خديجة سالم بن مكرم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جعفر بن محمّد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أن يحاكم بعضكم بعضاً إلى أهل الجور، و لكن انظروا إلى رجلٍ منكم يعلم شيئاً من قضايانا فاجعلوه بينكم، فإنّي قد جعلته قاضياً فتحاكموا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الرواية هي نفس الرواية الّتي مرّت قبل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 مشهورة أبي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 ما رواه الشيخ رحمه الله</w:t>
      </w:r>
      <w:r>
        <w:rPr>
          <w:rStyle w:val="FootnoteAnchor"/>
          <w:rtl w:val="true"/>
        </w:rPr>
        <w:footnoteReference w:id="308"/>
      </w:r>
      <w:r>
        <w:rPr>
          <w:rFonts w:ascii="Amiri" w:hAnsi="Amiri" w:eastAsia="Amiri" w:cs="Amiri"/>
          <w:color w:val="111111"/>
          <w:sz w:val="28"/>
          <w:sz w:val="28"/>
          <w:szCs w:val="28"/>
          <w:rtl w:val="true"/>
          <w:lang w:bidi="ar-SA"/>
        </w:rPr>
        <w:t>، و الثّاني ما رواه الكلينيّ‌</w:t>
      </w:r>
      <w:r>
        <w:rPr>
          <w:rStyle w:val="FootnoteAnchor"/>
          <w:rtl w:val="true"/>
        </w:rPr>
        <w:footnoteReference w:id="309"/>
      </w:r>
      <w:r>
        <w:rPr>
          <w:rFonts w:ascii="IRNazanin" w:hAnsi="IRNazanin" w:eastAsia="IRNazanin"/>
          <w:color w:val="111111"/>
          <w:sz w:val="28"/>
          <w:sz w:val="28"/>
          <w:szCs w:val="28"/>
          <w:rtl w:val="true"/>
          <w:lang w:bidi="fa-IR"/>
        </w:rPr>
        <w:t>و الصدوق</w:t>
      </w:r>
      <w:r>
        <w:rPr>
          <w:rStyle w:val="FootnoteAnchor"/>
        </w:rPr>
        <w:footnoteReference w:id="310"/>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هيهنا نكتةٌ؛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الّتي بأيدينا اليوم هي في غالب الموارد عباراتٌ حكاها الراوي عن كلام المعصوم عليهم السلام، فليس المنقول إلينا مطابقاً للصادر عنهم عليهم السلام تطابقاً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 أباخديجة قد حكى ما أمره الإمام عليه السلام به من إيصال أمره إلى الأصحاب بالاجتناب عن الرجوع إلى الظلمة مرّتين، و في كلا الموردين احتفظ على جوهر كلامه عليه السلام و مغزاه من غير احتفاظٍ على 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ما رواه الشيخ رحمه الله بسنده عنه، و الثّاني ما رواه الكلينيّ و صدوق المحدّثين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بسندهما عنه أيضاً؛ و كلاهما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المذهب كان يذهب سيّدنا الأستاذ البروجرديّ رحمه الله من ارجاع المتشابهات إلى روايةٍ واحدةٍ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رأينا في اتّحاد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أتينا به من ذكر الرواية مرّتين فقد اتّبعنا فيه رأي صاحب الوسائل من القول باختلافهما و صدورهما عن الإمام رحمه الله مرّتين، حيث روى الأوّل في الباب الحادي عشر</w:t>
      </w:r>
      <w:r>
        <w:rPr>
          <w:rStyle w:val="FootnoteAnchor"/>
          <w:rtl w:val="true"/>
        </w:rPr>
        <w:footnoteReference w:id="311"/>
      </w:r>
      <w:r>
        <w:rPr>
          <w:rFonts w:ascii="Amiri" w:hAnsi="Amiri" w:eastAsia="Amiri" w:cs="Amiri"/>
          <w:color w:val="111111"/>
          <w:sz w:val="28"/>
          <w:sz w:val="28"/>
          <w:szCs w:val="28"/>
          <w:rtl w:val="true"/>
          <w:lang w:bidi="ar-SA"/>
        </w:rPr>
        <w:t>و الثّاني في الباب الأوّل</w:t>
      </w:r>
      <w:r>
        <w:rPr>
          <w:rStyle w:val="FootnoteAnchor"/>
          <w:rtl w:val="true"/>
        </w:rPr>
        <w:footnoteReference w:id="312"/>
      </w:r>
      <w:r>
        <w:rPr>
          <w:rFonts w:ascii="Amiri" w:hAnsi="Amiri" w:eastAsia="Amiri" w:cs="Amiri"/>
          <w:color w:val="111111"/>
          <w:sz w:val="28"/>
          <w:sz w:val="28"/>
          <w:szCs w:val="28"/>
          <w:rtl w:val="true"/>
          <w:lang w:bidi="ar-SA"/>
        </w:rPr>
        <w:t xml:space="preserve">من أبواب صفات القاضي من </w:t>
      </w:r>
    </w:p>
    <w:p>
      <w:pPr>
        <w:pStyle w:val="BookText"/>
        <w:rPr/>
      </w:pP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فالأمر في اتّحادهما أو اختلافهما سهلٌ بعد العلم بصدور المضمون عن الإمام رحمه الله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الاستدلال بما نحن فيه نفس التقريب بالمتقدّم عليه، فلانطيل الكلام باعادته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نكتةٍ،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شيئاً من قضايانا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في بادىء النظر عدم اشتراط الفقاهة في الحاكم المنصوب من قبلهم عليهم السلام، إذ الظاهر منها انّ العالم بشيءٍ من الأحكام على منهج أهل البيت عليهم السلام الفقهيّة يصلح للقيام بأمر السلطة، بينما نرى انّ الصالح لهذا الأمر ليس إلّامَن يقتدر على الاستنباط في أبواب الفقه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هذا التوهّم نشأ من جعل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ثمّ انضمامها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المتوغّل في التنكير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الخروج عن هذه المشكلة سهلٌ بعد إمعان النظر إلى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فقوله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بالفقه على منهجنا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فلاتخالف بين الظاهر من الحديث و بين المتّفق عليه بين الأصحاب من أنّ المستنبط الجامع لشرائط الفتيا هو الصالح لتولية أمر المجتمع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كسر سورة الإشكال نزيد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و المراد منها معنى رفيعٍ عرشيٍّ، و هو الإشارة إلى سعة علمهم عليهم السلام الّذي هو المُفاض عليهم من المعلّم الحقيقيّ العالم بجميع ما في الكون بالعلم العِلّيّ الإيجاديّ، لا العلم المعلوليّ الكسبيّ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عالماً بشيءٍ يسيرٍ من فقهنا فهو الحاكم من قِبلنا، و لكن ذلك بالنظر إلى ما لنا من المعرفة التامّة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استخلافنا منه المقتضي للاستخلاف في جميع ما له من الكمالات و المراتب إلّاالمرتبة الوجوبيّة؛ فإنّه ربٌّ و نحن 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لنا علمٌ لاتُقاس به علوم الأوائل و الأواخر، بل جميع ما وُهب من </w:t>
      </w:r>
      <w:bookmarkStart w:id="601" w:name="pg18987_179828"/>
    </w:p>
    <w:p>
      <w:pPr>
        <w:pStyle w:val="BookText"/>
        <w:rPr/>
      </w:pPr>
      <w:bookmarkEnd w:id="601"/>
      <w:r>
        <w:rPr>
          <w:rFonts w:ascii="Amiri" w:hAnsi="Amiri" w:eastAsia="Amiri" w:cs="Amiri"/>
          <w:color w:val="111111"/>
          <w:sz w:val="28"/>
          <w:sz w:val="28"/>
          <w:szCs w:val="28"/>
          <w:rtl w:val="true"/>
          <w:lang w:bidi="ar-SA"/>
        </w:rPr>
        <w:t>العلم للناس ليس إلّاشيئاً يسيراً نذراً بالنسبة إلى ما لنا من العلم</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التأويل أيضاً تظهر تماميّة الاستدلال بالحديث الشريف على ما نحن فيه</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13100074_1280447820"/>
      <w:bookmarkStart w:id="603" w:name="_Toc243"/>
      <w:bookmarkEnd w:id="602"/>
      <w:r>
        <w:rPr>
          <w:rtl w:val="true"/>
        </w:rPr>
        <w:t>الرواية السادسة</w:t>
      </w:r>
      <w:bookmarkEnd w:id="603"/>
    </w:p>
    <w:p>
      <w:pPr>
        <w:pStyle w:val="Heading6"/>
        <w:numPr>
          <w:ilvl w:val="5"/>
          <w:numId w:val="1"/>
        </w:numPr>
        <w:rPr/>
      </w:pPr>
      <w:bookmarkStart w:id="604" w:name="__RefHeading___Toc13100076_1280447820"/>
      <w:bookmarkStart w:id="605" w:name="_Toc244"/>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و هي مصحّحة أبي حمزة، و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 عن ابن محبوب عن عليّ بن 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أباالحسن موسى بن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بكت عليه الملائكة و بقاع الأرض الّتي كان يعبد اللّه عليها، و أبواب السماء الّتي كان يصعد فيها بأعماله، و ثلم في الإسلام ثلمةً لايسدّها شيءٌ؛ لأنّ المؤمنين الفقهاء حصون الإسلام كحصن سور المدينة لها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فلابأس به، بل هو مصحّحٌ</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حمزة البطائنيّ الّذي روى الحديث عن مولانا موسى بن جعفر عليه السلام و إن كان من الواقفين عن مولانا عليّ بن موسى عليه السلام</w:t>
      </w:r>
      <w:r>
        <w:rPr>
          <w:rStyle w:val="FootnoteAnchor"/>
          <w:rtl w:val="true"/>
        </w:rPr>
        <w:footnoteReference w:id="315"/>
      </w:r>
      <w:r>
        <w:rPr>
          <w:rFonts w:ascii="Amiri" w:hAnsi="Amiri" w:eastAsia="Amiri" w:cs="Amiri"/>
          <w:color w:val="111111"/>
          <w:sz w:val="28"/>
          <w:sz w:val="28"/>
          <w:szCs w:val="28"/>
          <w:rtl w:val="true"/>
          <w:lang w:bidi="ar-SA"/>
        </w:rPr>
        <w:t xml:space="preserve">فصارت عاقبة أمره إلى ما صارت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من الخذلان و سوء العاقبة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 لكن لابأس بما روي منه؛ </w:t>
      </w:r>
    </w:p>
    <w:p>
      <w:pPr>
        <w:pStyle w:val="BookText"/>
        <w:rPr/>
      </w:pPr>
      <w:r>
        <w:rPr>
          <w:rFonts w:ascii="Amiri" w:hAnsi="Amiri" w:eastAsia="Amiri" w:cs="Amiri"/>
          <w:color w:val="111111"/>
          <w:sz w:val="28"/>
          <w:sz w:val="28"/>
          <w:szCs w:val="28"/>
          <w:rtl w:val="true"/>
          <w:lang w:bidi="ar-SA"/>
        </w:rPr>
        <w:t>بل لاجرح في كلّ ما يوجد من مرويّاته في مصادر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يرجع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روي منه يرجع إلى زمن استقامته و عدم انحرافه، إذ لم يُعقل أن تروي الأصحاب منه شيئاً بعد أن كان من الواقفة القائلين بعدم إمامة مولانا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قول مولانا الصادق عليه السلام حيث وصف المنحرف الخارج عن مسلك الإماميّة بالكلب الممطور</w:t>
      </w:r>
      <w:r>
        <w:rPr>
          <w:rStyle w:val="FootnoteAnchor"/>
          <w:rtl w:val="true"/>
        </w:rPr>
        <w:footnoteReference w:id="316"/>
      </w:r>
      <w:r>
        <w:rPr>
          <w:rFonts w:ascii="Amiri" w:hAnsi="Amiri" w:eastAsia="Amiri" w:cs="Amiri"/>
          <w:color w:val="111111"/>
          <w:sz w:val="28"/>
          <w:sz w:val="28"/>
          <w:szCs w:val="28"/>
          <w:rtl w:val="true"/>
          <w:lang w:bidi="ar-SA"/>
        </w:rPr>
        <w:t xml:space="preserve">، إذ رفضتهم الشيعة كما يُرفض الكلب الممطور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مظانّ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فلايُروى ممّن شأنه شأن الكلب الممطور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المشايخ الثلاث عليه، حيث رووا عنه هذا الحديث من غير خلافٍ فيه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المشايخ الأجلّاء من المتقدّمين عليه، و قد بلغ عددهم ما يقرب من خمسين شيخاً، منهم الأكابر الّذين لايُظنّ بهم الإهمال في أمر الأخذ عن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أبي عمير، و صفوان بن يحيى، و حسن بن محبوب، و أبي نصرالبزنطيّ، و يونس بن عبدالرحمن، و أبان بن عثمان، و أبي بصير، و حمّاد بن عيسى، و عثمان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هؤلاء كلّهم من أصحاب الإجماع</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ابن الغضائريّ إيّاه بينما انّ تشديده في أمر الجرح و التعديل مشهورٌ </w:t>
      </w:r>
    </w:p>
    <w:p>
      <w:pPr>
        <w:pStyle w:val="BookText"/>
        <w:rPr/>
      </w:pPr>
      <w:r>
        <w:rPr>
          <w:rFonts w:ascii="Amiri" w:hAnsi="Amiri" w:eastAsia="Amiri" w:cs="Amiri"/>
          <w:color w:val="111111"/>
          <w:sz w:val="28"/>
          <w:sz w:val="28"/>
          <w:szCs w:val="28"/>
          <w:rtl w:val="true"/>
          <w:lang w:bidi="ar-SA"/>
        </w:rPr>
        <w:t>معروفٌ بحيث اشتهر بالجارح، لقلّة تعديله الأكابر من الأصحاب</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جمعٍ من المتأخّرين إيّاه،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الأردبيليّ في جامعه</w:t>
      </w:r>
      <w:r>
        <w:rPr>
          <w:rStyle w:val="FootnoteAnchor"/>
          <w:rtl w:val="true"/>
        </w:rPr>
        <w:footnoteReference w:id="320"/>
      </w:r>
      <w:r>
        <w:rPr>
          <w:rFonts w:ascii="Amiri" w:hAnsi="Amiri" w:eastAsia="Amiri" w:cs="Amiri"/>
          <w:color w:val="111111"/>
          <w:sz w:val="28"/>
          <w:sz w:val="28"/>
          <w:szCs w:val="28"/>
          <w:rtl w:val="true"/>
          <w:lang w:bidi="ar-SA"/>
        </w:rPr>
        <w:t>، و المامقانيّ في تنقيحه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الشيخ رحمه الله في العدّة من انتظامه في العصابة الّتي أجمعت الأصحاب على تصحيح ما يصحّ عنهم</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القول منه بأقلٍّ مرتبةً من تصحيحه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ذكره إيّاه فيه لايضرّ بحاله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حسن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أصحاب الإجماع</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 لايروي إلّاعن ثقةٍ‌</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الحديث، و لاخلاف في تصحيح ما يصحّ عنهما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فالمتحصّل من ذلك كلّه انّ الرجل و إن كان من الواقفين عن إمامة مولانا الرضا عليه السلام و </w:t>
      </w:r>
      <w:bookmarkStart w:id="606" w:name="pg18987_179831"/>
    </w:p>
    <w:p>
      <w:pPr>
        <w:pStyle w:val="BookText"/>
        <w:rPr/>
      </w:pPr>
      <w:bookmarkEnd w:id="606"/>
      <w:r>
        <w:rPr>
          <w:rFonts w:ascii="Amiri" w:hAnsi="Amiri" w:eastAsia="Amiri" w:cs="Amiri"/>
          <w:color w:val="111111"/>
          <w:sz w:val="28"/>
          <w:sz w:val="28"/>
          <w:szCs w:val="28"/>
          <w:rtl w:val="true"/>
          <w:lang w:bidi="ar-SA"/>
        </w:rPr>
        <w:t>من المطرودين عن ساحة الرحمة و المغفرة و لكن لابأس برواياته؛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لابأس بسند الحديث، و ذلك بالنظر إلى هذه القرائن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دلالةً، فلدلالة الحديث على ما نحن بصدده تقريبان</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13100078_1280447820"/>
      <w:bookmarkStart w:id="608" w:name="_Toc245"/>
      <w:bookmarkEnd w:id="607"/>
      <w:r>
        <w:rPr>
          <w:rtl w:val="true"/>
        </w:rPr>
        <w:t>التقريب الأوّل</w:t>
      </w:r>
      <w:r>
        <w:rPr>
          <w:rtl w:val="true"/>
        </w:rPr>
        <w:t>:</w:t>
      </w:r>
      <w:bookmarkEnd w:id="608"/>
    </w:p>
    <w:p>
      <w:pPr>
        <w:pStyle w:val="BookText"/>
        <w:rPr/>
      </w:pPr>
      <w:r>
        <w:rPr>
          <w:rFonts w:ascii="Amiri" w:hAnsi="Amiri" w:eastAsia="Amiri" w:cs="Amiri"/>
          <w:color w:val="111111"/>
          <w:sz w:val="28"/>
          <w:sz w:val="28"/>
          <w:szCs w:val="28"/>
          <w:rtl w:val="true"/>
          <w:lang w:bidi="ar-SA"/>
        </w:rPr>
        <w:t>ما ذكره سيّدنا الأستاذ الإمام الخمينيّ رحمه الله</w:t>
      </w:r>
      <w:r>
        <w:rPr>
          <w:rStyle w:val="FootnoteAnchor"/>
          <w:rtl w:val="true"/>
        </w:rPr>
        <w:footnoteReference w:id="325"/>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من باب تشبيه المعقول بالمحسوس؛</w:t>
      </w:r>
    </w:p>
    <w:p>
      <w:pPr>
        <w:pStyle w:val="BookText"/>
        <w:rPr/>
      </w:pPr>
      <w:r>
        <w:rPr>
          <w:rFonts w:ascii="Amiri" w:hAnsi="Amiri" w:eastAsia="Amiri" w:cs="Amiri"/>
          <w:color w:val="111111"/>
          <w:sz w:val="28"/>
          <w:sz w:val="28"/>
          <w:szCs w:val="28"/>
          <w:rtl w:val="true"/>
          <w:lang w:bidi="ar-SA"/>
        </w:rPr>
        <w:t>و المحسوس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للحصن شأنيّة الاحتفاظ على جميع ما فيه من الناس و البيوت و المواشي و غيرها، و لايكون الحصن حصناً إلّاإذا اشتمل على جميع ما فيه و حفظه عمّا يخالفه و يضادّه؛</w:t>
      </w:r>
    </w:p>
    <w:p>
      <w:pPr>
        <w:pStyle w:val="BookText"/>
        <w:rPr/>
      </w:pPr>
      <w:r>
        <w:rPr>
          <w:rFonts w:ascii="Amiri" w:hAnsi="Amiri" w:eastAsia="Amiri" w:cs="Amiri"/>
          <w:color w:val="111111"/>
          <w:sz w:val="28"/>
          <w:sz w:val="28"/>
          <w:szCs w:val="28"/>
          <w:rtl w:val="true"/>
          <w:lang w:bidi="ar-SA"/>
        </w:rPr>
        <w:t>و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الفقيه حصناً للإسلام، و لامعنى له إلّاحفاظه على جميع ما للإسلام من الحدود و الثغور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كأحكامه العباديّة الجماعيّة و أحكامه المتعلّقة بالحدود و الديات و القصاص و السياسات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جميع هذا يرجع إلى سلطته على مجتمع تابعي الإسلام؛ فلايُعدّ الفقيه حصناً إلّاإذا كان مبسوط اليد ذاقدرةٍ على إجراء أحكامه الراجعة إلى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يتحقّق إذا استقرّ في منصب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فللحديث على هذا التقرير دلالةٌ واضحةٌ على ثبوت منصب السلطة للفقيه</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13100080_1280447820"/>
      <w:bookmarkStart w:id="610" w:name="_Toc246"/>
      <w:bookmarkEnd w:id="609"/>
      <w:r>
        <w:rPr>
          <w:rtl w:val="true"/>
        </w:rPr>
        <w:t>التقريب الثّاني</w:t>
      </w:r>
      <w:r>
        <w:rPr>
          <w:rtl w:val="true"/>
        </w:rPr>
        <w:t>:</w:t>
      </w:r>
      <w:bookmarkEnd w:id="61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المحقّق النراقيّ‌</w:t>
      </w:r>
      <w:r>
        <w:rPr>
          <w:rStyle w:val="FootnoteAnchor"/>
          <w:rtl w:val="true"/>
        </w:rPr>
        <w:footnoteReference w:id="326"/>
      </w:r>
      <w:r>
        <w:rPr>
          <w:rFonts w:ascii="Amiri" w:hAnsi="Amiri" w:eastAsia="Amiri" w:cs="Amiri"/>
          <w:color w:val="111111"/>
          <w:sz w:val="28"/>
          <w:sz w:val="28"/>
          <w:szCs w:val="28"/>
          <w:rtl w:val="true"/>
          <w:lang w:bidi="ar-SA"/>
        </w:rPr>
        <w:t>و الشيخ صاحب الجواهر</w:t>
      </w:r>
      <w:r>
        <w:rPr>
          <w:rStyle w:val="FootnoteAnchor"/>
          <w:rtl w:val="true"/>
        </w:rPr>
        <w:footnoteReference w:id="327"/>
      </w:r>
      <w:r>
        <w:rPr>
          <w:rFonts w:ascii="IRNazanin" w:hAnsi="IRNazanin" w:eastAsia="IRNazanin"/>
          <w:color w:val="111111"/>
          <w:sz w:val="28"/>
          <w:sz w:val="28"/>
          <w:szCs w:val="28"/>
          <w:rtl w:val="true"/>
          <w:lang w:bidi="fa-IR"/>
        </w:rPr>
        <w:t>و أستاذنا الإمام</w:t>
      </w:r>
      <w:r>
        <w:rPr>
          <w:rStyle w:val="FootnoteAnchor"/>
          <w:rtl w:val="true"/>
        </w:rPr>
        <w:footnoteReference w:id="328"/>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يبيّن كبرىً لصغرى عقليّةٍ، إذ العقل يحكم بلزوم وجود دولةٍ و حكومةٍ في كلّ مصرٍ، بل بضرورتها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أصلٌ قد مضت الإشارة إلى تفصيله فيما سبق من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الحديث صدر ليبيّن الصالح للقيام بأمر الحكومة، فأشار الإمام عليه السلام فيه إلى أنّه هو المؤمن العارف بدقائق فقه أهل البيت، فهو حصن الإسلام الذابّ عنه عمّا يضاده؛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المؤمنين الفقهاء حصون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القضيّة الحاصلة من انضمام </w:t>
      </w:r>
      <w:bookmarkStart w:id="611" w:name="pg18987_179832"/>
    </w:p>
    <w:p>
      <w:pPr>
        <w:pStyle w:val="BookText"/>
        <w:rPr/>
      </w:pPr>
      <w:bookmarkEnd w:id="611"/>
      <w:r>
        <w:rPr>
          <w:rFonts w:ascii="Amiri" w:hAnsi="Amiri" w:eastAsia="Amiri" w:cs="Amiri"/>
          <w:color w:val="111111"/>
          <w:sz w:val="28"/>
          <w:sz w:val="28"/>
          <w:szCs w:val="28"/>
          <w:rtl w:val="true"/>
          <w:lang w:bidi="ar-SA"/>
        </w:rPr>
        <w:t>المقدّمتين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للمسلمين دولةً، و الصالح لرئاستها هو الفقيه، فالفقيه هو رئيس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فدلالة الحديث على ثبوت الولاية للفقيه بهذا التقريب أيضاً تامّةٌ لامجال للنقاش فيها</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13100082_1280447820"/>
      <w:bookmarkStart w:id="613" w:name="_Toc247"/>
      <w:bookmarkEnd w:id="612"/>
      <w:r>
        <w:rPr>
          <w:rtl w:val="true"/>
        </w:rPr>
        <w:t>الرواية السابعة</w:t>
      </w:r>
      <w:bookmarkEnd w:id="613"/>
    </w:p>
    <w:p>
      <w:pPr>
        <w:pStyle w:val="BookText"/>
        <w:rPr/>
      </w:pPr>
      <w:r>
        <w:rPr>
          <w:rFonts w:ascii="Amiri" w:hAnsi="Amiri" w:eastAsia="Amiri" w:cs="Amiri"/>
          <w:color w:val="111111"/>
          <w:sz w:val="28"/>
          <w:sz w:val="28"/>
          <w:szCs w:val="28"/>
          <w:rtl w:val="true"/>
          <w:lang w:bidi="ar-SA"/>
        </w:rPr>
        <w:t>و هي ما رواه محمّد بن يعقوب بسنده</w:t>
      </w:r>
      <w:r>
        <w:rPr>
          <w:rStyle w:val="FootnoteAnchor"/>
          <w:rtl w:val="true"/>
        </w:rPr>
        <w:footnoteReference w:id="329"/>
      </w:r>
      <w:r>
        <w:rPr>
          <w:rFonts w:ascii="Amiri" w:hAnsi="Amiri" w:eastAsia="Amiri" w:cs="Amiri"/>
          <w:color w:val="111111"/>
          <w:sz w:val="28"/>
          <w:sz w:val="28"/>
          <w:szCs w:val="28"/>
          <w:rtl w:val="true"/>
          <w:lang w:bidi="ar-SA"/>
        </w:rPr>
        <w:t>و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و عليّ بن محمّد عن سهل بن زياد و محمّد بن يحيى عن أحمد بن محمّد جميعاً عن جعفر بن محمّد الأشعريّ عن عبداللّه بن ميمون القدّاح و عليّ بن إبراهيم عن أبيه عن حمّاد بن عيسى عن القدّاح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سلك طريقاً يطلب فيه علماً سلك اللّه به طريقاً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الملائكة لتضع أجنحتها لطالب العلم رضاً به، و إنّه يستغفر لطالب العلم من في السماء و من في الأرض حتّى الحوت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العالم على العابد كفضل القمر على سائر النجوم ليلة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العلماء ورثة الأنبياء، إنّ الأنبياء لم يورّثوا ديناراً و لادرهماً و لكن ورَّثوا العلم، فمن أخذ منه أخذ بحظٍّ 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فصحيحٌ عند القدماء و المتأخّرين لا إشكال لأحدهم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دلالة هذا الحديث مع الآتي بعده على المطلوب مشتركةٌ، فنفصّل الكلام حولها مذيّلاً على الرواية الثّامنة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تتميم الكلام في سندهما أيضاً يأتي هناك</w:t>
      </w:r>
      <w:r>
        <w:rPr>
          <w:rFonts w:eastAsia="Amiri" w:cs="Amiri" w:ascii="Amiri" w:hAnsi="Amiri"/>
          <w:color w:val="111111"/>
          <w:sz w:val="28"/>
          <w:szCs w:val="28"/>
          <w:rtl w:val="true"/>
          <w:lang w:bidi="ar-SA"/>
        </w:rPr>
        <w:t xml:space="preserve">. </w:t>
      </w:r>
      <w:bookmarkStart w:id="614" w:name="pg18987_179833"/>
    </w:p>
    <w:p>
      <w:pPr>
        <w:pStyle w:val="Heading5"/>
        <w:numPr>
          <w:ilvl w:val="4"/>
          <w:numId w:val="1"/>
        </w:numPr>
        <w:rPr/>
      </w:pPr>
      <w:bookmarkStart w:id="615" w:name="__RefHeading___Toc13100084_1280447820"/>
      <w:bookmarkStart w:id="616" w:name="_Toc248"/>
      <w:bookmarkEnd w:id="614"/>
      <w:bookmarkEnd w:id="615"/>
      <w:r>
        <w:rPr>
          <w:rtl w:val="true"/>
        </w:rPr>
        <w:t>الرواية الثّامنة</w:t>
      </w:r>
      <w:bookmarkEnd w:id="616"/>
    </w:p>
    <w:p>
      <w:pPr>
        <w:pStyle w:val="Heading6"/>
        <w:numPr>
          <w:ilvl w:val="5"/>
          <w:numId w:val="1"/>
        </w:numPr>
        <w:rPr/>
      </w:pPr>
      <w:bookmarkStart w:id="617" w:name="__RefHeading___Toc13100086_1280447820"/>
      <w:bookmarkStart w:id="618" w:name="_Toc249"/>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 بن عيسى عن محمّد بن خالد عن أبي البختريّ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ورثة الأنبياء، و ذاك أنّ الأنبياء لم يورثوا درهماً و لاديناراً، و إنّما أورثوا أحاديث من 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بشيءٍ منها فقد أخذ حظّاً وافراً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علمكم هذا عمّن تأخذونه، فإنّ فينا أهل البيت في كلّ خلفٍ عدولاً ينفون عنه تحريف الغالين و انتحال المبطلين و تأويل الجاهلين</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فأنّ هذا الحديث يشترك مع السابق عليه في التواتر اللفظيّ، إذ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ورثة الأنبياء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كثيرٍ من مصادر الفريقين الروائيّة بأسانيد متعدّدةٍ‌</w:t>
      </w:r>
      <w:r>
        <w:rPr>
          <w:rStyle w:val="FootnoteAnchor"/>
          <w:rtl w:val="true"/>
        </w:rPr>
        <w:footnoteReference w:id="331"/>
      </w:r>
      <w:r>
        <w:rPr>
          <w:rFonts w:ascii="Amiri" w:hAnsi="Amiri" w:eastAsia="Amiri" w:cs="Amiri"/>
          <w:color w:val="111111"/>
          <w:sz w:val="28"/>
          <w:sz w:val="28"/>
          <w:szCs w:val="28"/>
          <w:rtl w:val="true"/>
          <w:lang w:bidi="ar-SA"/>
        </w:rPr>
        <w:t xml:space="preserve">، كما ورد في جملةٍ من روايات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سيّدنا الأستاذ الإمام الخميني رحمه الله يقول بتواتره، و يذهب إلى أنّ التواتر اللفظيّ لاينحصر في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الأعمال بالنيّات</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اشتهر بين الطلبة</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مصاديقه كثيرةٌ منها هذا الحديث الّذي نحن بصدده الآن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إلى ما يشترك فيه الحديثان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بالنسبة إلى الثّاني سنداً، فإنّ أباالبختريّ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وهب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 بل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كذّابٌ</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بالسند، بل انّه يُعدّ من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أباالبختريّ لايوصف بالكذب إلّالما رواه في مراتب الأئمّة و درجاتهم الرفيعة، فقيل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غاليٌّ‌</w:t>
      </w:r>
      <w:r>
        <w:rPr>
          <w:rStyle w:val="FootnoteAnchor"/>
          <w:rtl w:val="true"/>
        </w:rPr>
        <w:footnoteReference w:id="335"/>
      </w:r>
      <w:r>
        <w:rPr>
          <w:rFonts w:ascii="Amiri" w:hAnsi="Amiri" w:eastAsia="Amiri" w:cs="Amiri"/>
          <w:color w:val="111111"/>
          <w:sz w:val="28"/>
          <w:sz w:val="28"/>
          <w:szCs w:val="28"/>
          <w:rtl w:val="true"/>
          <w:lang w:bidi="ar-SA"/>
        </w:rPr>
        <w:t>، ثمّ رموه بالكذب لما شاهدوا فيه من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للغلوّ عند المتقدّمين معنىً لانعدّه جرحاً إن لم يكن مدحاً، إذ قد رموا كثيراً من خلّص مريدي أهل البيت عليهم السلام و تابعيهم بالغلوّ نظراً إلى ما رووه في بعض مراتب الأئمّة العلياء، فما عدّوه كذّاباً إلّا من هذه الجهة؛ فلاقدح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إكثارُ المشايخِ الثلاث الروايةَ عنه، فهذا الكلينيّ رحمه الله و قد روى منه في مواضع تقرب من مأة موضعٍ، و نظيره ما فعل الشيخ و الصدوق </w:t>
      </w:r>
      <w:r>
        <w:rPr>
          <w:rFonts w:eastAsia="Amiri" w:cs="Amiri" w:ascii="Amiri" w:hAnsi="Amiri"/>
          <w:color w:val="111111"/>
          <w:sz w:val="28"/>
          <w:szCs w:val="28"/>
          <w:lang w:bidi="ar-SA"/>
        </w:rPr>
        <w:t>0</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البعيد جدّاً أن يعدّوه كاذباً ثمّ يرووا منه هذا العدد الهائل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المفيد</w:t>
      </w:r>
      <w:r>
        <w:rPr>
          <w:rStyle w:val="FootnoteAnchor"/>
          <w:rtl w:val="true"/>
        </w:rPr>
        <w:footnoteReference w:id="337"/>
      </w:r>
      <w:r>
        <w:rPr>
          <w:rFonts w:ascii="Amiri" w:hAnsi="Amiri" w:eastAsia="Amiri" w:cs="Amiri"/>
          <w:color w:val="111111"/>
          <w:sz w:val="28"/>
          <w:sz w:val="28"/>
          <w:szCs w:val="28"/>
          <w:rtl w:val="true"/>
          <w:lang w:bidi="ar-SA"/>
        </w:rPr>
        <w:t xml:space="preserve">و ابن الغضائريّ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قال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كذّابٌ عامّيٌّ إلّاأنّ له عن جعفر بن محمّد عليه السلام أحاديث كلٌّ يوثق بها</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لايخفى ما لتوثيقه من القيمة و </w:t>
      </w:r>
    </w:p>
    <w:p>
      <w:pPr>
        <w:pStyle w:val="BookText"/>
        <w:rPr/>
      </w:pPr>
      <w:r>
        <w:rPr>
          <w:rFonts w:ascii="Amiri" w:hAnsi="Amiri" w:eastAsia="Amiri" w:cs="Amiri"/>
          <w:color w:val="111111"/>
          <w:sz w:val="28"/>
          <w:sz w:val="28"/>
          <w:szCs w:val="28"/>
          <w:rtl w:val="true"/>
          <w:lang w:bidi="ar-SA"/>
        </w:rPr>
        <w:t>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ابن أبي عمير في السند، و هو من أصحاب الإجماع بلاخلافٍ‌</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الأربعة أمورٌ تدلّ على أن لابأس بالسند، بل هو من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للمحقّق النراقيّ‌</w:t>
      </w:r>
      <w:r>
        <w:rPr>
          <w:rStyle w:val="FootnoteAnchor"/>
          <w:rtl w:val="true"/>
        </w:rPr>
        <w:footnoteReference w:id="340"/>
      </w:r>
      <w:r>
        <w:rPr>
          <w:rFonts w:ascii="Amiri" w:hAnsi="Amiri" w:eastAsia="Amiri" w:cs="Amiri"/>
          <w:color w:val="111111"/>
          <w:sz w:val="28"/>
          <w:sz w:val="28"/>
          <w:szCs w:val="28"/>
          <w:rtl w:val="true"/>
          <w:lang w:bidi="ar-SA"/>
        </w:rPr>
        <w:t>و الشيخ صاحب الجواهر</w:t>
      </w:r>
      <w:r>
        <w:rPr>
          <w:rStyle w:val="FootnoteAnchor"/>
          <w:rtl w:val="true"/>
        </w:rPr>
        <w:footnoteReference w:id="341"/>
      </w:r>
      <w:r>
        <w:rPr>
          <w:rFonts w:ascii="Amiri" w:hAnsi="Amiri" w:eastAsia="Amiri" w:cs="Amiri"/>
          <w:color w:val="111111"/>
          <w:sz w:val="28"/>
          <w:sz w:val="28"/>
          <w:szCs w:val="28"/>
          <w:rtl w:val="true"/>
          <w:lang w:bidi="ar-SA"/>
        </w:rPr>
        <w:t>و سيّدنا الأستاذ الإمام الخمينيّ‌</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للحديث دلالةً واضحةً على اثبات الولاية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بالنظر إلى شمول الوراثة بالنسبة إلى كلّ ما يُورَث، كمرتبة القضاء و مرتبة الولاية، فكما انّ الوراثة المذكورة في زيارة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وارث نوح نبيّاللّه، السلام عليك يا وارث إبراهيم خليل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وارث موسى كليم اللّه، السلام عليك يا وارث عيسى روح اللّه، السلام عليك يا وارث محمّد حبيب اللّه</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وراثته عليه السلام عنهم عليهم السلام في جميع ما يورث، فكذلك وراثة العلماء عن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الولاية وراثةً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ما يتعلّق به من المراتب، فأفضل مراتب الولاية يختصّ بالأنبياء و الأئمّة المعصومين، كما انّ أفضل مراتب العلم و الحكمة و التدبير و الشَّجاعة و غيرها مختصٌّ بهم عليهم السلام؛ و لكن للعلماء أيضاً حظٌّ من ذلك و إن لم يُقس بما للأئمّة من ذلك</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هيهنا أن نشير إلى إشكالين قد يُورد على دلالة الحديث على ما نحن فيه؛ و هما</w:t>
      </w:r>
      <w:r>
        <w:rPr>
          <w:rFonts w:eastAsia="Amiri" w:cs="Amiri" w:ascii="Amiri" w:hAnsi="Amiri"/>
          <w:color w:val="111111"/>
          <w:sz w:val="28"/>
          <w:szCs w:val="28"/>
          <w:rtl w:val="true"/>
          <w:lang w:bidi="ar-SA"/>
        </w:rPr>
        <w:t xml:space="preserve">: </w:t>
      </w:r>
      <w:bookmarkStart w:id="619" w:name="pg18987_179836"/>
    </w:p>
    <w:p>
      <w:pPr>
        <w:pStyle w:val="Heading6"/>
        <w:numPr>
          <w:ilvl w:val="5"/>
          <w:numId w:val="1"/>
        </w:numPr>
        <w:rPr/>
      </w:pPr>
      <w:bookmarkStart w:id="620" w:name="__RefHeading___Toc13100088_1280447820"/>
      <w:bookmarkStart w:id="621" w:name="_Toc250"/>
      <w:bookmarkEnd w:id="619"/>
      <w:bookmarkEnd w:id="620"/>
      <w:r>
        <w:rPr>
          <w:rtl w:val="true"/>
        </w:rPr>
        <w:t>الإشكال الأوّل</w:t>
      </w:r>
      <w:r>
        <w:rPr>
          <w:rtl w:val="true"/>
        </w:rPr>
        <w:t>:</w:t>
      </w:r>
      <w:bookmarkEnd w:id="621"/>
    </w:p>
    <w:p>
      <w:p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المعصومون عليهم السلام،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أئمّتنا المهديّين هم ورثة الأنبياء؛ و عليه فلادلالة على اثباتها للفقيه</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13100090_1280447820"/>
      <w:bookmarkStart w:id="623" w:name="_Toc251"/>
      <w:bookmarkEnd w:id="622"/>
      <w:r>
        <w:rPr>
          <w:rtl w:val="true"/>
        </w:rPr>
        <w:t>و الجواب</w:t>
      </w:r>
      <w:r>
        <w:rPr>
          <w:rtl w:val="true"/>
        </w:rPr>
        <w:t>:</w:t>
      </w:r>
      <w:bookmarkEnd w:id="623"/>
    </w:p>
    <w:p>
      <w:pPr>
        <w:pStyle w:val="BookText"/>
        <w:rPr/>
      </w:pPr>
      <w:r>
        <w:rPr>
          <w:rFonts w:ascii="Amiri" w:hAnsi="Amiri" w:eastAsia="Amiri" w:cs="Amiri"/>
          <w:color w:val="111111"/>
          <w:sz w:val="28"/>
          <w:sz w:val="28"/>
          <w:szCs w:val="28"/>
          <w:rtl w:val="true"/>
          <w:lang w:bidi="ar-SA"/>
        </w:rPr>
        <w:t xml:space="preserve">ما مرّ من أنّه لم يُعهد إطلاق 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الأئمّة في زيارةٍ أو روايةٍ عن النبيّ أو أولاده المكرّمين</w:t>
      </w:r>
      <w:r>
        <w:rPr>
          <w:rStyle w:val="FootnoteAnchor"/>
          <w:rtl w:val="true"/>
        </w:rPr>
        <w:footnoteReference w:id="344"/>
      </w:r>
      <w:r>
        <w:rPr>
          <w:rFonts w:ascii="Amiri" w:hAnsi="Amiri" w:eastAsia="Amiri" w:cs="Amiri"/>
          <w:color w:val="111111"/>
          <w:sz w:val="28"/>
          <w:sz w:val="28"/>
          <w:szCs w:val="28"/>
          <w:rtl w:val="true"/>
          <w:lang w:bidi="ar-SA"/>
        </w:rPr>
        <w:t>، بل هذا الإطلاق دون شأنهم حيث ورد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 العلم</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فإنّهم خزّان العلم و معادن الحكمة؛ فلايجوز توصيفهم بما يدلّ على اتّصافهم بما هم خزّانه و معادنه؛ فهذا تنقيصهم لامدحٌ لهم و ثناء</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13100092_1280447820"/>
      <w:bookmarkStart w:id="625" w:name="_Toc252"/>
      <w:bookmarkEnd w:id="624"/>
      <w:r>
        <w:rPr>
          <w:rtl w:val="true"/>
        </w:rPr>
        <w:t>الإشكال الثّاني</w:t>
      </w:r>
      <w:r>
        <w:rPr>
          <w:rtl w:val="true"/>
        </w:rPr>
        <w:t>:</w:t>
      </w:r>
      <w:bookmarkEnd w:id="625"/>
    </w:p>
    <w:p>
      <w:pPr>
        <w:pStyle w:val="BookText"/>
        <w:rPr/>
      </w:pPr>
      <w:r>
        <w:rPr>
          <w:rFonts w:ascii="Amiri" w:hAnsi="Amiri" w:eastAsia="Amiri" w:cs="Amiri"/>
          <w:color w:val="111111"/>
          <w:sz w:val="28"/>
          <w:sz w:val="28"/>
          <w:szCs w:val="28"/>
          <w:rtl w:val="true"/>
          <w:lang w:bidi="ar-SA"/>
        </w:rPr>
        <w:t>إنّ هذا الحديث يشير إلى استخلاف العلماء عن الأنبياء في تبيين الأحكام و ما يرجع إلى العلم فقط، فدائرة وراثتهم عنهم عليهم السلام محدودةٌ لاسعة لها حتّى تشمل الوراثة في ما لهم من الولاية، فلادلالة له على اثبات الولاية للفقيه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6" w:name="__RefHeading___Toc13100094_1280447820"/>
      <w:bookmarkStart w:id="627" w:name="_Toc253"/>
      <w:bookmarkEnd w:id="626"/>
      <w:r>
        <w:rPr>
          <w:rtl w:val="true"/>
        </w:rPr>
        <w:t>و الجواب</w:t>
      </w:r>
      <w:r>
        <w:rPr>
          <w:rtl w:val="true"/>
        </w:rPr>
        <w:t>:</w:t>
      </w:r>
      <w:bookmarkEnd w:id="627"/>
    </w:p>
    <w:p>
      <w:pPr>
        <w:pStyle w:val="BookText"/>
        <w:rPr/>
      </w:pPr>
      <w:r>
        <w:rPr>
          <w:rFonts w:ascii="Amiri" w:hAnsi="Amiri" w:eastAsia="Amiri" w:cs="Amiri"/>
          <w:color w:val="111111"/>
          <w:sz w:val="28"/>
          <w:sz w:val="28"/>
          <w:szCs w:val="28"/>
          <w:rtl w:val="true"/>
          <w:lang w:bidi="ar-SA"/>
        </w:rPr>
        <w:t>إنّ هذا الإشكال نشأ من توهّم كون ذيل الحديث قيداً لصدره، بينما نرى انّ ذيله معرِّفٌ و مفسرٌ لصدره، فلالسان للحديث على أنّ العلماء ورثة الأنبياء في علومهم فقط، بل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ورثة الأنبياء في جميع ما يُورث منهم؛</w:t>
      </w:r>
    </w:p>
    <w:p>
      <w:pPr>
        <w:pStyle w:val="BookText"/>
        <w:rPr/>
      </w:pPr>
      <w:r>
        <w:rPr>
          <w:rFonts w:ascii="Amiri" w:hAnsi="Amiri" w:eastAsia="Amiri" w:cs="Amiri"/>
          <w:color w:val="111111"/>
          <w:sz w:val="28"/>
          <w:sz w:val="28"/>
          <w:szCs w:val="28"/>
          <w:rtl w:val="true"/>
          <w:lang w:bidi="ar-SA"/>
        </w:rPr>
        <w:t>ثمّ كأنّه سُئل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العلماء الخلفاء عنهم؟</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أورثوا علوم الأنبياء ثمّ اهتدوا بها الناس</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فلاتقييد في الحديث حتّى يحدّد سعة الوراثة؛ بل هذا تحديد مصداق 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الوراثة نفسها فمطلقةٌ</w:t>
      </w:r>
      <w:r>
        <w:rPr>
          <w:rFonts w:eastAsia="Amiri" w:cs="Amiri" w:ascii="Amiri" w:hAnsi="Amiri"/>
          <w:color w:val="111111"/>
          <w:sz w:val="28"/>
          <w:szCs w:val="28"/>
          <w:rtl w:val="true"/>
          <w:lang w:bidi="ar-SA"/>
        </w:rPr>
        <w:t xml:space="preserve">. </w:t>
      </w:r>
      <w:bookmarkStart w:id="628" w:name="pg18987_179837"/>
    </w:p>
    <w:p>
      <w:pPr>
        <w:pStyle w:val="BookText"/>
        <w:rPr/>
      </w:pPr>
      <w:bookmarkEnd w:id="628"/>
      <w:r>
        <w:rPr>
          <w:rFonts w:ascii="Amiri" w:hAnsi="Amiri" w:eastAsia="Amiri" w:cs="Amiri"/>
          <w:color w:val="111111"/>
          <w:sz w:val="28"/>
          <w:sz w:val="28"/>
          <w:szCs w:val="28"/>
          <w:rtl w:val="true"/>
          <w:lang w:bidi="ar-SA"/>
        </w:rPr>
        <w:t>فالمحصّل من هذا كلّه انّ للفقهاء الوراثة عن الأنبياء في جميع ما يُورث، و من جملته الولاية في الحكم و السلطة؛ فدلالة الحديثين على ما نحن فيه تامّةٌ لايجوز الارتياب فيها</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13100096_1280447820"/>
      <w:bookmarkStart w:id="630" w:name="_Toc254"/>
      <w:bookmarkEnd w:id="629"/>
      <w:r>
        <w:rPr>
          <w:rtl w:val="true"/>
        </w:rPr>
        <w:t>الرواية التّاسعة</w:t>
      </w:r>
      <w:bookmarkEnd w:id="630"/>
    </w:p>
    <w:p>
      <w:pPr>
        <w:pStyle w:val="BookText"/>
        <w:rPr/>
      </w:pPr>
      <w:r>
        <w:rPr>
          <w:rFonts w:ascii="Amiri" w:hAnsi="Amiri" w:eastAsia="Amiri" w:cs="Amiri"/>
          <w:color w:val="111111"/>
          <w:sz w:val="28"/>
          <w:sz w:val="28"/>
          <w:szCs w:val="28"/>
          <w:rtl w:val="true"/>
          <w:lang w:bidi="ar-SA"/>
        </w:rPr>
        <w:t>و هي ما رواه الصدوق رحمه الله في العلل</w:t>
      </w:r>
      <w:r>
        <w:rPr>
          <w:rStyle w:val="FootnoteAnchor"/>
          <w:rtl w:val="true"/>
        </w:rPr>
        <w:footnoteReference w:id="347"/>
      </w:r>
      <w:r>
        <w:rPr>
          <w:rFonts w:ascii="Amiri" w:hAnsi="Amiri" w:eastAsia="Amiri" w:cs="Amiri"/>
          <w:color w:val="111111"/>
          <w:sz w:val="28"/>
          <w:sz w:val="28"/>
          <w:szCs w:val="28"/>
          <w:rtl w:val="true"/>
          <w:lang w:bidi="ar-SA"/>
        </w:rPr>
        <w:t>عن الفضل بن شاذان عن الرضا عليه السلام، و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فلِمَجعل أولي الأمر و أمر بطاعتهم؟</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الخلق لمّا وقفوا على حدٍّ محدودٍ و أُمروا أن لايتعدّوا ذلك الحدّ لما فيه من فسادهم لم يكن يثبت ذلك و لايقوم إلّابأن يُجعل عليهم فيه أميناً يمنعهم من التعدّي و الدخول فيما خطر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لم يكن ذلك كذلك لكان أحدٌ لايترك لذّته و منفعته لفساد غيره، فجعل عليهم قيّماً يمنعهم من الفساد و يقيم فيهم الحدود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فذكر الصدوق رحمه الله صدره فقط</w:t>
      </w:r>
      <w:r>
        <w:rPr>
          <w:rStyle w:val="FootnoteAnchor"/>
          <w:rtl w:val="true"/>
        </w:rPr>
        <w:footnoteReference w:id="348"/>
      </w:r>
      <w:r>
        <w:rPr>
          <w:rFonts w:ascii="Amiri" w:hAnsi="Amiri" w:eastAsia="Amiri" w:cs="Amiri"/>
          <w:color w:val="111111"/>
          <w:sz w:val="28"/>
          <w:sz w:val="28"/>
          <w:szCs w:val="28"/>
          <w:rtl w:val="true"/>
          <w:lang w:bidi="ar-SA"/>
        </w:rPr>
        <w:t>، و تمامه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عن عبدالواحد بن عبدوس عن عليّ بن محمّد بن قتيبة عن 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السند صحيحٌ؛ و تفصيل الكلام فيه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عبدالواحد بن عبدوس فيُعدّ من مشايخ الصدوق، و قد أكثر من الرواية عنه</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أضف إلى ذلك ما نصّ عليه الرجاليّون من وثاقته، منهم الكشّي و ابن داود</w:t>
      </w:r>
      <w:r>
        <w:rPr>
          <w:rStyle w:val="FootnoteAnchor"/>
          <w:rtl w:val="true"/>
        </w:rPr>
        <w:footnoteReference w:id="350"/>
      </w:r>
      <w:r>
        <w:rPr>
          <w:rFonts w:ascii="Amiri" w:hAnsi="Amiri" w:eastAsia="Amiri" w:cs="Amiri"/>
          <w:color w:val="111111"/>
          <w:sz w:val="28"/>
          <w:sz w:val="28"/>
          <w:szCs w:val="28"/>
          <w:rtl w:val="true"/>
          <w:lang w:bidi="ar-SA"/>
        </w:rPr>
        <w:t xml:space="preserve">و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يونس بن عبدالرحمن</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ابن قتيبة فهو أيضاً من المشايخ الأجلّاء، و قد صحّحه كلٌّ من الكشّي</w:t>
      </w:r>
      <w:r>
        <w:rPr>
          <w:rStyle w:val="FootnoteAnchor"/>
          <w:rtl w:val="true"/>
        </w:rPr>
        <w:footnoteReference w:id="352"/>
      </w:r>
      <w:r>
        <w:rPr>
          <w:rFonts w:ascii="IRNazanin" w:hAnsi="IRNazanin" w:eastAsia="IRNazanin"/>
          <w:color w:val="111111"/>
          <w:sz w:val="28"/>
          <w:sz w:val="28"/>
          <w:szCs w:val="28"/>
          <w:rtl w:val="true"/>
          <w:lang w:bidi="fa-IR"/>
        </w:rPr>
        <w:t>و ابن داود</w:t>
      </w:r>
      <w:r>
        <w:rPr>
          <w:rStyle w:val="FootnoteAnchor"/>
          <w:rtl w:val="true"/>
        </w:rPr>
        <w:footnoteReference w:id="353"/>
      </w:r>
      <w:r>
        <w:rPr>
          <w:rFonts w:ascii="Amiri" w:hAnsi="Amiri" w:eastAsia="Amiri" w:cs="Amiri"/>
          <w:color w:val="111111"/>
          <w:sz w:val="28"/>
          <w:sz w:val="28"/>
          <w:szCs w:val="28"/>
          <w:rtl w:val="true"/>
          <w:lang w:bidi="ar-SA"/>
        </w:rPr>
        <w:t>و العلّامة</w:t>
      </w:r>
      <w:r>
        <w:rPr>
          <w:rStyle w:val="FootnoteAnchor"/>
          <w:rtl w:val="true"/>
        </w:rPr>
        <w:footnoteReference w:id="354"/>
      </w:r>
      <w:r>
        <w:rPr>
          <w:rFonts w:ascii="Amiri" w:hAnsi="Amiri" w:eastAsia="Amiri" w:cs="Amiri"/>
          <w:color w:val="111111"/>
          <w:sz w:val="28"/>
          <w:sz w:val="28"/>
          <w:szCs w:val="28"/>
          <w:rtl w:val="true"/>
          <w:lang w:bidi="ar-SA"/>
        </w:rPr>
        <w:t>و ثاني الشهيدَين</w:t>
      </w:r>
      <w:r>
        <w:rPr>
          <w:rStyle w:val="FootnoteAnchor"/>
          <w:rtl w:val="true"/>
        </w:rPr>
        <w:footnoteReference w:id="355"/>
      </w:r>
      <w:r>
        <w:rPr>
          <w:rFonts w:ascii="Amiri" w:hAnsi="Amiri" w:eastAsia="Amiri" w:cs="Amiri"/>
          <w:color w:val="111111"/>
          <w:sz w:val="28"/>
          <w:sz w:val="28"/>
          <w:szCs w:val="28"/>
          <w:rtl w:val="true"/>
          <w:lang w:bidi="ar-SA"/>
        </w:rPr>
        <w:t>و الأردبيليّ‌</w:t>
      </w:r>
      <w:r>
        <w:rPr>
          <w:rStyle w:val="FootnoteAnchor"/>
          <w:rtl w:val="true"/>
        </w:rPr>
        <w:footnoteReference w:id="356"/>
      </w:r>
      <w:r>
        <w:rPr>
          <w:rFonts w:ascii="Amiri" w:hAnsi="Amiri" w:eastAsia="Amiri" w:cs="Amiri"/>
          <w:color w:val="111111"/>
          <w:sz w:val="28"/>
          <w:sz w:val="28"/>
          <w:szCs w:val="28"/>
          <w:rtl w:val="true"/>
          <w:lang w:bidi="ar-SA"/>
        </w:rPr>
        <w:t>و المامقانيّ‌</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فالسند في غاية الرفعة لامجال للخدشة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دلالة الحديث على ما نحن بصدده فظاهرةٌ، و قد ذكرنا شيئاً حولها فيما مضى من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نزيد عليه هيهنا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الإمام عليه السلام في هذا الحديث إلى لمّيّة احتياج الناس إلى الوالي، و ما هي إلّاالتضادّ الواقع بين منافعهم و أهوائهم، فلو لم تكن دولةٌ تقوم بأمر تنظيم أمورهم الجماعيّة و ما يرجع إليها ليؤول أمر المجتمع إلى الفساد و الهرج و الإضطراب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من وجود ولايةٍ، و لاولاية إلّابالوالي، و الوالي 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 فيهم الحدود و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هو إلّاالفقيه العارف بهما</w:t>
      </w:r>
      <w:r>
        <w:rPr>
          <w:rFonts w:eastAsia="Amiri" w:cs="Amiri" w:ascii="Amiri" w:hAnsi="Amiri"/>
          <w:color w:val="111111"/>
          <w:sz w:val="28"/>
          <w:szCs w:val="28"/>
          <w:rtl w:val="true"/>
          <w:lang w:bidi="ar-SA"/>
        </w:rPr>
        <w:t xml:space="preserve">. </w:t>
      </w:r>
      <w:bookmarkStart w:id="631" w:name="pg18987_179839"/>
    </w:p>
    <w:p>
      <w:pPr>
        <w:pStyle w:val="BookText"/>
        <w:rPr/>
      </w:pPr>
      <w:bookmarkEnd w:id="631"/>
      <w:r>
        <w:rPr>
          <w:rFonts w:ascii="Amiri" w:hAnsi="Amiri" w:eastAsia="Amiri" w:cs="Amiri"/>
          <w:color w:val="111111"/>
          <w:sz w:val="28"/>
          <w:sz w:val="28"/>
          <w:szCs w:val="28"/>
          <w:rtl w:val="true"/>
          <w:lang w:bidi="ar-SA"/>
        </w:rPr>
        <w:t>فدلالته أيضاً على ثبوت الولاية للفقيه تامّةٌ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نكتةٍ؛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صدر أوّلاً لاثبات ولاية المعصومين عليهم السلام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فلِمَجعل أولي الأمر و أمر بطاعتهم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لاخلاف بين الإماميّة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بإطلاقه ينصرف إليهم عليهم السلام؛ و لكنّ العلّة المشروحة في الحديث معمّمةٌ حيث لاخلاف في ثبوت حاجة الناس إلى الولاية و الوالي في كلّ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فيه زمن الغيبة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زمن الغيبة الفقيه هو الّذي يقوم بإقامة الحدود و الأحكام، لأنّه هو العارف بها الواقف عليها، فهذه العلّة عمّمت الحديث و أخرجته عن مصاديقه الأوّليّة الأصليّة إلى كلّ من يصلح لأن يستخلف عنهم عليهم السلام، و هو الفقيه الجامع لشرائط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للحديث تتمّةٌ لها شأنٌ عال لاثبات ما نحن فيه، و لكن بما أنّها مضت فيما تقدّم من هذه الرسالة لانعيدها و نهيل القارىء الكريم إليها</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13100098_1280447820"/>
      <w:bookmarkStart w:id="633" w:name="_Toc255"/>
      <w:bookmarkEnd w:id="632"/>
      <w:r>
        <w:rPr>
          <w:rtl w:val="true"/>
        </w:rPr>
        <w:t>الرواية العاشرة</w:t>
      </w:r>
      <w:bookmarkEnd w:id="633"/>
    </w:p>
    <w:p>
      <w:pPr>
        <w:pStyle w:val="BookText"/>
        <w:rPr/>
      </w:pPr>
      <w:r>
        <w:rPr>
          <w:rFonts w:ascii="Amiri" w:hAnsi="Amiri" w:eastAsia="Amiri" w:cs="Amiri"/>
          <w:color w:val="111111"/>
          <w:sz w:val="28"/>
          <w:sz w:val="28"/>
          <w:szCs w:val="28"/>
          <w:rtl w:val="true"/>
          <w:lang w:bidi="ar-SA"/>
        </w:rPr>
        <w:t>و من الروايات الدالّة على ثبوت الولاية للفقيه ما علّق أحكام الإسلام السياسيّة و الجماعيّة على وجود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مضت الإشارة إلى أنّ من الأحكام االإسلاميّة ما هو فرديٌّ يجب على المكلّف بما هو مسلمٌ 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هو جماعيٌّ يجب على المكلّف بما هو مسلمٌ يعيش في مجتمع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كالجهاد و الأمر بالمعروف و النهي عن المنكر و القضاء و إجراء القصاص و الديات و ما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تزيد على النصف من أحكامه، بل تبلغ ثلثيه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الروايات دلالةٌ تامّةٌ على ثبوت منصب الولاية لمن يستطيع أن يقوم بأمر هذه الأحكام، إذ من البيّن عدم طروّ التعطيل للأحكام في زمن الغيبة،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المستحيل عند العقل أن يُشَرَّع حكمٌ لمدّةٍ قليلةٍ كانت زمن دولة النبيّ و أميرالمؤمنين و الإمام المجتبى عليهم السلام </w:t>
      </w:r>
    </w:p>
    <w:p>
      <w:pPr>
        <w:pStyle w:val="BookText"/>
        <w:rPr/>
      </w:pPr>
      <w:r>
        <w:rPr>
          <w:rFonts w:ascii="Amiri" w:hAnsi="Amiri" w:eastAsia="Amiri" w:cs="Amiri"/>
          <w:color w:val="111111"/>
          <w:sz w:val="28"/>
          <w:sz w:val="28"/>
          <w:szCs w:val="28"/>
          <w:rtl w:val="true"/>
          <w:lang w:bidi="ar-SA"/>
        </w:rPr>
        <w:t>ثمّ يعرضه التعطيل إلى قيام مولانا الحجّة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روايةٍ دالّةٍ على تعليق أحكام الإسلام الجماعيّة على وجود الدولة و الحكم دلالةٌ على ثبوت الحكم و الولاية للفقيه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نأتي بثلاثةٍ من هذه الروايات فقط تجنّباً عن التطويل، و أمثالها كثيرةٌ تظهر لمن تفحّص أبواب القضاء و صفات القاضي من كتاب الوسائل؛</w:t>
      </w:r>
    </w:p>
    <w:p>
      <w:pPr>
        <w:pStyle w:val="BookText"/>
        <w:rPr/>
      </w:pPr>
      <w:r>
        <w:rPr>
          <w:rFonts w:ascii="Amiri" w:hAnsi="Amiri" w:eastAsia="Amiri" w:cs="Amiri"/>
          <w:color w:val="111111"/>
          <w:sz w:val="28"/>
          <w:sz w:val="28"/>
          <w:szCs w:val="28"/>
          <w:rtl w:val="true"/>
          <w:lang w:bidi="ar-SA"/>
        </w:rPr>
        <w:t>فمنها ما رواه الكلينيّ رحمه الله</w:t>
      </w:r>
      <w:r>
        <w:rPr>
          <w:rStyle w:val="FootnoteAnchor"/>
          <w:rtl w:val="true"/>
        </w:rPr>
        <w:footnoteReference w:id="358"/>
      </w:r>
      <w:r>
        <w:rPr>
          <w:rFonts w:ascii="Amiri" w:hAnsi="Amiri" w:eastAsia="Amiri" w:cs="Amiri"/>
          <w:color w:val="111111"/>
          <w:sz w:val="28"/>
          <w:sz w:val="28"/>
          <w:szCs w:val="28"/>
          <w:rtl w:val="true"/>
          <w:lang w:bidi="ar-SA"/>
        </w:rPr>
        <w:t>، و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محمّد بن الحسين عن عليّ بن النعمان عن سويد القلانسيّ عن بشيرٍ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المنام انّي 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القتال مع غير الإمام المفترض طاعته حرامٌ مثل الميتة و الدم و لحم الخنزير،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w:t>
      </w:r>
    </w:p>
    <w:p>
      <w:pPr>
        <w:pStyle w:val="BookText"/>
        <w:rPr/>
      </w:pP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هو كذلك،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صحيحٌ، و دلالة الحديث على ما نحن بصدده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الجهاد من أحكام الإسلام الجماعيّة و لايصحّ مع كلّ حاكمٍ متغلّبٍ أو مع من اختاره الناس من غير أن يكون مفترض الطاعة، و لامفترض الطاعة إلّاالفقيه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عليه مقبولة عمر بن حنظلة، و مشهورة أبي خديجة، و التوقيع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الحلبيّ، و نصّها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بين الرجلين من أصحابنا المنازعة في الشيء </w:t>
      </w:r>
    </w:p>
    <w:p>
      <w:pPr>
        <w:pStyle w:val="BookText"/>
        <w:rPr/>
      </w:pPr>
      <w:r>
        <w:rPr>
          <w:rFonts w:ascii="Amiri" w:hAnsi="Amiri" w:eastAsia="Amiri" w:cs="Amiri"/>
          <w:color w:val="111111"/>
          <w:sz w:val="28"/>
          <w:sz w:val="28"/>
          <w:szCs w:val="28"/>
          <w:rtl w:val="true"/>
          <w:lang w:bidi="ar-SA"/>
        </w:rPr>
        <w:t>فيتراضيان برجلٍ منّا؟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الّذي يجبر الناس على حكمه بالسيف و السوط</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سند الحديث صحيحٌ، و دلالته واضحةٌ حيث دلّ على لزوم وجود والٍ يجبّر الناس على الخضوع لحكمه بالقوّة المجرية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و السوط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للحديث لسانٌ ظاهرٌ على عدم كفاية التراضي في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فلايكفي أن يتراضى كلّ اثنين برجلٍ يحكم بينهما، بل يجب أن تكون دولةٌ مقتدرةٌ لتقوم بوظائف الحكم و منها تعيين القضاة لكلّ بلدٍ حتّى لايتشتّت أمر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جعفر بن الغياث، و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سليمان بن داود المنقريّ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يقيم الحدود؟ السلطان أو القاضي؟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إلى من إليه الحكم</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الصحيحة دالّةٌ على وجود الحاكم بل على ضرورته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المستحيل أن ينتظم المجتمع من غير أن يسلّط عليه أحدٌ يقيم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هو القاضي أو السلطان المرسومين في ذلك الزمن، فهو الرجل الخبير بأحكام الإسلام المفوَّض إليه الحكم من قبل المعصومين عليهم السلام، و ليس هو إلّاالفقيه الجامع لشرائط الفتيا</w:t>
      </w:r>
      <w:r>
        <w:rPr>
          <w:rFonts w:eastAsia="Amiri" w:cs="Amiri" w:ascii="Amiri" w:hAnsi="Amiri"/>
          <w:color w:val="111111"/>
          <w:sz w:val="28"/>
          <w:szCs w:val="28"/>
          <w:rtl w:val="true"/>
          <w:lang w:bidi="ar-SA"/>
        </w:rPr>
        <w:t xml:space="preserve">. </w:t>
      </w:r>
      <w:bookmarkStart w:id="634" w:name="pg18987_179842"/>
    </w:p>
    <w:p>
      <w:pPr>
        <w:pStyle w:val="BookText"/>
        <w:rPr/>
      </w:pPr>
      <w:bookmarkEnd w:id="634"/>
      <w:r>
        <w:rPr>
          <w:rFonts w:ascii="IRNazanin" w:hAnsi="IRNazanin" w:eastAsia="IRNazanin"/>
          <w:color w:val="111111"/>
          <w:sz w:val="28"/>
          <w:sz w:val="28"/>
          <w:szCs w:val="28"/>
          <w:rtl w:val="true"/>
          <w:lang w:bidi="fa-IR"/>
        </w:rPr>
        <w:t>و منها ما رواه صاحب الوسائل</w:t>
      </w:r>
      <w:r>
        <w:rPr>
          <w:rStyle w:val="FootnoteAnchor"/>
          <w:rtl w:val="true"/>
        </w:rPr>
        <w:footnoteReference w:id="361"/>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إقامة الحدود فهو إلى سلطان الإسلام المنصوب من قِبل اللّه، و هم أئمّة الهدى من آل محمّد صلى الله عليه و آله و من نصبوه لذلك من الأمراء و الحكّام، و قد فوّضوا النظر فيه إلى فقهاء شيعتهم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نصّ عبارة المفيد رحمه الله</w:t>
      </w:r>
      <w:r>
        <w:rPr>
          <w:rStyle w:val="FootnoteAnchor"/>
          <w:rtl w:val="true"/>
        </w:rPr>
        <w:footnoteReference w:id="362"/>
      </w:r>
      <w:r>
        <w:rPr>
          <w:rFonts w:ascii="Amiri" w:hAnsi="Amiri" w:eastAsia="Amiri" w:cs="Amiri"/>
          <w:color w:val="111111"/>
          <w:sz w:val="28"/>
          <w:sz w:val="28"/>
          <w:szCs w:val="28"/>
          <w:rtl w:val="true"/>
          <w:lang w:bidi="ar-SA"/>
        </w:rPr>
        <w:t>في المقنعة، و قد ذكره الحرّ كحديثٍ، فلوكان حديثاً فنعمّا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بيان الحكم و تعيين الموضوع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إقامة الحدود و غيرها من أحكام الإسلام الجماعيّة و بيان من يصلح للقيام بإقامة هذه الأحكام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فوّضوا النظر فيه إلى فقهاء شيعتهم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صريحٌ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تكن العبارة نصّ حديثٍ بل كانت من قلم المفيد الشريف فلاضير فيه، إذ انّها مستنبطةٌ من عدّة رواياتٍ، منها صحيحة جعفر بن غياث الّتي مرّ ذكرها قبل المنقول عن المفيد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الروايات كثيرةٌ و قد أشرنا إلى كثرتها و انتشارها في جميع أبواب الفقه، فعلى الطالب أن يتفحّص أبواب الأحكام من الطهارات إلى الديات ليقف على كثيرٍ منها قد دلّ على ثبوت الولاية لمن يستطيع أن يقوم بإجراء أحكام الإسلام الجماعيّة كما هو حقّها</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13100100_1280447820"/>
      <w:bookmarkStart w:id="636" w:name="_Toc256"/>
      <w:bookmarkEnd w:id="635"/>
      <w:r>
        <w:rPr>
          <w:rtl w:val="true"/>
        </w:rPr>
        <w:t>الرواية الحادي عشرة</w:t>
      </w:r>
      <w:bookmarkEnd w:id="636"/>
    </w:p>
    <w:p>
      <w:pPr>
        <w:pStyle w:val="Heading6"/>
        <w:numPr>
          <w:ilvl w:val="5"/>
          <w:numId w:val="1"/>
        </w:numPr>
        <w:rPr/>
      </w:pPr>
      <w:bookmarkStart w:id="637" w:name="__RefHeading___Toc13100102_1280447820"/>
      <w:bookmarkStart w:id="638" w:name="_Toc257"/>
      <w:bookmarkEnd w:id="637"/>
      <w:r>
        <w:rPr>
          <w:rtl w:val="true"/>
        </w:rPr>
        <w:t>اشارة</w:t>
      </w:r>
      <w:bookmarkEnd w:id="63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العنوان يشير إلى جمعٍ من الأحاديث لها دلالةٌ على شمول الإسلام و جامعيّته </w:t>
      </w:r>
      <w:bookmarkStart w:id="639" w:name="pg18987_179843"/>
    </w:p>
    <w:p>
      <w:pPr>
        <w:pStyle w:val="BookText"/>
        <w:rPr/>
      </w:pPr>
      <w:bookmarkEnd w:id="639"/>
      <w:r>
        <w:rPr>
          <w:rFonts w:ascii="Amiri" w:hAnsi="Amiri" w:eastAsia="Amiri" w:cs="Amiri"/>
          <w:color w:val="111111"/>
          <w:sz w:val="28"/>
          <w:sz w:val="28"/>
          <w:szCs w:val="28"/>
          <w:rtl w:val="true"/>
          <w:lang w:bidi="ar-SA"/>
        </w:rPr>
        <w:t>بالنسبة إلى جميع ما تحتاج إليه الناس في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كثيرةٌ؛</w:t>
      </w:r>
    </w:p>
    <w:p>
      <w:pPr>
        <w:pStyle w:val="BookText"/>
        <w:rPr/>
      </w:pPr>
      <w:r>
        <w:rPr>
          <w:rFonts w:ascii="Amiri" w:hAnsi="Amiri" w:eastAsia="Amiri" w:cs="Amiri"/>
          <w:color w:val="111111"/>
          <w:sz w:val="28"/>
          <w:sz w:val="28"/>
          <w:szCs w:val="28"/>
          <w:rtl w:val="true"/>
          <w:lang w:bidi="ar-SA"/>
        </w:rPr>
        <w:t>منها موثّقة أبي حمزة الثمالي عن أبي جعفر عليه السلام، و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 شيءٍ يقرّبكم من الجنّة و يباعدكم من النار إلّاو قد أمرتكم به، و ما من شيءٍ يقرّبكم من النار و يباعدكم من الجنّة إلّاو قد نهيتكم عنه</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و ما يشبهه يُمكن أن يراد منه أحد معنيين</w:t>
      </w:r>
      <w:r>
        <w:rPr>
          <w:rFonts w:eastAsia="Amiri" w:cs="Amiri" w:ascii="Amiri" w:hAnsi="Amiri"/>
          <w:color w:val="111111"/>
          <w:sz w:val="28"/>
          <w:szCs w:val="28"/>
          <w:rtl w:val="true"/>
          <w:lang w:bidi="ar-SA"/>
        </w:rPr>
        <w:t>:</w:t>
      </w:r>
    </w:p>
    <w:p>
      <w:pPr>
        <w:pStyle w:val="Heading6"/>
        <w:numPr>
          <w:ilvl w:val="5"/>
          <w:numId w:val="1"/>
        </w:numPr>
        <w:rPr/>
      </w:pPr>
      <w:bookmarkStart w:id="640" w:name="__RefHeading___Toc13100104_1280447820"/>
      <w:bookmarkStart w:id="641" w:name="_Toc258"/>
      <w:bookmarkEnd w:id="640"/>
      <w:r>
        <w:rPr>
          <w:rtl w:val="true"/>
        </w:rPr>
        <w:t>الأوّل</w:t>
      </w:r>
      <w:r>
        <w:rPr>
          <w:rtl w:val="true"/>
        </w:rPr>
        <w:t>:</w:t>
      </w:r>
      <w:bookmarkEnd w:id="641"/>
    </w:p>
    <w:p>
      <w:pPr>
        <w:pStyle w:val="BookText"/>
        <w:rPr/>
      </w:pPr>
      <w:r>
        <w:rPr>
          <w:rFonts w:ascii="Amiri" w:hAnsi="Amiri" w:eastAsia="Amiri" w:cs="Amiri"/>
          <w:color w:val="111111"/>
          <w:sz w:val="28"/>
          <w:sz w:val="28"/>
          <w:szCs w:val="28"/>
          <w:rtl w:val="true"/>
          <w:lang w:bidi="ar-SA"/>
        </w:rPr>
        <w:t xml:space="preserve">إنّ قوله صلى الله عليه و آله هذا إشارةٌ إلى القرآن الكريم، إذ القرآن الكريم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و وصف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لَارَطْبٍ وَ لَايَابِسٍ إِلَّا فِي كِتَابٍ مُبِينٍ</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قوله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إلّاو قد أمرتكم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إلّاو قد نهيتكم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و قد أمرتكم به في القرآن و نهيتكم عنه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لابأس به، و لكن لوكان هذا هو مراده صلى الله عليه و آله من قوله فلادلالة له على ما نحن بصدده، بل هو إجنبيٌّ عن المقام</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13100106_1280447820"/>
      <w:bookmarkStart w:id="643" w:name="_Toc259"/>
      <w:bookmarkEnd w:id="642"/>
      <w:r>
        <w:rPr>
          <w:rtl w:val="true"/>
        </w:rPr>
        <w:t>الثّاني</w:t>
      </w:r>
      <w:r>
        <w:rPr>
          <w:rtl w:val="true"/>
        </w:rPr>
        <w:t>:</w:t>
      </w:r>
      <w:bookmarkEnd w:id="64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جاء بقواعد كلّيّةٍ هي مشروحةٌ في شريعته و العارف بالشريعة و دقائقها يقتدر على الإجابة عمّا يحتاج إليه الناس في جميع الصور بالنظر إلى هذه القواعد الكلّيّة، فالفقيه لوكان خبيراً بأحكام الإسلام الأوّليّة ثمّ مستنبطاً في قواعده الثانويّة فله أن يجيب عمّا يحدث للمجتمع من 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الرسول يرجع إلى أنّ النبي و أهل بيته عليهم السلام هم الهادون للناس الرافعون لحوائجهم بما لهم من العلم التامّ الموهوب لهم من عنداللّه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بعدهم للفقيه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المعرفة بأحكام </w:t>
      </w:r>
    </w:p>
    <w:p>
      <w:pPr>
        <w:pStyle w:val="BookText"/>
        <w:rPr/>
      </w:pPr>
      <w:r>
        <w:rPr>
          <w:rFonts w:ascii="Amiri" w:hAnsi="Amiri" w:eastAsia="Amiri" w:cs="Amiri"/>
          <w:color w:val="111111"/>
          <w:sz w:val="28"/>
          <w:sz w:val="28"/>
          <w:szCs w:val="28"/>
          <w:rtl w:val="true"/>
          <w:lang w:bidi="ar-SA"/>
        </w:rPr>
        <w:t xml:space="preserve">الإسلام الأوّليّة و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يتصدّى لما قد تصدّى له أهل العصمة عليهم السلام، فكما أنّهم قادرون على تقريب الناس إلى الجنّة و تبعيدهم عن النار فللفقيه أيضاً أن يبيّن لهم كلّ ما يحتاجون إليه ليتقرّبوا إلى الجنّة و يتبعّدوا عن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جعل الحديث دالّاً على ثبوت الولاية للفقيه؛ و لاخفاء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يخرجني من الدنيا حتّى بيّنت للأمّة جميع ما تحتاج إليه</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صحيحةٌ، و هي لم ترد في الوسائل</w:t>
      </w:r>
      <w:r>
        <w:rPr>
          <w:rStyle w:val="FootnoteAnchor"/>
          <w:rtl w:val="true"/>
        </w:rPr>
        <w:footnoteReference w:id="367"/>
      </w:r>
      <w:r>
        <w:rPr>
          <w:rFonts w:ascii="Amiri" w:hAnsi="Amiri" w:eastAsia="Amiri" w:cs="Amiri"/>
          <w:color w:val="111111"/>
          <w:sz w:val="28"/>
          <w:sz w:val="28"/>
          <w:szCs w:val="28"/>
          <w:rtl w:val="true"/>
          <w:lang w:bidi="ar-SA"/>
        </w:rPr>
        <w:t>و لكن رواها المحدّث المحقّق الفيض رحمه الله في الوافي</w:t>
      </w:r>
      <w:r>
        <w:rPr>
          <w:rStyle w:val="FootnoteAnchor"/>
          <w:rtl w:val="true"/>
        </w:rPr>
        <w:footnoteReference w:id="368"/>
      </w:r>
      <w:r>
        <w:rPr>
          <w:rFonts w:ascii="Amiri" w:hAnsi="Amiri" w:eastAsia="Amiri" w:cs="Amiri"/>
          <w:color w:val="111111"/>
          <w:sz w:val="28"/>
          <w:sz w:val="28"/>
          <w:szCs w:val="28"/>
          <w:rtl w:val="true"/>
          <w:lang w:bidi="ar-SA"/>
        </w:rPr>
        <w:t>و قد أوردها السيّد الأستاذ الإمام الخمينيّ رحمه الله في كتاب البيع</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تقريب الاستدلال بها ما مضى في السابقة عليها؛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كثيرٍ من جوامعنا الروائيّة ما يشبه الحديثين، و بعض ذلك و إن كان بالنظر إلى سنده ضعيفاً غير قابلٍ للركون إليه و لكن الحقّ انّ انضمام بعض هذه الجملة إلى بعضٍ آخر يفيد الوثوق إلى صدور المضمون عن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فلنذكر قسطاً منها ليفيدنا في المقام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قوله صلى الله عليه و 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بمنزلة الأنبياء</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المشهور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أفضل من أنبياء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لم أعثر عليه في المصادر الروائيّة</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بمنزلة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كثيرٍ من المصادر؛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Style w:val="FootnoteAnchor"/>
          <w:rtl w:val="true"/>
        </w:rPr>
        <w:footnoteReference w:id="372"/>
      </w:r>
      <w:r>
        <w:rPr>
          <w:rFonts w:ascii="Amiri" w:hAnsi="Amiri" w:eastAsia="Amiri" w:cs="Amiri"/>
          <w:color w:val="111111"/>
          <w:sz w:val="28"/>
          <w:sz w:val="28"/>
          <w:szCs w:val="28"/>
          <w:rtl w:val="true"/>
          <w:lang w:bidi="ar-SA"/>
        </w:rPr>
        <w:t>، و العوالي</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فقه الرضا</w:t>
      </w:r>
      <w:r>
        <w:rPr>
          <w:rStyle w:val="FootnoteAnchor"/>
          <w:rtl w:val="true"/>
        </w:rPr>
        <w:footnoteReference w:id="374"/>
      </w:r>
      <w:r>
        <w:rPr>
          <w:rFonts w:ascii="Amiri" w:hAnsi="Amiri" w:eastAsia="Amiri" w:cs="Amiri"/>
          <w:color w:val="111111"/>
          <w:sz w:val="28"/>
          <w:sz w:val="28"/>
          <w:szCs w:val="28"/>
          <w:rtl w:val="true"/>
          <w:lang w:bidi="ar-SA"/>
        </w:rPr>
        <w:t>من 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الفقيه في هذا الوقت كمنزلة الأنبياء في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جامع الأخبار</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كتابٌ نفيسٌ، و من الجدير بأهل الخطابة الجالسين على عروش المنابر أن يهتمّوا به، إذ فيه ما ينفعهم و يعينهم في أمر الإرشاد و إبلاغ رسالات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قول النبيّ صلى الله عليه و آله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أفتخر يوم القيامة بعلماء أمّتي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حكماء أمّتي كسائر الأنبياء قبلي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الآمديّ في الغرروالدرر</w:t>
      </w:r>
      <w:r>
        <w:rPr>
          <w:rStyle w:val="FootnoteAnchor"/>
          <w:rtl w:val="true"/>
        </w:rPr>
        <w:footnoteReference w:id="376"/>
      </w:r>
      <w:r>
        <w:rPr>
          <w:rFonts w:ascii="Amiri" w:hAnsi="Amiri" w:eastAsia="Amiri" w:cs="Amiri"/>
          <w:color w:val="111111"/>
          <w:sz w:val="28"/>
          <w:sz w:val="28"/>
          <w:szCs w:val="28"/>
          <w:rtl w:val="true"/>
          <w:lang w:bidi="ar-SA"/>
        </w:rPr>
        <w:t>عن مولانا أميرالمؤمنين عليه السلام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حكّامٌ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 الناس بالأنبياء أعلمهم بما جاؤوا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هذه الأحاديث الّتي بلغ عددها حدّاً يوجب الوثوق بصدور مضمونها عن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للفقهاء شأناً كشأن الأنبياء المبلّغين الّذين كانوا تابعين للأنبياء أصحاب التشريع، كالنبيّ لوط عليه السلام حيث كان مبلّغاً لما جاء به الرسول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فإبراهيم من أصحاب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قليلون بالنسبة إلى عدد الأنبياء، بل لايزيد عددهم حدّ أصابع يدٍ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لوط من أصحاب التبليع</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لهذه الروايات دلالةٌ على أنّ للفقهاء شأناً مثل ما كان للأنبياء المبلّغين، و مضت منا الإشارة في التذييل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 وَ أَنْزَلْنَا الْحَدِيدَ فِيهِ بَأْسٌ شَدِيدٌ</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إلى أنّ للأنبياء مرتبة الحكم و مرتبة القضاء و مرتبة التبليغ، فللفقيه أيضاً هذه المراتب الثلاث</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644" w:name="pg18987_179847"/>
    </w:p>
    <w:p>
      <w:pPr>
        <w:pStyle w:val="Heading5"/>
        <w:numPr>
          <w:ilvl w:val="4"/>
          <w:numId w:val="1"/>
        </w:numPr>
        <w:rPr/>
      </w:pPr>
      <w:bookmarkStart w:id="645" w:name="__RefHeading___Toc13100108_1280447820"/>
      <w:bookmarkStart w:id="646" w:name="_Toc260"/>
      <w:bookmarkEnd w:id="644"/>
      <w:bookmarkEnd w:id="645"/>
      <w:r>
        <w:rPr>
          <w:rtl w:val="true"/>
        </w:rPr>
        <w:t>الرواية الثّانية عشرة</w:t>
      </w:r>
      <w:bookmarkEnd w:id="646"/>
    </w:p>
    <w:p>
      <w:pPr>
        <w:pStyle w:val="Heading6"/>
        <w:numPr>
          <w:ilvl w:val="5"/>
          <w:numId w:val="1"/>
        </w:numPr>
        <w:rPr/>
      </w:pPr>
      <w:bookmarkStart w:id="647" w:name="__RefHeading___Toc13100110_1280447820"/>
      <w:bookmarkStart w:id="648" w:name="_Toc261"/>
      <w:bookmarkEnd w:id="647"/>
      <w:r>
        <w:rPr>
          <w:rtl w:val="true"/>
        </w:rPr>
        <w:t>اشارة</w:t>
      </w:r>
      <w:bookmarkEnd w:id="648"/>
    </w:p>
    <w:p>
      <w:pPr>
        <w:pStyle w:val="BookText"/>
        <w:rPr/>
      </w:pPr>
      <w:r>
        <w:rPr>
          <w:rFonts w:ascii="Amiri" w:hAnsi="Amiri" w:eastAsia="Amiri" w:cs="Amiri"/>
          <w:color w:val="111111"/>
          <w:sz w:val="28"/>
          <w:sz w:val="28"/>
          <w:szCs w:val="28"/>
          <w:rtl w:val="true"/>
          <w:lang w:bidi="ar-SA"/>
        </w:rPr>
        <w:t>ما رواه ابن شعبه الحرّاني في تحف العقول</w:t>
      </w:r>
      <w:r>
        <w:rPr>
          <w:rStyle w:val="FootnoteAnchor"/>
          <w:rtl w:val="true"/>
        </w:rPr>
        <w:footnoteReference w:id="379"/>
      </w:r>
      <w:r>
        <w:rPr>
          <w:rFonts w:ascii="Amiri" w:hAnsi="Amiri" w:eastAsia="Amiri" w:cs="Amiri"/>
          <w:color w:val="111111"/>
          <w:sz w:val="28"/>
          <w:sz w:val="28"/>
          <w:szCs w:val="28"/>
          <w:rtl w:val="true"/>
          <w:lang w:bidi="ar-SA"/>
        </w:rPr>
        <w:t>عن مولى العالَمَين و سيّدالكونين أبي عبداللّه الحسين عليه السلام في خطبةٍ طويلةٍ له أنشأها في مكّة؛ و منها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 الأمور و الأحكام على أيدي العلماء باللّه الأمناء على حلاله و 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ففيه خلافٌ، و هو نشأ ممّا فعل ابن شعبة في كتابه من حذف الأسانيد و جعل الأحاديث 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لاريب في أنّ هذا ممّا فعله ابن شعبة نفسه، لا كما فعلته أيدي الدهور بتفسير العيّاشي من حذف أسانيده حبّاً للإختصار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لاتوجيه له؛ و يا ليته لم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أحاديث تحف العقول فقد ذهب جمعٌ إلى تصحيحها نظراً إلى أنّ الشيخ الحرّاني قد وثّقها حينما نقلها من غير ذكر سندٍ لها</w:t>
      </w:r>
      <w:r>
        <w:rPr>
          <w:rStyle w:val="FootnoteAnchor"/>
          <w:rtl w:val="true"/>
        </w:rPr>
        <w:footnoteReference w:id="380"/>
      </w:r>
      <w:r>
        <w:rPr>
          <w:rFonts w:ascii="Amiri" w:hAnsi="Amiri" w:eastAsia="Amiri" w:cs="Amiri"/>
          <w:color w:val="111111"/>
          <w:sz w:val="28"/>
          <w:sz w:val="28"/>
          <w:szCs w:val="28"/>
          <w:rtl w:val="true"/>
          <w:lang w:bidi="ar-SA"/>
        </w:rPr>
        <w:t>، منهم الشيخ الأعظم رحمه الله حيث أورد حديثاً منه في صدر كتابه المتاجر</w:t>
      </w:r>
      <w:r>
        <w:rPr>
          <w:rStyle w:val="FootnoteAnchor"/>
          <w:rtl w:val="true"/>
        </w:rPr>
        <w:footnoteReference w:id="381"/>
      </w:r>
      <w:r>
        <w:rPr>
          <w:rFonts w:ascii="Amiri" w:hAnsi="Amiri" w:eastAsia="Amiri" w:cs="Amiri"/>
          <w:color w:val="111111"/>
          <w:sz w:val="28"/>
          <w:sz w:val="28"/>
          <w:szCs w:val="28"/>
          <w:rtl w:val="true"/>
          <w:lang w:bidi="ar-SA"/>
        </w:rPr>
        <w:t>ثمّ فرّع عليه جملةً من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جمعٌ من أساتذتنا الكرام كآية اللّه العظمى البروجرديّ رحمه الله و سماحة الإمام الخمينيّ رحمه الله و آية اللّه العظمى المحقّق الداماد رحمه الله؛ و الظاهر انّ الشيخ المؤسّس آية اللّه العظمى الحائريّ رحمه الله كان يذهب إلى هذا المذهب، و هو قد أخذ عن السيّد الفشاركيّ رحمه الله، و هو عن المحقّق الميرزه الشيرازيّ الكبير رحمه الله، و هو عن الشيخ الأعظم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فتوثيق مراسيل التحف مشهورٌ، و إليه نمشي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السند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الدلالة، فالظاهر تماميّتها على اثبات الولاية للفقيه حيث 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و المشاكل الجماعيّة؛ 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أي</w:t>
      </w:r>
      <w:r>
        <w:rPr>
          <w:rFonts w:eastAsia="Amiri" w:cs="Amiri" w:ascii="Amiri" w:hAnsi="Amiri"/>
          <w:color w:val="111111"/>
          <w:sz w:val="28"/>
          <w:szCs w:val="28"/>
          <w:rtl w:val="true"/>
          <w:lang w:bidi="ar-SA"/>
        </w:rPr>
        <w:t xml:space="preserve">: </w:t>
      </w:r>
      <w:bookmarkStart w:id="649" w:name="pg18987_179848"/>
    </w:p>
    <w:p>
      <w:pPr>
        <w:pStyle w:val="BookText"/>
        <w:rPr/>
      </w:pPr>
      <w:bookmarkEnd w:id="649"/>
      <w:r>
        <w:rPr>
          <w:rFonts w:ascii="Amiri" w:hAnsi="Amiri" w:eastAsia="Amiri" w:cs="Amiri"/>
          <w:color w:val="111111"/>
          <w:sz w:val="28"/>
          <w:sz w:val="28"/>
          <w:szCs w:val="28"/>
          <w:rtl w:val="true"/>
          <w:lang w:bidi="ar-SA"/>
        </w:rPr>
        <w:t>جميع الموضوعات و المشاكل و أحكامها بأيدي العلماء، و لهم الولاية عليها؛ و منها الموضوعات الّتي تحدث في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فلها لسانٌ ظاهرٌ على ثبوتها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هيهنا كلمتان لبعضهم وقعتا في طرفي الإفراط و التفريط؛ و هما</w:t>
      </w:r>
      <w:r>
        <w:rPr>
          <w:rFonts w:eastAsia="Amiri" w:cs="Amiri" w:ascii="Amiri" w:hAnsi="Amiri"/>
          <w:color w:val="111111"/>
          <w:sz w:val="28"/>
          <w:szCs w:val="28"/>
          <w:rtl w:val="true"/>
          <w:lang w:bidi="ar-SA"/>
        </w:rPr>
        <w:t>:</w:t>
      </w:r>
    </w:p>
    <w:p>
      <w:pPr>
        <w:pStyle w:val="Heading6"/>
        <w:numPr>
          <w:ilvl w:val="5"/>
          <w:numId w:val="1"/>
        </w:numPr>
        <w:rPr/>
      </w:pPr>
      <w:bookmarkStart w:id="650" w:name="__RefHeading___Toc13100112_1280447820"/>
      <w:bookmarkStart w:id="651" w:name="_Toc262"/>
      <w:bookmarkEnd w:id="650"/>
      <w:r>
        <w:rPr>
          <w:rtl w:val="true"/>
        </w:rPr>
        <w:t>الكلمة الأولى</w:t>
      </w:r>
      <w:r>
        <w:rPr>
          <w:rtl w:val="true"/>
        </w:rPr>
        <w:t>:</w:t>
      </w:r>
      <w:bookmarkEnd w:id="651"/>
    </w:p>
    <w:p>
      <w:pPr>
        <w:pStyle w:val="BookText"/>
        <w:rPr/>
      </w:pPr>
      <w:r>
        <w:rPr>
          <w:rFonts w:ascii="Amiri" w:hAnsi="Amiri" w:eastAsia="Amiri" w:cs="Amiri"/>
          <w:color w:val="111111"/>
          <w:sz w:val="28"/>
          <w:sz w:val="28"/>
          <w:szCs w:val="28"/>
          <w:rtl w:val="true"/>
          <w:lang w:bidi="ar-SA"/>
        </w:rPr>
        <w:t>إنّ الحديث يشير إلى أصحاب العصمة، و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فلادلالة لها على ثبوتها له</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13100114_1280447820"/>
      <w:bookmarkStart w:id="653" w:name="_Toc263"/>
      <w:bookmarkEnd w:id="652"/>
      <w:r>
        <w:rPr>
          <w:rtl w:val="true"/>
        </w:rPr>
        <w:t>و الجواب</w:t>
      </w:r>
      <w:r>
        <w:rPr>
          <w:rtl w:val="true"/>
        </w:rPr>
        <w:t>:</w:t>
      </w:r>
      <w:bookmarkEnd w:id="653"/>
    </w:p>
    <w:p>
      <w:pPr>
        <w:pStyle w:val="BookText"/>
        <w:rPr/>
      </w:pPr>
      <w:r>
        <w:rPr>
          <w:rFonts w:ascii="Amiri" w:hAnsi="Amiri" w:eastAsia="Amiri" w:cs="Amiri"/>
          <w:color w:val="111111"/>
          <w:sz w:val="28"/>
          <w:sz w:val="28"/>
          <w:szCs w:val="28"/>
          <w:rtl w:val="true"/>
          <w:lang w:bidi="ar-SA"/>
        </w:rPr>
        <w:t xml:space="preserve">قد مضى منّا الكلام حول عدم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أئمّتنا في الأدعية و الروايات</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معادن العلم و خزّان المعرفة و الحكمة، فلايجوز أن يُطلق عليهم ما يدلّ على الاتّصاف بما هم معدنه و منبعه</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13100116_1280447820"/>
      <w:bookmarkStart w:id="655" w:name="_Toc264"/>
      <w:bookmarkEnd w:id="654"/>
      <w:r>
        <w:rPr>
          <w:rtl w:val="true"/>
        </w:rPr>
        <w:t>و الكلمة الثّانية</w:t>
      </w:r>
      <w:r>
        <w:rPr>
          <w:rtl w:val="true"/>
        </w:rPr>
        <w:t>:</w:t>
      </w:r>
      <w:bookmarkEnd w:id="655"/>
    </w:p>
    <w:p>
      <w:pPr>
        <w:pStyle w:val="BookText"/>
        <w:rPr/>
      </w:pPr>
      <w:r>
        <w:rPr>
          <w:rFonts w:ascii="Amiri" w:hAnsi="Amiri" w:eastAsia="Amiri" w:cs="Amiri"/>
          <w:color w:val="111111"/>
          <w:sz w:val="28"/>
          <w:sz w:val="28"/>
          <w:szCs w:val="28"/>
          <w:rtl w:val="true"/>
          <w:lang w:bidi="ar-SA"/>
        </w:rPr>
        <w:t>ما تفوّه بها بعضهم من أنّ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 يشمل جميع من له معرفةٌ بالأحكام و لوكانت اجماليّةً، فالحديث يشمل أدنى طالبٍ للعلم قد بلغ مرتبةً دنيّةً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في جانب التفريط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من المرتكز عند العقول عدم جواز ايداع الأمور إلى من لامعرفة له بها معرفةً تامّةً؛ هذا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المتيقّن من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الفقيه، فهو الّذي بيده مجاري الأمور و الأحكام</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هذا الممشى مشى الشيخ الأعظم حيث ذهب في كتاب القضاء و الشهادات إلى أنّ </w:t>
      </w:r>
      <w:bookmarkStart w:id="656" w:name="pg18987_179849"/>
    </w:p>
    <w:p>
      <w:pPr>
        <w:pStyle w:val="BookText"/>
        <w:rPr/>
      </w:pPr>
      <w:bookmarkEnd w:id="656"/>
      <w:r>
        <w:rPr>
          <w:rFonts w:ascii="Amiri" w:hAnsi="Amiri" w:eastAsia="Amiri" w:cs="Amiri"/>
          <w:color w:val="111111"/>
          <w:sz w:val="28"/>
          <w:sz w:val="28"/>
          <w:szCs w:val="28"/>
          <w:rtl w:val="true"/>
          <w:lang w:bidi="ar-SA"/>
        </w:rPr>
        <w:t>الحديث هذا خير الأحاديث دلالةً على ثبوتها له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7" w:name="__RefHeading___Toc13100118_1280447820"/>
      <w:bookmarkStart w:id="658" w:name="_Toc265"/>
      <w:bookmarkEnd w:id="657"/>
      <w:r>
        <w:rPr>
          <w:rtl w:val="true"/>
        </w:rPr>
        <w:t>الرواية الثّالث عشرة</w:t>
      </w:r>
      <w:bookmarkEnd w:id="658"/>
    </w:p>
    <w:p>
      <w:pPr>
        <w:pStyle w:val="BookText"/>
        <w:rPr/>
      </w:pPr>
      <w:r>
        <w:rPr>
          <w:rFonts w:ascii="Amiri" w:hAnsi="Amiri" w:eastAsia="Amiri" w:cs="Amiri"/>
          <w:color w:val="111111"/>
          <w:sz w:val="28"/>
          <w:sz w:val="28"/>
          <w:szCs w:val="28"/>
          <w:rtl w:val="true"/>
          <w:lang w:bidi="ar-SA"/>
        </w:rPr>
        <w:t>و هناك رواياتٌ لها دلالةٌ واضحةٌ على المطلوب بينما أن لا سند لها بحيث يمكن الركون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هو الضعيف؛ و منها ما هو المرسل من غير وجهٍ لتقويته؛ و 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ختام هذا المبحث نأتي بجملةٍ منها لأنّ كثرتها تفيد الوثوق بصدور مضمونها عن المعصومين عليهم السلام و إن لم يكن لها سندٌ يجوز الإعتماد على كلّ واحدٍ منها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أميرالمؤمنين عليه السلام انّه حينما سُئل عن خير خلق اللّه بعد أئمّة الهدى عليهم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إذا صلحوا</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 لسانٌ ظاهرٌ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الأمّة لا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ما للوليّ من الشرائط كالعدالة و مايشبهها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سنأتي بتفصيل الكلام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كانوا هم خير خلق اللّه فلهم الولاية على غيرهم ليهدوهم إلى ما هو الخير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و فيه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العلماء و اعرف فضلهم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فإنّي </w:t>
      </w:r>
    </w:p>
    <w:p>
      <w:pPr>
        <w:pStyle w:val="BookText"/>
        <w:rPr/>
      </w:pPr>
      <w:r>
        <w:rPr>
          <w:rFonts w:ascii="Amiri" w:hAnsi="Amiri" w:eastAsia="Amiri" w:cs="Amiri"/>
          <w:color w:val="111111"/>
          <w:sz w:val="28"/>
          <w:sz w:val="28"/>
          <w:szCs w:val="28"/>
          <w:rtl w:val="true"/>
          <w:lang w:bidi="ar-SA"/>
        </w:rPr>
        <w:t>فضّلتهم على جميع خلقي إلّاالنبيّين و المرسلين كفضل الشمس على الكوكب، و كفضل الآخرة على الدنيا، و كفضلي على كلّ شيءٍ</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يدلّ على فضل العالم على غيره، و من مصاديق الفضل الفضل في السلطة 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شمول الحديث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و فيه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الملوك حكّامٌ على الناس و العلماء حكّامٌ على الملوك</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في سريان حكم العلماء على الملوك الدالّ بالفحوى على سريانه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و فيه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العالم على الناس كفضلي على أدناكم</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المرسل، و فيه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أمناء الرسل ما لم يدخلوا في الدنيا</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أمناء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 نوّاباً عنهم فيما يرجع إليهم من الوظائف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كتبيين الأحكام و تطبيقها على موضوعاتها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من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كونهم مكبّين عليها حريصين على حطامها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يُشاهد من فعل بعض فقهاء العامّة المعاصرين لمولانا الصادق عليه السلام حيث كانوا مولعين بجمع الأموال و اقتناء الجواري و الغلمان بخدمة السلاطين، و تحريف الأحكام على مذاقهم و الإتيان بما يعجبهم من الفتاوي الّتي لاأصل لها في الشريعة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فللفقيه العادل غير المكبّ على الدنيا النيابة عن الرسل فيما لهم، فله الولاية 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عن مولانا الهاديّ عليه السلام في روايةٍ طويلةٍ له في فضل العلماء، و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من يبقى بعد غيبة قائمنا عليه السلام من العلماء الداعين إليه و الدالّين عليه و الذابّين عن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بقي أحدٌ إلّاارتدّ عن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الأفضلون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لاريب في أنّ الحديث صدر لبيان شأن العلماء في عصر الغيبة و بيان ما لهم من الفضيلة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الأفضلون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يقومون به من الدعوة إلى الحجّة عليه السلام و الدلالة إليه و الذبّ عن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لايمكن ذلك إلّابسلطتهم على المجتمع و ولايتهم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فضلهم فهو من المفروغ عنه في الحديث، فعليهم القيام بهذه الوظائف، فلهم الولاية و السلطة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جملةٌ من الأحاديث الّتي لها دلالةٌ على المطلوب</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لاسند لها بحيث يمكن الركون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هيهنا نكتةٌ؛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مضت منّا الإشارة مراراً إلى أنّ العقل يحكم بلزوم وجود الدولة و السلطة في المجتمع، و مضى الكلام في لمّيّته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دولة إلّابالوالي و لاحكومة إلّابالحاكم، و لاأقلّ من أنّ لهذه الروايات دلالةً ظاهرةً على تعيين من يصلح لأن يكون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يمكن الركون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فانضمامها إلى هذه المقدّمة العقليّة يدلّ على تماميّة الاستدلال بها؛ و هذا ظاهرٌ لامجال للارتياب فيه</w:t>
      </w:r>
      <w:r>
        <w:rPr>
          <w:rFonts w:eastAsia="Amiri" w:cs="Amiri" w:ascii="Amiri" w:hAnsi="Amiri"/>
          <w:color w:val="111111"/>
          <w:sz w:val="28"/>
          <w:szCs w:val="28"/>
          <w:rtl w:val="true"/>
          <w:lang w:bidi="ar-SA"/>
        </w:rPr>
        <w:t>.</w:t>
      </w:r>
      <w:bookmarkStart w:id="659" w:name="pg18987_179853"/>
    </w:p>
    <w:p>
      <w:pPr>
        <w:pStyle w:val="Heading5"/>
        <w:numPr>
          <w:ilvl w:val="4"/>
          <w:numId w:val="1"/>
        </w:numPr>
        <w:rPr/>
      </w:pPr>
      <w:bookmarkStart w:id="660" w:name="__RefHeading___Toc13100120_1280447820"/>
      <w:bookmarkStart w:id="661" w:name="_Toc266"/>
      <w:bookmarkEnd w:id="659"/>
      <w:bookmarkEnd w:id="660"/>
      <w:r>
        <w:rPr>
          <w:rtl w:val="true"/>
        </w:rPr>
        <w:t>تتميمٌفي الروايات النافية ثبوت الولاية للفقيه</w:t>
      </w:r>
      <w:bookmarkEnd w:id="661"/>
    </w:p>
    <w:p>
      <w:pPr>
        <w:pStyle w:val="Heading6"/>
        <w:numPr>
          <w:ilvl w:val="5"/>
          <w:numId w:val="1"/>
        </w:numPr>
        <w:rPr/>
      </w:pPr>
      <w:bookmarkStart w:id="662" w:name="__RefHeading___Toc13100122_1280447820"/>
      <w:bookmarkStart w:id="663" w:name="_Toc267"/>
      <w:bookmarkEnd w:id="662"/>
      <w:r>
        <w:rPr>
          <w:rtl w:val="true"/>
        </w:rPr>
        <w:t>اشارة</w:t>
      </w:r>
      <w:bookmarkEnd w:id="663"/>
    </w:p>
    <w:p>
      <w:pPr>
        <w:pStyle w:val="BookText"/>
        <w:rPr/>
      </w:pPr>
      <w:r>
        <w:rPr>
          <w:rFonts w:ascii="Amiri" w:hAnsi="Amiri" w:eastAsia="Amiri" w:cs="Amiri"/>
          <w:color w:val="111111"/>
          <w:sz w:val="28"/>
          <w:sz w:val="28"/>
          <w:szCs w:val="28"/>
          <w:rtl w:val="true"/>
          <w:lang w:bidi="ar-SA"/>
        </w:rPr>
        <w:t>ثمّ إنّ من رواياتنا ما هو المعارض في بادىء النظر لما مرّ من الروايات الدالّة على ثبوتها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جملةٌ من الأحاديث تدلّ على حرمة القيام بأمر الولاية، بل الأمر بالإعراض و الانصراف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لابدّ لنا من النظر في هذه الجملة، فإنّها أرفع مستمسكٍ و أعلى دليلٍ يتمسّك به النافون و يستدلّ به المانعون عن كون الفقيه والياً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كثيرةٌ، منها ما هو صحيحٌ سنداً، و منها ما هو ظاهرٌ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أعلى من الجميع و الأحسن ما رواه الشيخ الحرّ رحمه الله</w:t>
      </w:r>
      <w:r>
        <w:rPr>
          <w:rStyle w:val="FootnoteAnchor"/>
          <w:rtl w:val="true"/>
        </w:rPr>
        <w:footnoteReference w:id="392"/>
      </w:r>
      <w:r>
        <w:rPr>
          <w:rFonts w:ascii="Amiri" w:hAnsi="Amiri" w:eastAsia="Amiri" w:cs="Amiri"/>
          <w:color w:val="111111"/>
          <w:sz w:val="28"/>
          <w:sz w:val="28"/>
          <w:szCs w:val="28"/>
          <w:rtl w:val="true"/>
          <w:lang w:bidi="ar-SA"/>
        </w:rPr>
        <w:t>بسندٍ صحيحٍ عن مولانا الصادق عليه السلام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رايةٍ تُرفع قبل قيام القائم فصاحبها طاغوتٌ يُعبد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اضافةً على سنده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ظاهرةٌ في بادىء الرأي على حرمة القيام بأمر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 صاحب الراية طاغوتاً، و لافرق فيه بين الفقيه و غيره؛ فلايجوز للفقيه أن يقوم باقتناء الولاية، فلاولاية 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الحديث قد تمسّك به جمعٌ من المعاصرين، و قد عدّه بعضهم سنداً لحرمة التعاون مع الدولة الإسلاميّة بل و وجوب الإعراض عن كلّما له دخلٌ في تقويتها و معاضدتها، لأنّ الدولة الإسلاميّة قد رفعت الراية قبل قيام الوليّ بالأصالة الخليفة من قِبل اللّه بالحقيقة </w:t>
      </w:r>
      <w:r>
        <w:rPr>
          <w:rFonts w:eastAsia="Amiri" w:cs="Amiri" w:ascii="Amiri" w:hAnsi="Amiri"/>
          <w:color w:val="111111"/>
          <w:sz w:val="28"/>
          <w:szCs w:val="28"/>
          <w:rtl w:val="true"/>
          <w:lang w:bidi="ar-SA"/>
        </w:rPr>
        <w:t xml:space="preserve">- </w:t>
      </w:r>
      <w:bookmarkStart w:id="664" w:name="pg18987_179854"/>
    </w:p>
    <w:p>
      <w:pPr>
        <w:pStyle w:val="BookText"/>
        <w:rPr/>
      </w:pPr>
      <w:bookmarkEnd w:id="664"/>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طاغوتٌ و يجب الإعراض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مقالة النافين لثبوت الولاية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علينا أن نتكلّم عن هذا الحديث ليبيّن المراد منه حتّى يظهر ما في استدلالهم به و مدى صحّة تمسّكهم به لما هو المطلوب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نتكلّم حوله في ستّ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13100124_1280447820"/>
      <w:bookmarkStart w:id="666" w:name="_Toc268"/>
      <w:bookmarkEnd w:id="665"/>
      <w:r>
        <w:rPr>
          <w:rtl w:val="true"/>
        </w:rPr>
        <w:t>النكتة الأولى</w:t>
      </w:r>
      <w:r>
        <w:rPr>
          <w:rtl w:val="true"/>
        </w:rPr>
        <w:t>:</w:t>
      </w:r>
      <w:bookmarkEnd w:id="666"/>
    </w:p>
    <w:p>
      <w:pPr>
        <w:pStyle w:val="BookText"/>
        <w:rPr/>
      </w:pPr>
      <w:r>
        <w:rPr>
          <w:rFonts w:ascii="Amiri" w:hAnsi="Amiri" w:eastAsia="Amiri" w:cs="Amiri"/>
          <w:color w:val="111111"/>
          <w:sz w:val="28"/>
          <w:sz w:val="28"/>
          <w:szCs w:val="28"/>
          <w:rtl w:val="true"/>
          <w:lang w:bidi="ar-SA"/>
        </w:rPr>
        <w:t xml:space="preserve">إنّ هذا الحديث لايوافق ما يحكم به العقل من وجوب القيام لبسط العدالة و قطع أيدي المتغلّبين غير الصالحين للولاية، فما هو إلّاكقوله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فكما انّ العقل يحكم بعدم جواز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جسماً مستوياً على العرش، بل يحكم بوجوب التأويل ليُصرَف عن ظاهره المخالف لحكم العقل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لايقبل الأمر بالإعراض عن القيام و الخضوع للجبابرة و الطواغيت الّذين لاولاية لهم من قبل اللّه، بل لاحكم لهم إلّابالتغلّب على الناس بوسائط تتشبّث بها الدول طوال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ما يخالف العقل الصريح على الجدار من المجمع عليه بين الإماميّة، فلوكان المراد منه هذا الّذي ذكروه فلامناص من ضربه على الجدار و الاعراض عنه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المراد منه شيء آخر سنبيّنه؛ فانتظر</w:t>
      </w:r>
      <w:r>
        <w:rPr>
          <w:rFonts w:eastAsia="Amiri" w:cs="Amiri" w:ascii="Amiri" w:hAnsi="Amiri"/>
          <w:color w:val="111111"/>
          <w:sz w:val="28"/>
          <w:szCs w:val="28"/>
          <w:rtl w:val="true"/>
          <w:lang w:bidi="ar-SA"/>
        </w:rPr>
        <w:t>!.</w:t>
      </w:r>
    </w:p>
    <w:p>
      <w:pPr>
        <w:pStyle w:val="Heading6"/>
        <w:numPr>
          <w:ilvl w:val="5"/>
          <w:numId w:val="1"/>
        </w:numPr>
        <w:rPr/>
      </w:pPr>
      <w:bookmarkStart w:id="667" w:name="__RefHeading___Toc13100126_1280447820"/>
      <w:bookmarkStart w:id="668" w:name="_Toc269"/>
      <w:bookmarkEnd w:id="667"/>
      <w:r>
        <w:rPr>
          <w:rtl w:val="true"/>
        </w:rPr>
        <w:t>النكتة الثّانية</w:t>
      </w:r>
      <w:r>
        <w:rPr>
          <w:rtl w:val="true"/>
        </w:rPr>
        <w:t>:</w:t>
      </w:r>
      <w:bookmarkEnd w:id="668"/>
    </w:p>
    <w:p>
      <w:pPr>
        <w:pStyle w:val="BookText"/>
        <w:rPr/>
      </w:pPr>
      <w:r>
        <w:rPr>
          <w:rFonts w:ascii="Amiri" w:hAnsi="Amiri" w:eastAsia="Amiri" w:cs="Amiri"/>
          <w:color w:val="111111"/>
          <w:sz w:val="28"/>
          <w:sz w:val="28"/>
          <w:szCs w:val="28"/>
          <w:rtl w:val="true"/>
          <w:lang w:bidi="ar-SA"/>
        </w:rPr>
        <w:t>قد أعرضت الأصحاب عن هذا الحديث و جميع ما يشترك معه في المضمون، فقد ذكرنا فيما مضى عبارات فئةٍ من الفقهاء الدالّة على وجوب معاضدة الناس للفقيه و تقويته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سيرة أعلامنا في عدّهم أنفسهم ولاةً على الناس، و تشهد لها ما فعله شيخنا البهائيّ رحمه الله و الحكيم الميرالداماد رحمه الله و العلّامة الإمام المجلسيّ رحمه الله و ثاني المحقّقَين رحمه الله و الخوانسارّيان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الدخول في الحكم و عدّهم الحكّام نائباً عنهم حيث أمكن؛ و هذا واضحٌ لمن له أدنى تأمّلٍ في التأريخ</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13100128_1280447820"/>
      <w:bookmarkStart w:id="670" w:name="_Toc270"/>
      <w:bookmarkEnd w:id="669"/>
      <w:r>
        <w:rPr>
          <w:rtl w:val="true"/>
        </w:rPr>
        <w:t>النكتة الثّالثة</w:t>
      </w:r>
      <w:r>
        <w:rPr>
          <w:rtl w:val="true"/>
        </w:rPr>
        <w:t>:</w:t>
      </w:r>
      <w:bookmarkEnd w:id="67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معارضة هذه الجملة ما مضى من الروايات الدالّة على ثبوت الولاية له؛ </w:t>
      </w:r>
      <w:bookmarkStart w:id="671" w:name="pg18987_179855"/>
    </w:p>
    <w:p>
      <w:pPr>
        <w:pStyle w:val="BookText"/>
        <w:rPr/>
      </w:pPr>
      <w:bookmarkEnd w:id="671"/>
      <w:r>
        <w:rPr>
          <w:rFonts w:ascii="Amiri" w:hAnsi="Amiri" w:eastAsia="Amiri" w:cs="Amiri"/>
          <w:color w:val="111111"/>
          <w:sz w:val="28"/>
          <w:sz w:val="28"/>
          <w:szCs w:val="28"/>
          <w:rtl w:val="true"/>
          <w:lang w:bidi="ar-SA"/>
        </w:rPr>
        <w:t xml:space="preserve">و الثّاني أشهر، بل مضمونه متواترٌ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تكلّمنا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فالشهرة الّتي عُدّت من المرجّحات تدلّ على الأخذ به و الاعراض عن الأوّل</w:t>
      </w:r>
      <w:r>
        <w:rPr>
          <w:rFonts w:eastAsia="Amiri" w:cs="Amiri" w:ascii="Amiri" w:hAnsi="Amiri"/>
          <w:color w:val="111111"/>
          <w:sz w:val="28"/>
          <w:szCs w:val="28"/>
          <w:rtl w:val="true"/>
          <w:lang w:bidi="ar-SA"/>
        </w:rPr>
        <w:t>.</w:t>
      </w:r>
    </w:p>
    <w:p>
      <w:pPr>
        <w:pStyle w:val="Heading6"/>
        <w:numPr>
          <w:ilvl w:val="5"/>
          <w:numId w:val="1"/>
        </w:numPr>
        <w:rPr/>
      </w:pPr>
      <w:bookmarkStart w:id="672" w:name="__RefHeading___Toc13100130_1280447820"/>
      <w:bookmarkStart w:id="673" w:name="_Toc271"/>
      <w:bookmarkEnd w:id="672"/>
      <w:r>
        <w:rPr>
          <w:rtl w:val="true"/>
        </w:rPr>
        <w:t>النكتة الرّابعة</w:t>
      </w:r>
      <w:r>
        <w:rPr>
          <w:rtl w:val="true"/>
        </w:rPr>
        <w:t>:</w:t>
      </w:r>
      <w:bookmarkEnd w:id="673"/>
    </w:p>
    <w:p>
      <w:pPr>
        <w:pStyle w:val="BookText"/>
        <w:rPr/>
      </w:pPr>
      <w:r>
        <w:rPr>
          <w:rFonts w:ascii="Amiri" w:hAnsi="Amiri" w:eastAsia="Amiri" w:cs="Amiri"/>
          <w:color w:val="111111"/>
          <w:sz w:val="28"/>
          <w:sz w:val="28"/>
          <w:szCs w:val="28"/>
          <w:rtl w:val="true"/>
          <w:lang w:bidi="ar-SA"/>
        </w:rPr>
        <w:t>معارضة هذه الجملة القرآن الكريم، لأنّ الآيات الدالّة على وجوب الجهاد و الأمر بالمعروف و النهي عن المنكر و ما إليها من الأحكام الجماعيّة كثيرةٌ، و هي مطلقةٌ تشمل زمن حضور المعصوم و زمن غيبته عليه السلام؛ بينما انّ هذه الروايات استُدلّت بها على وجوب الكفّ عن الجهاد و غيره ممّا يحتاج إلى الولاية و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فالمعارضة الواقعة بينهما تحكم بصرف اليد عن هذا الظهور و الأخذ بما في القرآن الكريم من الآيات الكثيرة</w:t>
      </w:r>
      <w:r>
        <w:rPr>
          <w:rFonts w:eastAsia="Amiri" w:cs="Amiri" w:ascii="Amiri" w:hAnsi="Amiri"/>
          <w:color w:val="111111"/>
          <w:sz w:val="28"/>
          <w:szCs w:val="28"/>
          <w:rtl w:val="true"/>
          <w:lang w:bidi="ar-SA"/>
        </w:rPr>
        <w:t>.</w:t>
      </w:r>
    </w:p>
    <w:p>
      <w:pPr>
        <w:pStyle w:val="Heading6"/>
        <w:numPr>
          <w:ilvl w:val="5"/>
          <w:numId w:val="1"/>
        </w:numPr>
        <w:rPr/>
      </w:pPr>
      <w:bookmarkStart w:id="674" w:name="__RefHeading___Toc13100132_1280447820"/>
      <w:bookmarkStart w:id="675" w:name="_Toc272"/>
      <w:bookmarkEnd w:id="674"/>
      <w:r>
        <w:rPr>
          <w:rtl w:val="true"/>
        </w:rPr>
        <w:t>النكتة الخامسة</w:t>
      </w:r>
      <w:r>
        <w:rPr>
          <w:rtl w:val="true"/>
        </w:rPr>
        <w:t>:</w:t>
      </w:r>
      <w:bookmarkEnd w:id="675"/>
    </w:p>
    <w:p>
      <w:pPr>
        <w:pStyle w:val="BookText"/>
        <w:rPr/>
      </w:pPr>
      <w:r>
        <w:rPr>
          <w:rFonts w:ascii="Amiri" w:hAnsi="Amiri" w:eastAsia="Amiri" w:cs="Amiri"/>
          <w:color w:val="111111"/>
          <w:sz w:val="28"/>
          <w:sz w:val="28"/>
          <w:szCs w:val="28"/>
          <w:rtl w:val="true"/>
          <w:lang w:bidi="ar-SA"/>
        </w:rPr>
        <w:t>معارضة هذه الجملة الروايات المؤيّدة الثورات العاميّة و الجماعيّة، بل المادحة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الروايات كثيرةٌ، و هي قد صدرت لتعظيم شأن الثورات الجماعيّة الّتي لا هدف لها إلّاإعلاء كلمة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نشير إلى عددٍ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بسندٍ صحيحٍ عن أبي الحسن الأوّل عليه السلام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قم يدعو الناس إلى الحقّ يجتمع معه قومٌ كزبر الحديد لاتزلّهم الرياح العواصف و لايملّون في الحرب و لايجبنون، و على اللّه يتوكّلون؛ و العاقبة للمتّقين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مصداقه، و لايبعد أن يحمل على سيّدنا الأستاذ الإمام الخمينيّ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واضحةٌ على أنّ هذه الثورة تدعو إلى الحقّ و أنصارها على الحقّ، و هم المتّقون، و لهم الحروب و لاحرب إلّابقائدٍ يقود الجيش و يدبّر أمره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 وَعْدُ أَولَاهُمَا بَعَثْنَا عَلَيْكُمْ عِبَاداً </w:t>
      </w:r>
    </w:p>
    <w:p>
      <w:pPr>
        <w:pStyle w:val="BookText"/>
        <w:rPr/>
      </w:pPr>
      <w:r>
        <w:rPr>
          <w:rFonts w:ascii="Amiri" w:hAnsi="Amiri" w:eastAsia="Amiri" w:cs="Amiri"/>
          <w:color w:val="111111"/>
          <w:sz w:val="28"/>
          <w:sz w:val="28"/>
          <w:szCs w:val="28"/>
          <w:rtl w:val="true"/>
          <w:lang w:bidi="ar-SA"/>
        </w:rPr>
        <w:t>لَنَا أُولِي بَأْسٍ شَدِيدٍ فَجَاسُوا خِلَالَ الدِّيَارِ وَ كَانَ وَعْداً مَفْعُولاً</w:t>
      </w:r>
      <w:r>
        <w:rPr>
          <w:rFonts w:eastAsia="Amiri" w:cs="Amiri" w:ascii="Amiri" w:hAnsi="Amiri"/>
          <w:color w:val="111111"/>
          <w:sz w:val="28"/>
          <w:szCs w:val="28"/>
          <w:rtl w:val="true"/>
          <w:lang w:bidi="ar-SA"/>
        </w:rPr>
        <w:t>»</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البرهان و الميزان و الصافي</w:t>
      </w:r>
      <w:r>
        <w:rPr>
          <w:rStyle w:val="FootnoteAnchor"/>
          <w:rtl w:val="true"/>
        </w:rPr>
        <w:footnoteReference w:id="396"/>
      </w:r>
      <w:r>
        <w:rPr>
          <w:rFonts w:ascii="Amiri" w:hAnsi="Amiri" w:eastAsia="Amiri" w:cs="Amiri"/>
          <w:color w:val="111111"/>
          <w:sz w:val="28"/>
          <w:sz w:val="28"/>
          <w:szCs w:val="28"/>
          <w:rtl w:val="true"/>
          <w:lang w:bidi="ar-SA"/>
        </w:rPr>
        <w:t>من قول إمامنا الصادق عليه السلام حيث قُرئت عنده هذه الآية فقال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اللّه أهل قم</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المصادر المتقدّم ذكرها</w:t>
      </w:r>
      <w:r>
        <w:rPr>
          <w:rStyle w:val="FootnoteAnchor"/>
          <w:rtl w:val="true"/>
        </w:rPr>
        <w:footnoteReference w:id="398"/>
      </w:r>
      <w:r>
        <w:rPr>
          <w:rFonts w:ascii="Amiri" w:hAnsi="Amiri" w:eastAsia="Amiri" w:cs="Amiri"/>
          <w:color w:val="111111"/>
          <w:sz w:val="28"/>
          <w:sz w:val="28"/>
          <w:szCs w:val="28"/>
          <w:rtl w:val="true"/>
          <w:lang w:bidi="ar-SA"/>
        </w:rPr>
        <w:t xml:space="preserve">في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لَايَخَافُونَ لَوْمَةَ لَائِمٍ ذَلِكَ فَضْلُ اللَّهِ يُؤْتِيهِ مَنْ يَشَاءُ وَ اللَّهُ وَاسِعٌ عَلِيمٌ</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xml:space="preserve">من أنّه ضرب رسول اللّه صلى الله عليه و آله بيده على عاتق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ذووه</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الروايات الناهية عن جواز القيام ضد الجبابرة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الآمرة بالخضوع لهم و الكفّ عن مخالفتهم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تعارض تلك الأحاديث المادحة للثورات الجماعيّة، الدالّة على فضل أصحابها و مؤيّديها لو كانت للّه في سبيل إعلاء 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حقّت 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كثرة تلك الأحاديث و انضمامها إلى غيرها ممّا مضى من الروايات المثبة لثبوت الولاية للفقيه تدلّ على </w:t>
      </w:r>
      <w:bookmarkStart w:id="676" w:name="pg18987_179857"/>
    </w:p>
    <w:p>
      <w:pPr>
        <w:pStyle w:val="BookText"/>
        <w:rPr/>
      </w:pPr>
      <w:bookmarkEnd w:id="676"/>
      <w:r>
        <w:rPr>
          <w:rFonts w:ascii="Amiri" w:hAnsi="Amiri" w:eastAsia="Amiri" w:cs="Amiri"/>
          <w:color w:val="111111"/>
          <w:sz w:val="28"/>
          <w:sz w:val="28"/>
          <w:szCs w:val="28"/>
          <w:rtl w:val="true"/>
          <w:lang w:bidi="ar-SA"/>
        </w:rPr>
        <w:t>وجوب الأخذ بالثاني و الكفّ عن الأوّل</w:t>
      </w:r>
      <w:r>
        <w:rPr>
          <w:rFonts w:eastAsia="Amiri" w:cs="Amiri" w:ascii="Amiri" w:hAnsi="Amiri"/>
          <w:color w:val="111111"/>
          <w:sz w:val="28"/>
          <w:szCs w:val="28"/>
          <w:rtl w:val="true"/>
          <w:lang w:bidi="ar-SA"/>
        </w:rPr>
        <w:t>.</w:t>
      </w:r>
    </w:p>
    <w:p>
      <w:pPr>
        <w:pStyle w:val="Heading6"/>
        <w:numPr>
          <w:ilvl w:val="5"/>
          <w:numId w:val="1"/>
        </w:numPr>
        <w:rPr/>
      </w:pPr>
      <w:bookmarkStart w:id="677" w:name="__RefHeading___Toc13100134_1280447820"/>
      <w:bookmarkStart w:id="678" w:name="_Toc273"/>
      <w:bookmarkEnd w:id="677"/>
      <w:r>
        <w:rPr>
          <w:rtl w:val="true"/>
        </w:rPr>
        <w:t>النكتة السادسة</w:t>
      </w:r>
      <w:r>
        <w:rPr>
          <w:rtl w:val="true"/>
        </w:rPr>
        <w:t>:</w:t>
      </w:r>
      <w:bookmarkEnd w:id="6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العمدة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الحديث و ما يشبهه صدر لأن يأمر الناس بعدم الطاعة عن المتمهديّين، فإنّ كثيراً من المنتسبين إلى التشيّع قد خرجوا على الدول و لاسيّما في فترة إقبال الضعف إلى الأمويّين و انقراضهم و عدم استقرار العباسيّين على عرش السلطة استقراراً تامّاً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الفترة نرى بعضهم قد خرجوا داعين إلى أنفسهم، و كانوا يدّعون الإمامة و الخلافة و يعدّون أنفسهم المهديّ الموعود قيامه لاضمحلال الطواغيت و بسط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فأحاديث الراية و ما يشبهها تريد أن تبيّن موضع الإمامة الحقّة بالنسبة إلى هؤلاء الكذّابين المدّعين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على أيّ شيءٍ تخرجون؟، و لاتقولوا خرج زيدٌ، فانّ زيداً كان عالماً و كان صدوقاً، و لم يدعكم إلى نفسه، و إنّما دعاكم إلى الرضا</w:t>
      </w:r>
      <w:r>
        <w:rPr>
          <w:rStyle w:val="FootnoteAnchor"/>
          <w:rtl w:val="true"/>
        </w:rPr>
        <w:footnoteReference w:id="401"/>
      </w:r>
      <w:r>
        <w:rPr>
          <w:rFonts w:ascii="Amiri" w:hAnsi="Amiri" w:eastAsia="Amiri" w:cs="Amiri"/>
          <w:color w:val="111111"/>
          <w:sz w:val="28"/>
          <w:sz w:val="28"/>
          <w:szCs w:val="28"/>
          <w:rtl w:val="true"/>
          <w:lang w:bidi="ar-SA"/>
        </w:rPr>
        <w:t>من آل محمّد صلى الله عليه و آله</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ما خرج إلّاداعياً إلى أخيه الباقر عليه السلام و لم يكن مدّعٍ للإمامة؛ فلم تكن رايته راية 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 من الخارجين فلم يكن مآل أمرهم الى الخير، لأنّهم خرجوا من غير أن يكون خروجهم بإذنٍ من الإمام و لم يكونوا داعين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زيد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خرج من غير رضاه و سعى في خراب الأرض و فسادها حتّى أشعل </w:t>
      </w:r>
    </w:p>
    <w:p>
      <w:pPr>
        <w:pStyle w:val="BookText"/>
        <w:rPr/>
      </w:pPr>
      <w:r>
        <w:rPr>
          <w:rFonts w:ascii="Amiri" w:hAnsi="Amiri" w:eastAsia="Amiri" w:cs="Amiri"/>
          <w:color w:val="111111"/>
          <w:sz w:val="28"/>
          <w:sz w:val="28"/>
          <w:szCs w:val="28"/>
          <w:rtl w:val="true"/>
          <w:lang w:bidi="ar-SA"/>
        </w:rPr>
        <w:t>النار في البقيع المبارك و أوقدها فيه</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فقال الرضا عليه السلام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لاتقس أخي زيداً إلى زيد بن عليٍّ، فانّه كان من علماء آل محمّد صلى الله عليه و آله غضب للّه فجاهد أعداءه حتّى قتل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حدّثني أبي موسى بن جعفر انّه سمع أباه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عمّي زيداً، إنّه دعا إلى الرضا من آل محمّد</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أظهر من ذلك كلّه ما ورد في سند الصحيفة الشريفة</w:t>
      </w:r>
      <w:r>
        <w:rPr>
          <w:rStyle w:val="FootnoteAnchor"/>
          <w:rtl w:val="true"/>
        </w:rPr>
        <w:footnoteReference w:id="405"/>
      </w:r>
      <w:r>
        <w:rPr>
          <w:rFonts w:ascii="Amiri" w:hAnsi="Amiri" w:eastAsia="Amiri" w:cs="Amiri"/>
          <w:color w:val="111111"/>
          <w:sz w:val="28"/>
          <w:sz w:val="28"/>
          <w:szCs w:val="28"/>
          <w:rtl w:val="true"/>
          <w:lang w:bidi="ar-SA"/>
        </w:rPr>
        <w:t>من عدم رضا الإمام عليه السلام بخروج ابني عمّه محمّدٍ و إبراهيم، ثمّ خروجهما و قتلهما و قتل كثيرٍ من الشيعة و نهب أموالهم؛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 و لايخرج منّا أهل البيت إلى قيام قائمنا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قيامه زيادةً في مكروهنا و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ظاهرٌ في نهيه عن متابعة المتمهديّين الداعين إلى غير المعصوم من شرفاء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الحرّ رحمه الله عدّةً من أحاديث الباب في الباب الثّالثة عشر من أبواب جهاد العدوّ من كتابه الوسائل</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قلنا في هذه النكتة الشريفة ظهر ما في استدلالهم بهذا الحديث على عدم جواز القيام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لاعلاء كلمة الإسلام و استقرار الدولة الإلهيّة، و تبيّنت مدى صحّة قولهم؛ فلاتهافت بين حديث الراية و أمثاله و بين الروايات الكثيرة الّتي مضت الإشارة إلى بعضها الدالّة على ثبوت الولاية للفقيه الجامع لشرائط الافتاء؛ و الحمد للّه رب العالمين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9" w:name="pg18987_179861"/>
      <w:bookmarkStart w:id="680" w:name="pg18987_179861"/>
      <w:bookmarkEnd w:id="680"/>
    </w:p>
    <w:p>
      <w:pPr>
        <w:pStyle w:val="Heading3"/>
        <w:numPr>
          <w:ilvl w:val="2"/>
          <w:numId w:val="1"/>
        </w:numPr>
        <w:rPr/>
      </w:pPr>
      <w:bookmarkStart w:id="681" w:name="pg18987_179861"/>
      <w:bookmarkStart w:id="682" w:name="__RefHeading___Toc13100136_1280447820"/>
      <w:bookmarkStart w:id="683" w:name="_Toc274"/>
      <w:bookmarkEnd w:id="681"/>
      <w:bookmarkEnd w:id="682"/>
      <w:r>
        <w:rPr>
          <w:rtl w:val="true"/>
        </w:rPr>
        <w:t>الفصل الثّالث الشرائط العامّة لمن يصلح للولاية</w:t>
      </w:r>
      <w:bookmarkEnd w:id="68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4" w:name="__RefHeading___Toc13100138_1280447820"/>
      <w:bookmarkStart w:id="685" w:name="_Toc275"/>
      <w:bookmarkEnd w:id="684"/>
      <w:r>
        <w:rPr>
          <w:rtl w:val="true"/>
        </w:rPr>
        <w:t>اشارة</w:t>
      </w:r>
      <w:bookmarkEnd w:id="68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6" w:name="pg18987_179863"/>
      <w:bookmarkStart w:id="687" w:name="pg18987_179863"/>
      <w:bookmarkEnd w:id="687"/>
    </w:p>
    <w:p>
      <w:pPr>
        <w:pStyle w:val="Heading4"/>
        <w:numPr>
          <w:ilvl w:val="3"/>
          <w:numId w:val="1"/>
        </w:numPr>
        <w:rPr/>
      </w:pPr>
      <w:bookmarkStart w:id="688" w:name="pg18987_179863"/>
      <w:bookmarkStart w:id="689" w:name="__RefHeading___Toc13100140_1280447820"/>
      <w:bookmarkStart w:id="690" w:name="_Toc276"/>
      <w:bookmarkEnd w:id="688"/>
      <w:bookmarkEnd w:id="689"/>
      <w:r>
        <w:rPr>
          <w:rtl w:val="true"/>
        </w:rPr>
        <w:t>نكات حول هذا الشرائط</w:t>
      </w:r>
      <w:bookmarkEnd w:id="690"/>
    </w:p>
    <w:p>
      <w:pPr>
        <w:pStyle w:val="Heading5"/>
        <w:numPr>
          <w:ilvl w:val="4"/>
          <w:numId w:val="1"/>
        </w:numPr>
        <w:rPr/>
      </w:pPr>
      <w:bookmarkStart w:id="691" w:name="__RefHeading___Toc13100142_1280447820"/>
      <w:bookmarkStart w:id="692" w:name="_Toc277"/>
      <w:bookmarkEnd w:id="691"/>
      <w:r>
        <w:rPr>
          <w:rtl w:val="true"/>
        </w:rPr>
        <w:t>اشارة</w:t>
      </w:r>
      <w:bookmarkEnd w:id="692"/>
    </w:p>
    <w:p>
      <w:pPr>
        <w:pStyle w:val="BookText"/>
        <w:rPr/>
      </w:pPr>
      <w:r>
        <w:rPr>
          <w:rFonts w:ascii="Amiri" w:hAnsi="Amiri" w:eastAsia="Amiri" w:cs="Amiri"/>
          <w:color w:val="111111"/>
          <w:sz w:val="28"/>
          <w:sz w:val="28"/>
          <w:szCs w:val="28"/>
          <w:rtl w:val="true"/>
          <w:lang w:bidi="ar-SA"/>
        </w:rPr>
        <w:t>هذا الفصل قد انعقدناه للتحقيق في الشرائط الّتي عُدّت كالشروط العامّة لمن يصلح للقيام بأمر الولاية؛ أو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العامّة الّتي لايكون الفقيه وليّاً و لايصلح للولاية إلّابحيازتها و اقتنائها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الورود في صلب المبحث لابدّ لنا من أن نشيرإلى خمس نكاتٍ حول هذه الشروط</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13100144_1280447820"/>
      <w:bookmarkStart w:id="694" w:name="_Toc278"/>
      <w:bookmarkEnd w:id="693"/>
      <w:r>
        <w:rPr>
          <w:rtl w:val="true"/>
        </w:rPr>
        <w:t>النكتة الأولى</w:t>
      </w:r>
      <w:r>
        <w:rPr>
          <w:rtl w:val="true"/>
        </w:rPr>
        <w:t>:</w:t>
      </w:r>
      <w:bookmarkEnd w:id="694"/>
    </w:p>
    <w:p>
      <w:pPr>
        <w:pStyle w:val="BookText"/>
        <w:rPr/>
      </w:pPr>
      <w:r>
        <w:rPr>
          <w:rFonts w:ascii="Amiri" w:hAnsi="Amiri" w:eastAsia="Amiri" w:cs="Amiri"/>
          <w:color w:val="111111"/>
          <w:sz w:val="28"/>
          <w:sz w:val="28"/>
          <w:szCs w:val="28"/>
          <w:rtl w:val="true"/>
          <w:lang w:bidi="ar-SA"/>
        </w:rPr>
        <w:t>لاريب في أنّ هذا المنصب من المناصب الّتي لها حيطةٌ واسعةٌ من حيث الوظائف و الأعمال، فعلى عاتق الوليّ وظائف لاتعادل ما على غيره من الولاة و الأمراء كرئيس الجمهوريّة و الوكلاء و الوزراء و القائد العسكريّ و القائد الأعلى؛ بل لايقاس ما على عاتقه بما على عاتقهم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أنّ عليه هذه الحيطة الواسعة من الوظائف فله سلطةٌ لاتقاس بما لغيره من السلطة، بل هو مطلق التفويض و اُطلِقت يده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سنبحث عن مدى سلطانه في هذه الرسالة </w:t>
      </w:r>
      <w:r>
        <w:rPr>
          <w:rFonts w:eastAsia="Amiri" w:cs="Amiri" w:ascii="Amiri" w:hAnsi="Amiri"/>
          <w:color w:val="111111"/>
          <w:sz w:val="28"/>
          <w:szCs w:val="28"/>
          <w:rtl w:val="true"/>
          <w:lang w:bidi="ar-SA"/>
        </w:rPr>
        <w:t xml:space="preserve">-. </w:t>
      </w:r>
      <w:bookmarkStart w:id="695" w:name="pg18987_179864"/>
    </w:p>
    <w:p>
      <w:pPr>
        <w:pStyle w:val="BookText"/>
        <w:rPr/>
      </w:pPr>
      <w:bookmarkEnd w:id="695"/>
      <w:r>
        <w:rPr>
          <w:rFonts w:ascii="Amiri" w:hAnsi="Amiri" w:eastAsia="Amiri" w:cs="Amiri"/>
          <w:color w:val="111111"/>
          <w:sz w:val="28"/>
          <w:sz w:val="28"/>
          <w:szCs w:val="28"/>
          <w:rtl w:val="true"/>
          <w:lang w:bidi="ar-SA"/>
        </w:rPr>
        <w:t xml:space="preserve">ثمّ إنّ العقل يحكم بأنّ لمن يسلّط على المجتمع أو فقل لسلطانه شروطاً لايمكن للوالي أن يولّي أمر الولاية إلّابأن يكون متّصفاً بها، حيث أن ليست للفقيه في الدولة الإسلاميّة ولايةٌ ذاتيّةٌ، بل ولايته مفوَّضةٌ إليه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فيجب أن يكون الوالي قادراً على اهتداء المجتمع إلى ما فيه رشده في الدنيا و صلاحه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الشروط هي ما نسمّيه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العامّة للوليّ الفقيه</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13100146_1280447820"/>
      <w:bookmarkStart w:id="697" w:name="_Toc279"/>
      <w:bookmarkEnd w:id="696"/>
      <w:r>
        <w:rPr>
          <w:rtl w:val="true"/>
        </w:rPr>
        <w:t>النكتة الثّانية</w:t>
      </w:r>
      <w:r>
        <w:rPr>
          <w:rtl w:val="true"/>
        </w:rPr>
        <w:t>:</w:t>
      </w:r>
      <w:bookmarkEnd w:id="697"/>
    </w:p>
    <w:p>
      <w:pPr>
        <w:pStyle w:val="BookText"/>
        <w:rPr/>
      </w:pPr>
      <w:r>
        <w:rPr>
          <w:rFonts w:ascii="Amiri" w:hAnsi="Amiri" w:eastAsia="Amiri" w:cs="Amiri"/>
          <w:color w:val="111111"/>
          <w:sz w:val="28"/>
          <w:sz w:val="28"/>
          <w:szCs w:val="28"/>
          <w:rtl w:val="true"/>
          <w:lang w:bidi="ar-SA"/>
        </w:rPr>
        <w:t>إنّ هذه الشروط كثيرةٌ، و قد أنحناها فبلغت إلى ثلاثة عشر شرطاً؛ و سنبحث عن كلّ واحدٍ منها</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13100148_1280447820"/>
      <w:bookmarkStart w:id="699" w:name="_Toc280"/>
      <w:bookmarkEnd w:id="698"/>
      <w:r>
        <w:rPr>
          <w:rtl w:val="true"/>
        </w:rPr>
        <w:t>النكتة الثّالثة</w:t>
      </w:r>
      <w:r>
        <w:rPr>
          <w:rtl w:val="true"/>
        </w:rPr>
        <w:t>:</w:t>
      </w:r>
      <w:bookmarkEnd w:id="699"/>
    </w:p>
    <w:p>
      <w:pPr>
        <w:pStyle w:val="BookText"/>
        <w:rPr/>
      </w:pPr>
      <w:r>
        <w:rPr>
          <w:rFonts w:ascii="Amiri" w:hAnsi="Amiri" w:eastAsia="Amiri" w:cs="Amiri"/>
          <w:color w:val="111111"/>
          <w:sz w:val="28"/>
          <w:sz w:val="28"/>
          <w:szCs w:val="28"/>
          <w:rtl w:val="true"/>
          <w:lang w:bidi="ar-SA"/>
        </w:rPr>
        <w:t>إنّ هذه الشروط قد تطابق عليها العقل و النقل، فكما انّ النقل يدلّ على وجوب اتّصاف الوالي بها كذلك يدلّ العقل على اشتراطها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التطابق يدلّ على انّ الولاية هذه مجمَعٌ عليها بين العقلاء و الديّانين</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13100150_1280447820"/>
      <w:bookmarkStart w:id="701" w:name="_Toc281"/>
      <w:bookmarkEnd w:id="700"/>
      <w:r>
        <w:rPr>
          <w:rtl w:val="true"/>
        </w:rPr>
        <w:t>النكتة الرّابعة</w:t>
      </w:r>
      <w:r>
        <w:rPr>
          <w:rtl w:val="true"/>
        </w:rPr>
        <w:t>:</w:t>
      </w:r>
      <w:bookmarkEnd w:id="701"/>
    </w:p>
    <w:p>
      <w:pPr>
        <w:pStyle w:val="BookText"/>
        <w:rPr/>
      </w:pPr>
      <w:r>
        <w:rPr>
          <w:rFonts w:ascii="Amiri" w:hAnsi="Amiri" w:eastAsia="Amiri" w:cs="Amiri"/>
          <w:color w:val="111111"/>
          <w:sz w:val="28"/>
          <w:sz w:val="28"/>
          <w:szCs w:val="28"/>
          <w:rtl w:val="true"/>
          <w:lang w:bidi="ar-SA"/>
        </w:rPr>
        <w:t>إنّ لبعض هذه الشروط من الأهمّيّة ما ليس لبعضٍ آخر، فليست خطورة هذه الشروط و زنتها على مستوىً واحد</w:t>
      </w:r>
      <w:r>
        <w:rPr>
          <w:rFonts w:eastAsia="Amiri" w:cs="Amiri" w:ascii="Amiri" w:hAnsi="Amiri"/>
          <w:color w:val="111111"/>
          <w:sz w:val="28"/>
          <w:szCs w:val="28"/>
          <w:rtl w:val="true"/>
          <w:lang w:bidi="ar-SA"/>
        </w:rPr>
        <w:t>.</w:t>
      </w:r>
    </w:p>
    <w:p>
      <w:pPr>
        <w:pStyle w:val="Heading5"/>
        <w:numPr>
          <w:ilvl w:val="4"/>
          <w:numId w:val="1"/>
        </w:numPr>
        <w:rPr/>
      </w:pPr>
      <w:bookmarkStart w:id="702" w:name="__RefHeading___Toc13100152_1280447820"/>
      <w:bookmarkStart w:id="703" w:name="_Toc282"/>
      <w:bookmarkEnd w:id="702"/>
      <w:r>
        <w:rPr>
          <w:rtl w:val="true"/>
        </w:rPr>
        <w:t>النكتة الخامسة</w:t>
      </w:r>
      <w:r>
        <w:rPr>
          <w:rtl w:val="true"/>
        </w:rPr>
        <w:t>:</w:t>
      </w:r>
      <w:bookmarkEnd w:id="703"/>
    </w:p>
    <w:p>
      <w:pPr>
        <w:pStyle w:val="BookText"/>
        <w:rPr/>
      </w:pPr>
      <w:r>
        <w:rPr>
          <w:rFonts w:ascii="Amiri" w:hAnsi="Amiri" w:eastAsia="Amiri" w:cs="Amiri"/>
          <w:color w:val="111111"/>
          <w:sz w:val="28"/>
          <w:sz w:val="28"/>
          <w:szCs w:val="28"/>
          <w:rtl w:val="true"/>
          <w:lang w:bidi="ar-SA"/>
        </w:rPr>
        <w:t xml:space="preserve">إنّ بعض هذه الشروط قد كثر فيه الكلام بين المعاصرين، بل ربما صار محلّاً لأنظارهم نفياً و اثباتاً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كاشتراط الأعلميّة في الوليّ أو عدم اشتراطها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السرّ فيما يرى القارىء الكريم من التوسّع في البحث عن بعضها و الإجمال في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ما مضى في النكتة الرّابعة من عدم استواء الشروط في الزنة و الخطورة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 بعد الفراغ من بيان هذه النكات الخمس نأخذ في سرد الشرائط و التحقيق حول كلّ واحدٍ منها؛ و الحمد للّه ربّ العالمين</w:t>
      </w:r>
      <w:r>
        <w:rPr>
          <w:rFonts w:eastAsia="Amiri" w:cs="Amiri" w:ascii="Amiri" w:hAnsi="Amiri"/>
          <w:color w:val="111111"/>
          <w:sz w:val="28"/>
          <w:szCs w:val="28"/>
          <w:rtl w:val="true"/>
          <w:lang w:bidi="ar-SA"/>
        </w:rPr>
        <w:t>.</w:t>
      </w:r>
      <w:bookmarkStart w:id="704" w:name="pg18987_179865"/>
    </w:p>
    <w:p>
      <w:pPr>
        <w:pStyle w:val="Heading4"/>
        <w:numPr>
          <w:ilvl w:val="3"/>
          <w:numId w:val="1"/>
        </w:numPr>
        <w:rPr/>
      </w:pPr>
      <w:bookmarkStart w:id="705" w:name="__RefHeading___Toc13100154_1280447820"/>
      <w:bookmarkStart w:id="706" w:name="_Toc283"/>
      <w:bookmarkEnd w:id="704"/>
      <w:bookmarkEnd w:id="705"/>
      <w:r>
        <w:rPr>
          <w:rtl w:val="true"/>
        </w:rPr>
        <w:t>الشرط الأوّل</w:t>
      </w:r>
      <w:r>
        <w:rPr>
          <w:rtl w:val="true"/>
        </w:rPr>
        <w:t xml:space="preserve">: </w:t>
      </w:r>
      <w:r>
        <w:rPr>
          <w:rtl w:val="true"/>
        </w:rPr>
        <w:t>الإسلام</w:t>
      </w:r>
      <w:bookmarkEnd w:id="706"/>
    </w:p>
    <w:p>
      <w:pPr>
        <w:pStyle w:val="BookText"/>
        <w:rPr/>
      </w:pPr>
      <w:r>
        <w:rPr>
          <w:rFonts w:ascii="Amiri" w:hAnsi="Amiri" w:eastAsia="Amiri" w:cs="Amiri"/>
          <w:color w:val="111111"/>
          <w:sz w:val="28"/>
          <w:sz w:val="28"/>
          <w:szCs w:val="28"/>
          <w:rtl w:val="true"/>
          <w:lang w:bidi="ar-SA"/>
        </w:rPr>
        <w:t>و هذا ممّا لايحتاج إلى كثير كلامٍ، إذ من المتركز عند العقول السليمة أن لاولاية لغير المسلم على المسلمين؛ إذ هذا يفضي إلى انحراف المجتمع عن أحكام الإسلام العلياء، بل إلى نقض الغرض، و ليس هو من فعل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تدلّ عليه طائفةٌ من النصوص؛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لَايَتَّخِذِ الْمُؤْمِنُونَ الكَافِرِينَ أَولِيَاءَ</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لَاتَتَّخِذُوا بِطَانَةً مِنْ دُونِكُمْ</w:t>
      </w:r>
      <w:r>
        <w:rPr>
          <w:rFonts w:eastAsia="Amiri" w:cs="Amiri" w:ascii="Amiri" w:hAnsi="Amiri"/>
          <w:color w:val="111111"/>
          <w:sz w:val="28"/>
          <w:szCs w:val="28"/>
          <w:rtl w:val="true"/>
          <w:lang w:bidi="ar-SA"/>
        </w:rPr>
        <w:t>»</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النصوص كلّها تشير إلى أن لاولاية لغير المسلم على المسلمين</w:t>
      </w:r>
      <w:r>
        <w:rPr>
          <w:rFonts w:eastAsia="Amiri" w:cs="Amiri" w:ascii="Amiri" w:hAnsi="Amiri"/>
          <w:color w:val="111111"/>
          <w:sz w:val="28"/>
          <w:szCs w:val="28"/>
          <w:rtl w:val="true"/>
          <w:lang w:bidi="ar-SA"/>
        </w:rPr>
        <w:t xml:space="preserve">. </w:t>
      </w:r>
      <w:bookmarkStart w:id="707" w:name="pg18987_179866"/>
    </w:p>
    <w:p>
      <w:pPr>
        <w:pStyle w:val="Heading4"/>
        <w:numPr>
          <w:ilvl w:val="3"/>
          <w:numId w:val="1"/>
        </w:numPr>
        <w:rPr/>
      </w:pPr>
      <w:bookmarkStart w:id="708" w:name="__RefHeading___Toc13100156_1280447820"/>
      <w:bookmarkStart w:id="709" w:name="_Toc284"/>
      <w:bookmarkEnd w:id="707"/>
      <w:bookmarkEnd w:id="708"/>
      <w:r>
        <w:rPr>
          <w:rtl w:val="true"/>
        </w:rPr>
        <w:t>الشرط الثّاني التشيّع</w:t>
      </w:r>
      <w:bookmarkEnd w:id="709"/>
    </w:p>
    <w:p>
      <w:pPr>
        <w:pStyle w:val="BookText"/>
        <w:rPr/>
      </w:pPr>
      <w:r>
        <w:rPr>
          <w:rFonts w:ascii="Amiri" w:hAnsi="Amiri" w:eastAsia="Amiri" w:cs="Amiri"/>
          <w:color w:val="111111"/>
          <w:sz w:val="28"/>
          <w:sz w:val="28"/>
          <w:szCs w:val="28"/>
          <w:rtl w:val="true"/>
          <w:lang w:bidi="ar-SA"/>
        </w:rPr>
        <w:t xml:space="preserve">و لاخلاف في أنّ الولاية أُختصّت بمن سلك في العقائد و المناهج الفقهيّة مسلك أهل البيت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لَاتَرْكَنُوا إِلَى الَّذِينَ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لاظلم أقبح و أفحش من غصب الخلافة و جعل النفس ظلماً في منصبٍ لا صلاحيّة لها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دلّت عليه مقبولة عمر بن حنظلة أيضاً، بل دلالتها عليه واضحةٌ أشدّ الوضوح حيث سأل عن الرجوع إلى ولاة العامّة و حكّامهم، فنهاه عليه السلام عن الرجوع و الركون إليهم مستشهداً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 قَدْ أُمِرُوا أَنْ يَكْفُرُوا بِهِ</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710" w:name="pg18987_179867"/>
    </w:p>
    <w:p>
      <w:pPr>
        <w:pStyle w:val="Heading4"/>
        <w:numPr>
          <w:ilvl w:val="3"/>
          <w:numId w:val="1"/>
        </w:numPr>
        <w:rPr/>
      </w:pPr>
      <w:bookmarkStart w:id="711" w:name="__RefHeading___Toc13100158_1280447820"/>
      <w:bookmarkStart w:id="712" w:name="_Toc285"/>
      <w:bookmarkEnd w:id="710"/>
      <w:bookmarkEnd w:id="711"/>
      <w:r>
        <w:rPr>
          <w:rtl w:val="true"/>
        </w:rPr>
        <w:t>الشرط الثّالث</w:t>
      </w:r>
      <w:r>
        <w:rPr>
          <w:rtl w:val="true"/>
        </w:rPr>
        <w:t xml:space="preserve">: </w:t>
      </w:r>
      <w:r>
        <w:rPr>
          <w:rtl w:val="true"/>
        </w:rPr>
        <w:t>الإجتهاد</w:t>
      </w:r>
      <w:bookmarkEnd w:id="712"/>
    </w:p>
    <w:p>
      <w:pPr>
        <w:pStyle w:val="Heading5"/>
        <w:numPr>
          <w:ilvl w:val="4"/>
          <w:numId w:val="1"/>
        </w:numPr>
        <w:rPr/>
      </w:pPr>
      <w:bookmarkStart w:id="713" w:name="__RefHeading___Toc13100160_1280447820"/>
      <w:bookmarkStart w:id="714" w:name="_Toc286"/>
      <w:bookmarkEnd w:id="713"/>
      <w:r>
        <w:rPr>
          <w:rtl w:val="true"/>
        </w:rPr>
        <w:t>اشارة</w:t>
      </w:r>
      <w:bookmarkEnd w:id="714"/>
    </w:p>
    <w:p>
      <w:p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استنباط المسائل من أدلّتها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أهمّ الشروط، بل هو معقد مبحث ولاية الفقيه، إذ 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الولاية أُختصّت بمن له ملكة الإجتهاد و استنباط الأمور من محالّها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و السنّة و الإجماع و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لااختصاص لها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مرّت الإشارة إلى الأدلّة الأربعة الدالّة على ثبوتها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نزيد عليها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مختصّةٌ به، إذ لامعنى لأن يولّي أمر المسلمين من لادربة له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يرشد قول مولانا الصادق عليه السلام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ينظران إلى من كان منكم قد روى حديثنا و نظر في حلالنا و حرامنا و عرف أحكامنا</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بصيراً بالأحكام خبيراً بمبانيها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ما للجمع من الظهور في إفادة العموم،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في حلالنا و حرامنا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اشتراط الفقاهة التامّة و ملكة الإستنباط المطلقة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غيره من الشروط الراجعة إلى الملكات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كالخبرويّة في علوم التفسير و الحكمة و الرجال و الأدب و الأصولين و غيرها من مقدّمات المعرفة التامّة بالثقافة الإسلاميّة، و سنبحث عنها </w:t>
      </w:r>
      <w:r>
        <w:rPr>
          <w:rFonts w:eastAsia="Amiri" w:cs="Amiri" w:ascii="Amiri" w:hAnsi="Amiri"/>
          <w:color w:val="111111"/>
          <w:sz w:val="28"/>
          <w:szCs w:val="28"/>
          <w:rtl w:val="true"/>
          <w:lang w:bidi="ar-SA"/>
        </w:rPr>
        <w:t xml:space="preserve">-. </w:t>
      </w:r>
      <w:bookmarkStart w:id="715" w:name="pg18987_179868"/>
    </w:p>
    <w:p>
      <w:pPr>
        <w:pStyle w:val="Heading5"/>
        <w:numPr>
          <w:ilvl w:val="4"/>
          <w:numId w:val="1"/>
        </w:numPr>
        <w:rPr/>
      </w:pPr>
      <w:bookmarkStart w:id="716" w:name="__RefHeading___Toc13100162_1280447820"/>
      <w:bookmarkStart w:id="717" w:name="_Toc287"/>
      <w:bookmarkEnd w:id="715"/>
      <w:bookmarkEnd w:id="716"/>
      <w:r>
        <w:rPr>
          <w:rtl w:val="true"/>
        </w:rPr>
        <w:t>تذييلٌهل الأعلميّة شرط فى الولىّ؟</w:t>
      </w:r>
      <w:bookmarkEnd w:id="717"/>
    </w:p>
    <w:p>
      <w:pPr>
        <w:pStyle w:val="Heading6"/>
        <w:numPr>
          <w:ilvl w:val="5"/>
          <w:numId w:val="1"/>
        </w:numPr>
        <w:rPr/>
      </w:pPr>
      <w:bookmarkStart w:id="718" w:name="__RefHeading___Toc13100164_1280447820"/>
      <w:bookmarkStart w:id="719" w:name="_Toc288"/>
      <w:bookmarkEnd w:id="718"/>
      <w:r>
        <w:rPr>
          <w:rtl w:val="true"/>
        </w:rPr>
        <w:t>اشارة</w:t>
      </w:r>
      <w:bookmarkEnd w:id="719"/>
    </w:p>
    <w:p>
      <w:pPr>
        <w:pStyle w:val="BookText"/>
        <w:rPr/>
      </w:pPr>
      <w:r>
        <w:rPr>
          <w:rFonts w:ascii="Amiri" w:hAnsi="Amiri" w:eastAsia="Amiri" w:cs="Amiri"/>
          <w:color w:val="111111"/>
          <w:sz w:val="28"/>
          <w:sz w:val="28"/>
          <w:szCs w:val="28"/>
          <w:rtl w:val="true"/>
          <w:lang w:bidi="ar-SA"/>
        </w:rPr>
        <w:t>و هيهنا بحثٌ يجب علينا الإلمام به، و قد كثر الكلام فيه بين المعاصرين؛ و هو اشتراط الأعلميّة أو عدم اشتراطها في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ذهب إلى أنّها تُعدّ من شرائطه، بل لاولاية على المجتمع إلّاللأعلم فقاهةً؛</w:t>
      </w:r>
    </w:p>
    <w:p>
      <w:pPr>
        <w:pStyle w:val="BookText"/>
        <w:rPr/>
      </w:pPr>
      <w:r>
        <w:rPr>
          <w:rFonts w:ascii="Amiri" w:hAnsi="Amiri" w:eastAsia="Amiri" w:cs="Amiri"/>
          <w:color w:val="111111"/>
          <w:sz w:val="28"/>
          <w:sz w:val="28"/>
          <w:szCs w:val="28"/>
          <w:rtl w:val="true"/>
          <w:lang w:bidi="ar-SA"/>
        </w:rPr>
        <w:t>و منهم من نفاها و ذهب إلى كفاية الإجتهاد و ملكة الاستنباط في كون الفقيه صالحاً للجلوس على عرش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لنمهّد تمهيداً قبل الخوض فيه؛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للفقيه وظائف،</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الأحكام و استنباط الحوادث الواقعة من مظانّها من شرايع الإسلام، و هو على عاتق عالمٍ يُرجع إليه فيما يرتبط بالأحكام الفقهيّة، و هو الّذي نسمّيه اليوم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رئاسة المجتمع و تنظيم شؤونها الداخليّة و الخارجيّة و تنضيد ما له من السياسة و القوى الثلاث و القوّاة الحربيّة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المتكفّل لها هو الّذي نسمّيه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فالوليّ هو الفقيه الّذي اجتمع فيه شرط الفقاهة مع غيره 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مصبّ البحث،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فيه الأعلميّة أم تكفي فيه قوّة الاستنباط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العظيمة الواقعة بين العلماء دالّةٌ على عدم اشتراطها فيه، و لكن هناك رواياتٌ استُدلَّت بها على أنّ الأعلميّة شرطٌ في الوليّ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لعلّ أصل تأهّل المفضول و كونه منصوباً يجري على قبضه و ولايته مجرى قبض الأفضل من القطعيّات الّتي لاينبغي الوسوسة فيها، خصوصاً بعد ملاحظة نصوص النصب الظاهرة في نصب الجميع الموصوفين بالوصف </w:t>
      </w:r>
    </w:p>
    <w:p>
      <w:pPr>
        <w:pStyle w:val="BookText"/>
        <w:rPr/>
      </w:pPr>
      <w:r>
        <w:rPr>
          <w:rFonts w:ascii="IRNazanin" w:hAnsi="IRNazanin" w:eastAsia="IRNazanin"/>
          <w:color w:val="111111"/>
          <w:sz w:val="28"/>
          <w:sz w:val="28"/>
          <w:szCs w:val="28"/>
          <w:rtl w:val="true"/>
          <w:lang w:bidi="fa-IR"/>
        </w:rPr>
        <w:t>المزبور، لا الأفضل منهم</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فثبوت الولاية للمستنبط و إن لم يُوصف بالأعلميّة ثابتٌ عند المحقّق النجفيّ رحمه الله، و لايجوز عنده الوسوسة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قد اختار هذا المذهب نظراً إلى ما للأدلّة من الإطلاق؛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فيها إلى رواة حديثنا</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فارجعوا فيها إلى الأفضل و الأعلم من رواة أحاديثنا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أشار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إلّالوجب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الأفضل منكم،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منكم؛ كما هو واضحٌ بأدنى تأمّلٍ</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ما اختاره رحمه الله من عدم اشتراط الأعلميّة في الحاكم و القاضي قد صار من المجمع عليه بعده حيث لم نجد مَن خالفه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الأعظم رحمه الله تذييلٌ عليه، و قوله هذا نشأ من رأيه الشريف في كيفيّة الأخذ بالإطلاق من الأدلّة الّتي هي في مقام تشريع أصل الحكم و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رحمه الله قد ادّعى في كتاب القضاء و الشهادات إجماع العلماء و إطباقهم على عدم اشتراط الأعلميّة في الحكّام، و لكن له إشكالٌ في صحّة القول بكون الروايات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لايهمّنا البحث عن رأيه الشريف بعد وفاقه مع المشهور في القول بالعدم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لاخلاف بين المتأخّرين عنه أيضاً في عدم اشتراطها فيه، منهم المحقّق الرشتيّ رحمه الله في </w:t>
      </w:r>
    </w:p>
    <w:p>
      <w:pPr>
        <w:pStyle w:val="BookText"/>
        <w:rPr/>
      </w:pPr>
      <w:r>
        <w:rPr>
          <w:rFonts w:ascii="Amiri" w:hAnsi="Amiri" w:eastAsia="Amiri" w:cs="Amiri"/>
          <w:color w:val="111111"/>
          <w:sz w:val="28"/>
          <w:sz w:val="28"/>
          <w:szCs w:val="28"/>
          <w:rtl w:val="true"/>
          <w:lang w:bidi="ar-SA"/>
        </w:rPr>
        <w:t>كتاب الإجتهاد و التقليد</w:t>
      </w:r>
      <w:r>
        <w:rPr>
          <w:rStyle w:val="FootnoteAnchor"/>
          <w:rtl w:val="true"/>
        </w:rPr>
        <w:footnoteReference w:id="416"/>
      </w:r>
      <w:r>
        <w:rPr>
          <w:rFonts w:ascii="Amiri" w:hAnsi="Amiri" w:eastAsia="Amiri" w:cs="Amiri"/>
          <w:color w:val="111111"/>
          <w:sz w:val="28"/>
          <w:sz w:val="28"/>
          <w:szCs w:val="28"/>
          <w:rtl w:val="true"/>
          <w:lang w:bidi="ar-SA"/>
        </w:rPr>
        <w:t>، و المحقّق الآشتيانيّ رحمه الله في كتاب القضاء</w:t>
      </w:r>
      <w:r>
        <w:rPr>
          <w:rStyle w:val="FootnoteAnchor"/>
          <w:rtl w:val="true"/>
        </w:rPr>
        <w:footnoteReference w:id="417"/>
      </w:r>
      <w:r>
        <w:rPr>
          <w:rFonts w:ascii="Amiri" w:hAnsi="Amiri" w:eastAsia="Amiri" w:cs="Amiri"/>
          <w:color w:val="111111"/>
          <w:sz w:val="28"/>
          <w:sz w:val="28"/>
          <w:szCs w:val="28"/>
          <w:rtl w:val="true"/>
          <w:lang w:bidi="ar-SA"/>
        </w:rPr>
        <w:t>، و السيّد المحقّق الفشاركيّ رحمه الله في كتاب الإجتهاد و التقليد</w:t>
      </w:r>
      <w:r>
        <w:rPr>
          <w:rStyle w:val="FootnoteAnchor"/>
          <w:rtl w:val="true"/>
        </w:rPr>
        <w:footnoteReference w:id="418"/>
      </w:r>
      <w:r>
        <w:rPr>
          <w:rFonts w:ascii="Amiri" w:hAnsi="Amiri" w:eastAsia="Amiri" w:cs="Amiri"/>
          <w:color w:val="111111"/>
          <w:sz w:val="28"/>
          <w:sz w:val="28"/>
          <w:szCs w:val="28"/>
          <w:rtl w:val="true"/>
          <w:lang w:bidi="ar-SA"/>
        </w:rPr>
        <w:t>أيضاً، و المحقّق الكمبانيّ رحمه الله أيضاً فيه، و السيّد الفقيه اليزديّ رحمه الله في العروة</w:t>
      </w:r>
      <w:r>
        <w:rPr>
          <w:rStyle w:val="FootnoteAnchor"/>
          <w:rtl w:val="true"/>
        </w:rPr>
        <w:footnoteReference w:id="419"/>
      </w:r>
      <w:r>
        <w:rPr>
          <w:rFonts w:ascii="Amiri" w:hAnsi="Amiri" w:eastAsia="Amiri" w:cs="Amiri"/>
          <w:color w:val="111111"/>
          <w:sz w:val="28"/>
          <w:sz w:val="28"/>
          <w:szCs w:val="28"/>
          <w:rtl w:val="true"/>
          <w:lang w:bidi="ar-SA"/>
        </w:rPr>
        <w:t>، و أكابر المتأخّرين في حواشيهم عليه كالسيّد الأستاذ الإمام الخمينيّ رحمه الله و آيات اللّه العظام الحكيم رحمه الله و الخوئيّ رحمه الله و السيّد عبدالهادي الشيرازيّ رحمه الله</w:t>
      </w:r>
      <w:r>
        <w:rPr>
          <w:rStyle w:val="FootnoteAnchor"/>
          <w:rtl w:val="true"/>
        </w:rPr>
        <w:footnoteReference w:id="420"/>
      </w:r>
      <w:r>
        <w:rPr>
          <w:rFonts w:ascii="Amiri" w:hAnsi="Amiri" w:eastAsia="Amiri" w:cs="Amiri"/>
          <w:color w:val="111111"/>
          <w:sz w:val="28"/>
          <w:sz w:val="28"/>
          <w:szCs w:val="28"/>
          <w:rtl w:val="true"/>
          <w:lang w:bidi="ar-SA"/>
        </w:rPr>
        <w:t>فإنّهم وافقوا على عدم اشتراطها فيه مستدلّين بما للأدلّة المثبتة للولاية من الإطلاق</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المقام كلامٌ آخر؛ و هو ما ذكره المحقّق الآخوند رحمه الله من أنّ عدم الوجدان فيما يعمّ به البلوى يدلّ على عدم الوجود، فانّه ذهب في المجلد الثّاني من كفايته في مبحث قصد الوجه و التمييز إلى أنّ الفحص البالغ في الأدلّة و عدم العثور فيها على شيءٍ يدلّ على عدمه</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كثر السؤال و الجواب في موارد يعمّ بها البلوى، و كثيرٌ من هذه الأسؤلة و الأجوبة قد دُوّن </w:t>
      </w:r>
    </w:p>
    <w:p>
      <w:pPr>
        <w:pStyle w:val="BookText"/>
        <w:rPr/>
      </w:pPr>
      <w:r>
        <w:rPr>
          <w:rFonts w:ascii="Amiri" w:hAnsi="Amiri" w:eastAsia="Amiri" w:cs="Amiri"/>
          <w:color w:val="111111"/>
          <w:sz w:val="28"/>
          <w:sz w:val="28"/>
          <w:szCs w:val="28"/>
          <w:rtl w:val="true"/>
          <w:lang w:bidi="ar-SA"/>
        </w:rPr>
        <w:t>في مجاميعنا الروائيّة و هي بأيدينا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يعثر الفقيه على شيءٍ يدلّ على جزئيّة شيءٍ أو شرطيّة ما شُكَّ في جزئيّته أو شرطيّته فنفس عدم العثور عليه يدلّ على عدم صدوره عن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الحكم و الحاكم و الولاية و الوالي ممّا يعمّ به البلوى، بل لا أهمّ منها بالنظر إلى ما لها من الدور في هداية المجتمع و إيصال المسلمين إلى ما يليق بهم من الكمال و 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اشتراط الأعلميّة في الأدلّة و عدم إشارة المعصوم إلى هذا الشرط يدلّ على عدم اشتراطه في الوليّ؛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يمكن الاستدلال لعدم الشرطيّة بما يظهر من مقبولة عمر بن حنظلة حيث أهال الإمام عليه السلام أمر الحكم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في حلالنا و حرامنا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يشترط الأعلميّة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سأله السائل عن تعدّد من يصدق عليه هذا العنوان بحيث يمكن أن يصدق هذا العنوان على مصاديق متعدّدة أمره عليه السلام بالأخذ بالأعدل و الأتقى، فالعنوان يصدق على المجتهد العادل التقيّ، و في صورة التعارض بين الصالحين للقيام بهذا المنصب يجب الرجوع إلى الأعلم الأتقى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قلنا انّ الأعلميّة في الفقاهة ليست من شروط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نفيه هذه الأدلّة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صاحب الجواهر بكونه من المقطوع عليه؛</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المجمع عليه بين الأصحاب؛</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الروايات؛</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وجدان دليلٍ يدلّ عليه؛</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مقبولة عمر بن الحنظة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القائلون باشتراط الأعلميّة فقاهةً في الوليّ فقد استدلّوا على مذهبهم بالعقل و النقل؛ و هيهنا نأتي بتفصيل كلامهم ثمّ نبدوا ما لنا حول كلّ واحدٍ من أدلّتهم من الأنظار</w:t>
      </w:r>
      <w:r>
        <w:rPr>
          <w:rFonts w:eastAsia="Amiri" w:cs="Amiri" w:ascii="Amiri" w:hAnsi="Amiri"/>
          <w:color w:val="111111"/>
          <w:sz w:val="28"/>
          <w:szCs w:val="28"/>
          <w:rtl w:val="true"/>
          <w:lang w:bidi="ar-SA"/>
        </w:rPr>
        <w:t xml:space="preserve">. </w:t>
      </w:r>
      <w:bookmarkStart w:id="720" w:name="pg18987_179872"/>
    </w:p>
    <w:p>
      <w:pPr>
        <w:pStyle w:val="Heading6"/>
        <w:numPr>
          <w:ilvl w:val="5"/>
          <w:numId w:val="1"/>
        </w:numPr>
        <w:rPr/>
      </w:pPr>
      <w:bookmarkStart w:id="721" w:name="__RefHeading___Toc13100166_1280447820"/>
      <w:bookmarkStart w:id="722" w:name="_Toc289"/>
      <w:bookmarkEnd w:id="720"/>
      <w:bookmarkEnd w:id="721"/>
      <w:r>
        <w:rPr>
          <w:rtl w:val="true"/>
        </w:rPr>
        <w:t>أوّلاً</w:t>
      </w:r>
      <w:r>
        <w:rPr>
          <w:rtl w:val="true"/>
        </w:rPr>
        <w:t xml:space="preserve">: </w:t>
      </w:r>
      <w:r>
        <w:rPr>
          <w:rtl w:val="true"/>
        </w:rPr>
        <w:t>الاستدلال بالعقل على لزوم الأفقهيّة في الوليّ‌</w:t>
      </w:r>
      <w:bookmarkEnd w:id="722"/>
    </w:p>
    <w:p>
      <w:pPr>
        <w:pStyle w:val="Heading6"/>
        <w:numPr>
          <w:ilvl w:val="5"/>
          <w:numId w:val="1"/>
        </w:numPr>
        <w:rPr/>
      </w:pPr>
      <w:bookmarkStart w:id="723" w:name="__RefHeading___Toc13100168_1280447820"/>
      <w:bookmarkStart w:id="724" w:name="_Toc290"/>
      <w:bookmarkEnd w:id="723"/>
      <w:r>
        <w:rPr>
          <w:rtl w:val="true"/>
        </w:rPr>
        <w:t>اشارة</w:t>
      </w:r>
      <w:bookmarkEnd w:id="72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الرجوع إلى الأعلم أمرٌ يسجلّه العقل و تشهد له سيرة العقلاء، إذ الناس في جميع ما لهم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لاسيّما في مهامّها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يرجعون إلى الأعلم؛ و لايُقاس منصبٌ بمنصب الولاية، فتشترط فيه الأعلميّة</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13100170_1280447820"/>
      <w:bookmarkStart w:id="726" w:name="_Toc291"/>
      <w:bookmarkEnd w:id="725"/>
      <w:r>
        <w:rPr>
          <w:rtl w:val="true"/>
        </w:rPr>
        <w:t>و الجواب</w:t>
      </w:r>
      <w:r>
        <w:rPr>
          <w:rtl w:val="true"/>
        </w:rPr>
        <w:t>:</w:t>
      </w:r>
      <w:bookmarkEnd w:id="726"/>
    </w:p>
    <w:p>
      <w:pPr>
        <w:pStyle w:val="BookText"/>
        <w:rPr/>
      </w:pPr>
      <w:r>
        <w:rPr>
          <w:rFonts w:ascii="Amiri" w:hAnsi="Amiri" w:eastAsia="Amiri" w:cs="Amiri"/>
          <w:color w:val="111111"/>
          <w:sz w:val="28"/>
          <w:sz w:val="28"/>
          <w:szCs w:val="28"/>
          <w:rtl w:val="true"/>
          <w:lang w:bidi="ar-SA"/>
        </w:rPr>
        <w:t>إنّ هذا القول قولٌ صحيحٌ لاغبار عليه صغرويّاً، إذ الرجوع إلى الأعلم و لاسيّما في مهامّ الأمور ممّا لاشكّ فيه و لاشبهة تعتريه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الكلام كلّه في أنّ الأعلميّة في كلّ أمرٍ بحسب ذلك الأمر، فالأعلميّة في الطبيب ترجع إلى حذاقته في فنّه؛ و الأعمليّة في المرجِع ترجع إلى إحاطته بمباني الفقه و آراء الأعلام في كلّ مسألةٍ ثمّ ملكة استنباط الحكم و الاستدلال لمايختلج بباله؛ و كذلك الأعلميّة في الوليّ ترجع إلى ما هو معدودٌ من وظائفه و جُعل على 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فالخبرويّة في السياسة الدوليّة و ما للمجتمع من الأمور اليوميّة و الشؤون الخارجيّة هي ملاك الأعلميّة في الوليّ، لاكثرة الإحاطة بآراء الأعاظم و مبانيهم في فروع الفقه و أدلّتها، إذ هي من شأن الفقيه المرجِع، لا الفقيه الوليّ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فلاخلاف بيننا و بينهم في اشتراط الأعلميّة، و لكنّهم اشترطوا فيه الأعلميّة في الفقه و نحن اشترطنا فيه الأعلميّة فيما يرجع إلى الدولة و الولاية؛ و الأمر في اختيار الشرطين إلى القارىء الكريم</w:t>
      </w:r>
      <w:r>
        <w:rPr>
          <w:rFonts w:eastAsia="Amiri" w:cs="Amiri" w:ascii="Amiri" w:hAnsi="Amiri"/>
          <w:color w:val="111111"/>
          <w:sz w:val="28"/>
          <w:szCs w:val="28"/>
          <w:rtl w:val="true"/>
          <w:lang w:bidi="ar-SA"/>
        </w:rPr>
        <w:t xml:space="preserve">. </w:t>
      </w:r>
      <w:bookmarkStart w:id="727" w:name="pg18987_179873"/>
    </w:p>
    <w:p>
      <w:pPr>
        <w:pStyle w:val="Heading6"/>
        <w:numPr>
          <w:ilvl w:val="5"/>
          <w:numId w:val="1"/>
        </w:numPr>
        <w:rPr/>
      </w:pPr>
      <w:bookmarkStart w:id="728" w:name="__RefHeading___Toc13100172_1280447820"/>
      <w:bookmarkStart w:id="729" w:name="_Toc292"/>
      <w:bookmarkEnd w:id="727"/>
      <w:bookmarkEnd w:id="728"/>
      <w:r>
        <w:rPr>
          <w:rtl w:val="true"/>
        </w:rPr>
        <w:t>ثانياً</w:t>
      </w:r>
      <w:r>
        <w:rPr>
          <w:rtl w:val="true"/>
        </w:rPr>
        <w:t xml:space="preserve">: </w:t>
      </w:r>
      <w:r>
        <w:rPr>
          <w:rtl w:val="true"/>
        </w:rPr>
        <w:t>الاستدلال بالروايات على لزوم الأفقهيّة في الوليّ‌</w:t>
      </w:r>
      <w:bookmarkEnd w:id="729"/>
    </w:p>
    <w:p>
      <w:pPr>
        <w:pStyle w:val="Heading6"/>
        <w:numPr>
          <w:ilvl w:val="5"/>
          <w:numId w:val="1"/>
        </w:numPr>
        <w:rPr/>
      </w:pPr>
      <w:bookmarkStart w:id="730" w:name="__RefHeading___Toc13100174_1280447820"/>
      <w:bookmarkStart w:id="731" w:name="_Toc293"/>
      <w:bookmarkEnd w:id="730"/>
      <w:r>
        <w:rPr>
          <w:rtl w:val="true"/>
        </w:rPr>
        <w:t>اشارة</w:t>
      </w:r>
      <w:bookmarkEnd w:id="731"/>
    </w:p>
    <w:p>
      <w:pPr>
        <w:pStyle w:val="BookText"/>
        <w:rPr/>
      </w:pPr>
      <w:r>
        <w:rPr>
          <w:rFonts w:ascii="Amiri" w:hAnsi="Amiri" w:eastAsia="Amiri" w:cs="Amiri"/>
          <w:color w:val="111111"/>
          <w:sz w:val="28"/>
          <w:sz w:val="28"/>
          <w:szCs w:val="28"/>
          <w:rtl w:val="true"/>
          <w:lang w:bidi="ar-SA"/>
        </w:rPr>
        <w:t>و استدلّوا على لزوم اشتراطها فيه بما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الأخبار كثيرةٌ بحيث يبلغ عددها إلى ما يقرب من عشرين حديثاً؛ فمضمونها متواترٌ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انّ منها ما هو صحيحٌ سنداً، و منها ما هو أعلى من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كالمنقول من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أن نفصّل الكلام حول كلّ واحدٍ منها حتّى تظهر مدى دلالته على ما ذهبوا إليه</w:t>
      </w:r>
      <w:r>
        <w:rPr>
          <w:rFonts w:eastAsia="Amiri" w:cs="Amiri" w:ascii="Amiri" w:hAnsi="Amiri"/>
          <w:color w:val="111111"/>
          <w:sz w:val="28"/>
          <w:szCs w:val="28"/>
          <w:rtl w:val="true"/>
          <w:lang w:bidi="ar-SA"/>
        </w:rPr>
        <w:t>.</w:t>
      </w:r>
    </w:p>
    <w:p>
      <w:pPr>
        <w:pStyle w:val="Heading6"/>
        <w:numPr>
          <w:ilvl w:val="5"/>
          <w:numId w:val="1"/>
        </w:numPr>
        <w:rPr/>
      </w:pPr>
      <w:bookmarkStart w:id="732" w:name="__RefHeading___Toc13100176_1280447820"/>
      <w:bookmarkStart w:id="733" w:name="_Toc294"/>
      <w:bookmarkEnd w:id="732"/>
      <w:r>
        <w:rPr>
          <w:rtl w:val="true"/>
        </w:rPr>
        <w:t>الرواية الأولى</w:t>
      </w:r>
      <w:bookmarkEnd w:id="733"/>
    </w:p>
    <w:p>
      <w:pPr>
        <w:pStyle w:val="BookText"/>
        <w:rPr/>
      </w:pPr>
      <w:r>
        <w:rPr>
          <w:rFonts w:ascii="Amiri" w:hAnsi="Amiri" w:eastAsia="Amiri" w:cs="Amiri"/>
          <w:color w:val="111111"/>
          <w:sz w:val="28"/>
          <w:sz w:val="28"/>
          <w:szCs w:val="28"/>
          <w:rtl w:val="true"/>
          <w:lang w:bidi="ar-SA"/>
        </w:rPr>
        <w:t>صحيحة عيص بن قاسم،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صفوان بن يحيى 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 الرجل ليكون له الغنم فيها الراعي، فإذا وجد رجلاً هو أعلم بغنمه من الّذي هو فيها يخرجه و يجيء بذلك الرجل الّذي هو أعلم بغنمه من الّذي كان فيها</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سندها صحيحٌ، و دلالتها على لزوم الأعلميّة في كلّ أمرٍ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الممثّل به فيها هي الرعاية، و هي من سافل الأمور و خسيسها الّتي لا قيمة لها؛ فإذا تطابق النقل و العقل </w:t>
      </w:r>
    </w:p>
    <w:p>
      <w:pPr>
        <w:pStyle w:val="BookText"/>
        <w:rPr/>
      </w:pPr>
      <w:r>
        <w:rPr>
          <w:rFonts w:ascii="Amiri" w:hAnsi="Amiri" w:eastAsia="Amiri" w:cs="Amiri"/>
          <w:color w:val="111111"/>
          <w:sz w:val="28"/>
          <w:sz w:val="28"/>
          <w:szCs w:val="28"/>
          <w:rtl w:val="true"/>
          <w:lang w:bidi="ar-SA"/>
        </w:rPr>
        <w:t>على اشتراطها في مثلها، فما ظنّك بالولاية الّتي لا أشرف منها و لاأرفع؟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شرطٌ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 دلالتها على مطلوبهم أنظارٌ ثلاثة،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يتمّ بالنظر إلى ما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أعلم بغنمه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المعنى، فانّ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تطلق و يراد منها معنى التفضيل، و تارةً أخرى تطلق و يراد منها معنى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لايدلّ على التفضيل بل على انحصار الوصف في مَن أُطلق عليه من غير مشاركةٍ لغيره معه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الْأَرْحَامِ بَعْضُهُمْ أَولَي بِبَعْضٍ</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و لاخلاف في أنّ الطبقة الأولى تمنع غيرها من الطبقات من أن يرث شيئاً من تركة الميّت، كما انّه لاخالق إلّااللّه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التفضيل، بل المراد انحصار وصف القرابة في الطبقة الأقرب و انحصار الخالقيّة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فيما نحن فيه، فانّ الحديث صدر لبيان نفي الولاية عن الولاة الغاصبين الّذين منعوا أهل البيت عليهم السلام عن حقّهم و جلسوا في مقامهم غصباً و بغياً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فلادلالة له على لزوم الأعلميّة، بل معناه انحصار حقّ الولاية فيهم عليهم السلام لا أنّ لغيرهم حقّاً فيها و لكنّهم أحق بها من غيرهم؛ و هذا ظاهرٌ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استعلمت هيهنا في معناه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مضت منّا الإشارة إلى أنّ التفضيل في كلّ شيءٍ بحسب ذلك الشيء، </w:t>
      </w:r>
      <w:bookmarkStart w:id="734" w:name="pg18987_179875"/>
    </w:p>
    <w:p>
      <w:pPr>
        <w:pStyle w:val="BookText"/>
        <w:rPr/>
      </w:pPr>
      <w:bookmarkEnd w:id="734"/>
      <w:r>
        <w:rPr>
          <w:rFonts w:ascii="Amiri" w:hAnsi="Amiri" w:eastAsia="Amiri" w:cs="Amiri"/>
          <w:color w:val="111111"/>
          <w:sz w:val="28"/>
          <w:sz w:val="28"/>
          <w:szCs w:val="28"/>
          <w:rtl w:val="true"/>
          <w:lang w:bidi="ar-SA"/>
        </w:rPr>
        <w:t>فالأعلميّة الّتي تُعدّ من المطلوب في الراعي غير الأعلميّة المطلوبة في الطبيب، و هما غير ما هو المطلوب في الفقيه المرجِع، و الكلّ غير ما هو المطلوب في الفقيه الوليّ؛ و هذا ممّا يحكم به العقل و للحديث أيضاً إرشادٌ إليه؛ و قد مضت آنفاً الإشارة إلى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الحديث على ما استدلّوا به عليه فلاضير، إذ انّه من المعرَض عنه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أشرنا إلى قول صاحب الجواهر و الشيخ الأعظم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وتلاميذه طبقةً بعد طبقةٍ، و رأينا انّهم جميعاً وافقوا على عدم اشتراط الأعلميّة في غير المرجعيّة من مناصب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كالحكم و القضاء و الوكالة 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قلنا أن لا دلالة في الصحيحة على مطلوبهم؛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هيهنا في معناها الوصفيّ لا التفضيليّ؛</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الأعلميّة في كلّ شيءٍ بحسبه، و الأعلميّة المطلوبة في الفقيه الوليّ هي غير المطلوبة في الفقيه المرجِع؛</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المراد منها ما أشاروا إليه فهي من المعرض عنه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فبهذه الثلاثة ظهر أن لادلالة فيها على ما استدلّوا بها عليه</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13100178_1280447820"/>
      <w:bookmarkStart w:id="736" w:name="_Toc295"/>
      <w:bookmarkEnd w:id="735"/>
      <w:r>
        <w:rPr>
          <w:rtl w:val="true"/>
        </w:rPr>
        <w:t>الرواية الثّانية</w:t>
      </w:r>
      <w:bookmarkEnd w:id="73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أبي عمير عن عمر بن أذينة عن زرارة عن عبدالكريم بن عتبة الهاشميّ عن الصادق عليه السلام في روايةٍ طويلةٍ، و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الناس بسيفه و دعاهم إلى نفسه و في المسلمين من هو أعلم منه فهو ضالٌّ متكلّفٌ</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737" w:name="pg18987_179876"/>
    </w:p>
    <w:p>
      <w:pPr>
        <w:pStyle w:val="BookText"/>
        <w:rPr/>
      </w:pPr>
      <w:bookmarkEnd w:id="737"/>
      <w:r>
        <w:rPr>
          <w:rFonts w:ascii="Amiri" w:hAnsi="Amiri" w:eastAsia="Amiri" w:cs="Amiri"/>
          <w:color w:val="111111"/>
          <w:sz w:val="28"/>
          <w:sz w:val="28"/>
          <w:szCs w:val="28"/>
          <w:rtl w:val="true"/>
          <w:lang w:bidi="ar-SA"/>
        </w:rPr>
        <w:t>الرواية صحيحةٌ سنداً، و هي صحيحة عبدالكريم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دلالةً فيظهر المطلوب منها بالنظر إلى ما مضى منّا في السابقة عليها، إذ هي ناطقةٌ بأنّ الداعي إلى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لايوصف بالضلالة و التكلّف بينما انّ الداعي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 في طريقه متكلّفٌ يتطلّب لنفسه ما ليس له 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فهيئة أفعل فيها أيضاً استُعمِلت في معناها الوصفيّ، لا التفضيليّ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الأعلميّة في كلّ شيءٍ بحسبه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مضى تفصيل الكلام فيه، و لانعيده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دعا إلى نفسه و في المسلمين من هو أعلم بتدبير الملك و تنظيم أمور المجتمع منه فهو ضالٌّ متكلّفٌ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هذا من دلالتها على اشتراط الأعلميّة فقاهةً في الفقيه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الرواية قد عدّها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للاكثار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نظراً إلى أنّها رُويت في كتاب سليم بن قيس، و في تحف العقول، و في الإختصاص</w:t>
      </w:r>
      <w:r>
        <w:rPr>
          <w:rStyle w:val="FootnoteAnchor"/>
          <w:rtl w:val="true"/>
        </w:rPr>
        <w:footnoteReference w:id="427"/>
      </w:r>
      <w:r>
        <w:rPr>
          <w:rFonts w:ascii="Amiri" w:hAnsi="Amiri" w:eastAsia="Amiri" w:cs="Amiri"/>
          <w:color w:val="111111"/>
          <w:sz w:val="28"/>
          <w:sz w:val="28"/>
          <w:szCs w:val="28"/>
          <w:rtl w:val="true"/>
          <w:lang w:bidi="ar-SA"/>
        </w:rPr>
        <w:t>، و في الوسائل</w:t>
      </w:r>
      <w:r>
        <w:rPr>
          <w:rStyle w:val="FootnoteAnchor"/>
          <w:rtl w:val="true"/>
        </w:rPr>
        <w:footnoteReference w:id="428"/>
      </w:r>
      <w:r>
        <w:rPr>
          <w:rFonts w:ascii="Amiri" w:hAnsi="Amiri" w:eastAsia="Amiri" w:cs="Amiri"/>
          <w:color w:val="111111"/>
          <w:sz w:val="28"/>
          <w:sz w:val="28"/>
          <w:szCs w:val="28"/>
          <w:rtl w:val="true"/>
          <w:lang w:bidi="ar-SA"/>
        </w:rPr>
        <w:t>و لكنّ كلّها واحدةٌ فلامجال لجعلها أربعة أحاديث</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13100180_1280447820"/>
      <w:bookmarkStart w:id="739" w:name="_Toc296"/>
      <w:bookmarkEnd w:id="738"/>
      <w:r>
        <w:rPr>
          <w:rtl w:val="true"/>
        </w:rPr>
        <w:t>الرواية الثّالثة</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باسناده عن محمّد بن أحمد بن يحيى عن محمّد بن الحسين بن العبّاس بن عامر و أيّوب بن نوح عن العباس بن داود بن الحصين عن سفيان الجريري عن الرزميّ عن أبيه رفع الحديث إلى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قوماً و فيهم من هو أعلم منه لم يزل أمرهم إلى السفال إلى يوم القيامة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للرواية طرقٌ؛ منها طريق صاحب الوسائل</w:t>
      </w:r>
      <w:r>
        <w:rPr>
          <w:rStyle w:val="FootnoteAnchor"/>
          <w:rtl w:val="true"/>
        </w:rPr>
        <w:footnoteReference w:id="429"/>
      </w:r>
      <w:r>
        <w:rPr>
          <w:rFonts w:ascii="Amiri" w:hAnsi="Amiri" w:eastAsia="Amiri" w:cs="Amiri"/>
          <w:color w:val="111111"/>
          <w:sz w:val="28"/>
          <w:sz w:val="28"/>
          <w:szCs w:val="28"/>
          <w:rtl w:val="true"/>
          <w:lang w:bidi="ar-SA"/>
        </w:rPr>
        <w:t xml:space="preserve">إليها، و هذا الطريق مرفوعٌ لوجود سقطٍ </w:t>
      </w:r>
    </w:p>
    <w:p>
      <w:pPr>
        <w:pStyle w:val="BookText"/>
        <w:rPr/>
      </w:pPr>
      <w:r>
        <w:rPr>
          <w:rFonts w:ascii="Amiri" w:hAnsi="Amiri" w:eastAsia="Amiri" w:cs="Amiri"/>
          <w:color w:val="111111"/>
          <w:sz w:val="28"/>
          <w:sz w:val="28"/>
          <w:szCs w:val="28"/>
          <w:rtl w:val="true"/>
          <w:lang w:bidi="ar-SA"/>
        </w:rPr>
        <w:t>ظاهرٍ في السند بين أبي العرزميّ و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لها طرقٌ صحاح كطريق ابن ادريس رحمه الله إليها في مستطرفات السرائر</w:t>
      </w:r>
      <w:r>
        <w:rPr>
          <w:rStyle w:val="FootnoteAnchor"/>
          <w:rtl w:val="true"/>
        </w:rPr>
        <w:footnoteReference w:id="430"/>
      </w:r>
      <w:r>
        <w:rPr>
          <w:rFonts w:ascii="Amiri" w:hAnsi="Amiri" w:eastAsia="Amiri" w:cs="Amiri"/>
          <w:color w:val="111111"/>
          <w:sz w:val="28"/>
          <w:sz w:val="28"/>
          <w:szCs w:val="28"/>
          <w:rtl w:val="true"/>
          <w:lang w:bidi="ar-SA"/>
        </w:rPr>
        <w:t>و قد نقلها الصدوق في الفقيه</w:t>
      </w:r>
      <w:r>
        <w:rPr>
          <w:rStyle w:val="FootnoteAnchor"/>
          <w:rtl w:val="true"/>
        </w:rPr>
        <w:footnoteReference w:id="431"/>
      </w:r>
      <w:r>
        <w:rPr>
          <w:rFonts w:ascii="Amiri" w:hAnsi="Amiri" w:eastAsia="Amiri" w:cs="Amiri"/>
          <w:color w:val="111111"/>
          <w:sz w:val="28"/>
          <w:sz w:val="28"/>
          <w:szCs w:val="28"/>
          <w:rtl w:val="true"/>
          <w:lang w:bidi="ar-SA"/>
        </w:rPr>
        <w:t xml:space="preserve">و البرقيّ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المحاسن</w:t>
      </w:r>
      <w:r>
        <w:rPr>
          <w:rStyle w:val="FootnoteAnchor"/>
          <w:rtl w:val="true"/>
        </w:rPr>
        <w:footnoteReference w:id="432"/>
      </w:r>
      <w:r>
        <w:rPr>
          <w:rFonts w:ascii="Amiri" w:hAnsi="Amiri" w:eastAsia="Amiri" w:cs="Amiri"/>
          <w:color w:val="111111"/>
          <w:sz w:val="28"/>
          <w:sz w:val="28"/>
          <w:szCs w:val="28"/>
          <w:rtl w:val="true"/>
          <w:lang w:bidi="ar-SA"/>
        </w:rPr>
        <w:t>في عداد الجازمات قاطِعَين بكونها من أقواله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فلابأس بسندها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دلالةً، فإنّ الشيخ صاحب الوسائل رحمه الله ذكرها في أبواب أحكام الإمام في الصلاة</w:t>
      </w:r>
      <w:r>
        <w:rPr>
          <w:rStyle w:val="FootnoteAnchor"/>
          <w:rtl w:val="true"/>
        </w:rPr>
        <w:footnoteReference w:id="433"/>
      </w:r>
      <w:r>
        <w:rPr>
          <w:rFonts w:ascii="Amiri" w:hAnsi="Amiri" w:eastAsia="Amiri" w:cs="Amiri"/>
          <w:color w:val="111111"/>
          <w:sz w:val="28"/>
          <w:sz w:val="28"/>
          <w:szCs w:val="28"/>
          <w:rtl w:val="true"/>
          <w:lang w:bidi="ar-SA"/>
        </w:rPr>
        <w:t>، حيث توهّم أنّها صدرت لبيان حكم الأعلميّة في الإمام بالنسبة إلى من يؤمّ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وهمٌ لاأساس له، حيث إنّ أوْل أمر القوم إلى السفال إلى يوم القيامة أمرٌ لاارتباط له بمن يؤمّ لهم؛ بل شأنه أعظم من أمر الإمامة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لإمامة المجتمع و رئاسته شأنٌ يمكن أن يؤول أمر القوم بواسطتها إلى الصلاح أو إلى الفساد؛ فالإمامة في الرواية هي الإمامة بمعنى السلطة و الحكومة، لا الإمامة في صلاة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لنا في دلالتها على ما استدلّوا بها عليه نظرٌ يظهر من التأمّل في الأنظار الّتي أبديناها في التعليق على الروايات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قلنا انّ هيئة أفعل في جميع تلك الروايات لايراد منها إلّامعناها الوصفيّ، لا التفضيليّ؛ و قد مضى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الفضلاء في المقام إشكالٌ، و هو توهّم عدم ورود الأفعل في معناه الوصفيّ في القرآن الكريم؛ و قد أيّد قوله بالمنقول عن بعض الأدباء، و ليس هيهنا مجال التفصيل حوله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غريبٌ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تأمّل في موارد استعمال هذه الهيئة في القرآن الكريم يرى انّ </w:t>
      </w:r>
    </w:p>
    <w:p>
      <w:pPr>
        <w:pStyle w:val="BookText"/>
        <w:rPr/>
      </w:pPr>
      <w:r>
        <w:rPr>
          <w:rFonts w:ascii="Amiri" w:hAnsi="Amiri" w:eastAsia="Amiri" w:cs="Amiri"/>
          <w:color w:val="111111"/>
          <w:sz w:val="28"/>
          <w:sz w:val="28"/>
          <w:szCs w:val="28"/>
          <w:rtl w:val="true"/>
          <w:lang w:bidi="ar-SA"/>
        </w:rPr>
        <w:t>المراد من أكثريّة هذه الموارد ليس إلّامعناها الوصفيّ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لنؤيّد هذا بمثالٍ، و هي موارد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الموارد تسعةٌ، و سترى انّ الأوّل منها ورد في معناه التفضيليّ، أمّا غيره من الموارد فورد في معناه الوصفيّ؛ إليك تفصيل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حيث إنّ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الزوج أولى بزوجته المطلّقة من غيره من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أَنَّى يَكُونُ لَهُ الْمُلْكُ عَلَيْنَا وَ نَحْنُ أَحَقُّ بِالْمُلْكِ مِنْهُ</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فَيُقْسِمَانِ بِاللَّهِ لَشَهَادَتُنَا أَحَقُّ مِنْ شَهَادَتِهِمَا</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الْفَرِيقَيْنِ أَحَقُّ بِالْأَمْنِ إِنْ كُنْتُمْ تَعْلَمُونَ</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تَخْشَونَهُمْ فَاللَّهُ أَحَقُّ أَنْ تَخْشَوهُ إِنْ كُنْتُمْ مُؤْمِنِينَ</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لَمَسْجِدٌ أُسِّسَ عَلَى التَّقْوَى مِنْ أَوَّلِ يَومٍ أَحَقُّ أَنْ تَقُومَ فِيهِ</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 مَّنْ لَايَهِدِّى إِلَّا أَنْ يُهْدَى</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أَلْزَمَهُمْ كَلِمَةَ التَّقْوَى وَ كَانُوا أَحَقَّ بِهَا وَ أَهْلَهَا</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تَخْشَى النَّاسَ وَ اللَّهُ أَحَقُّ أَنْ تَخْشَاهُ</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إنّ المراد من هيئة أفعل في جميع هذه الموارد معناها الوصفيّ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انّ الآية الأخيرة لاتثبت جواز الخشية من الناس و أولويّة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منهم، </w:t>
      </w:r>
      <w:bookmarkStart w:id="740" w:name="pg18987_179879"/>
    </w:p>
    <w:p>
      <w:pPr>
        <w:pStyle w:val="BookText"/>
        <w:rPr/>
      </w:pPr>
      <w:bookmarkEnd w:id="740"/>
      <w:r>
        <w:rPr>
          <w:rFonts w:ascii="Amiri" w:hAnsi="Amiri" w:eastAsia="Amiri" w:cs="Amiri"/>
          <w:color w:val="111111"/>
          <w:sz w:val="28"/>
          <w:sz w:val="28"/>
          <w:szCs w:val="28"/>
          <w:rtl w:val="true"/>
          <w:lang w:bidi="ar-SA"/>
        </w:rPr>
        <w:t xml:space="preserve">بل تدعو إلى عدم الخشية من الناس بتاتاً و تثبتها بالنسبة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واضحٌ</w:t>
      </w:r>
      <w:r>
        <w:rPr>
          <w:rFonts w:eastAsia="Amiri" w:cs="Amiri" w:ascii="Amiri" w:hAnsi="Amiri"/>
          <w:color w:val="111111"/>
          <w:sz w:val="28"/>
          <w:szCs w:val="28"/>
          <w:rtl w:val="true"/>
          <w:lang w:bidi="ar-SA"/>
        </w:rPr>
        <w:t>.</w:t>
      </w:r>
    </w:p>
    <w:p>
      <w:pPr>
        <w:pStyle w:val="Heading6"/>
        <w:numPr>
          <w:ilvl w:val="5"/>
          <w:numId w:val="1"/>
        </w:numPr>
        <w:rPr/>
      </w:pPr>
      <w:bookmarkStart w:id="741" w:name="__RefHeading___Toc13100182_1280447820"/>
      <w:bookmarkStart w:id="742" w:name="_Toc297"/>
      <w:bookmarkEnd w:id="741"/>
      <w:r>
        <w:rPr>
          <w:rtl w:val="true"/>
        </w:rPr>
        <w:t>الرواية الرّابعة</w:t>
      </w:r>
      <w:bookmarkEnd w:id="742"/>
    </w:p>
    <w:p>
      <w:pPr>
        <w:pStyle w:val="BookText"/>
        <w:rPr/>
      </w:pPr>
      <w:r>
        <w:rPr>
          <w:rFonts w:ascii="Amiri" w:hAnsi="Amiri" w:eastAsia="Amiri" w:cs="Amiri"/>
          <w:color w:val="111111"/>
          <w:sz w:val="28"/>
          <w:sz w:val="28"/>
          <w:szCs w:val="28"/>
          <w:rtl w:val="true"/>
          <w:lang w:bidi="ar-SA"/>
        </w:rPr>
        <w:t>ما روي عن أميرالمؤمنين عليه السلام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أحقّ الناس بهذا الأمر أقواهم عليه و أعلمهم بأمر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منقولةٌ عن نهج البلاغة</w:t>
      </w:r>
      <w:r>
        <w:rPr>
          <w:rStyle w:val="FootnoteAnchor"/>
          <w:rtl w:val="true"/>
        </w:rPr>
        <w:footnoteReference w:id="443"/>
      </w:r>
      <w:r>
        <w:rPr>
          <w:rFonts w:ascii="Amiri" w:hAnsi="Amiri" w:eastAsia="Amiri" w:cs="Amiri"/>
          <w:color w:val="111111"/>
          <w:sz w:val="28"/>
          <w:sz w:val="28"/>
          <w:szCs w:val="28"/>
          <w:rtl w:val="true"/>
          <w:lang w:bidi="ar-SA"/>
        </w:rPr>
        <w:t>، فلاخلاف في سندها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منها ما رواه سليم عنه عليه السلام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الناس بهذا الأمر أقواهم عليه و أعلمهم بأمرهم فيه</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سليم خلافٌ حيث لم يثبت انّ ما بأيدنا اليوم من هذاالكتاب هل هو نفس ما جمعه سليم؟ أم فيه زياداتٌ بالنسبة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فلاريب في سند الرواية نظراً إلى أنّ السيّد أوردها في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دلالتها على مطلوب المستدلّين بها، فقد ذهبوا إلى تماميّتها نظراً إلى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أعلمهم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فسّروه بالعلم في مباني الفقاهة و دقائق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لنا في كيفيّة استدلالهم نظران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أعلمهم بأمر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من المشترط في الوليّ كونه أعلم الناس بأمر الولاية، حيث إنّ العائد المخفوض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مضى تفصيله في التذييل على الأحاديث المتقدّمة من أنّ المراد بهيئة أفعل هيهنا معناها الوصفيّ، لا التفضيليّ، حيث لاحقّ لأصحاب السقيفة و غاصبي الخلافة فيها </w:t>
      </w:r>
      <w:bookmarkStart w:id="743" w:name="pg18987_179880"/>
    </w:p>
    <w:p>
      <w:pPr>
        <w:pStyle w:val="BookText"/>
        <w:rPr/>
      </w:pPr>
      <w:bookmarkEnd w:id="743"/>
      <w:r>
        <w:rPr>
          <w:rFonts w:ascii="Amiri" w:hAnsi="Amiri" w:eastAsia="Amiri" w:cs="Amiri"/>
          <w:color w:val="111111"/>
          <w:sz w:val="28"/>
          <w:sz w:val="28"/>
          <w:szCs w:val="28"/>
          <w:rtl w:val="true"/>
          <w:lang w:bidi="ar-SA"/>
        </w:rPr>
        <w:t>حتّى يكون عليٌّ عليه السلام أحقّ بها منهم؛ بل لاحقّ لهم فيها أصلاً و هو المحقّ فيها 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قول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لغيري في الخلافة لانحصار القوّة عليها و العلم بها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فالأعلميّة المطلوبة هيهنا الأعلميّة فيما يرجع إلى الحكم و السلطة و اهتداء المجتمع إلى ما فيه صلاحه، لا الأعلميّة في الفقاهة و ظرائف استنباط ما يتعلّق بأفعال المكلّفين</w:t>
      </w:r>
      <w:r>
        <w:rPr>
          <w:rFonts w:eastAsia="Amiri" w:cs="Amiri" w:ascii="Amiri" w:hAnsi="Amiri"/>
          <w:color w:val="111111"/>
          <w:sz w:val="28"/>
          <w:szCs w:val="28"/>
          <w:rtl w:val="true"/>
          <w:lang w:bidi="ar-SA"/>
        </w:rPr>
        <w:t>.</w:t>
      </w:r>
    </w:p>
    <w:p>
      <w:pPr>
        <w:pStyle w:val="Heading6"/>
        <w:numPr>
          <w:ilvl w:val="5"/>
          <w:numId w:val="1"/>
        </w:numPr>
        <w:rPr/>
      </w:pPr>
      <w:bookmarkStart w:id="744" w:name="__RefHeading___Toc13100184_1280447820"/>
      <w:bookmarkStart w:id="745" w:name="_Toc298"/>
      <w:bookmarkEnd w:id="744"/>
      <w:r>
        <w:rPr>
          <w:rtl w:val="true"/>
        </w:rPr>
        <w:t>الرواية الخامسة</w:t>
      </w:r>
      <w:bookmarkEnd w:id="745"/>
    </w:p>
    <w:p>
      <w:pPr>
        <w:pStyle w:val="BookText"/>
        <w:rPr/>
      </w:pPr>
      <w:r>
        <w:rPr>
          <w:rFonts w:ascii="Amiri" w:hAnsi="Amiri" w:eastAsia="Amiri" w:cs="Amiri"/>
          <w:color w:val="111111"/>
          <w:sz w:val="28"/>
          <w:sz w:val="28"/>
          <w:szCs w:val="28"/>
          <w:rtl w:val="true"/>
          <w:lang w:bidi="ar-SA"/>
        </w:rPr>
        <w:t>ما عن أميرالمؤمنين عليه السلام أيضاً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الإمام أن يكون أزهد الناس و أعلم الناس و أشجع الناس و أكرم الناس و أعلم بحلال اللّه و حرامه و ضروب أحكامه و أمره و نهيه و جميع ما يحتاج الناس إليه، و يحتاج الناس إليه و يستغني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أورده المرتضى رحمه الله في رسالة المحكم و المتشابه</w:t>
      </w:r>
      <w:r>
        <w:rPr>
          <w:rStyle w:val="FootnoteAnchor"/>
          <w:rtl w:val="true"/>
        </w:rPr>
        <w:footnoteReference w:id="445"/>
      </w:r>
      <w:r>
        <w:rPr>
          <w:rFonts w:ascii="Amiri" w:hAnsi="Amiri" w:eastAsia="Amiri" w:cs="Amiri"/>
          <w:color w:val="111111"/>
          <w:sz w:val="28"/>
          <w:sz w:val="28"/>
          <w:szCs w:val="28"/>
          <w:rtl w:val="true"/>
          <w:lang w:bidi="ar-SA"/>
        </w:rPr>
        <w:t>نقلاً عن تفسير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التفسير قد فُقد و لم توجد منه نسخةٌ في هذه الأعصار، و لكنّه كان بيد السيّد فنقل عنه شيئاً كثيراً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الحديث فمرسلٌ حيث إنّ السيّد نقله منه من غير ذكر سندٍ له إلى مصدره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للكلام في صحّة المنقول عن هذا التفسير مجالٌ واسعٌ حيث إنّ مراسيل هذا الكتاب يمكن أن تُعدّ كجازمات الصدوق رحمه الله حيث ذهب الأكثر إلى تصحيحها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و إن لم ينصّوا على تصحيح ما في تحف العقول و رسالة المحكم و المتشابه و ما يشبههما من المصادر الّتي ورد فيها قسطٌ من أحاديثنا مرسلاً، إلّاانّه لايبعد أن يميل أحدٌ إلى تصحيحها نظراً إلى </w:t>
      </w:r>
      <w:bookmarkStart w:id="746" w:name="pg18987_179881"/>
    </w:p>
    <w:p>
      <w:pPr>
        <w:pStyle w:val="BookText"/>
        <w:rPr/>
      </w:pPr>
      <w:bookmarkEnd w:id="746"/>
      <w:r>
        <w:rPr>
          <w:rFonts w:ascii="Amiri" w:hAnsi="Amiri" w:eastAsia="Amiri" w:cs="Amiri"/>
          <w:color w:val="111111"/>
          <w:sz w:val="28"/>
          <w:sz w:val="28"/>
          <w:szCs w:val="28"/>
          <w:rtl w:val="true"/>
          <w:lang w:bidi="ar-SA"/>
        </w:rPr>
        <w:t xml:space="preserve">انّها من جازمات المرتضى و الحرّاني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فتحقيق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يليق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إلى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دلالةً، فالظاهر عدم انطباقها على مذهب من استدلّ بها على اشتراطها له، حيث إنّ الظاهر منها انّها في مقام التعريف بمقام العصمة و الإمامة بالأصالة؛ فانّ الشروط المذكورة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الإمام أزهد الناس و أعلمهم و أشجعهم و أكرمهم و محلّاً لحوائج الناس و هو مستغنٍ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لاينطبق على أحدٍ إلّاعلى النبيّ صلى الله عليه و آله و ذريّته الكرام أصحاب العصمة و الخلافة الإلهيّة الكبرى عليهم السلام؛ أمّا في غيرهم من الناس فلايوجد أحدٌ يمكن أن يتّصف بهذه الصفات العلياء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فهيئة أفعل في هذا الحديث أيضاً ما يُراد منها إلّامعناها الوصفيّ حيث لاشجاعة و لاكرم و لاعلم لغاصبي الخلافة و لااستغناء لهم عن الناس، و سيرتهم و ما جروا عليها و ما نقل من أقوالهم خير شاهدٍ على عدم اتّصافهم بها؛ بينما انّ جميعها ثابتةٌ لأميرالمؤمنين عليه السلام بالنقل الثابت المتواتر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يشير إليه و ينفي الخلافة عن غاصبيها؛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لا ارتباط بينه و بين اشتراط الأعلميّة في الفقيه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كابر أحدٌ و أصرّ على ما استدلّوا به 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وحدة السياق تردّ على مذهبكم حيث لاقائل بوجوب كون الوليّ أزهد الناس و أشجعهم و أكرمهم و مستغنٍ عن الناس و الناس محتاجون إليه، فوحدة السياق تحكم بنفي اشتراط الأعلميّة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يدلّ على ما نحن بصدده، لا ما استشهدتم به عليه</w:t>
      </w:r>
      <w:r>
        <w:rPr>
          <w:rFonts w:eastAsia="Amiri" w:cs="Amiri" w:ascii="Amiri" w:hAnsi="Amiri"/>
          <w:color w:val="111111"/>
          <w:sz w:val="28"/>
          <w:szCs w:val="28"/>
          <w:rtl w:val="true"/>
          <w:lang w:bidi="ar-SA"/>
        </w:rPr>
        <w:t>.</w:t>
      </w:r>
    </w:p>
    <w:p>
      <w:pPr>
        <w:pStyle w:val="Heading6"/>
        <w:numPr>
          <w:ilvl w:val="5"/>
          <w:numId w:val="1"/>
        </w:numPr>
        <w:rPr/>
      </w:pPr>
      <w:bookmarkStart w:id="747" w:name="__RefHeading___Toc13100186_1280447820"/>
      <w:bookmarkStart w:id="748" w:name="_Toc299"/>
      <w:bookmarkEnd w:id="747"/>
      <w:r>
        <w:rPr>
          <w:rtl w:val="true"/>
        </w:rPr>
        <w:t>الرواية السادسة</w:t>
      </w:r>
      <w:bookmarkEnd w:id="74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ابن أبي الحديد</w:t>
      </w:r>
      <w:r>
        <w:rPr>
          <w:rStyle w:val="FootnoteAnchor"/>
          <w:rtl w:val="true"/>
        </w:rPr>
        <w:footnoteReference w:id="446"/>
      </w:r>
      <w:r>
        <w:rPr>
          <w:rFonts w:ascii="Amiri" w:hAnsi="Amiri" w:eastAsia="Amiri" w:cs="Amiri"/>
          <w:color w:val="111111"/>
          <w:sz w:val="28"/>
          <w:sz w:val="28"/>
          <w:szCs w:val="28"/>
          <w:rtl w:val="true"/>
          <w:lang w:bidi="ar-SA"/>
        </w:rPr>
        <w:t>من رسالةٍ لأميرالمؤمنين عليه السلام أرسلها إلى معاوية، و فيها</w:t>
      </w:r>
      <w:r>
        <w:rPr>
          <w:rFonts w:eastAsia="Amiri" w:cs="Amiri" w:ascii="Amiri" w:hAnsi="Amiri"/>
          <w:color w:val="111111"/>
          <w:sz w:val="28"/>
          <w:szCs w:val="28"/>
          <w:rtl w:val="true"/>
          <w:lang w:bidi="ar-SA"/>
        </w:rPr>
        <w:t xml:space="preserve">: </w:t>
      </w:r>
      <w:bookmarkStart w:id="749" w:name="pg18987_179882"/>
    </w:p>
    <w:p>
      <w:pPr>
        <w:pStyle w:val="BookText"/>
        <w:rPr/>
      </w:pPr>
      <w:bookmarkEnd w:id="7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أولى النّاس بأمر هذه الأمَّة قديماً و حديثاً أقربها من الرّسول و أعملها بالكتاب و أفقها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مرسلٌ، و مرسِله ابن أبي الحديد، فلاسند له بحيث يمكن الركون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دلالةً فهو قريبٌ ممّا نقله المرتضى رحمه الله عنه عليه السلام و قد أوردناه في الفقرة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أميرالمؤمنين عليه السلام يبيّن مباني مكتبه في أمر الولاية قِبال مباني مكتب الخلفاء، فيعلن انّه إذا دارالأمر بين إمامته و إمامة ابن أبي سفيان و وقع الخلاف بين المسلمين في أنّ أيّهما هو الصالح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أولى الناس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 من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صهره و ابن عمّه و كاشف الكرب من وجهه، بل نفسه؛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أعلمهم بالكتاب و أفقههم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المتواتر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الأولى و الأحق بهذا الأمر، بل لا حقّ لغيره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فلالسان للحديث على ما استشهدوا به حيث لا علم و لافقه لمعاوية و لاقرابة له برسول اللّه حتّى يكون أميرالمؤمنين أعلم و أفقه منه و أقرب منه إليه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أيضاً في جميع مواردها ما استعملت إلّافي معناها الوصفيّ</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13100188_1280447820"/>
      <w:bookmarkStart w:id="751" w:name="_Toc300"/>
      <w:bookmarkEnd w:id="750"/>
      <w:r>
        <w:rPr>
          <w:rtl w:val="true"/>
        </w:rPr>
        <w:t>الرواية السابعة</w:t>
      </w:r>
      <w:bookmarkEnd w:id="751"/>
    </w:p>
    <w:p>
      <w:pPr>
        <w:pStyle w:val="BookText"/>
        <w:rPr/>
      </w:pPr>
      <w:r>
        <w:rPr>
          <w:rFonts w:ascii="Amiri" w:hAnsi="Amiri" w:eastAsia="Amiri" w:cs="Amiri"/>
          <w:color w:val="111111"/>
          <w:sz w:val="28"/>
          <w:sz w:val="28"/>
          <w:szCs w:val="28"/>
          <w:rtl w:val="true"/>
          <w:lang w:bidi="ar-SA"/>
        </w:rPr>
        <w:t>ما في سنن البيهقيّ‌</w:t>
      </w:r>
      <w:r>
        <w:rPr>
          <w:rStyle w:val="FootnoteAnchor"/>
          <w:rtl w:val="true"/>
        </w:rPr>
        <w:footnoteReference w:id="447"/>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استعمل عاملاً من المسلمين و هو يعلم انّ فيهم أولى بذلك منه و أعلم بكتاب اللّه و سنّة نبيّه فقد خان اللّه و رسوله و جميع المسلمين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لاسند لها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ترد في طرقنا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الكبير الذابّ عن حريم الولاية </w:t>
      </w:r>
      <w:bookmarkStart w:id="752" w:name="pg18987_179883"/>
    </w:p>
    <w:p>
      <w:pPr>
        <w:pStyle w:val="BookText"/>
        <w:rPr/>
      </w:pPr>
      <w:bookmarkEnd w:id="752"/>
      <w:r>
        <w:rPr>
          <w:rFonts w:ascii="Amiri" w:hAnsi="Amiri" w:eastAsia="Amiri" w:cs="Amiri"/>
          <w:color w:val="111111"/>
          <w:sz w:val="28"/>
          <w:sz w:val="28"/>
          <w:szCs w:val="28"/>
          <w:rtl w:val="true"/>
          <w:lang w:bidi="ar-SA"/>
        </w:rPr>
        <w:t>العلّامة الأمينيّ رحمه الله أيضاً أوردها في الغدير</w:t>
      </w:r>
      <w:r>
        <w:rPr>
          <w:rStyle w:val="FootnoteAnchor"/>
          <w:rtl w:val="true"/>
        </w:rPr>
        <w:footnoteReference w:id="448"/>
      </w:r>
      <w:r>
        <w:rPr>
          <w:rFonts w:ascii="IRNazanin" w:hAnsi="IRNazanin" w:eastAsia="IRNazanin"/>
          <w:color w:val="111111"/>
          <w:sz w:val="28"/>
          <w:sz w:val="28"/>
          <w:szCs w:val="28"/>
          <w:rtl w:val="true"/>
          <w:lang w:bidi="fa-IR"/>
        </w:rPr>
        <w:t>من نفس المصدر</w:t>
      </w:r>
      <w:r>
        <w:rPr>
          <w:rStyle w:val="FootnoteAnchor"/>
          <w:rtl w:val="true"/>
        </w:rPr>
        <w:footnoteReference w:id="449"/>
      </w:r>
      <w:r>
        <w:rPr>
          <w:rFonts w:ascii="Amiri" w:hAnsi="Amiri" w:eastAsia="Amiri" w:cs="Amiri"/>
          <w:color w:val="111111"/>
          <w:sz w:val="28"/>
          <w:sz w:val="28"/>
          <w:szCs w:val="28"/>
          <w:rtl w:val="true"/>
          <w:lang w:bidi="ar-SA"/>
        </w:rPr>
        <w:t>، و المعاصرين أيضاً نقلوها من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دلالةً، فظهورها في الإرشاد إلى حكمٍ عقليٍّ صريحٍ صريحٌ لايُنكر،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فوّض أمراً من أمور المسلمين إلى رجلٍ و وكّله عليه و هو يعلم انّ فيهم من هو أعلم بهذا الأمر منه و أصلح منه له فقد خان اللّه و الرسول و جميع المسلمين حيث منعهم عمّن هو خيرٌ لهم؛ و هذا حكمٌ عقليٌّ لاينكر، بل عليه إجماع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انّ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أعلم بكتاب اللّه و 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فالوليّ من يكون أولى بالولاية من حيث الكفاية و العلم بكتاب اللّه و سنّة النبيّ صلى الله عليه و آله فيما يرتبط بالولاية، لا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واضحٌ</w:t>
      </w:r>
      <w:r>
        <w:rPr>
          <w:rFonts w:eastAsia="Amiri" w:cs="Amiri" w:ascii="Amiri" w:hAnsi="Amiri"/>
          <w:color w:val="111111"/>
          <w:sz w:val="28"/>
          <w:szCs w:val="28"/>
          <w:rtl w:val="true"/>
          <w:lang w:bidi="ar-SA"/>
        </w:rPr>
        <w:t>.</w:t>
      </w:r>
    </w:p>
    <w:p>
      <w:pPr>
        <w:pStyle w:val="Heading6"/>
        <w:numPr>
          <w:ilvl w:val="5"/>
          <w:numId w:val="1"/>
        </w:numPr>
        <w:rPr/>
      </w:pPr>
      <w:bookmarkStart w:id="753" w:name="__RefHeading___Toc13100190_1280447820"/>
      <w:bookmarkStart w:id="754" w:name="_Toc301"/>
      <w:bookmarkEnd w:id="753"/>
      <w:r>
        <w:rPr>
          <w:rtl w:val="true"/>
        </w:rPr>
        <w:t>الرواية الثّامنة</w:t>
      </w:r>
      <w:bookmarkEnd w:id="754"/>
    </w:p>
    <w:p>
      <w:pPr>
        <w:pStyle w:val="BookText"/>
        <w:rPr/>
      </w:pPr>
      <w:r>
        <w:rPr>
          <w:rFonts w:ascii="Amiri" w:hAnsi="Amiri" w:eastAsia="Amiri" w:cs="Amiri"/>
          <w:color w:val="111111"/>
          <w:sz w:val="28"/>
          <w:sz w:val="28"/>
          <w:szCs w:val="28"/>
          <w:rtl w:val="true"/>
          <w:lang w:bidi="ar-SA"/>
        </w:rPr>
        <w:t>ما روي عن أميرالمؤمنين عليه السلام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بالأنبياء أعلمهم بما جاؤوا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مرسلةٌ، و مرسِله هو العلّامة المجلسيّ رحمه الله</w:t>
      </w:r>
      <w:r>
        <w:rPr>
          <w:rStyle w:val="FootnoteAnchor"/>
          <w:rtl w:val="true"/>
        </w:rPr>
        <w:footnoteReference w:id="450"/>
      </w:r>
      <w:r>
        <w:rPr>
          <w:rFonts w:ascii="Amiri" w:hAnsi="Amiri" w:eastAsia="Amiri" w:cs="Amiri"/>
          <w:color w:val="111111"/>
          <w:sz w:val="28"/>
          <w:sz w:val="28"/>
          <w:szCs w:val="28"/>
          <w:rtl w:val="true"/>
          <w:lang w:bidi="ar-SA"/>
        </w:rPr>
        <w:t>، و لاسبيل إلى تصحيح مرسلاته نظراً إلى بون العهد بينه و بين المرسَل إليه عليه السلام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لادلالة لها على اشتراط الأعلميّة في الوليّ حيث إنّ ما جاء به الأنبياء تنوّع بحسب شؤونهم عليهم السلام، فمنها تبيين الأحكام؛ و منها القضاء و فصل الخصومات؛ و منها الحكم و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أولى الناس بهم في كلّ واحدٍ من شؤونهم من كان أعلمهم به في هذا الشأن؛ </w:t>
      </w:r>
    </w:p>
    <w:p>
      <w:pPr>
        <w:pStyle w:val="BookText"/>
        <w:rPr/>
      </w:pPr>
      <w:r>
        <w:rPr>
          <w:rFonts w:ascii="Amiri" w:hAnsi="Amiri" w:eastAsia="Amiri" w:cs="Amiri"/>
          <w:color w:val="111111"/>
          <w:sz w:val="28"/>
          <w:sz w:val="28"/>
          <w:szCs w:val="28"/>
          <w:rtl w:val="true"/>
          <w:lang w:bidi="ar-SA"/>
        </w:rPr>
        <w:t>فلادلالة لها على وجوب كون الوليّ أعلم الناس فقاهةً، بل تدلّ على اشتراط الأعلميّة فيه فيما يرتبط بشأن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ارشادٌ إلى حكم العقل؛ و قد مضى تفصيله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جميع ما احتجّ به مثبتوا الأعلميّة فقاهةً في الفقيه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بالنظر إلى تعدّد أسانيده يزيد على عشرين حديثاً، و بالنظر إلى الصحاح منه يرجع إلى حديثين أو 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فبالنظر إلى ما أبدينا حوله ظهر أنْ لا دلالة له على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تلخيص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هيئة أفعل في هذه الأحاديث ما استعملت إلّافي معناها الوصفيّ، لا التفضيليّ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لاغرابة فيه حيث شهدت بصحّة إرادة هذا المعنى منها موارد كثيرةٌ من استعمالاتها في القرآن الكريم و المنقول من السنّة؛ و قد ذكرنا قائمةً احصائيّةً لاستعمال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حيث بلغت موادّها تسعاً، و ما كان المراد منها معناها التفضيليّ إلّافي موردٍ واحدٍ، أمّا في الثمانية الأخيرة فاستُعملت الهيئة في معناها الوصفيّ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تلك الأحاديث ما صدر من مصادره عليهم السلام لبيان شأن الإمامة بالأصالة و الخلافة الإلهيّة من غير واسطةٍ؛ و لاارتباط بينه و بين مسألة ولاية الفقيه نفياً و لا اثباتاً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تلك الأحاديث ما يُرشد إلى حكم العقل بتقدّم الأعلم على العالم في جميع الأمور، و الأعلميّة في كلّ أمرٍ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فالأعلميّة المطلوبة من الفقيه الوليّ غير الأعلميّة المطلوبة من الفقيه المرجِع،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تجتمع هذه الثلاثة في موردٍ واحدٍ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فلادلالة لتلك الأحاديث على ما ذهبوا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في أنّ الوليّ يجب أن يكون أعلم </w:t>
      </w:r>
    </w:p>
    <w:p>
      <w:pPr>
        <w:pStyle w:val="BookText"/>
        <w:rPr/>
      </w:pPr>
      <w:r>
        <w:rPr>
          <w:rFonts w:ascii="Amiri" w:hAnsi="Amiri" w:eastAsia="Amiri" w:cs="Amiri"/>
          <w:color w:val="111111"/>
          <w:sz w:val="28"/>
          <w:sz w:val="28"/>
          <w:szCs w:val="28"/>
          <w:rtl w:val="true"/>
          <w:lang w:bidi="ar-SA"/>
        </w:rPr>
        <w:t>الناس فيما يرتبط بأمرالولاية،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منصبه الخاصّ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تنظيم أمور المجتمع و نظاماته الداخليّة و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ممّا حكم به العقل و أرشد إليه الشرع و نهجت على منواله سيرة العقلاء و الديّانين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لاارتباط بينه و بين اشتراط الأعلميّة فقاهةً فيه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فثبت ممّا قلنا انّ الأعلميّة في دقائق الأحكام و ظرائف استنباط ما يرجع إلى أفعال المكلّفين ليست من شروط الوليّ؛ و الحمد للّه</w:t>
      </w:r>
      <w:r>
        <w:rPr>
          <w:rFonts w:eastAsia="Amiri" w:cs="Amiri" w:ascii="Amiri" w:hAnsi="Amiri"/>
          <w:color w:val="111111"/>
          <w:sz w:val="28"/>
          <w:szCs w:val="28"/>
          <w:rtl w:val="true"/>
          <w:lang w:bidi="ar-SA"/>
        </w:rPr>
        <w:t xml:space="preserve">. </w:t>
      </w:r>
      <w:bookmarkStart w:id="755" w:name="pg18987_179886"/>
    </w:p>
    <w:p>
      <w:pPr>
        <w:pStyle w:val="Heading4"/>
        <w:numPr>
          <w:ilvl w:val="3"/>
          <w:numId w:val="1"/>
        </w:numPr>
        <w:rPr/>
      </w:pPr>
      <w:bookmarkStart w:id="756" w:name="__RefHeading___Toc13100192_1280447820"/>
      <w:bookmarkStart w:id="757" w:name="_Toc302"/>
      <w:bookmarkEnd w:id="755"/>
      <w:bookmarkEnd w:id="756"/>
      <w:r>
        <w:rPr>
          <w:rtl w:val="true"/>
        </w:rPr>
        <w:t>الشرط الرّابع</w:t>
      </w:r>
      <w:r>
        <w:rPr>
          <w:rtl w:val="true"/>
        </w:rPr>
        <w:t xml:space="preserve">: </w:t>
      </w:r>
      <w:r>
        <w:rPr>
          <w:rtl w:val="true"/>
        </w:rPr>
        <w:t>الأعلميّة في دقائق السلطة</w:t>
      </w:r>
      <w:bookmarkEnd w:id="75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أعلم الناس في تدبير أمر المجتمع و ما يرجع إليه من دقائق الحكم و السياستين الداخليّة و الخارجيّة و السياسة الدوليّة و العِلاقات و المواصلات الديبلوماسيّة و غيرها من متطلّبات منصب الولاية الرفيع</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مضى تفصيل الكلام حول هذا الشرط في التذييل على الشرط الثّالث</w:t>
      </w:r>
      <w:r>
        <w:rPr>
          <w:rFonts w:eastAsia="Amiri" w:cs="Amiri" w:ascii="Amiri" w:hAnsi="Amiri"/>
          <w:color w:val="111111"/>
          <w:sz w:val="28"/>
          <w:szCs w:val="28"/>
          <w:rtl w:val="true"/>
          <w:lang w:bidi="ar-SA"/>
        </w:rPr>
        <w:t xml:space="preserve">. </w:t>
      </w:r>
      <w:bookmarkStart w:id="758" w:name="pg18987_179887"/>
    </w:p>
    <w:p>
      <w:pPr>
        <w:pStyle w:val="Heading4"/>
        <w:numPr>
          <w:ilvl w:val="3"/>
          <w:numId w:val="1"/>
        </w:numPr>
        <w:rPr/>
      </w:pPr>
      <w:bookmarkStart w:id="759" w:name="__RefHeading___Toc13100194_1280447820"/>
      <w:bookmarkStart w:id="760" w:name="_Toc303"/>
      <w:bookmarkEnd w:id="758"/>
      <w:bookmarkEnd w:id="759"/>
      <w:r>
        <w:rPr>
          <w:rtl w:val="true"/>
        </w:rPr>
        <w:t>الشرط الخامس</w:t>
      </w:r>
      <w:r>
        <w:rPr>
          <w:rtl w:val="true"/>
        </w:rPr>
        <w:t xml:space="preserve">: </w:t>
      </w:r>
      <w:r>
        <w:rPr>
          <w:rtl w:val="true"/>
        </w:rPr>
        <w:t>العدالة</w:t>
      </w:r>
      <w:bookmarkEnd w:id="760"/>
    </w:p>
    <w:p>
      <w:pPr>
        <w:pStyle w:val="Heading5"/>
        <w:numPr>
          <w:ilvl w:val="4"/>
          <w:numId w:val="1"/>
        </w:numPr>
        <w:rPr/>
      </w:pPr>
      <w:bookmarkStart w:id="761" w:name="__RefHeading___Toc13100196_1280447820"/>
      <w:bookmarkStart w:id="762" w:name="_Toc304"/>
      <w:bookmarkEnd w:id="761"/>
      <w:r>
        <w:rPr>
          <w:rtl w:val="true"/>
        </w:rPr>
        <w:t>اشارة</w:t>
      </w:r>
      <w:bookmarkEnd w:id="762"/>
    </w:p>
    <w:p>
      <w:pPr>
        <w:pStyle w:val="BookText"/>
        <w:rPr/>
      </w:pPr>
      <w:r>
        <w:rPr>
          <w:rFonts w:ascii="Amiri" w:hAnsi="Amiri" w:eastAsia="Amiri" w:cs="Amiri"/>
          <w:color w:val="111111"/>
          <w:sz w:val="28"/>
          <w:sz w:val="28"/>
          <w:szCs w:val="28"/>
          <w:rtl w:val="true"/>
          <w:lang w:bidi="ar-SA"/>
        </w:rPr>
        <w:t>و لاريب في أنّها تُعدّ من شرائط الوليّ، بل هي من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صلب المطلب يجب الإلمام إلى ثلاث نكاتٍ</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13100198_1280447820"/>
      <w:bookmarkStart w:id="764" w:name="_Toc305"/>
      <w:bookmarkEnd w:id="763"/>
      <w:r>
        <w:rPr>
          <w:rtl w:val="true"/>
        </w:rPr>
        <w:t>النكتة الأولى</w:t>
      </w:r>
      <w:r>
        <w:rPr>
          <w:rtl w:val="true"/>
        </w:rPr>
        <w:t xml:space="preserve">: </w:t>
      </w:r>
      <w:r>
        <w:rPr>
          <w:rtl w:val="true"/>
        </w:rPr>
        <w:t>في تعريفها</w:t>
      </w:r>
      <w:r>
        <w:rPr>
          <w:rtl w:val="true"/>
        </w:rPr>
        <w:t>.</w:t>
      </w:r>
      <w:bookmarkEnd w:id="764"/>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المشهور، كصاحب الجواهر</w:t>
      </w:r>
      <w:r>
        <w:rPr>
          <w:rStyle w:val="FootnoteAnchor"/>
          <w:rtl w:val="true"/>
        </w:rPr>
        <w:footnoteReference w:id="451"/>
      </w:r>
      <w:r>
        <w:rPr>
          <w:rFonts w:ascii="Amiri" w:hAnsi="Amiri" w:eastAsia="Amiri" w:cs="Amiri"/>
          <w:color w:val="111111"/>
          <w:sz w:val="28"/>
          <w:sz w:val="28"/>
          <w:szCs w:val="28"/>
          <w:rtl w:val="true"/>
          <w:lang w:bidi="ar-SA"/>
        </w:rPr>
        <w:t xml:space="preserve">و الشيخ الأعظم </w:t>
      </w:r>
      <w:r>
        <w:rPr>
          <w:rFonts w:eastAsia="Amiri" w:cs="Amiri" w:ascii="Amiri" w:hAnsi="Amiri"/>
          <w:color w:val="111111"/>
          <w:sz w:val="28"/>
          <w:szCs w:val="28"/>
          <w:lang w:bidi="ar-SA"/>
        </w:rPr>
        <w:t>0</w:t>
      </w:r>
      <w:r>
        <w:rPr>
          <w:rStyle w:val="FootnoteAnchor"/>
          <w:rtl w:val="true"/>
        </w:rPr>
        <w:footnoteReference w:id="4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ملكةٌ بها يُقتدر على التقيّد بظواهر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سنرجع إليه</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13100200_1280447820"/>
      <w:bookmarkStart w:id="766" w:name="_Toc306"/>
      <w:bookmarkEnd w:id="765"/>
      <w:r>
        <w:rPr>
          <w:rtl w:val="true"/>
        </w:rPr>
        <w:t>النكتة الثّانية</w:t>
      </w:r>
      <w:r>
        <w:rPr>
          <w:rtl w:val="true"/>
        </w:rPr>
        <w:t xml:space="preserve">: </w:t>
      </w:r>
      <w:r>
        <w:rPr>
          <w:rtl w:val="true"/>
        </w:rPr>
        <w:t>في تأكيد الشريعة عليها</w:t>
      </w:r>
      <w:r>
        <w:rPr>
          <w:rtl w:val="true"/>
        </w:rPr>
        <w:t>.</w:t>
      </w:r>
      <w:bookmarkEnd w:id="766"/>
    </w:p>
    <w:p>
      <w:pPr>
        <w:pStyle w:val="BookText"/>
        <w:rPr/>
      </w:pPr>
      <w:r>
        <w:rPr>
          <w:rFonts w:ascii="Amiri" w:hAnsi="Amiri" w:eastAsia="Amiri" w:cs="Amiri"/>
          <w:color w:val="111111"/>
          <w:sz w:val="28"/>
          <w:sz w:val="28"/>
          <w:szCs w:val="28"/>
          <w:rtl w:val="true"/>
          <w:lang w:bidi="ar-SA"/>
        </w:rPr>
        <w:t>إن الإسلام قد أكّد على اشتراط العدالة في جميع الأعمال الّتي ترجع إلى المجتمع، و ذلك حرصاً على بسط العدالة و تجنّباً عن الهرج و الإضطراب في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فاشترطها في القاضي و في الشاهد في باب القضاء، و في إمام الجماعة و في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لايقاس ما للمهن من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للوليّ منها؛ فاشتراطها فيه ممّا يحكم به العقل زيادةً على الشرع</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13100202_1280447820"/>
      <w:bookmarkStart w:id="768" w:name="_Toc307"/>
      <w:bookmarkEnd w:id="767"/>
      <w:r>
        <w:rPr>
          <w:rtl w:val="true"/>
        </w:rPr>
        <w:t>النكتة الثّالثة</w:t>
      </w:r>
      <w:r>
        <w:rPr>
          <w:rtl w:val="true"/>
        </w:rPr>
        <w:t xml:space="preserve">: </w:t>
      </w:r>
      <w:r>
        <w:rPr>
          <w:rtl w:val="true"/>
        </w:rPr>
        <w:t>في أنّها من الملكات أو من الأفعال</w:t>
      </w:r>
      <w:r>
        <w:rPr>
          <w:rtl w:val="true"/>
        </w:rPr>
        <w:t>.</w:t>
      </w:r>
      <w:bookmarkEnd w:id="768"/>
    </w:p>
    <w:p>
      <w:pPr>
        <w:pStyle w:val="Heading6"/>
        <w:numPr>
          <w:ilvl w:val="5"/>
          <w:numId w:val="1"/>
        </w:numPr>
        <w:rPr/>
      </w:pPr>
      <w:bookmarkStart w:id="769" w:name="__RefHeading___Toc13100204_1280447820"/>
      <w:bookmarkStart w:id="770" w:name="_Toc308"/>
      <w:bookmarkEnd w:id="769"/>
      <w:r>
        <w:rPr>
          <w:rtl w:val="true"/>
        </w:rPr>
        <w:t>اشارة</w:t>
      </w:r>
      <w:bookmarkEnd w:id="77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المشهور على كونها من الملكات، و إليه يشير عدّهم إيّاها من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كالشَّجاعة و السخاء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حاز ملكةً بها يقدر على إتيان الواجبات و ترك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صغيرةً </w:t>
      </w:r>
    </w:p>
    <w:p>
      <w:pPr>
        <w:pStyle w:val="BookText"/>
        <w:rPr/>
      </w:pPr>
      <w:r>
        <w:rPr>
          <w:rFonts w:ascii="Amiri" w:hAnsi="Amiri" w:eastAsia="Amiri" w:cs="Amiri"/>
          <w:color w:val="111111"/>
          <w:sz w:val="28"/>
          <w:sz w:val="28"/>
          <w:szCs w:val="28"/>
          <w:rtl w:val="true"/>
          <w:lang w:bidi="ar-SA"/>
        </w:rPr>
        <w:t xml:space="preserve">كانت أو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الاجتناب عمّا يخالف المروءة فله ملكة العدالة</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استطاع من البذل من غير أن يكون متبذّلاً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البذل و العطاء في موضعه طبيعةً له من غير أن يتكلّف نفسه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السخيّ، و له ملكة السخاء؛ و من اقتدر على مباراة الخصم من غير أن يكون متكلّفاً فيه فهو الشجاع، و له ملكة الشجاعة؛ و من اقتدر على ترك المحرّمات بأقسامها و إتيان الواجبات و التجنّب عمّا يشين مروءته فهو العادل، و له ملكة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كالشجاعة و السخاء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من الملكات، لا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فمن تقيّد نفسه بأحكام الشريعة فأتى بما يجب الإتيان به و ترك ما يجب تركه من غير أن يكون ذلك طبيعةً له لايُعدّ عادلاً و إن كان مؤمناً مثاباً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قلنا ظهر انّ بعض ما ورد في الشريعة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أشجع الناس من غلب هواه</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أسخى الناس من أدّى زكاة ماله</w:t>
      </w:r>
      <w:r>
        <w:rPr>
          <w:rFonts w:eastAsia="Amiri" w:cs="Amiri" w:ascii="Amiri" w:hAnsi="Amiri"/>
          <w:color w:val="111111"/>
          <w:sz w:val="28"/>
          <w:szCs w:val="28"/>
          <w:rtl w:val="true"/>
          <w:lang w:bidi="ar-SA"/>
        </w:rPr>
        <w:t>»</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يُحمل على المجاز؛ أو على محامل أخرى إلّاإذا كان غلبته على هواه و أدائه زكاة ماله من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يُمكن أن يوصف بالشجاعة و السخاء، و إلّافكلّ من غلب هواه فاجتنب عن المحرّمات أو أدّى زكاة ماله من غير أن يكون ذلك من طبعه و طبيعته يوصف بالإيمان و لايوصف بكونه شجاعاً أو سخيّاً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العدالة من الملكات فتحتاج إلى كاشفٍ يكشف عن وجودها في من يتّصف بها، و الكاشف عنها هو ما يصدر عنه من الأفعال؛ إذ الملكة ممّا ارتكز في النفس و لاتناله الأيدي إلّابوساطة كاشفٍ أو دليلٍ يكشف عن وجوده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عليه </w:t>
      </w:r>
    </w:p>
    <w:p>
      <w:pPr>
        <w:pStyle w:val="BookText"/>
        <w:rPr/>
      </w:pPr>
      <w:r>
        <w:rPr>
          <w:rFonts w:ascii="IRNazanin" w:hAnsi="IRNazanin" w:eastAsia="IRNazanin"/>
          <w:color w:val="111111"/>
          <w:sz w:val="28"/>
          <w:sz w:val="28"/>
          <w:szCs w:val="28"/>
          <w:rtl w:val="true"/>
          <w:lang w:bidi="fa-IR"/>
        </w:rPr>
        <w:t>المشهور من الفقهاء</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خالفهم الفقيه الهمداني رحمه الله حيث ذهب إلى أن لافرق بين ملكة العدالة و بين الأفعال الصادرة عن الناس، فمن أتى بالواجبات و ترك المحرّمات و ما يشين المروءة يُعدّ عادلاً و إن كان متكلّفاً في ذلك كلّه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المحقّق الهمدانيّ رحمه الله</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استدلّ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ابن أبي يعفور في الصحيح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عدالة الرجل بين المسلمين حتّى تُقبل شهادته لهم و عليهم؟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تعرفوه بالستر و العفاف و كفّ البطن و الفرج و اليد و اللسان، و تُعرف باجتناب الكبائر الّتي أوعد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النار</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وقوع الخلط بين الكاشف و المنكَشَف في نظره الشريف، إذ العمل كاشفٌ عن العدالة و العدالة منكشَفةٌ به، لا انّ العمل كاشفٌ عن العدالة الّتي هي نفس العمل؛ هذا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المحقّق الخوئيّ رحمه الله أيضاً إلى أنّ العدالة هي نفس العمل</w:t>
      </w:r>
      <w:r>
        <w:rPr>
          <w:rStyle w:val="FootnoteAnchor"/>
          <w:rtl w:val="true"/>
        </w:rPr>
        <w:footnoteReference w:id="460"/>
      </w:r>
      <w:r>
        <w:rPr>
          <w:rFonts w:ascii="Amiri" w:hAnsi="Amiri" w:eastAsia="Amiri" w:cs="Amiri"/>
          <w:color w:val="111111"/>
          <w:sz w:val="28"/>
          <w:sz w:val="28"/>
          <w:szCs w:val="28"/>
          <w:rtl w:val="true"/>
          <w:lang w:bidi="ar-SA"/>
        </w:rPr>
        <w:t xml:space="preserve">، و ليس العمل كاشفاً </w:t>
      </w:r>
      <w:bookmarkStart w:id="771" w:name="pg18987_179890"/>
    </w:p>
    <w:p>
      <w:pPr>
        <w:pStyle w:val="BookText"/>
        <w:rPr/>
      </w:pPr>
      <w:bookmarkEnd w:id="771"/>
      <w:r>
        <w:rPr>
          <w:rFonts w:ascii="Amiri" w:hAnsi="Amiri" w:eastAsia="Amiri" w:cs="Amiri"/>
          <w:color w:val="111111"/>
          <w:sz w:val="28"/>
          <w:sz w:val="28"/>
          <w:szCs w:val="28"/>
          <w:rtl w:val="true"/>
          <w:lang w:bidi="ar-SA"/>
        </w:rPr>
        <w:t>عن ملكةٍ هي العدالة؛</w:t>
      </w:r>
    </w:p>
    <w:p>
      <w:pPr>
        <w:pStyle w:val="BookText"/>
        <w:rPr/>
      </w:pPr>
      <w:r>
        <w:rPr>
          <w:rFonts w:ascii="Amiri" w:hAnsi="Amiri" w:eastAsia="Amiri" w:cs="Amiri"/>
          <w:color w:val="111111"/>
          <w:sz w:val="28"/>
          <w:sz w:val="28"/>
          <w:szCs w:val="28"/>
          <w:rtl w:val="true"/>
          <w:lang w:bidi="ar-SA"/>
        </w:rPr>
        <w:t>و الجواب عنه نفس الجواب عن المحقّق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بعد الفراغ من تبيين هذه النكت الثلاث آن لنا أن ندخل في صلب الموضوع، و هو اشتراط العدالة في الفقيه الوليّ؛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دلّت الأدلّة الأربعة على وجوب كون الوليّ متّصفاً بالعدالة؛ و تفصيل الأدلّة</w:t>
      </w:r>
      <w:r>
        <w:rPr>
          <w:rFonts w:eastAsia="Amiri" w:cs="Amiri" w:ascii="Amiri" w:hAnsi="Amiri"/>
          <w:color w:val="111111"/>
          <w:sz w:val="28"/>
          <w:szCs w:val="28"/>
          <w:rtl w:val="true"/>
          <w:lang w:bidi="ar-SA"/>
        </w:rPr>
        <w:t>:</w:t>
      </w:r>
    </w:p>
    <w:p>
      <w:pPr>
        <w:pStyle w:val="Heading6"/>
        <w:numPr>
          <w:ilvl w:val="5"/>
          <w:numId w:val="1"/>
        </w:numPr>
        <w:rPr/>
      </w:pPr>
      <w:bookmarkStart w:id="772" w:name="__RefHeading___Toc13100206_1280447820"/>
      <w:bookmarkStart w:id="773" w:name="_Toc309"/>
      <w:bookmarkEnd w:id="772"/>
      <w:r>
        <w:rPr>
          <w:rtl w:val="true"/>
        </w:rPr>
        <w:t>أوّلاً</w:t>
      </w:r>
      <w:r>
        <w:rPr>
          <w:rtl w:val="true"/>
        </w:rPr>
        <w:t xml:space="preserve">: </w:t>
      </w:r>
      <w:r>
        <w:rPr>
          <w:rtl w:val="true"/>
        </w:rPr>
        <w:t>العقل</w:t>
      </w:r>
      <w:bookmarkEnd w:id="773"/>
    </w:p>
    <w:p>
      <w:pPr>
        <w:pStyle w:val="BookText"/>
        <w:rPr/>
      </w:pPr>
      <w:r>
        <w:rPr>
          <w:rFonts w:ascii="Amiri" w:hAnsi="Amiri" w:eastAsia="Amiri" w:cs="Amiri"/>
          <w:color w:val="111111"/>
          <w:sz w:val="28"/>
          <w:sz w:val="28"/>
          <w:szCs w:val="28"/>
          <w:rtl w:val="true"/>
          <w:lang w:bidi="ar-SA"/>
        </w:rPr>
        <w:t>و دلالته عليه لايحتاج إلى كثير كلامٍ، إذ العقل السليم من غير أدنى تأمّلٍ و تصفّحٍ يحكم بأنّ الظالم الكذّاب الّتي لايخشى اللّه و لايُبالي بما يفعل لايصحّ أن يترأّس على المجتمع، بل هذا قبيحٌ في غاية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فوّض إليه أمر الحكم ممّا يُنكره العقل السليم، إذ هذا ممّا يخالف حكمته، و الحكمة حاكمةٌ على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انّ جعل الظالم وليّاً قبيحٌ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قبيحٌ من قِبل الناس</w:t>
      </w:r>
      <w:r>
        <w:rPr>
          <w:rFonts w:eastAsia="Amiri" w:cs="Amiri" w:ascii="Amiri" w:hAnsi="Amiri"/>
          <w:color w:val="111111"/>
          <w:sz w:val="28"/>
          <w:szCs w:val="28"/>
          <w:rtl w:val="true"/>
          <w:lang w:bidi="ar-SA"/>
        </w:rPr>
        <w:t>.</w:t>
      </w:r>
    </w:p>
    <w:p>
      <w:pPr>
        <w:pStyle w:val="Heading6"/>
        <w:numPr>
          <w:ilvl w:val="5"/>
          <w:numId w:val="1"/>
        </w:numPr>
        <w:rPr/>
      </w:pPr>
      <w:bookmarkStart w:id="774" w:name="__RefHeading___Toc13100208_1280447820"/>
      <w:bookmarkStart w:id="775" w:name="_Toc310"/>
      <w:bookmarkEnd w:id="774"/>
      <w:r>
        <w:rPr>
          <w:rtl w:val="true"/>
        </w:rPr>
        <w:t>ثانياً</w:t>
      </w:r>
      <w:r>
        <w:rPr>
          <w:rtl w:val="true"/>
        </w:rPr>
        <w:t xml:space="preserve">: </w:t>
      </w:r>
      <w:r>
        <w:rPr>
          <w:rtl w:val="true"/>
        </w:rPr>
        <w:t>الإجماع</w:t>
      </w:r>
      <w:bookmarkEnd w:id="775"/>
    </w:p>
    <w:p>
      <w:pPr>
        <w:pStyle w:val="BookText"/>
        <w:rPr/>
      </w:pPr>
      <w:r>
        <w:rPr>
          <w:rFonts w:ascii="Amiri" w:hAnsi="Amiri" w:eastAsia="Amiri" w:cs="Amiri"/>
          <w:color w:val="111111"/>
          <w:sz w:val="28"/>
          <w:sz w:val="28"/>
          <w:szCs w:val="28"/>
          <w:rtl w:val="true"/>
          <w:lang w:bidi="ar-SA"/>
        </w:rPr>
        <w:t>و هذا لانعني به إجماع الفقهاء عليه فقط، بل هو من المتسالم عليه بين الشيعة الإماميّة طوال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ذهبوا إلى اشتراط العدالة و ما هو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خلفاء الرسول صلى الله عليه و آله، ثمّ اشترطوا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اشتراط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ينوب عنهم في مراتبهم و وظائفهم؛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فاشترطوا العدالة في الفقيه الوليّ الّذي ينوب عنهم في ولايتهم على المجتمع؛ </w:t>
      </w:r>
      <w:bookmarkStart w:id="776" w:name="pg18987_179891"/>
    </w:p>
    <w:p>
      <w:pPr>
        <w:pStyle w:val="BookText"/>
        <w:rPr/>
      </w:pPr>
      <w:bookmarkEnd w:id="776"/>
      <w:r>
        <w:rPr>
          <w:rFonts w:ascii="Amiri" w:hAnsi="Amiri" w:eastAsia="Amiri" w:cs="Amiri"/>
          <w:color w:val="111111"/>
          <w:sz w:val="28"/>
          <w:sz w:val="28"/>
          <w:szCs w:val="28"/>
          <w:rtl w:val="true"/>
          <w:lang w:bidi="ar-SA"/>
        </w:rPr>
        <w:t>و اشترطوها في الفقيه المرجِع الّذي ينوب عنهم في ولايتهم على تبيين المستحدثات من الأحكام؛</w:t>
      </w:r>
    </w:p>
    <w:p>
      <w:pPr>
        <w:pStyle w:val="BookText"/>
        <w:rPr/>
      </w:pPr>
      <w:r>
        <w:rPr>
          <w:rFonts w:ascii="Amiri" w:hAnsi="Amiri" w:eastAsia="Amiri" w:cs="Amiri"/>
          <w:color w:val="111111"/>
          <w:sz w:val="28"/>
          <w:sz w:val="28"/>
          <w:szCs w:val="28"/>
          <w:rtl w:val="true"/>
          <w:lang w:bidi="ar-SA"/>
        </w:rPr>
        <w:t>و اشترطوها في القاضي الّذي ينوب عنهم في ولايتهم على القضاء؛</w:t>
      </w:r>
    </w:p>
    <w:p>
      <w:pPr>
        <w:pStyle w:val="BookText"/>
        <w:rPr/>
      </w:pPr>
      <w:r>
        <w:rPr>
          <w:rFonts w:ascii="Amiri" w:hAnsi="Amiri" w:eastAsia="Amiri" w:cs="Amiri"/>
          <w:color w:val="111111"/>
          <w:sz w:val="28"/>
          <w:sz w:val="28"/>
          <w:szCs w:val="28"/>
          <w:rtl w:val="true"/>
          <w:lang w:bidi="ar-SA"/>
        </w:rPr>
        <w:t xml:space="preserve">و اشترطوها في إمام الجمعة و الجماعة الّذي ينوب عنهم في ولايتهم على إقامة الجمعة و الجماعة؛ و هذا ممّا لاخلاف فيه بين آحاد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كان أو عامّياً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من النقاط الهامّة الّتي وقع فيها الخلاف بيننا و بين أهل السنّة و الجماعة حيث خضعوا لولاية الفاسق الفاجر المدمن للخمر الّذي لايبالي بما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إراقة الدماء و قتل الأنفس و ما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كتبهم الكلاميّة</w:t>
      </w:r>
      <w:r>
        <w:rPr>
          <w:rStyle w:val="FootnoteAnchor"/>
          <w:rtl w:val="true"/>
        </w:rPr>
        <w:footnoteReference w:id="461"/>
      </w:r>
      <w:r>
        <w:rPr>
          <w:rFonts w:ascii="Amiri" w:hAnsi="Amiri" w:eastAsia="Amiri" w:cs="Amiri"/>
          <w:color w:val="111111"/>
          <w:sz w:val="28"/>
          <w:sz w:val="28"/>
          <w:szCs w:val="28"/>
          <w:rtl w:val="true"/>
          <w:lang w:bidi="ar-SA"/>
        </w:rPr>
        <w:t>و سيرتهم طوال التأريخ تشهد بأنّهم ما ذهبوا إلى اشتراط العدالة في الوليّ، بل قبلوا ولاية المتغلِّب على المجتمع و خضعوا لها كان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لاينقضي منه العجب</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13100210_1280447820"/>
      <w:bookmarkStart w:id="778" w:name="_Toc311"/>
      <w:bookmarkEnd w:id="777"/>
      <w:r>
        <w:rPr>
          <w:rtl w:val="true"/>
        </w:rPr>
        <w:t>ثالثاً</w:t>
      </w:r>
      <w:r>
        <w:rPr>
          <w:rtl w:val="true"/>
        </w:rPr>
        <w:t xml:space="preserve">: </w:t>
      </w:r>
      <w:r>
        <w:rPr>
          <w:rtl w:val="true"/>
        </w:rPr>
        <w:t>الكتاب</w:t>
      </w:r>
      <w:bookmarkEnd w:id="778"/>
    </w:p>
    <w:p>
      <w:pPr>
        <w:pStyle w:val="Heading6"/>
        <w:numPr>
          <w:ilvl w:val="5"/>
          <w:numId w:val="1"/>
        </w:numPr>
        <w:rPr/>
      </w:pPr>
      <w:bookmarkStart w:id="779" w:name="__RefHeading___Toc13100212_1280447820"/>
      <w:bookmarkStart w:id="780" w:name="_Toc312"/>
      <w:bookmarkEnd w:id="779"/>
      <w:r>
        <w:rPr>
          <w:rtl w:val="true"/>
        </w:rPr>
        <w:t>اشارة</w:t>
      </w:r>
      <w:bookmarkEnd w:id="780"/>
    </w:p>
    <w:p>
      <w:pPr>
        <w:pStyle w:val="BookText"/>
        <w:rPr/>
      </w:pPr>
      <w:r>
        <w:rPr>
          <w:rFonts w:ascii="Amiri" w:hAnsi="Amiri" w:eastAsia="Amiri" w:cs="Amiri"/>
          <w:color w:val="111111"/>
          <w:sz w:val="28"/>
          <w:sz w:val="28"/>
          <w:szCs w:val="28"/>
          <w:rtl w:val="true"/>
          <w:lang w:bidi="ar-SA"/>
        </w:rPr>
        <w:t>و قد دلّ قسطٌ من آيات الكتاب الكريم على اشتراطها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الآيات ما تمسّك به قومٌ من الفقهاء، و منها ما لم يتمسّك به أحدٌ إلى حدّ الآن و لكن دلالته عليه تامّةٌ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فلابأس بنا لو ذكرناها و بحثنا عن مدى دلالتها على ما نحن فيه</w:t>
      </w:r>
      <w:r>
        <w:rPr>
          <w:rFonts w:eastAsia="Amiri" w:cs="Amiri" w:ascii="Amiri" w:hAnsi="Amiri"/>
          <w:color w:val="111111"/>
          <w:sz w:val="28"/>
          <w:szCs w:val="28"/>
          <w:rtl w:val="true"/>
          <w:lang w:bidi="ar-SA"/>
        </w:rPr>
        <w:t>.</w:t>
      </w:r>
    </w:p>
    <w:p>
      <w:pPr>
        <w:pStyle w:val="Heading6"/>
        <w:numPr>
          <w:ilvl w:val="5"/>
          <w:numId w:val="1"/>
        </w:numPr>
        <w:rPr/>
      </w:pPr>
      <w:bookmarkStart w:id="781" w:name="__RefHeading___Toc13100214_1280447820"/>
      <w:bookmarkStart w:id="782" w:name="_Toc313"/>
      <w:bookmarkEnd w:id="781"/>
      <w:r>
        <w:rPr>
          <w:rtl w:val="true"/>
        </w:rPr>
        <w:t>الآية الأولى</w:t>
      </w:r>
      <w:bookmarkEnd w:id="782"/>
    </w:p>
    <w:p>
      <w:pPr>
        <w:pStyle w:val="BookText"/>
        <w:rPr/>
      </w:pPr>
      <w:r>
        <w:rPr>
          <w:rFonts w:ascii="IRNazanin" w:hAnsi="IRNazanin" w:eastAsia="IRNazanin"/>
          <w:color w:val="111111"/>
          <w:sz w:val="28"/>
          <w:sz w:val="28"/>
          <w:szCs w:val="28"/>
          <w:rtl w:val="true"/>
          <w:lang w:bidi="fa-IR"/>
        </w:rPr>
        <w:t xml:space="preserve">فمنها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w:t>
      </w:r>
      <w:bookmarkStart w:id="783" w:name="pg18987_179892"/>
    </w:p>
    <w:p>
      <w:pPr>
        <w:pStyle w:val="BookText"/>
        <w:rPr/>
      </w:pPr>
      <w:bookmarkEnd w:id="783"/>
      <w:r>
        <w:rPr>
          <w:rFonts w:ascii="Amiri" w:hAnsi="Amiri" w:eastAsia="Amiri" w:cs="Amiri"/>
          <w:color w:val="111111"/>
          <w:sz w:val="28"/>
          <w:sz w:val="28"/>
          <w:szCs w:val="28"/>
          <w:rtl w:val="true"/>
          <w:lang w:bidi="ar-SA"/>
        </w:rPr>
        <w:t>مِنْ ذُرِّيَّتِي قَالَ لَايَنَالُ عَهْدِي الظَّالِمِينَ</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يتمّ الاستدلال بالكريمة بالنظر إلى ما مضى تفصيل الكلام حوله من أنّ الولاية عهدٌ قد فوّضه اللّه إلى نبيّه و المعصومين من أهل بيته عليهم السلام، و انّهم قد فوّضوه إلى الفقيه، فالولاية عهد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الآية ناطقةٌ بأنّ عهد اللّه لايناله الضالمون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للظلم مراتب؛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 العدوان؛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الواجبات و إتيان المحرّمات؛ و منها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فالكافر و المشرك و الباغي و تارك الواجبات و فاعل المحرّمات لاسبيل لهم إلى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فلايمكن أن يُتَّصَفوا بالولاية؛ و هذا ظاهرٌ</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13100216_1280447820"/>
      <w:bookmarkStart w:id="785" w:name="_Toc314"/>
      <w:bookmarkEnd w:id="784"/>
      <w:r>
        <w:rPr>
          <w:rtl w:val="true"/>
        </w:rPr>
        <w:t>الآية الثّانية</w:t>
      </w:r>
      <w:bookmarkEnd w:id="785"/>
    </w:p>
    <w:p>
      <w:pPr>
        <w:pStyle w:val="BookText"/>
        <w:rPr/>
      </w:pPr>
      <w:r>
        <w:rPr>
          <w:rFonts w:ascii="IRNazanin" w:hAnsi="IRNazanin" w:eastAsia="IRNazanin"/>
          <w:color w:val="111111"/>
          <w:sz w:val="28"/>
          <w:sz w:val="28"/>
          <w:szCs w:val="28"/>
          <w:rtl w:val="true"/>
          <w:lang w:bidi="fa-IR"/>
        </w:rPr>
        <w:t xml:space="preserve">و 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لَاتُطِعْ مَنْ أَغْفَلْنَا قَلْبَهُ عَنْ ذِكْرِنَا وَ اتَّبَعَ هَوَاهُ</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للكريمة دلالةٌ ظاهرةٌ على عدم جواز المتابعة في الأعمال اليوميّة عمّن غفل عن ذكر اللّه و نسى أنّ العالم كلّه في 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بل هو محضره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الأولويّة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عدم جواز التبعيّة عنه في أمر الحكم و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فدلالتها على اشتراط العدالة في الوليّ تامّةٌ</w:t>
      </w:r>
      <w:r>
        <w:rPr>
          <w:rFonts w:eastAsia="Amiri" w:cs="Amiri" w:ascii="Amiri" w:hAnsi="Amiri"/>
          <w:color w:val="111111"/>
          <w:sz w:val="28"/>
          <w:szCs w:val="28"/>
          <w:rtl w:val="true"/>
          <w:lang w:bidi="ar-SA"/>
        </w:rPr>
        <w:t>.</w:t>
      </w:r>
    </w:p>
    <w:p>
      <w:pPr>
        <w:pStyle w:val="Heading6"/>
        <w:numPr>
          <w:ilvl w:val="5"/>
          <w:numId w:val="1"/>
        </w:numPr>
        <w:rPr/>
      </w:pPr>
      <w:bookmarkStart w:id="786" w:name="__RefHeading___Toc13100218_1280447820"/>
      <w:bookmarkStart w:id="787" w:name="_Toc315"/>
      <w:bookmarkEnd w:id="786"/>
      <w:r>
        <w:rPr>
          <w:rtl w:val="true"/>
        </w:rPr>
        <w:t>الآية الثّالثة</w:t>
      </w:r>
      <w:bookmarkEnd w:id="78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bookmarkStart w:id="788" w:name="pg18987_179893"/>
    </w:p>
    <w:p>
      <w:pPr>
        <w:pStyle w:val="BookText"/>
        <w:rPr/>
      </w:pPr>
      <w:bookmarkEnd w:id="7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لِحُكْمِ رَبِّكَ وَ لَاتُطِعْ مِنْهُمْ آثِماً أَو كَفُوراً</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يرجع إلى الكفر في العقيدة، فحينئذٍ يدلّ على أنّ الكافر لا ولاية له؛</w:t>
      </w:r>
    </w:p>
    <w:p>
      <w:pPr>
        <w:pStyle w:val="BookText"/>
        <w:rPr/>
      </w:pPr>
      <w:r>
        <w:rPr>
          <w:rFonts w:ascii="Amiri" w:hAnsi="Amiri" w:eastAsia="Amiri" w:cs="Amiri"/>
          <w:color w:val="111111"/>
          <w:sz w:val="28"/>
          <w:sz w:val="28"/>
          <w:szCs w:val="28"/>
          <w:rtl w:val="true"/>
          <w:lang w:bidi="ar-SA"/>
        </w:rPr>
        <w:t xml:space="preserve">و إمّا أن يرجع إلى الكفر في العمل، فيكون مؤكّداً أو مفسّراً لما قبله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كلتي الصورتين يدلّ على أنّ الآثم الكافر أو الآثم و الكافر لايحقّ لهما أن يترأّسا على المجتمع؛ و قد نهى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متابعتهما</w:t>
      </w:r>
      <w:r>
        <w:rPr>
          <w:rFonts w:eastAsia="Amiri" w:cs="Amiri" w:ascii="Amiri" w:hAnsi="Amiri"/>
          <w:color w:val="111111"/>
          <w:sz w:val="28"/>
          <w:szCs w:val="28"/>
          <w:rtl w:val="true"/>
          <w:lang w:bidi="ar-SA"/>
        </w:rPr>
        <w:t>.</w:t>
      </w:r>
    </w:p>
    <w:p>
      <w:pPr>
        <w:pStyle w:val="Heading6"/>
        <w:numPr>
          <w:ilvl w:val="5"/>
          <w:numId w:val="1"/>
        </w:numPr>
        <w:rPr/>
      </w:pPr>
      <w:bookmarkStart w:id="789" w:name="__RefHeading___Toc13100220_1280447820"/>
      <w:bookmarkStart w:id="790" w:name="_Toc316"/>
      <w:bookmarkEnd w:id="789"/>
      <w:r>
        <w:rPr>
          <w:rtl w:val="true"/>
        </w:rPr>
        <w:t>الآية الرّابعة</w:t>
      </w:r>
      <w:bookmarkEnd w:id="790"/>
    </w:p>
    <w:p>
      <w:pPr>
        <w:pStyle w:val="BookText"/>
        <w:rPr/>
      </w:pPr>
      <w:r>
        <w:rPr>
          <w:rFonts w:ascii="IRNazanin" w:hAnsi="IRNazanin" w:eastAsia="IRNazanin"/>
          <w:color w:val="111111"/>
          <w:sz w:val="28"/>
          <w:sz w:val="28"/>
          <w:szCs w:val="28"/>
          <w:rtl w:val="true"/>
          <w:lang w:bidi="fa-IR"/>
        </w:rPr>
        <w:t xml:space="preserve">و 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الْكَلْبِ إِنْ تَحْمِلْ عَلَيهِ يَلْهَثْ أَو تَتْرُكْهُ يَلْهَثْ</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و مثله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الْحِمَارِ يَحْمِلُ أَسْفَاراً</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 ورد في شأن بلعام بن باعوراء</w:t>
      </w:r>
      <w:r>
        <w:rPr>
          <w:rStyle w:val="FootnoteAnchor"/>
          <w:rtl w:val="true"/>
        </w:rPr>
        <w:footnoteReference w:id="467"/>
      </w:r>
      <w:r>
        <w:rPr>
          <w:rFonts w:ascii="Amiri" w:hAnsi="Amiri" w:eastAsia="Amiri" w:cs="Amiri"/>
          <w:color w:val="111111"/>
          <w:sz w:val="28"/>
          <w:sz w:val="28"/>
          <w:szCs w:val="28"/>
          <w:rtl w:val="true"/>
          <w:lang w:bidi="ar-SA"/>
        </w:rPr>
        <w:t>و الثّاني في شأن كلّ عالمٍ لا عمل له على مقتضى علمه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شبّه العالِم المكبّ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قطن في قلبه حبّ الرياسة و جمع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بالكلب و الحمار؛ هذا على مبنى المشهور من المفسّرين حيث ذهبوا إلى أنّهما و ما يشبههما من باب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إنشاءٌ، و لابأس به؛ </w:t>
      </w:r>
      <w:bookmarkStart w:id="791" w:name="pg18987_179894"/>
    </w:p>
    <w:p>
      <w:pPr>
        <w:pStyle w:val="BookText"/>
        <w:rPr/>
      </w:pPr>
      <w:bookmarkEnd w:id="791"/>
      <w:r>
        <w:rPr>
          <w:rFonts w:ascii="Amiri" w:hAnsi="Amiri" w:eastAsia="Amiri" w:cs="Amiri"/>
          <w:color w:val="111111"/>
          <w:sz w:val="28"/>
          <w:sz w:val="28"/>
          <w:szCs w:val="28"/>
          <w:rtl w:val="true"/>
          <w:lang w:bidi="ar-SA"/>
        </w:rPr>
        <w:t>و إن كان القول بأنّهما إخبارٌ عن سريرته و واقعه أحسن من القول بكونهما من باب التشبيه، إذ لاتشبيه، بل الآيتان إخباران عن حاقّ ذاته حيث جعله ما له من الرذائل الأخلاقيّة و الصفات البهيميّة كلباً أو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المكبّ على الدنيا كلبٌ و العالم الّذي لاعمل له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مطرودان عن ساحته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بعيدان عن حرمه، فلامعنى لأن يفوّض اللّه إليهما أمراً من أموره، فكيف بما له الأهمّيّة البالغة بحيث لايُقاس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 الاستدلال بالقرآن الكريم على اشتراط العدالة في الفقيه الوليّ تامٌّ، و لابأس بنا لوذكرناه في عداد الأدلّة على اشتراطها فيه</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13100222_1280447820"/>
      <w:bookmarkStart w:id="793" w:name="_Toc317"/>
      <w:bookmarkEnd w:id="792"/>
      <w:r>
        <w:rPr>
          <w:rtl w:val="true"/>
        </w:rPr>
        <w:t>رابعاً</w:t>
      </w:r>
      <w:r>
        <w:rPr>
          <w:rtl w:val="true"/>
        </w:rPr>
        <w:t xml:space="preserve">: </w:t>
      </w:r>
      <w:r>
        <w:rPr>
          <w:rtl w:val="true"/>
        </w:rPr>
        <w:t>السنّة</w:t>
      </w:r>
      <w:bookmarkEnd w:id="793"/>
    </w:p>
    <w:p>
      <w:pPr>
        <w:pStyle w:val="Heading6"/>
        <w:numPr>
          <w:ilvl w:val="5"/>
          <w:numId w:val="1"/>
        </w:numPr>
        <w:rPr/>
      </w:pPr>
      <w:bookmarkStart w:id="794" w:name="__RefHeading___Toc13100224_1280447820"/>
      <w:bookmarkStart w:id="795" w:name="_Toc318"/>
      <w:bookmarkEnd w:id="794"/>
      <w:r>
        <w:rPr>
          <w:rtl w:val="true"/>
        </w:rPr>
        <w:t>اشارة</w:t>
      </w:r>
      <w:bookmarkEnd w:id="795"/>
    </w:p>
    <w:p>
      <w:pPr>
        <w:pStyle w:val="BookText"/>
        <w:rPr/>
      </w:pPr>
      <w:r>
        <w:rPr>
          <w:rFonts w:ascii="Amiri" w:hAnsi="Amiri" w:eastAsia="Amiri" w:cs="Amiri"/>
          <w:color w:val="111111"/>
          <w:sz w:val="28"/>
          <w:sz w:val="28"/>
          <w:szCs w:val="28"/>
          <w:rtl w:val="true"/>
          <w:lang w:bidi="ar-SA"/>
        </w:rPr>
        <w:t>و نعني بها هيهنا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يُمكن أن يُستدلّ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اشتراط العدالة في الفقيه الوليّ بطائفةٍ من الأحاديث؛ و منها ما هو صحيحٌ سنداً و تامٌّ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يستدعي سردها و التحقيق حول كلّ واحدٍ منها؛ فنقول</w:t>
      </w:r>
      <w:r>
        <w:rPr>
          <w:rFonts w:eastAsia="Amiri" w:cs="Amiri" w:ascii="Amiri" w:hAnsi="Amiri"/>
          <w:color w:val="111111"/>
          <w:sz w:val="28"/>
          <w:szCs w:val="28"/>
          <w:rtl w:val="true"/>
          <w:lang w:bidi="ar-SA"/>
        </w:rPr>
        <w:t>:</w:t>
      </w:r>
    </w:p>
    <w:p>
      <w:pPr>
        <w:pStyle w:val="Heading6"/>
        <w:numPr>
          <w:ilvl w:val="5"/>
          <w:numId w:val="1"/>
        </w:numPr>
        <w:rPr/>
      </w:pPr>
      <w:bookmarkStart w:id="796" w:name="__RefHeading___Toc13100226_1280447820"/>
      <w:bookmarkStart w:id="797" w:name="_Toc319"/>
      <w:bookmarkEnd w:id="796"/>
      <w:r>
        <w:rPr>
          <w:rtl w:val="true"/>
        </w:rPr>
        <w:t>الرواية الأوّلى</w:t>
      </w:r>
      <w:bookmarkEnd w:id="797"/>
    </w:p>
    <w:p>
      <w:pPr>
        <w:pStyle w:val="BookText"/>
        <w:rPr/>
      </w:pPr>
      <w:r>
        <w:rPr>
          <w:rFonts w:ascii="Amiri" w:hAnsi="Amiri" w:eastAsia="Amiri" w:cs="Amiri"/>
          <w:color w:val="111111"/>
          <w:sz w:val="28"/>
          <w:sz w:val="28"/>
          <w:szCs w:val="28"/>
          <w:rtl w:val="true"/>
          <w:lang w:bidi="ar-SA"/>
        </w:rPr>
        <w:t>و هي منقولةٌ عن الكافي الشريف</w:t>
      </w:r>
      <w:r>
        <w:rPr>
          <w:rStyle w:val="FootnoteAnchor"/>
          <w:rtl w:val="true"/>
        </w:rPr>
        <w:footnoteReference w:id="468"/>
      </w:r>
      <w:r>
        <w:rPr>
          <w:rFonts w:ascii="Amiri" w:hAnsi="Amiri" w:eastAsia="Amiri" w:cs="Amiri"/>
          <w:color w:val="111111"/>
          <w:sz w:val="28"/>
          <w:sz w:val="28"/>
          <w:szCs w:val="28"/>
          <w:rtl w:val="true"/>
          <w:lang w:bidi="ar-SA"/>
        </w:rPr>
        <w:t>، و نصّها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صالح بن السنديّ عن جعفر بن بشير عن حنّان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لاتصلح الإمامة إلّا لرجلٍ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يحجزه عن معاصي اللّه، و حلمٌ يملك به </w:t>
      </w:r>
      <w:bookmarkStart w:id="798" w:name="pg18987_179895"/>
    </w:p>
    <w:p>
      <w:pPr>
        <w:pStyle w:val="BookText"/>
        <w:rPr/>
      </w:pPr>
      <w:bookmarkEnd w:id="798"/>
      <w:r>
        <w:rPr>
          <w:rFonts w:ascii="Amiri" w:hAnsi="Amiri" w:eastAsia="Amiri" w:cs="Amiri"/>
          <w:color w:val="111111"/>
          <w:sz w:val="28"/>
          <w:sz w:val="28"/>
          <w:szCs w:val="28"/>
          <w:rtl w:val="true"/>
          <w:lang w:bidi="ar-SA"/>
        </w:rPr>
        <w:t>غضبه، و حسن الولاية على من يلي حتّى يكون لهم كالوالد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صحيحةٌ سنداً، و قد رواها جمعٌ من الأكابر كما رواه الشيخ الكلينيّ رحمه الله في بابٍ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يجب من حقّ الإمام على الرعيّة و حقّ الرعيّة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الاستدلال بهذا الحديث الشريف على المطلوب يتمّ بالنظر إلى ما للورع من المعنى، حيث إنّ الورع مرتبةٌ فوق مرتبة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مرتبة التقوى تتمّ بالاجتناب عن المحرّمات و كفّ النفس عمّا لايجوز، أمّا الورع فهو لايتمّ إلّابتطهير القلب و الفؤاد عن الوساوس و الهواجس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فالورع ملكة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لايحصل إلّاباستيفاء حقوق منزل التقوى كما هو حقّها ثمّ السير في منازل الكمال حتّى تصير التقوى ملكةً للسائر فيجتنب قلبه و سرّه و فؤاده و باطنه عمّا لايليق به، كما تجتنب جوارحه عمّا يحرم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حلمٌ يملك به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شرطٍ آخر من شروط الوليّ، و هو كونه مهذّباً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سنفصّل الكلام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حسن الولاية على من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إشارةٌ إلى شرطٍ آخر من شروطه، و هو كونه مدبّراً بحيث يتمكّن من تدبير أمر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سنفصّل الكلام حوله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قلنا انّ الحديث يشير إلى ثلاثة شروطٍ من شرائط الوالي و الأوّل منها ما نحن الآن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ورعٌ يحجزه عن معاصي اللّه</w:t>
      </w:r>
      <w:r>
        <w:rPr>
          <w:rFonts w:eastAsia="Amiri" w:cs="Amiri" w:ascii="Amiri" w:hAnsi="Amiri"/>
          <w:color w:val="111111"/>
          <w:sz w:val="28"/>
          <w:szCs w:val="28"/>
          <w:rtl w:val="true"/>
          <w:lang w:bidi="ar-SA"/>
        </w:rPr>
        <w:t>» -.</w:t>
      </w:r>
    </w:p>
    <w:p>
      <w:pPr>
        <w:pStyle w:val="Heading6"/>
        <w:numPr>
          <w:ilvl w:val="5"/>
          <w:numId w:val="1"/>
        </w:numPr>
        <w:rPr/>
      </w:pPr>
      <w:bookmarkStart w:id="799" w:name="__RefHeading___Toc13100228_1280447820"/>
      <w:bookmarkStart w:id="800" w:name="_Toc320"/>
      <w:bookmarkEnd w:id="799"/>
      <w:r>
        <w:rPr>
          <w:rtl w:val="true"/>
        </w:rPr>
        <w:t>الرواية الثّانية</w:t>
      </w:r>
      <w:bookmarkEnd w:id="800"/>
    </w:p>
    <w:p>
      <w:pPr>
        <w:pStyle w:val="BookText"/>
        <w:rPr/>
      </w:pPr>
      <w:r>
        <w:rPr>
          <w:rFonts w:ascii="Amiri" w:hAnsi="Amiri" w:eastAsia="Amiri" w:cs="Amiri"/>
          <w:color w:val="111111"/>
          <w:sz w:val="28"/>
          <w:sz w:val="28"/>
          <w:szCs w:val="28"/>
          <w:rtl w:val="true"/>
          <w:lang w:bidi="ar-SA"/>
        </w:rPr>
        <w:t>قول أبي عبداللّه عليه السلام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 خلف الغالي و إن كان يقول بقولك، و المجهول، و المجاهر بالفسق و إن كان مقتصداً</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801" w:name="pg18987_179896"/>
    </w:p>
    <w:p>
      <w:pPr>
        <w:pStyle w:val="BookText"/>
        <w:rPr/>
      </w:pPr>
      <w:bookmarkEnd w:id="801"/>
      <w:r>
        <w:rPr>
          <w:rFonts w:ascii="Amiri" w:hAnsi="Amiri" w:eastAsia="Amiri" w:cs="Amiri"/>
          <w:color w:val="111111"/>
          <w:sz w:val="28"/>
          <w:sz w:val="28"/>
          <w:szCs w:val="28"/>
          <w:rtl w:val="true"/>
          <w:lang w:bidi="ar-SA"/>
        </w:rPr>
        <w:t>الحديث ورد في شأن من يؤمّ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اشترط فيه أموراً لايصلح للإمامة في الصلاة إلّا باحرازها، و الأولويّة القطعيّة تدلّ على اشتراطها بعينها في من يؤمّ المجتمع،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فلايصلح للولاية إلّامن اتّصف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نهى عليه السلام أوّلاً عن الصلاة خلف الغالي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فلاحقّ للغالي في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نهى ثانياً عن الصلاة خلف المجهول، و الظاهر انّه هو الّذي لم تُحرز عدالته؛ فاتّصافه بالملكة لايكفي، بل يجب احرازها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تُحرز ملكة العدالة فيه لايحقّ للإمامة في الصلاة، فلايحقّ لإمامة المجتمع بطريق الأولويّة؛</w:t>
      </w:r>
    </w:p>
    <w:p>
      <w:pPr>
        <w:pStyle w:val="BookText"/>
        <w:rPr/>
      </w:pPr>
      <w:r>
        <w:rPr>
          <w:rFonts w:ascii="Amiri" w:hAnsi="Amiri" w:eastAsia="Amiri" w:cs="Amiri"/>
          <w:color w:val="111111"/>
          <w:sz w:val="28"/>
          <w:sz w:val="28"/>
          <w:szCs w:val="28"/>
          <w:rtl w:val="true"/>
          <w:lang w:bidi="ar-SA"/>
        </w:rPr>
        <w:t>ثمّ نهى ثالثاً عن الصلاة خلف المجاهر بالفسق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تعريضٌ بالعامّة حيث صحّحوا الصلاة خلفه، بل خضعوا لحكمه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ينهى عن إمامة من كان غالياً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فاسداً في 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كان مجاهراً بالفسق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فاسداً في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كان 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تُحرز عدالته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فلايحقّ للإمامة و الولاية إلّامن كان عادلاً محرز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فدلالته على ما نحن بصدده تامّةٌ</w:t>
      </w:r>
      <w:r>
        <w:rPr>
          <w:rFonts w:eastAsia="Amiri" w:cs="Amiri" w:ascii="Amiri" w:hAnsi="Amiri"/>
          <w:color w:val="111111"/>
          <w:sz w:val="28"/>
          <w:szCs w:val="28"/>
          <w:rtl w:val="true"/>
          <w:lang w:bidi="ar-SA"/>
        </w:rPr>
        <w:t>.</w:t>
      </w:r>
    </w:p>
    <w:p>
      <w:pPr>
        <w:pStyle w:val="Heading6"/>
        <w:numPr>
          <w:ilvl w:val="5"/>
          <w:numId w:val="1"/>
        </w:numPr>
        <w:rPr/>
      </w:pPr>
      <w:bookmarkStart w:id="802" w:name="__RefHeading___Toc13100230_1280447820"/>
      <w:bookmarkStart w:id="803" w:name="_Toc321"/>
      <w:bookmarkEnd w:id="802"/>
      <w:r>
        <w:rPr>
          <w:rtl w:val="true"/>
        </w:rPr>
        <w:t>الرواية الثّالثة</w:t>
      </w:r>
      <w:bookmarkEnd w:id="80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الصدوق رحمه الله عن الصادق عليه السلام حيث سُئل عن الصلاة خلف من عقّه والديه أو كان قاطعاً للرحم؟ و نصّ الجواب</w:t>
      </w:r>
      <w:r>
        <w:rPr>
          <w:rFonts w:eastAsia="Amiri" w:cs="Amiri" w:ascii="Amiri" w:hAnsi="Amiri"/>
          <w:color w:val="111111"/>
          <w:sz w:val="28"/>
          <w:szCs w:val="28"/>
          <w:rtl w:val="true"/>
          <w:lang w:bidi="ar-SA"/>
        </w:rPr>
        <w:t xml:space="preserve">: </w:t>
      </w:r>
      <w:bookmarkStart w:id="804" w:name="pg18987_179897"/>
    </w:p>
    <w:p>
      <w:pPr>
        <w:pStyle w:val="BookText"/>
        <w:rPr/>
      </w:pPr>
      <w:bookmarkEnd w:id="8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لاتقرأ خلفه ما لم يكن عاقّاً قاطعاً</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دلالتها على المطلوب تتمّ بالنظر إلى أن لاخصوصيّة للعقّ و قطع الرحم، بل بما أنّهما يُعدّان من الذنوب يمنعان عن صحّة الصلاة خلف من اتّصف بهما، و مثلهما غيرهما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فالذنب و عدم الاتّصاف بملكة العدالة يمنع عن الإمامة في الصلاة كما يمنع عن الولاية على المجتمع</w:t>
      </w:r>
      <w:r>
        <w:rPr>
          <w:rFonts w:eastAsia="Amiri" w:cs="Amiri" w:ascii="Amiri" w:hAnsi="Amiri"/>
          <w:color w:val="111111"/>
          <w:sz w:val="28"/>
          <w:szCs w:val="28"/>
          <w:rtl w:val="true"/>
          <w:lang w:bidi="ar-SA"/>
        </w:rPr>
        <w:t>.</w:t>
      </w:r>
    </w:p>
    <w:p>
      <w:pPr>
        <w:pStyle w:val="Heading6"/>
        <w:numPr>
          <w:ilvl w:val="5"/>
          <w:numId w:val="1"/>
        </w:numPr>
        <w:rPr/>
      </w:pPr>
      <w:bookmarkStart w:id="805" w:name="__RefHeading___Toc13100232_1280447820"/>
      <w:bookmarkStart w:id="806" w:name="_Toc322"/>
      <w:bookmarkEnd w:id="805"/>
      <w:r>
        <w:rPr>
          <w:rtl w:val="true"/>
        </w:rPr>
        <w:t>الرواية الرّابعة</w:t>
      </w:r>
      <w:bookmarkEnd w:id="806"/>
    </w:p>
    <w:p>
      <w:pPr>
        <w:pStyle w:val="BookText"/>
        <w:rPr/>
      </w:pPr>
      <w:r>
        <w:rPr>
          <w:rFonts w:ascii="Amiri" w:hAnsi="Amiri" w:eastAsia="Amiri" w:cs="Amiri"/>
          <w:color w:val="111111"/>
          <w:sz w:val="28"/>
          <w:sz w:val="28"/>
          <w:szCs w:val="28"/>
          <w:rtl w:val="true"/>
          <w:lang w:bidi="ar-SA"/>
        </w:rPr>
        <w:t>و هي قريبةٌ من السابقة عليها؛ و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يقارف الذنوب و هو عارفٌ بهذا الأمر، أصلّي خلفه؟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من الحديث إنّ بطلان الصلاة خلف المخالفين كان من المرتكز عند الشيعة، فسأل السائلُ الإمامَ عن الصلاة خلف العارف بهذا الأمر المغارف بالذنوب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الإماميّ الّذي لايبالي بما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 الإمام عليه السلام عنه بالنهي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 على اشتراط العدالة في إمام الجماعة و بطريق الأولويّة في والي المجتمع تامّةٌ</w:t>
      </w:r>
      <w:r>
        <w:rPr>
          <w:rFonts w:eastAsia="Amiri" w:cs="Amiri" w:ascii="Amiri" w:hAnsi="Amiri"/>
          <w:color w:val="111111"/>
          <w:sz w:val="28"/>
          <w:szCs w:val="28"/>
          <w:rtl w:val="true"/>
          <w:lang w:bidi="ar-SA"/>
        </w:rPr>
        <w:t>.</w:t>
      </w:r>
    </w:p>
    <w:p>
      <w:pPr>
        <w:pStyle w:val="Heading6"/>
        <w:numPr>
          <w:ilvl w:val="5"/>
          <w:numId w:val="1"/>
        </w:numPr>
        <w:rPr/>
      </w:pPr>
      <w:bookmarkStart w:id="807" w:name="__RefHeading___Toc13100234_1280447820"/>
      <w:bookmarkStart w:id="808" w:name="_Toc323"/>
      <w:bookmarkEnd w:id="807"/>
      <w:r>
        <w:rPr>
          <w:rtl w:val="true"/>
        </w:rPr>
        <w:t>الرواية الخامسة</w:t>
      </w:r>
      <w:bookmarkEnd w:id="80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مواليك يجتمعون فتحضر الصلاة </w:t>
      </w:r>
    </w:p>
    <w:p>
      <w:pPr>
        <w:pStyle w:val="BookText"/>
        <w:rPr/>
      </w:pPr>
      <w:r>
        <w:rPr>
          <w:rFonts w:ascii="Amiri" w:hAnsi="Amiri" w:eastAsia="Amiri" w:cs="Amiri"/>
          <w:color w:val="111111"/>
          <w:sz w:val="28"/>
          <w:sz w:val="28"/>
          <w:szCs w:val="28"/>
          <w:rtl w:val="true"/>
          <w:lang w:bidi="ar-SA"/>
        </w:rPr>
        <w:t>فيقدّم بعضهم فيصلّي بهم جماعةً؟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الّذي يؤمّ بهم ليس بينه و بين اللّه طلبةٌ فليفعل</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المسؤول عنه هو مولانا جوادالأئمّة عليه السلام، و قد سأله الراوي عن الصلاة خلف بعض الشيعة، فأجابه عليه السلام باشتراط العدالة فيه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الّذي يؤمّ بهم ليس بينه و بين اللّه ظلّةٌ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لاكاشف عن العدالة إلّاالعمل، فمن كان في أعماله و ما يصدر عنه مجتنباً عن الكبائر و الصغائر و ما يُشين مروءته فله خصلة العدالة، فيمكن الاقتداء به في الصلاة كما يمكن الاقتداء به في قيادة المجتمع</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قلنا جميعاً انّ الأدلّة الأربعة بأسرها تدلّ على اشتراط العدالة في الفقيه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نزيد عليه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استدللنا به من الآيات و الأحاديث لاحكم له تأسيساً، بل جميع الآيات و الأحاديث يرشد إلى حكم العقل بقبح تفويض الولاية إلى من لم تكن له خصلة العدالة؛ و إجماع العلماء و السيرة المستمرّة بين الشيعة الإماميّة أيضاً كاشفٌ عن هذا الّذي يحكم به العقل؛ و الحمد للّه وحده</w:t>
      </w:r>
      <w:r>
        <w:rPr>
          <w:rFonts w:eastAsia="Amiri" w:cs="Amiri" w:ascii="Amiri" w:hAnsi="Amiri"/>
          <w:color w:val="111111"/>
          <w:sz w:val="28"/>
          <w:szCs w:val="28"/>
          <w:rtl w:val="true"/>
          <w:lang w:bidi="ar-SA"/>
        </w:rPr>
        <w:t xml:space="preserve">. </w:t>
      </w:r>
      <w:bookmarkStart w:id="809" w:name="pg18987_179899"/>
    </w:p>
    <w:p>
      <w:pPr>
        <w:pStyle w:val="Heading4"/>
        <w:numPr>
          <w:ilvl w:val="3"/>
          <w:numId w:val="1"/>
        </w:numPr>
        <w:rPr/>
      </w:pPr>
      <w:bookmarkStart w:id="810" w:name="__RefHeading___Toc13100236_1280447820"/>
      <w:bookmarkStart w:id="811" w:name="_Toc324"/>
      <w:bookmarkEnd w:id="809"/>
      <w:bookmarkEnd w:id="810"/>
      <w:r>
        <w:rPr>
          <w:rtl w:val="true"/>
        </w:rPr>
        <w:t>الشرط السّادس</w:t>
      </w:r>
      <w:r>
        <w:rPr>
          <w:rtl w:val="true"/>
        </w:rPr>
        <w:t xml:space="preserve">: </w:t>
      </w:r>
      <w:r>
        <w:rPr>
          <w:rtl w:val="true"/>
        </w:rPr>
        <w:t>الطهارة الروحيّة</w:t>
      </w:r>
      <w:bookmarkEnd w:id="811"/>
    </w:p>
    <w:p>
      <w:pPr>
        <w:pStyle w:val="Heading5"/>
        <w:numPr>
          <w:ilvl w:val="4"/>
          <w:numId w:val="1"/>
        </w:numPr>
        <w:rPr/>
      </w:pPr>
      <w:bookmarkStart w:id="812" w:name="__RefHeading___Toc13100238_1280447820"/>
      <w:bookmarkStart w:id="813" w:name="_Toc325"/>
      <w:bookmarkEnd w:id="812"/>
      <w:r>
        <w:rPr>
          <w:rtl w:val="true"/>
        </w:rPr>
        <w:t>اشارة</w:t>
      </w:r>
      <w:bookmarkEnd w:id="813"/>
    </w:p>
    <w:p>
      <w:pPr>
        <w:pStyle w:val="BookText"/>
        <w:rPr/>
      </w:pPr>
      <w:r>
        <w:rPr>
          <w:rFonts w:ascii="Amiri" w:hAnsi="Amiri" w:eastAsia="Amiri" w:cs="Amiri"/>
          <w:color w:val="111111"/>
          <w:sz w:val="28"/>
          <w:sz w:val="28"/>
          <w:szCs w:val="28"/>
          <w:rtl w:val="true"/>
          <w:lang w:bidi="ar-SA"/>
        </w:rPr>
        <w:t xml:space="preserve">و المراد منها هيهنا كونه مهذبّاً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متخلّياً عن الرذائل متحلّياً بالفضائل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لم يتمكّن من غرس شجرة الفضائل كلّها في نفسه فلابدّ له من قلع الرذائل</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الشرط قد نصّ عليه كثيرٌ من الفقهاء من المتقدّمين و المتأخّرين؛</w:t>
      </w:r>
    </w:p>
    <w:p>
      <w:pPr>
        <w:pStyle w:val="BookText"/>
        <w:rPr/>
      </w:pPr>
      <w:r>
        <w:rPr>
          <w:rFonts w:ascii="Amiri" w:hAnsi="Amiri" w:eastAsia="Amiri" w:cs="Amiri"/>
          <w:color w:val="111111"/>
          <w:sz w:val="28"/>
          <w:sz w:val="28"/>
          <w:szCs w:val="28"/>
          <w:rtl w:val="true"/>
          <w:lang w:bidi="ar-SA"/>
        </w:rPr>
        <w:t xml:space="preserve">فالسلّار و ابن ادريس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مضى فيما حكينا من نصوصهما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سمّياه بالزهد؛</w:t>
      </w:r>
    </w:p>
    <w:p>
      <w:pPr>
        <w:pStyle w:val="BookText"/>
        <w:rPr/>
      </w:pPr>
      <w:r>
        <w:rPr>
          <w:rFonts w:ascii="Amiri" w:hAnsi="Amiri" w:eastAsia="Amiri" w:cs="Amiri"/>
          <w:color w:val="111111"/>
          <w:sz w:val="28"/>
          <w:sz w:val="28"/>
          <w:szCs w:val="28"/>
          <w:rtl w:val="true"/>
          <w:lang w:bidi="ar-SA"/>
        </w:rPr>
        <w:t>و قد سمّاه المحقّق الوحيد البهبهانيّ رحمه الله في فوائده بالملكة القدسيّة</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 الفقيه اليزديّ في العروة</w:t>
      </w:r>
      <w:r>
        <w:rPr>
          <w:rStyle w:val="FootnoteAnchor"/>
          <w:rtl w:val="true"/>
        </w:rPr>
        <w:footnoteReference w:id="475"/>
      </w:r>
      <w:r>
        <w:rPr>
          <w:rFonts w:ascii="Amiri" w:hAnsi="Amiri" w:eastAsia="Amiri" w:cs="Amiri"/>
          <w:color w:val="111111"/>
          <w:sz w:val="28"/>
          <w:sz w:val="28"/>
          <w:szCs w:val="28"/>
          <w:rtl w:val="true"/>
          <w:lang w:bidi="ar-SA"/>
        </w:rPr>
        <w:t xml:space="preserve">و سيّدنا الأستاذ الإمام الخمينيّ </w:t>
      </w:r>
      <w:r>
        <w:rPr>
          <w:rFonts w:eastAsia="Amiri" w:cs="Amiri" w:ascii="Amiri" w:hAnsi="Amiri"/>
          <w:color w:val="111111"/>
          <w:sz w:val="28"/>
          <w:szCs w:val="28"/>
          <w:lang w:bidi="ar-SA"/>
        </w:rPr>
        <w:t>0</w:t>
      </w:r>
      <w:r>
        <w:rPr>
          <w:rStyle w:val="FootnoteAnchor"/>
          <w:rtl w:val="true"/>
        </w:rPr>
        <w:footnoteReference w:id="476"/>
      </w:r>
      <w:r>
        <w:rPr>
          <w:rFonts w:ascii="Amiri" w:hAnsi="Amiri" w:eastAsia="Amiri" w:cs="Amiri"/>
          <w:color w:val="111111"/>
          <w:sz w:val="28"/>
          <w:sz w:val="28"/>
          <w:szCs w:val="28"/>
          <w:rtl w:val="true"/>
          <w:lang w:bidi="ar-SA"/>
        </w:rPr>
        <w:t>قد سمّياه بعدم الكبّ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 الفقيه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بطريق الأولويّة كون الفقيه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زاهداً أو ذاملكةٍ قدسيّةٍ أو غير مكبٍّ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من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تعبيراتٌ شتّى عمّا سمّيناه بالطهارة الروحيّة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واضحٌ، حيث لا ولاية لمن لم يقتد بالمعصومين من الأنبياء و الأئمّة الطاهرين عليهم السلام </w:t>
      </w:r>
      <w:bookmarkStart w:id="814" w:name="pg18987_179900"/>
    </w:p>
    <w:p>
      <w:pPr>
        <w:pStyle w:val="BookText"/>
        <w:rPr/>
      </w:pPr>
      <w:bookmarkEnd w:id="814"/>
      <w:r>
        <w:rPr>
          <w:rFonts w:ascii="Amiri" w:hAnsi="Amiri" w:eastAsia="Amiri" w:cs="Amiri"/>
          <w:color w:val="111111"/>
          <w:sz w:val="28"/>
          <w:sz w:val="28"/>
          <w:szCs w:val="28"/>
          <w:rtl w:val="true"/>
          <w:lang w:bidi="ar-SA"/>
        </w:rPr>
        <w:t xml:space="preserve">فيما هو أبرز خصائصهم و أرفع خصالهم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الروحيّة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في أنّ للطهارة مراتب بعضها مختصٌّ بالمعصومين الأربعة عشر و لايمكن لغيرهم العثور عليه، بل و لاتخيّله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الطهارة الروحيّة هيهنا مايمكن للناس أن يتّصفوا به و ما هو في وسعهم، فلايحقّ للولاية إلّامن بذل جهده في اقتناء أعلى مراتب الطهارة الروحيّة بحسب القوّة البشريّة؛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يُرشد إليه ما ورد في بعض رواياتنا؛ منها</w:t>
      </w:r>
      <w:r>
        <w:rPr>
          <w:rFonts w:eastAsia="Amiri" w:cs="Amiri" w:ascii="Amiri" w:hAnsi="Amiri"/>
          <w:color w:val="111111"/>
          <w:sz w:val="28"/>
          <w:szCs w:val="28"/>
          <w:rtl w:val="true"/>
          <w:lang w:bidi="ar-SA"/>
        </w:rPr>
        <w:t>:</w:t>
      </w:r>
    </w:p>
    <w:p>
      <w:pPr>
        <w:pStyle w:val="Heading5"/>
        <w:numPr>
          <w:ilvl w:val="4"/>
          <w:numId w:val="1"/>
        </w:numPr>
        <w:rPr/>
      </w:pPr>
      <w:bookmarkStart w:id="815" w:name="__RefHeading___Toc13100240_1280447820"/>
      <w:bookmarkStart w:id="816" w:name="_Toc326"/>
      <w:bookmarkEnd w:id="815"/>
      <w:r>
        <w:rPr>
          <w:rtl w:val="true"/>
        </w:rPr>
        <w:t>الرواية الأولى</w:t>
      </w:r>
      <w:bookmarkEnd w:id="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القاسم عن المنقريّ عن حفص بن غياث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العالم محبّاً لدنياه فاتّهموه على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عنه فيما يرجع إلى دينكم، فلاتسألوا عنه شيئاً و لاتستفتوا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 محبٍّ لشيءٍ يحوطه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داود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لاتجعل بيني و بينك عالماً مفتوناً بالدنيا فيصدّك عن طريق محبّتي، فإن أولئك قطّاع طريق عبادي المريدين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أدنى ما أنا صانعٌ بهم أن أنزع حلاوة مناجاتي عن قلوبهم</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كلّ محبٍّ يميل إلى محبوبه، فالعالم المكبّ على الدنيا يميل إليها فيبعد عن اللّه في كلّ آنٍ؛ و كذلك من اقتدى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فلايجوز بطريق الأولويّة أن يُقتدى به في ولاية المجتمع و تفويض أموره إليه</w:t>
      </w:r>
      <w:r>
        <w:rPr>
          <w:rFonts w:eastAsia="Amiri" w:cs="Amiri" w:ascii="Amiri" w:hAnsi="Amiri"/>
          <w:color w:val="111111"/>
          <w:sz w:val="28"/>
          <w:szCs w:val="28"/>
          <w:rtl w:val="true"/>
          <w:lang w:bidi="ar-SA"/>
        </w:rPr>
        <w:t xml:space="preserve">. </w:t>
      </w:r>
      <w:bookmarkStart w:id="817" w:name="pg18987_179901"/>
    </w:p>
    <w:p>
      <w:pPr>
        <w:pStyle w:val="Heading5"/>
        <w:numPr>
          <w:ilvl w:val="4"/>
          <w:numId w:val="1"/>
        </w:numPr>
        <w:rPr/>
      </w:pPr>
      <w:bookmarkStart w:id="818" w:name="__RefHeading___Toc13100242_1280447820"/>
      <w:bookmarkStart w:id="819" w:name="_Toc327"/>
      <w:bookmarkEnd w:id="817"/>
      <w:bookmarkEnd w:id="818"/>
      <w:r>
        <w:rPr>
          <w:rtl w:val="true"/>
        </w:rPr>
        <w:t>الرواية الثّانية</w:t>
      </w:r>
      <w:bookmarkEnd w:id="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عن أبيه عن النوفليّ عن السكونيّ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أمناء الرسل ما لم يدخلوا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دخولهم في الدنيا؟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فعلوا ذلك فاحذروهم على دينكم</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موثّقةٌ سنداً، و هي تؤيّد الصحيحة الّتي مضت قبلها، فإن لم يكن لها سندٌ يمكن الركون إليه فلاأقلّ من كونها مؤيّدةً لغيرها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اتّباع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الزعامة و الرئاسة، فمن قرب إلى السلطان قرب إلى سلطنته، فله لمحةٌ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لافرق بين أن يكون حبّ الرئاسة بالتقرّب إلى السلطان أو بجمع المريدين أو بما يشبههما ممّا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يجب أن يكون الوليّ ذا طهارةٍ روحيّةٍ بحيث لايميل إلى الدنيا، و لايحبّ أن يترأّس فيها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اضمم هذا إلى ما روي منهم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ما يخرج عن قلوب الصدّيقين حبّ الجاه</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فمن تخلّى قلبه عن حبّها يوشك أن ينتظم في عداد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الطهارة الروحيّة، فله أن يولّى أمر المجتمع</w:t>
      </w:r>
      <w:r>
        <w:rPr>
          <w:rFonts w:eastAsia="Amiri" w:cs="Amiri" w:ascii="Amiri" w:hAnsi="Amiri"/>
          <w:color w:val="111111"/>
          <w:sz w:val="28"/>
          <w:szCs w:val="28"/>
          <w:rtl w:val="true"/>
          <w:lang w:bidi="ar-SA"/>
        </w:rPr>
        <w:t xml:space="preserve">. </w:t>
      </w:r>
      <w:bookmarkStart w:id="820" w:name="pg18987_179902"/>
    </w:p>
    <w:p>
      <w:pPr>
        <w:pStyle w:val="Heading5"/>
        <w:numPr>
          <w:ilvl w:val="4"/>
          <w:numId w:val="1"/>
        </w:numPr>
        <w:rPr/>
      </w:pPr>
      <w:bookmarkStart w:id="821" w:name="__RefHeading___Toc13100244_1280447820"/>
      <w:bookmarkStart w:id="822" w:name="_Toc328"/>
      <w:bookmarkEnd w:id="820"/>
      <w:bookmarkEnd w:id="821"/>
      <w:r>
        <w:rPr>
          <w:rtl w:val="true"/>
        </w:rPr>
        <w:t>الرواية الثّالثة</w:t>
      </w:r>
      <w:bookmarkEnd w:id="822"/>
    </w:p>
    <w:p>
      <w:pPr>
        <w:pStyle w:val="BookText"/>
        <w:rPr/>
      </w:pPr>
      <w:r>
        <w:rPr>
          <w:rFonts w:ascii="Amiri" w:hAnsi="Amiri" w:eastAsia="Amiri" w:cs="Amiri"/>
          <w:color w:val="111111"/>
          <w:sz w:val="28"/>
          <w:sz w:val="28"/>
          <w:szCs w:val="28"/>
          <w:rtl w:val="true"/>
          <w:lang w:bidi="ar-SA"/>
        </w:rPr>
        <w:t>و منها ما تمسّك به الفقيه اليزديّ في العروة</w:t>
      </w:r>
      <w:r>
        <w:rPr>
          <w:rStyle w:val="FootnoteAnchor"/>
          <w:rtl w:val="true"/>
        </w:rPr>
        <w:footnoteReference w:id="480"/>
      </w:r>
      <w:r>
        <w:rPr>
          <w:rFonts w:ascii="Amiri" w:hAnsi="Amiri" w:eastAsia="Amiri" w:cs="Amiri"/>
          <w:color w:val="111111"/>
          <w:sz w:val="28"/>
          <w:sz w:val="28"/>
          <w:szCs w:val="28"/>
          <w:rtl w:val="true"/>
          <w:lang w:bidi="ar-SA"/>
        </w:rPr>
        <w:t xml:space="preserve">و سيّدنا الأستاذ الإمام الخمينيّ </w:t>
      </w:r>
      <w:r>
        <w:rPr>
          <w:rFonts w:eastAsia="Amiri" w:cs="Amiri" w:ascii="Amiri" w:hAnsi="Amiri"/>
          <w:color w:val="111111"/>
          <w:sz w:val="28"/>
          <w:szCs w:val="28"/>
          <w:lang w:bidi="ar-SA"/>
        </w:rPr>
        <w:t>0</w:t>
      </w:r>
      <w:r>
        <w:rPr>
          <w:rStyle w:val="FootnoteAnchor"/>
          <w:rtl w:val="true"/>
        </w:rPr>
        <w:footnoteReference w:id="481"/>
      </w:r>
      <w:r>
        <w:rPr>
          <w:rFonts w:ascii="Amiri" w:hAnsi="Amiri" w:eastAsia="Amiri" w:cs="Amiri"/>
          <w:color w:val="111111"/>
          <w:sz w:val="28"/>
          <w:sz w:val="28"/>
          <w:szCs w:val="28"/>
          <w:rtl w:val="true"/>
          <w:lang w:bidi="ar-SA"/>
        </w:rPr>
        <w:t>في التحرير من قول مولانا العسكريّ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كان من الفقهاء صائناً لنفسه حافظاً لدينه مخالفاً لهواه مطيعاً لأمر مولاه فللعوام أن يقلّدوه، و ذلك لايكون إلّابعض فقهاء الشيعة</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مرسلةٌ سنداً و لكن تلقّاها بالقبول جمعٌ من المتقدّمين و المتأخّرين، منهم صاحب الجواهر</w:t>
      </w:r>
      <w:r>
        <w:rPr>
          <w:rStyle w:val="FootnoteAnchor"/>
          <w:rtl w:val="true"/>
        </w:rPr>
        <w:footnoteReference w:id="483"/>
      </w:r>
      <w:r>
        <w:rPr>
          <w:rFonts w:ascii="Amiri" w:hAnsi="Amiri" w:eastAsia="Amiri" w:cs="Amiri"/>
          <w:color w:val="111111"/>
          <w:sz w:val="28"/>
          <w:sz w:val="28"/>
          <w:szCs w:val="28"/>
          <w:rtl w:val="true"/>
          <w:lang w:bidi="ar-SA"/>
        </w:rPr>
        <w:t xml:space="preserve">و الشيخ الأعظم </w:t>
      </w:r>
      <w:r>
        <w:rPr>
          <w:rFonts w:eastAsia="Amiri" w:cs="Amiri" w:ascii="Amiri" w:hAnsi="Amiri"/>
          <w:color w:val="111111"/>
          <w:sz w:val="28"/>
          <w:szCs w:val="28"/>
          <w:lang w:bidi="ar-SA"/>
        </w:rPr>
        <w:t>0</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كيفيّة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صائناً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اشتراط العدالة فيه؛</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حافظاً 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اشتراط التقوى فيه؛</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مخالفاً لهواه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اشتراط الطهارة الروحيّة فيه بحيث لم تكن الدنيا و ما فيها عنده سبباً لمعصية اللّه؛ و هذا كما قال مولانا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لوأُعطيت الأقاليم السبعة بما تحت أفلاكها على أن أعصى اللّه في نملةٍ أسلبها جُلب شعيرةٍ ما فعلته</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فثبت انّ الطهارة الروحيّة أيضاً تُعدّ من الخصال الّتي لاتصلح أحدٌ للقيام بأمر الولاية و الأمارة إلّابالاتّصاف بها</w:t>
      </w:r>
      <w:r>
        <w:rPr>
          <w:rFonts w:eastAsia="Amiri" w:cs="Amiri" w:ascii="Amiri" w:hAnsi="Amiri"/>
          <w:color w:val="111111"/>
          <w:sz w:val="28"/>
          <w:szCs w:val="28"/>
          <w:rtl w:val="true"/>
          <w:lang w:bidi="ar-SA"/>
        </w:rPr>
        <w:t xml:space="preserve">. </w:t>
      </w:r>
      <w:bookmarkStart w:id="823" w:name="pg18987_179903"/>
    </w:p>
    <w:p>
      <w:pPr>
        <w:pStyle w:val="Heading4"/>
        <w:numPr>
          <w:ilvl w:val="3"/>
          <w:numId w:val="1"/>
        </w:numPr>
        <w:rPr/>
      </w:pPr>
      <w:bookmarkStart w:id="824" w:name="__RefHeading___Toc13100246_1280447820"/>
      <w:bookmarkStart w:id="825" w:name="_Toc329"/>
      <w:bookmarkEnd w:id="823"/>
      <w:bookmarkEnd w:id="824"/>
      <w:r>
        <w:rPr>
          <w:rtl w:val="true"/>
        </w:rPr>
        <w:t>الشرط السّابع</w:t>
      </w:r>
      <w:r>
        <w:rPr>
          <w:rtl w:val="true"/>
        </w:rPr>
        <w:t xml:space="preserve">: </w:t>
      </w:r>
      <w:r>
        <w:rPr>
          <w:rtl w:val="true"/>
        </w:rPr>
        <w:t>كمال العقل</w:t>
      </w:r>
      <w:bookmarkEnd w:id="825"/>
    </w:p>
    <w:p>
      <w:pPr>
        <w:pStyle w:val="Heading5"/>
        <w:numPr>
          <w:ilvl w:val="4"/>
          <w:numId w:val="1"/>
        </w:numPr>
        <w:rPr/>
      </w:pPr>
      <w:bookmarkStart w:id="826" w:name="__RefHeading___Toc13100248_1280447820"/>
      <w:bookmarkStart w:id="827" w:name="_Toc330"/>
      <w:bookmarkEnd w:id="826"/>
      <w:r>
        <w:rPr>
          <w:rtl w:val="true"/>
        </w:rPr>
        <w:t>اشارة</w:t>
      </w:r>
      <w:bookmarkEnd w:id="827"/>
    </w:p>
    <w:p>
      <w:pPr>
        <w:pStyle w:val="BookText"/>
        <w:rPr/>
      </w:pPr>
      <w:r>
        <w:rPr>
          <w:rFonts w:ascii="Amiri" w:hAnsi="Amiri" w:eastAsia="Amiri" w:cs="Amiri"/>
          <w:color w:val="111111"/>
          <w:sz w:val="28"/>
          <w:sz w:val="28"/>
          <w:szCs w:val="28"/>
          <w:rtl w:val="true"/>
          <w:lang w:bidi="ar-SA"/>
        </w:rPr>
        <w:t xml:space="preserve">و اشتراطه في الفقيه الوليّ و الفقيه المرجِع ممّا لايُنكر، حيث لايجوّز العقل التقليد عمّن لاعقل له في ما يتعلّق بالدين أو بالدنيا، بل وجوده شرطٌ في كلّ من يتكفّل أمراً جماعيّاً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كالقاضي و قائد الجيش و ناظر الشرطة و مدير الفرع و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للعقل مراتب خمس فلايحتاج كلّ من يتكفّل أمراً من أمورهما أن يكون متّصفاً بجميع مراتبه، بل يُشترط في إمام الجماعة بعضها، و في القاضي أزيد منه، و في الفقيه المرجِع أيضاً أزيد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فقل جميعها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في الفقيه الوليّ يُشترط اتّصافه بجميع مراتبه؛ و لوأخلّ بواحدٍ منها لم يصلح للولاية، و هذا من المجمع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الأقسام الخمسة تصطاد من العقل أو الكتاب أو السنة؛ و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العقل يُطلق و يُراد منه أشياء؛ و هي</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13100250_1280447820"/>
      <w:bookmarkStart w:id="829" w:name="_Toc331"/>
      <w:bookmarkEnd w:id="828"/>
      <w:r>
        <w:rPr>
          <w:rtl w:val="true"/>
        </w:rPr>
        <w:t>الأوّل</w:t>
      </w:r>
      <w:r>
        <w:rPr>
          <w:rtl w:val="true"/>
        </w:rPr>
        <w:t>:</w:t>
      </w:r>
      <w:bookmarkEnd w:id="82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العقل الّذي يُقابل الجنون الإدواري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الأوّل أو فتحه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العَتَه الذِّهنيّ، و هو من يجنّ عنه عقله في بعض الأحيان و يفيق في بعض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وُضع قلم التكليف حين اتّصافه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الحديث ما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التكليف عليه حين افاقته</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bookmarkStart w:id="830" w:name="pg18987_179904"/>
    </w:p>
    <w:p>
      <w:pPr>
        <w:pStyle w:val="BookText"/>
        <w:rPr/>
      </w:pPr>
      <w:bookmarkEnd w:id="830"/>
      <w:r>
        <w:rPr>
          <w:rFonts w:ascii="Amiri" w:hAnsi="Amiri" w:eastAsia="Amiri" w:cs="Amiri"/>
          <w:color w:val="111111"/>
          <w:sz w:val="28"/>
          <w:sz w:val="28"/>
          <w:szCs w:val="28"/>
          <w:rtl w:val="true"/>
          <w:lang w:bidi="ar-SA"/>
        </w:rPr>
        <w:t>و من هذا القسم الجنون بالنسبة إلى بعض الأعمال و سلامة العقل بالنسبة إلى بعضها الآخر، كشيخٍ فاضلٍ كان يعيش في قم المقدّسة مستحضراً لما ألقاه عليه أستاذه المحقّق الحائريّ رحمه الله، بل كان عيبة علم الأستاذ و لكن كان مجنوناً تاركاً للصلاة و لما تحكم عليه الحياة الإجتماعيّة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كنّا نسأل عنه عن بعض آراء الشيخ الحائريّ و كان يجيبنا عنه بما يوافي المقصود، ثمّ كنّا نذكّره الصلاة و وجوبها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ما وُهب و سقط ما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مات و كانت موته نتيجةً لحالته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سبحانه و تعالى حسن العاقبة </w:t>
      </w:r>
      <w:r>
        <w:rPr>
          <w:rFonts w:eastAsia="Amiri" w:cs="Amiri" w:ascii="Amiri" w:hAnsi="Amiri"/>
          <w:color w:val="111111"/>
          <w:sz w:val="28"/>
          <w:szCs w:val="28"/>
          <w:rtl w:val="true"/>
          <w:lang w:bidi="ar-SA"/>
        </w:rPr>
        <w:t>-.</w:t>
      </w:r>
    </w:p>
    <w:p>
      <w:pPr>
        <w:pStyle w:val="Heading5"/>
        <w:numPr>
          <w:ilvl w:val="4"/>
          <w:numId w:val="1"/>
        </w:numPr>
        <w:rPr/>
      </w:pPr>
      <w:bookmarkStart w:id="831" w:name="__RefHeading___Toc13100252_1280447820"/>
      <w:bookmarkStart w:id="832" w:name="_Toc332"/>
      <w:bookmarkEnd w:id="831"/>
      <w:r>
        <w:rPr>
          <w:rtl w:val="true"/>
        </w:rPr>
        <w:t>الثّاني</w:t>
      </w:r>
      <w:r>
        <w:rPr>
          <w:rtl w:val="true"/>
        </w:rPr>
        <w:t>:</w:t>
      </w:r>
      <w:bookmarkEnd w:id="832"/>
    </w:p>
    <w:p>
      <w:pPr>
        <w:pStyle w:val="BookText"/>
        <w:rPr/>
      </w:pPr>
      <w:r>
        <w:rPr>
          <w:rFonts w:ascii="Amiri" w:hAnsi="Amiri" w:eastAsia="Amiri" w:cs="Amiri"/>
          <w:color w:val="111111"/>
          <w:sz w:val="28"/>
          <w:sz w:val="28"/>
          <w:szCs w:val="28"/>
          <w:rtl w:val="true"/>
          <w:lang w:bidi="ar-SA"/>
        </w:rPr>
        <w:t>العقل الّذي يقابل الجهل و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الجهل هيهنا الغطاء الّذي يستر العقل فيعمل الإنسان ما لايطابق عقله و لايوافقه، ثمّ بعد أن رفع هذا الغطاء يعلم أنّ ما فعله ما كان إلّاجهلاً و جهالةً؛ و في كثيرٍ من الأحيان يندم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عَلَى اللَّهِ لِلَّذِينَ يَعْمَلُونَ السُّوءَ بِجَهَالَةٍ ثُمَّ يَتُوبُونَ مِنْ قَرِيبٍ</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كمن يرتكب ما لايليق به لثوران الشهوة ثمّ بعد أن خمدت شهوته يندم على ما فعله فيتوب منه؛ و كان هذا نتيجة ستر الشهوة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أقسام العقل ما يقابل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الجهالة الواردة في الآية الشريفة هي بهذا المعنى</w:t>
      </w:r>
      <w:r>
        <w:rPr>
          <w:rFonts w:eastAsia="Amiri" w:cs="Amiri" w:ascii="Amiri" w:hAnsi="Amiri"/>
          <w:color w:val="111111"/>
          <w:sz w:val="28"/>
          <w:szCs w:val="28"/>
          <w:rtl w:val="true"/>
          <w:lang w:bidi="ar-SA"/>
        </w:rPr>
        <w:t>.</w:t>
      </w:r>
    </w:p>
    <w:p>
      <w:pPr>
        <w:pStyle w:val="Heading5"/>
        <w:numPr>
          <w:ilvl w:val="4"/>
          <w:numId w:val="1"/>
        </w:numPr>
        <w:rPr/>
      </w:pPr>
      <w:bookmarkStart w:id="833" w:name="__RefHeading___Toc13100254_1280447820"/>
      <w:bookmarkStart w:id="834" w:name="_Toc333"/>
      <w:bookmarkEnd w:id="833"/>
      <w:r>
        <w:rPr>
          <w:rtl w:val="true"/>
        </w:rPr>
        <w:t>الثّالث</w:t>
      </w:r>
      <w:r>
        <w:rPr>
          <w:rtl w:val="true"/>
        </w:rPr>
        <w:t>:</w:t>
      </w:r>
      <w:bookmarkEnd w:id="834"/>
    </w:p>
    <w:p>
      <w:pPr>
        <w:pStyle w:val="BookText"/>
        <w:rPr/>
      </w:pPr>
      <w:r>
        <w:rPr>
          <w:rFonts w:ascii="Amiri" w:hAnsi="Amiri" w:eastAsia="Amiri" w:cs="Amiri"/>
          <w:color w:val="111111"/>
          <w:sz w:val="28"/>
          <w:sz w:val="28"/>
          <w:szCs w:val="28"/>
          <w:rtl w:val="true"/>
          <w:lang w:bidi="ar-SA"/>
        </w:rPr>
        <w:t>العقل الّذي يقابل السفاهة، و من لم يصاحب هذا العقل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يبلغ رشده فلايعرف ما فيه خيره ممّا هو شرٌّ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أحكامٌ خاصّةٌ به كوجوب هجره و عدم جواز تصرّفه في أمواله؛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 فَادْفَعُوا إِلَيْهِمْ أَمْوَالَهُمْ</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فالسفيه من لم يبلغ رشده، فلاولاية له على أمواله حتّى يبلغه</w:t>
      </w:r>
      <w:r>
        <w:rPr>
          <w:rFonts w:eastAsia="Amiri" w:cs="Amiri" w:ascii="Amiri" w:hAnsi="Amiri"/>
          <w:color w:val="111111"/>
          <w:sz w:val="28"/>
          <w:szCs w:val="28"/>
          <w:rtl w:val="true"/>
          <w:lang w:bidi="ar-SA"/>
        </w:rPr>
        <w:t>.</w:t>
      </w:r>
    </w:p>
    <w:p>
      <w:pPr>
        <w:pStyle w:val="Heading5"/>
        <w:numPr>
          <w:ilvl w:val="4"/>
          <w:numId w:val="1"/>
        </w:numPr>
        <w:rPr/>
      </w:pPr>
      <w:bookmarkStart w:id="835" w:name="__RefHeading___Toc13100256_1280447820"/>
      <w:bookmarkStart w:id="836" w:name="_Toc334"/>
      <w:bookmarkEnd w:id="835"/>
      <w:r>
        <w:rPr>
          <w:rtl w:val="true"/>
        </w:rPr>
        <w:t>الرّابع</w:t>
      </w:r>
      <w:r>
        <w:rPr>
          <w:rtl w:val="true"/>
        </w:rPr>
        <w:t>:</w:t>
      </w:r>
      <w:bookmarkEnd w:id="83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العقل الّذي يقابل عدم البصيرة، فالمصاحب لهذا العقل يقال له البصير؛ و يقابله </w:t>
      </w:r>
      <w:bookmarkStart w:id="837" w:name="pg18987_179905"/>
    </w:p>
    <w:p>
      <w:pPr>
        <w:pStyle w:val="BookText"/>
        <w:rPr/>
      </w:pPr>
      <w:bookmarkEnd w:id="837"/>
      <w:r>
        <w:rPr>
          <w:rFonts w:ascii="Amiri" w:hAnsi="Amiri" w:eastAsia="Amiri" w:cs="Amiri"/>
          <w:color w:val="111111"/>
          <w:sz w:val="28"/>
          <w:sz w:val="28"/>
          <w:szCs w:val="28"/>
          <w:rtl w:val="true"/>
          <w:lang w:bidi="ar-SA"/>
        </w:rPr>
        <w:t>الأبله أو الغبيّ أو الساذج أو خفيف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فالأبله من يمكن أن يُغتَرَّ و يُنخدع في صِلاته الجماعيّة و عِلاقاته الّتي له مع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لفظتي العقل و الجهل وردتا في قسطٍ من أحاديثنا في معنى البصيرة و الحُمق؛ قال مولانا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 عالمٌ لايجهل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بالسياسة مفروض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جزءٌ من حديثٍ طويلٍ رواه الكلينيّ رحمه الله</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w:t>
      </w:r>
      <w:r>
        <w:rPr>
          <w:rStyle w:val="FootnoteAnchor"/>
          <w:rtl w:val="true"/>
        </w:rPr>
        <w:footnoteReference w:id="490"/>
      </w:r>
      <w:r>
        <w:rPr>
          <w:rFonts w:ascii="Amiri" w:hAnsi="Amiri" w:eastAsia="Amiri" w:cs="Amiri"/>
          <w:color w:val="111111"/>
          <w:sz w:val="28"/>
          <w:sz w:val="28"/>
          <w:szCs w:val="28"/>
          <w:rtl w:val="true"/>
          <w:lang w:bidi="ar-SA"/>
        </w:rPr>
        <w:t>أيضاً عن مولانا الصادق عليه السلام 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بزمانه لاتهجم عليه اللوابس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w:t>
      </w:r>
      <w:r>
        <w:rPr>
          <w:rStyle w:val="FootnoteAnchor"/>
          <w:rtl w:val="true"/>
        </w:rPr>
        <w:footnoteReference w:id="491"/>
      </w:r>
      <w:r>
        <w:rPr>
          <w:rFonts w:ascii="Amiri" w:hAnsi="Amiri" w:eastAsia="Amiri" w:cs="Amiri"/>
          <w:color w:val="111111"/>
          <w:sz w:val="28"/>
          <w:sz w:val="28"/>
          <w:szCs w:val="28"/>
          <w:rtl w:val="true"/>
          <w:lang w:bidi="ar-SA"/>
        </w:rPr>
        <w:t>أيضاً عن أبي جعفرٍ عليه السلام عن النبيّ صلى الله عليه و آله 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لاتصلح الإمامة إلّالرجلٍ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و حلمٌ يملك به عقله، و حسن الولاية على من يلي حتّى يكون لهم كالوالد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بالعلم و العقل و ما يقابلهما من الجهل في هذه الأحاديث هو البصيرة و الغباوة؛ فالعالم بصيرٌ و الجاهل غبيٌّ</w:t>
      </w:r>
      <w:r>
        <w:rPr>
          <w:rFonts w:eastAsia="Amiri" w:cs="Amiri" w:ascii="Amiri" w:hAnsi="Amiri"/>
          <w:color w:val="111111"/>
          <w:sz w:val="28"/>
          <w:szCs w:val="28"/>
          <w:rtl w:val="true"/>
          <w:lang w:bidi="ar-SA"/>
        </w:rPr>
        <w:t>.</w:t>
      </w:r>
    </w:p>
    <w:p>
      <w:pPr>
        <w:pStyle w:val="Heading5"/>
        <w:numPr>
          <w:ilvl w:val="4"/>
          <w:numId w:val="1"/>
        </w:numPr>
        <w:rPr/>
      </w:pPr>
      <w:bookmarkStart w:id="838" w:name="__RefHeading___Toc13100258_1280447820"/>
      <w:bookmarkStart w:id="839" w:name="_Toc335"/>
      <w:bookmarkEnd w:id="838"/>
      <w:r>
        <w:rPr>
          <w:rtl w:val="true"/>
        </w:rPr>
        <w:t>الخامس</w:t>
      </w:r>
      <w:r>
        <w:rPr>
          <w:rtl w:val="true"/>
        </w:rPr>
        <w:t>:</w:t>
      </w:r>
      <w:bookmarkEnd w:id="83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الّذي يقابل عقل المعاش، و هو المسمّى بعقل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العناية التامّة بأمر الآخرة و عدم الاغترار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الناس من له ذكاوةٌ في ما يرجع إلى 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p>
    <w:p>
      <w:pPr>
        <w:pStyle w:val="BookText"/>
        <w:rPr/>
      </w:pPr>
      <w:r>
        <w:rPr>
          <w:rFonts w:ascii="Amiri" w:hAnsi="Amiri" w:eastAsia="Amiri" w:cs="Amiri"/>
          <w:color w:val="111111"/>
          <w:sz w:val="28"/>
          <w:sz w:val="28"/>
          <w:szCs w:val="28"/>
          <w:rtl w:val="true"/>
          <w:lang w:bidi="ar-SA"/>
        </w:rPr>
        <w:t>شعلةٌ جوّالةٌ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 لكنّه مغترٌّ به لايبالي بما سيؤول إليه أمره في الآخرة، فلاعقل له بالنسبة إلى المعاد و ان كان عاقلاً في دنياه؛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عن بعض أصحاب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كُنَّا نَسْمَعُ أَو نَعْقِلُ مَا كُنَّا فِي أَصْحَابِ السَّعِيرِ</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مضى في صدر المبحث انّ كلّ من يتكفّل أمراً من أمور الجماعة يجب أن يتّصف بالعقل بالنسبة إلى الأهمّيّة الّتي حازتها مهنته؛</w:t>
      </w:r>
    </w:p>
    <w:p>
      <w:pPr>
        <w:pStyle w:val="BookText"/>
        <w:rPr/>
      </w:pPr>
      <w:r>
        <w:rPr>
          <w:rFonts w:ascii="Amiri" w:hAnsi="Amiri" w:eastAsia="Amiri" w:cs="Amiri"/>
          <w:color w:val="111111"/>
          <w:sz w:val="28"/>
          <w:sz w:val="28"/>
          <w:szCs w:val="28"/>
          <w:rtl w:val="true"/>
          <w:lang w:bidi="ar-SA"/>
        </w:rPr>
        <w:t>ففي إمام الجماعة يُشترط أن لايكون مجنوناً مطلقاً، بل لوكان مفيقاً في بعض الأحيان يصحّ الاقتداء به فيه؛</w:t>
      </w:r>
    </w:p>
    <w:p>
      <w:pPr>
        <w:pStyle w:val="BookText"/>
        <w:rPr/>
      </w:pPr>
      <w:r>
        <w:rPr>
          <w:rFonts w:ascii="Amiri" w:hAnsi="Amiri" w:eastAsia="Amiri" w:cs="Amiri"/>
          <w:color w:val="111111"/>
          <w:sz w:val="28"/>
          <w:sz w:val="28"/>
          <w:szCs w:val="28"/>
          <w:rtl w:val="true"/>
          <w:lang w:bidi="ar-SA"/>
        </w:rPr>
        <w:t>و في قيّم السفيه يشترط زيادةً على ذلك أن لايكون سفيهاً لئلّا يُهجر؛</w:t>
      </w:r>
    </w:p>
    <w:p>
      <w:pPr>
        <w:pStyle w:val="BookText"/>
        <w:rPr/>
      </w:pPr>
      <w:r>
        <w:rPr>
          <w:rFonts w:ascii="Amiri" w:hAnsi="Amiri" w:eastAsia="Amiri" w:cs="Amiri"/>
          <w:color w:val="111111"/>
          <w:sz w:val="28"/>
          <w:sz w:val="28"/>
          <w:szCs w:val="28"/>
          <w:rtl w:val="true"/>
          <w:lang w:bidi="ar-SA"/>
        </w:rPr>
        <w:t>و في القاضي يشترط زيادةً على ذلك أن يكون بصيراً بمواقع الأمور؛</w:t>
      </w:r>
    </w:p>
    <w:p>
      <w:pPr>
        <w:pStyle w:val="BookText"/>
        <w:rPr/>
      </w:pPr>
      <w:r>
        <w:rPr>
          <w:rFonts w:ascii="Amiri" w:hAnsi="Amiri" w:eastAsia="Amiri" w:cs="Amiri"/>
          <w:color w:val="111111"/>
          <w:sz w:val="28"/>
          <w:sz w:val="28"/>
          <w:szCs w:val="28"/>
          <w:rtl w:val="true"/>
          <w:lang w:bidi="ar-SA"/>
        </w:rPr>
        <w:t>و جميع مراتب العقل يشترط في الفقيه الوليّ، فلايصلح للولاية من لم تكن فيه مرتبةٌ من هذه المراتب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واضحٌ، إذ لمنصبه من الأهمّيّة البالغة ما ليس لغيره من المناصب، فيجب اتّصافه بكمال العقل لئلّا يُخدَع فيما يُقبل إليه من الأمور؛</w:t>
      </w:r>
    </w:p>
    <w:p>
      <w:pPr>
        <w:pStyle w:val="BookText"/>
        <w:rPr/>
      </w:pPr>
      <w:r>
        <w:rPr>
          <w:rFonts w:ascii="Amiri" w:hAnsi="Amiri" w:eastAsia="Amiri" w:cs="Amiri"/>
          <w:color w:val="111111"/>
          <w:sz w:val="28"/>
          <w:sz w:val="28"/>
          <w:szCs w:val="28"/>
          <w:rtl w:val="true"/>
          <w:lang w:bidi="ar-SA"/>
        </w:rPr>
        <w:t>أمّا الغبيّ أو الجاهل فلايجوز الإعتماد على ما صمّما عليه؛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لاعقل له بالنسبة إلى المعاد فلاولاية له، إذ لايهتدي المجتمع إلى ما فيه خيره، حيث لاتمييز له بالنسبة إلى نفسه فكيف بالنسبة إلى غيره</w:t>
      </w:r>
      <w:r>
        <w:rPr>
          <w:rFonts w:eastAsia="Amiri" w:cs="Amiri" w:ascii="Amiri" w:hAnsi="Amiri"/>
          <w:color w:val="111111"/>
          <w:sz w:val="28"/>
          <w:szCs w:val="28"/>
          <w:rtl w:val="true"/>
          <w:lang w:bidi="ar-SA"/>
        </w:rPr>
        <w:t xml:space="preserve">!. </w:t>
      </w:r>
      <w:bookmarkStart w:id="840" w:name="pg18987_179907"/>
    </w:p>
    <w:p>
      <w:pPr>
        <w:pStyle w:val="Heading4"/>
        <w:numPr>
          <w:ilvl w:val="3"/>
          <w:numId w:val="1"/>
        </w:numPr>
        <w:rPr/>
      </w:pPr>
      <w:bookmarkStart w:id="841" w:name="__RefHeading___Toc13100260_1280447820"/>
      <w:bookmarkStart w:id="842" w:name="_Toc336"/>
      <w:bookmarkEnd w:id="840"/>
      <w:bookmarkEnd w:id="841"/>
      <w:r>
        <w:rPr>
          <w:rtl w:val="true"/>
        </w:rPr>
        <w:t>الشرط الثّامن</w:t>
      </w:r>
      <w:r>
        <w:rPr>
          <w:rtl w:val="true"/>
        </w:rPr>
        <w:t xml:space="preserve">: </w:t>
      </w:r>
      <w:r>
        <w:rPr>
          <w:rtl w:val="true"/>
        </w:rPr>
        <w:t>الشَّجاعة</w:t>
      </w:r>
      <w:bookmarkEnd w:id="842"/>
    </w:p>
    <w:p>
      <w:pPr>
        <w:pStyle w:val="Heading5"/>
        <w:numPr>
          <w:ilvl w:val="4"/>
          <w:numId w:val="1"/>
        </w:numPr>
        <w:rPr/>
      </w:pPr>
      <w:bookmarkStart w:id="843" w:name="__RefHeading___Toc13100262_1280447820"/>
      <w:bookmarkStart w:id="844" w:name="_Toc337"/>
      <w:bookmarkEnd w:id="843"/>
      <w:r>
        <w:rPr>
          <w:rtl w:val="true"/>
        </w:rPr>
        <w:t>اشارة</w:t>
      </w:r>
      <w:bookmarkEnd w:id="844"/>
    </w:p>
    <w:p>
      <w:pPr>
        <w:pStyle w:val="BookText"/>
        <w:rPr/>
      </w:pPr>
      <w:r>
        <w:rPr>
          <w:rFonts w:ascii="Amiri" w:hAnsi="Amiri" w:eastAsia="Amiri" w:cs="Amiri"/>
          <w:color w:val="111111"/>
          <w:sz w:val="28"/>
          <w:sz w:val="28"/>
          <w:szCs w:val="28"/>
          <w:rtl w:val="true"/>
          <w:lang w:bidi="ar-SA"/>
        </w:rPr>
        <w:t>و الشجاعة تُعدّ من الشرائط اللازمة للولاية، بل لامناص للوليّ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معانٍ ثلاثة، و المراد من اشتراطها فيه جميع تلك المعاني؛ و هي</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13100264_1280447820"/>
      <w:bookmarkStart w:id="846" w:name="_Toc338"/>
      <w:bookmarkEnd w:id="845"/>
      <w:r>
        <w:rPr>
          <w:rtl w:val="true"/>
        </w:rPr>
        <w:t>الأوّل</w:t>
      </w:r>
      <w:r>
        <w:rPr>
          <w:rtl w:val="true"/>
        </w:rPr>
        <w:t>:</w:t>
      </w:r>
      <w:bookmarkEnd w:id="846"/>
    </w:p>
    <w:p>
      <w:pPr>
        <w:pStyle w:val="BookText"/>
        <w:rPr/>
      </w:pPr>
      <w:r>
        <w:rPr>
          <w:rFonts w:ascii="Amiri" w:hAnsi="Amiri" w:eastAsia="Amiri" w:cs="Amiri"/>
          <w:color w:val="111111"/>
          <w:sz w:val="28"/>
          <w:sz w:val="28"/>
          <w:szCs w:val="28"/>
          <w:rtl w:val="true"/>
          <w:lang w:bidi="ar-SA"/>
        </w:rPr>
        <w:t>الشجاعة الّتي تراد منها القدرة و القوّة في الروح، بل و في الجسم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اتّصف بالشجاعة في أمرٍ قام به فهو شجاعٌ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عمّا أجاب به نبيٌّ عليه السلام قومه حيث سألوه عن لمّيّة جعل شابٍ لايُعرف أميراً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عَلَيْكُمْ وَ زَادَهُ بَسْطَةً فِي الْعِلْمِ وَ الْجِسْمِ</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إشارةً إلى تمكّنه من القيام بإدارة الجيش و اهتدائه إلى الفوز في الحرب، فهو شجاعٌ في كونه أمير اللواء</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13100266_1280447820"/>
      <w:bookmarkStart w:id="848" w:name="_Toc339"/>
      <w:bookmarkEnd w:id="847"/>
      <w:r>
        <w:rPr>
          <w:rtl w:val="true"/>
        </w:rPr>
        <w:t>الثّاني</w:t>
      </w:r>
      <w:r>
        <w:rPr>
          <w:rtl w:val="true"/>
        </w:rPr>
        <w:t>:</w:t>
      </w:r>
      <w:bookmarkEnd w:id="848"/>
    </w:p>
    <w:p>
      <w:pPr>
        <w:pStyle w:val="BookText"/>
        <w:rPr/>
      </w:pPr>
      <w:r>
        <w:rPr>
          <w:rFonts w:ascii="Amiri" w:hAnsi="Amiri" w:eastAsia="Amiri" w:cs="Amiri"/>
          <w:color w:val="111111"/>
          <w:sz w:val="28"/>
          <w:sz w:val="28"/>
          <w:szCs w:val="28"/>
          <w:rtl w:val="true"/>
          <w:lang w:bidi="ar-SA"/>
        </w:rPr>
        <w:t>الشجاعة الّتي تراد منها الغلبة على النفس و هواها؛ 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أشجع الناس من غلب هواه</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غلب هواه و فاز في الحرب مع نفسه فهو المتّصف بالشجاعة بمعناها الثّاني، و هو الجهاد الأكبر الّذي لاجهاد أكبر و لاحرب أشقّ منه؛ قال النبيّ صلى الله عليه و آله حينما أقبل إليه وفدٌ أرسله إلى سريةٍ</w:t>
      </w:r>
      <w:r>
        <w:rPr>
          <w:rFonts w:eastAsia="Amiri" w:cs="Amiri" w:ascii="Amiri" w:hAnsi="Amiri"/>
          <w:color w:val="111111"/>
          <w:sz w:val="28"/>
          <w:szCs w:val="28"/>
          <w:rtl w:val="true"/>
          <w:lang w:bidi="ar-SA"/>
        </w:rPr>
        <w:t xml:space="preserve">: </w:t>
      </w:r>
      <w:bookmarkStart w:id="849" w:name="pg18987_179908"/>
    </w:p>
    <w:p>
      <w:pPr>
        <w:pStyle w:val="BookText"/>
        <w:rPr/>
      </w:pPr>
      <w:bookmarkEnd w:id="8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بقومٍ قضوا الجهاد الأصغر و بقي عليهم الجهاد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 ما الجهاد الأكبر؟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لاريب انّ الشجاعة من لوازم الفوز في الحرب، فلايمكن الحرب مع النفس و الجهاد معها إلّابهذه الشجاعة</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13100268_1280447820"/>
      <w:bookmarkStart w:id="851" w:name="_Toc340"/>
      <w:bookmarkEnd w:id="850"/>
      <w:r>
        <w:rPr>
          <w:rtl w:val="true"/>
        </w:rPr>
        <w:t>الثّالث</w:t>
      </w:r>
      <w:r>
        <w:rPr>
          <w:rtl w:val="true"/>
        </w:rPr>
        <w:t>:</w:t>
      </w:r>
      <w:bookmarkEnd w:id="851"/>
    </w:p>
    <w:p>
      <w:pPr>
        <w:pStyle w:val="BookText"/>
        <w:rPr/>
      </w:pPr>
      <w:r>
        <w:rPr>
          <w:rFonts w:ascii="Amiri" w:hAnsi="Amiri" w:eastAsia="Amiri" w:cs="Amiri"/>
          <w:color w:val="111111"/>
          <w:sz w:val="28"/>
          <w:sz w:val="28"/>
          <w:szCs w:val="28"/>
          <w:rtl w:val="true"/>
          <w:lang w:bidi="ar-SA"/>
        </w:rPr>
        <w:t xml:space="preserve">الشجاعة الّتي يراد منها عدم الارتباك و الاضطراب في الأمور و لاسيّما عندما أقبلت مهامّها، فمن سلّط على نفسه بحيث لم يرتبك و لم يضطرب في ما للأيّام من الإقبال و الإدبار فهو المتّصف بالشجاعة بهذا المعنى الثّالث؛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الْخَيْرُ 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الْمُصَلِّينَ</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هلوعٌ بطبعه،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فيما يُقبل إليه من الشرّ و الخير؛ و الشجاع من كان راسخاً في النِّعَم و النِّقَم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لاطريق لاكتسابها إلّابالاتّصال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أشار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فلبحر الحياة جذرٌ كما له مدٌّ، و الشجاع من كان سابحاً فيه غير متأثّرٍ منهما؛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يَعْبُدُ اللَّهَ عَلَى حَرْفٍ فَإِنْ أَصَابَهُ خَيْرٌ اطْمَأَنَّ بِهِ وَ إِنْ أَصَابَتْهُ فِتْنَةٌ انْقَلَبَ عَلَى وَجْهِهِ خَسِرَ الدُّنْيَا وَ الْآخِرَةَ ذَلِكَ هُوَ الْخُسْرَانُ الْمُبِينُ</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فمن لم يرسخ الإيمان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قلبه بحيث لم يتزلزل عند إقبال النعم أو تهاجم النقم لاثبات له، فيؤول أمره إلى 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فالشجاعة بمعناها الثّالثة من لوازم الفوز و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اشتراط 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الوليّ زيادةً على العقل النقلُ؛ قال أميرالمؤمنين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الوالي أن يكون أزهد الناس و أعلم الناس و أشجع الناس و أكرم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يشير عليه السلام إلى أنّ من لم يكن شجاعاً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يكن أشجع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فلايصلح للولاية،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يكن أشجع الناس سقط فرض 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علّله عليه السلام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في الحرب فئة المسلمين، فلو فرّ لدخل فيمن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يُوَلِّهِمْ يَومَئِذٍ دُبُرَهَ إِلَّا مُتَحَرِّفاً لِقِتَالٍ أَو مُتَحَيِّزاً إِلَى فِئَةٍ فَقَدْ بَاءَ بِغَضَبٍ مِنَ اللَّهِ وَ مَأْوَاهُ جَهَنَّمُ وَ بِئْسَ الْمَصِيرُ</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الوالي هو ملجأ المسلمين و ملاذهم و مأواهم، فإذا لم يكن ثابتاً في أمره يزلّ و يزلق و يضطرب، فيزلّ معه المسلمون؛ بل يفسد مجتمعهم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أحقّ الناس بهذا الأمر أقواهم عليه و أعلمهم بأمر اللّه فيه</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القويّ على الأمر هو الشجاع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القوّة و العلم في كلّ شيءٍ بحسبه، فالوليّ من كان قويّاً في ولايته بحيث لم يضطرب و لم يزلق فيما يُقبل عليه من مشكلات الدهر و صعابها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أيضاً في رسالةٍ كتبها لابن أشتر حينما وجّهه إلى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لاتدخلنّ في مشورتك بخيلاً يعدل بك عن الفضل و يعدك الفقر، و لاجباناً يضعفك عن الأمور</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نهى عليه السلام الوالي عن أن يدخل الجبان الضعيف النفس في من يشاورهم في الأمور كما نهاه عن مشاورة البخيل، لأنّ البخيل يمنعه عن بذل الأموال في مواقعه، و الجبان يضطربه في الأمر؛ فتصير عاقبة أمر الملك إلى الضعف و الهوان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نظائر هذه الأحاديث كثيرةٌ، و فيما ذكرنا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انّ النقل يؤيّد العقل في حكمه باشتراط الشجاعة في الفقيه الوليّ</w:t>
      </w:r>
      <w:r>
        <w:rPr>
          <w:rFonts w:eastAsia="Amiri" w:cs="Amiri" w:ascii="Amiri" w:hAnsi="Amiri"/>
          <w:color w:val="111111"/>
          <w:sz w:val="28"/>
          <w:szCs w:val="28"/>
          <w:rtl w:val="true"/>
          <w:lang w:bidi="ar-SA"/>
        </w:rPr>
        <w:t xml:space="preserve">. </w:t>
      </w:r>
      <w:bookmarkStart w:id="852" w:name="pg18987_179911"/>
    </w:p>
    <w:p>
      <w:pPr>
        <w:pStyle w:val="Heading4"/>
        <w:numPr>
          <w:ilvl w:val="3"/>
          <w:numId w:val="1"/>
        </w:numPr>
        <w:rPr/>
      </w:pPr>
      <w:bookmarkStart w:id="853" w:name="__RefHeading___Toc13100270_1280447820"/>
      <w:bookmarkStart w:id="854" w:name="_Toc341"/>
      <w:bookmarkEnd w:id="852"/>
      <w:bookmarkEnd w:id="853"/>
      <w:r>
        <w:rPr>
          <w:rtl w:val="true"/>
        </w:rPr>
        <w:t>الشرط التّاسع</w:t>
      </w:r>
      <w:r>
        <w:rPr>
          <w:rtl w:val="true"/>
        </w:rPr>
        <w:t xml:space="preserve">: </w:t>
      </w:r>
      <w:r>
        <w:rPr>
          <w:rtl w:val="true"/>
        </w:rPr>
        <w:t>شرح الصدر</w:t>
      </w:r>
      <w:bookmarkEnd w:id="854"/>
    </w:p>
    <w:p>
      <w:pPr>
        <w:pStyle w:val="Heading5"/>
        <w:numPr>
          <w:ilvl w:val="4"/>
          <w:numId w:val="1"/>
        </w:numPr>
        <w:rPr/>
      </w:pPr>
      <w:bookmarkStart w:id="855" w:name="__RefHeading___Toc13100272_1280447820"/>
      <w:bookmarkStart w:id="856" w:name="_Toc342"/>
      <w:bookmarkEnd w:id="855"/>
      <w:r>
        <w:rPr>
          <w:rtl w:val="true"/>
        </w:rPr>
        <w:t>اشارة</w:t>
      </w:r>
      <w:bookmarkEnd w:id="856"/>
    </w:p>
    <w:p>
      <w:pPr>
        <w:pStyle w:val="BookText"/>
        <w:rPr/>
      </w:pPr>
      <w:r>
        <w:rPr>
          <w:rFonts w:ascii="Amiri" w:hAnsi="Amiri" w:eastAsia="Amiri" w:cs="Amiri"/>
          <w:color w:val="111111"/>
          <w:sz w:val="28"/>
          <w:sz w:val="28"/>
          <w:szCs w:val="28"/>
          <w:rtl w:val="true"/>
          <w:lang w:bidi="ar-SA"/>
        </w:rPr>
        <w:t>و هو المسمّى بسعة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التأكيد عليه كثيرٌ من آيات الكتاب العزيز و المنقول من أهل بيت الوحي عليهم السلام؛ إضافةً على حكم العقل بحسنه و وجوب الاتّصاف به لاسيّما لمن يلي أمراً من الشؤون الجماعيّة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لنشر إلى بعض خصائصه ممّا ورد في لسان الوحي و أهله</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13100274_1280447820"/>
      <w:bookmarkStart w:id="858" w:name="_Toc343"/>
      <w:bookmarkEnd w:id="857"/>
      <w:r>
        <w:rPr>
          <w:rtl w:val="true"/>
        </w:rPr>
        <w:t>الأوّل</w:t>
      </w:r>
      <w:r>
        <w:rPr>
          <w:rtl w:val="true"/>
        </w:rPr>
        <w:t xml:space="preserve">: </w:t>
      </w:r>
      <w:r>
        <w:rPr>
          <w:rtl w:val="true"/>
        </w:rPr>
        <w:t>المهديّ يجب أن يكون منشرح الصدر</w:t>
      </w:r>
      <w:bookmarkEnd w:id="858"/>
    </w:p>
    <w:p>
      <w:pPr>
        <w:pStyle w:val="BookText"/>
        <w:rPr/>
      </w:pPr>
      <w:r>
        <w:rPr>
          <w:rFonts w:ascii="Amiri" w:hAnsi="Amiri" w:eastAsia="Amiri" w:cs="Amiri"/>
          <w:color w:val="111111"/>
          <w:sz w:val="28"/>
          <w:sz w:val="28"/>
          <w:szCs w:val="28"/>
          <w:rtl w:val="true"/>
          <w:lang w:bidi="ar-SA"/>
        </w:rPr>
        <w:t xml:space="preserve">لاريب في أنّ للاهتداء إلى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الأفعال و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ظروفاً لايوجد إلّا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الظروف هي الّتي سمّاها الأصوليّون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شرائط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فللاهتداء إلى الحقّ أيضاً اقتضاءٌ، و ما هو إلّاشرح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 كَذَلِكَ يَجْعَلُ اللَّهُ الرِّجْسَ عَلَى الَّذِينَ لَايُؤْمِنُونَ</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أراد اللّه أن يهديه إلى الحقّ يشرح صدره ليقبله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يقابله ضيق الصدر و هو المعطىٰ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أن يضلّه، و قد عبّر عنه بالرجس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كفايةٌ عن بيان قبحه و انحطاطه</w:t>
      </w:r>
      <w:r>
        <w:rPr>
          <w:rFonts w:eastAsia="Amiri" w:cs="Amiri" w:ascii="Amiri" w:hAnsi="Amiri"/>
          <w:color w:val="111111"/>
          <w:sz w:val="28"/>
          <w:szCs w:val="28"/>
          <w:rtl w:val="true"/>
          <w:lang w:bidi="ar-SA"/>
        </w:rPr>
        <w:t xml:space="preserve">. </w:t>
      </w:r>
      <w:bookmarkStart w:id="859" w:name="pg18987_179912"/>
    </w:p>
    <w:p>
      <w:pPr>
        <w:pStyle w:val="Heading5"/>
        <w:numPr>
          <w:ilvl w:val="4"/>
          <w:numId w:val="1"/>
        </w:numPr>
        <w:rPr/>
      </w:pPr>
      <w:bookmarkStart w:id="860" w:name="__RefHeading___Toc13100276_1280447820"/>
      <w:bookmarkStart w:id="861" w:name="_Toc344"/>
      <w:bookmarkEnd w:id="859"/>
      <w:bookmarkEnd w:id="860"/>
      <w:r>
        <w:rPr>
          <w:rtl w:val="true"/>
        </w:rPr>
        <w:t>الثّاني</w:t>
      </w:r>
      <w:r>
        <w:rPr>
          <w:rtl w:val="true"/>
        </w:rPr>
        <w:t xml:space="preserve">: </w:t>
      </w:r>
      <w:r>
        <w:rPr>
          <w:rtl w:val="true"/>
        </w:rPr>
        <w:t>الهادي يجب أن يكون منشرح الصدر</w:t>
      </w:r>
      <w:bookmarkEnd w:id="861"/>
    </w:p>
    <w:p>
      <w:pPr>
        <w:pStyle w:val="BookText"/>
        <w:rPr/>
      </w:pPr>
      <w:r>
        <w:rPr>
          <w:rFonts w:ascii="Amiri" w:hAnsi="Amiri" w:eastAsia="Amiri" w:cs="Amiri"/>
          <w:color w:val="111111"/>
          <w:sz w:val="28"/>
          <w:sz w:val="28"/>
          <w:szCs w:val="28"/>
          <w:rtl w:val="true"/>
          <w:lang w:bidi="ar-SA"/>
        </w:rPr>
        <w:t xml:space="preserve">ثمّ إنّ الّذي يريد أن يستخلف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اهتداء عباده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يتّصف بشرح الصدر أيضاً، إذ لولا ذلك لما يطيق على ما يرى من جهلهم بالحقّ و إبائهم عن الخضوع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عن النبيّ موسى عليه السلام حين أرسله إلى قومه لينذرهم و يهديهم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قَولِي</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شرح الصدر كان أوّل ما يراه موسى عليه السلام من لوازم النبوّة، فطلبه من اللّه قبل أن يطلب تيسير الأمر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لايطيق الهادي على هداية الناس و لايتيسّر أمره فيها إلّابسعة الصدر و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استجاب له قبل أن يبعثه، فكان منشرح الصدر طليق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قلنا ظهر ما في كلام بعض المفسّرين من العامّة حيث حملوا قول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لَاتُأْخُذْ بِلِحْيَتِي</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على أنّه ظلم أخاه في أخذه بلحيته</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إذ الظلم لاينشأ إلّامن الجهل أو ضيق الصدر، و كلاهما منفيّان عن موسى الّذي كان من أكابر الأنبياء عليهم السلام، بل من أولي عزمهم</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13100278_1280447820"/>
      <w:bookmarkStart w:id="863" w:name="_Toc345"/>
      <w:bookmarkEnd w:id="862"/>
      <w:r>
        <w:rPr>
          <w:rtl w:val="true"/>
        </w:rPr>
        <w:t>الثّالث</w:t>
      </w:r>
      <w:r>
        <w:rPr>
          <w:rtl w:val="true"/>
        </w:rPr>
        <w:t xml:space="preserve">: </w:t>
      </w:r>
      <w:r>
        <w:rPr>
          <w:rtl w:val="true"/>
        </w:rPr>
        <w:t>الوليّ يجب أن يكون منشرَح الصدر</w:t>
      </w:r>
      <w:bookmarkEnd w:id="86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انّ الهادي يجب أن يتّصف بسعة الصدر، فالوالي الّذي يريد أن يهدي المجتمع إلى ما </w:t>
      </w:r>
    </w:p>
    <w:p>
      <w:pPr>
        <w:pStyle w:val="BookText"/>
        <w:rPr/>
      </w:pPr>
      <w:r>
        <w:rPr>
          <w:rFonts w:ascii="Amiri" w:hAnsi="Amiri" w:eastAsia="Amiri" w:cs="Amiri"/>
          <w:color w:val="111111"/>
          <w:sz w:val="28"/>
          <w:sz w:val="28"/>
          <w:szCs w:val="28"/>
          <w:rtl w:val="true"/>
          <w:lang w:bidi="ar-SA"/>
        </w:rPr>
        <w:t>فيه رضى اللّه من طرق الكمال يجب أن يتّصف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يوسف عليه السلام في إخوته عند ما وصل إلى أبيه يعقوب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أَخْرَجَنِي مِنَ السِّجْنِ وَ جَاءَ بِكُمْ مِنَ الْبَدْوِ مِنْ بَعْدِ أَنْ نَزَغَ الشَّيْطَانُ بَينِي وَ بَيْنَ إِخْوَتِي</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حيث أسند إلى الشيطان ما فعلته به إخوته، فكأنّه أبرأهم ممّا عملوا به من المكر و الإلقاء في غيابت الجبّ، فآل أمره إلى السجن و الدخول تحت حكم الطواغيت و ما إليها من محنه و مشاكله الصعاب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الابراء إلّاممّا اتّصف به من سعة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نبيّنا صلى الله عليه و آله و قد تخلّق بأعلى ما تخلّق به جميع الأنبياء و المرسلين، فانّه صلى الله عليه و آله حينما فتح مكّة و كان من المقدور له أن يضع السيف في أهلها و ينتقم منهم ممّا فعلوا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إخراجه من بلده و قتلهم أقاربه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بقول يوسف حينما عرفته إخوته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لَاتَثْرِيبَ عَلَيْكُمُ الْيَومَ</w:t>
      </w:r>
      <w:r>
        <w:rPr>
          <w:rFonts w:eastAsia="Amiri" w:cs="Amiri" w:ascii="Amiri" w:hAnsi="Amiri"/>
          <w:color w:val="111111"/>
          <w:sz w:val="28"/>
          <w:szCs w:val="28"/>
          <w:rtl w:val="true"/>
          <w:lang w:bidi="ar-SA"/>
        </w:rPr>
        <w:t>»</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نبيّنا صلى الله عليه و آله عفا عنهم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لَاتَثْرِيبَ عَلَيْكُمُ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عفا يوسف عن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بنو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عفا محمّدٌ صلى الله عليه و آله عن جميع المشركين ساكني مكّة و ما كانوا من عشيرته، فضلاً من أن يكونوا من أسرته</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هذا إلّالسعة صدره الّتي إليها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w:t>
      </w:r>
      <w:r>
        <w:rPr>
          <w:rStyle w:val="FootnoteAnchor"/>
          <w:rtl w:val="true"/>
        </w:rPr>
        <w:footnoteReference w:id="50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من يستخلف من الأنبياء في اهتداء الناس أن يتّصف بما اتّصفوا به ليصحّ </w:t>
      </w:r>
      <w:bookmarkStart w:id="864" w:name="pg18987_179914"/>
    </w:p>
    <w:p>
      <w:pPr>
        <w:pStyle w:val="BookText"/>
        <w:rPr/>
      </w:pPr>
      <w:bookmarkEnd w:id="864"/>
      <w:r>
        <w:rPr>
          <w:rFonts w:ascii="Amiri" w:hAnsi="Amiri" w:eastAsia="Amiri" w:cs="Amiri"/>
          <w:color w:val="111111"/>
          <w:sz w:val="28"/>
          <w:sz w:val="28"/>
          <w:szCs w:val="28"/>
          <w:rtl w:val="true"/>
          <w:lang w:bidi="ar-SA"/>
        </w:rPr>
        <w:t>استخلافه عنهم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13100280_1280447820"/>
      <w:bookmarkStart w:id="866" w:name="_Toc346"/>
      <w:bookmarkEnd w:id="865"/>
      <w:r>
        <w:rPr>
          <w:rtl w:val="true"/>
        </w:rPr>
        <w:t>الرّابع</w:t>
      </w:r>
      <w:r>
        <w:rPr>
          <w:rtl w:val="true"/>
        </w:rPr>
        <w:t xml:space="preserve">: </w:t>
      </w:r>
      <w:r>
        <w:rPr>
          <w:rtl w:val="true"/>
        </w:rPr>
        <w:t>لاولاية إلّابسعة الصدر</w:t>
      </w:r>
      <w:bookmarkEnd w:id="866"/>
    </w:p>
    <w:p>
      <w:pPr>
        <w:pStyle w:val="BookText"/>
        <w:rPr/>
      </w:pPr>
      <w:r>
        <w:rPr>
          <w:rFonts w:ascii="Amiri" w:hAnsi="Amiri" w:eastAsia="Amiri" w:cs="Amiri"/>
          <w:color w:val="111111"/>
          <w:sz w:val="28"/>
          <w:sz w:val="28"/>
          <w:szCs w:val="28"/>
          <w:rtl w:val="true"/>
          <w:lang w:bidi="ar-SA"/>
        </w:rPr>
        <w:t>و الآن نزيد على ما مضى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لاولاية إلّابها، حيث لايتمّ عملٌ إلّابما يلزم له من اللوازم و الآلآت، و هذا بديهيٌّ يحكم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فاضمم هذا الحكم إلى قول مولانا أميرالمؤمنين عليه السلام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الرئاسة سعة الصدر</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لترى أن لاتصحّ الرئاسة إلّالمن اتّصف بسعته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قلنا انّ شرح الصدر من لوازم الولاية؛ و قد اتّصف به جميع الأنبياء و المرسلين، بل كان من أبرز خصالهم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من يريد أن يستخلف منهم في ولايتهم على المجتمع أن يتّصف به، إذ الضيّق الصدر لايُهدى إلى الخير، فيكف يمكن له أن يهدي إلى الحقّ؟</w:t>
      </w:r>
      <w:r>
        <w:rPr>
          <w:rFonts w:eastAsia="Amiri" w:cs="Amiri" w:ascii="Amiri" w:hAnsi="Amiri"/>
          <w:color w:val="111111"/>
          <w:sz w:val="28"/>
          <w:szCs w:val="28"/>
          <w:rtl w:val="true"/>
          <w:lang w:bidi="ar-SA"/>
        </w:rPr>
        <w:t xml:space="preserve">!. </w:t>
      </w:r>
      <w:bookmarkStart w:id="867" w:name="pg18987_179915"/>
    </w:p>
    <w:p>
      <w:pPr>
        <w:pStyle w:val="Heading4"/>
        <w:numPr>
          <w:ilvl w:val="3"/>
          <w:numId w:val="1"/>
        </w:numPr>
        <w:rPr/>
      </w:pPr>
      <w:bookmarkStart w:id="868" w:name="__RefHeading___Toc13100282_1280447820"/>
      <w:bookmarkStart w:id="869" w:name="_Toc347"/>
      <w:bookmarkEnd w:id="867"/>
      <w:bookmarkEnd w:id="868"/>
      <w:r>
        <w:rPr>
          <w:rtl w:val="true"/>
        </w:rPr>
        <w:t>الشرط العاشر</w:t>
      </w:r>
      <w:r>
        <w:rPr>
          <w:rtl w:val="true"/>
        </w:rPr>
        <w:t xml:space="preserve">: </w:t>
      </w:r>
      <w:r>
        <w:rPr>
          <w:rtl w:val="true"/>
        </w:rPr>
        <w:t>الرجوليّة</w:t>
      </w:r>
      <w:bookmarkEnd w:id="869"/>
    </w:p>
    <w:p>
      <w:pPr>
        <w:pStyle w:val="Heading5"/>
        <w:numPr>
          <w:ilvl w:val="4"/>
          <w:numId w:val="1"/>
        </w:numPr>
        <w:rPr/>
      </w:pPr>
      <w:bookmarkStart w:id="870" w:name="__RefHeading___Toc13100284_1280447820"/>
      <w:bookmarkStart w:id="871" w:name="_Toc348"/>
      <w:bookmarkEnd w:id="870"/>
      <w:r>
        <w:rPr>
          <w:rtl w:val="true"/>
        </w:rPr>
        <w:t>اشارة</w:t>
      </w:r>
      <w:bookmarkEnd w:id="871"/>
    </w:p>
    <w:p>
      <w:pPr>
        <w:pStyle w:val="BookText"/>
        <w:rPr/>
      </w:pPr>
      <w:r>
        <w:rPr>
          <w:rFonts w:ascii="Amiri" w:hAnsi="Amiri" w:eastAsia="Amiri" w:cs="Amiri"/>
          <w:color w:val="111111"/>
          <w:sz w:val="28"/>
          <w:sz w:val="28"/>
          <w:szCs w:val="28"/>
          <w:rtl w:val="true"/>
          <w:lang w:bidi="ar-SA"/>
        </w:rPr>
        <w:t>و لاتكفي في الوليّ الذكوريّة، و سيأتي الكلام في اشتراط البلوغ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أهمّ الشرائط فيه، فالمرأة لاتصلح للولاية و الولاية لاتصلح لها و إن اجتمعت الشرائط فيها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أجمعت العصابة عليه؛ فجميع المناصب الجماعيّة الّتي فيه نوعٌ من الولاية مصلوبٌ عن المرأة؛ فلاتحقّ للإمامة في الصلاة لو اقتدت بها الرجال، و لايمكن أن تشغل منصب القضاء؛ و لامنصب الإمامة و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المحقّق الأردبيليّ رحمه الله الخلاف في جواز القضاء لها، و سنفصّل الكلام حول المحكيّ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اشتراط الرجوليّة فيه ممّا كثر فيه الخلاف و طال فيه التشاجر بين ثلّةٍ من المعاصرين الّذين يميلون إلى آراء الغربيّين في أمر إدارة الملك و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فلايخضعون لما حكمت به الشريعة من عدم جواز الترأّس لها و عدم جعل الولاية على عاتقها؛ بل يرون انّها صالحةٌ لجميع المناصب الجماعيّة حتّى للرئاسة الجمهوريّة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أن نفصّل الكلام حول دلالة الأدلّة الأربعة على عدم صلاحيّتها للقيام بالولاية حتّى يتبيّن انّ هذا من أحكام الشريعة الغرّاء، لا ممّا حكمت به الأهواء حتّى يمكن لهم أن يخالفوها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دلّت الأدلّة الأربعة على عدم جواز توليتها ما فيه نوعٌ من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كالشهادة و القضاء و الإمامة في الصلاة و المرجعيّة و الولاية على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تفصيلها</w:t>
      </w:r>
      <w:r>
        <w:rPr>
          <w:rFonts w:eastAsia="Amiri" w:cs="Amiri" w:ascii="Amiri" w:hAnsi="Amiri"/>
          <w:color w:val="111111"/>
          <w:sz w:val="28"/>
          <w:szCs w:val="28"/>
          <w:rtl w:val="true"/>
          <w:lang w:bidi="ar-SA"/>
        </w:rPr>
        <w:t xml:space="preserve">: </w:t>
      </w:r>
      <w:bookmarkStart w:id="872" w:name="pg18987_179916"/>
    </w:p>
    <w:p>
      <w:pPr>
        <w:pStyle w:val="Heading5"/>
        <w:numPr>
          <w:ilvl w:val="4"/>
          <w:numId w:val="1"/>
        </w:numPr>
        <w:rPr/>
      </w:pPr>
      <w:bookmarkStart w:id="873" w:name="__RefHeading___Toc13100286_1280447820"/>
      <w:bookmarkStart w:id="874" w:name="_Toc349"/>
      <w:bookmarkEnd w:id="872"/>
      <w:bookmarkEnd w:id="873"/>
      <w:r>
        <w:rPr>
          <w:rtl w:val="true"/>
        </w:rPr>
        <w:t>أوّلاً</w:t>
      </w:r>
      <w:r>
        <w:rPr>
          <w:rtl w:val="true"/>
        </w:rPr>
        <w:t xml:space="preserve">: </w:t>
      </w:r>
      <w:r>
        <w:rPr>
          <w:rtl w:val="true"/>
        </w:rPr>
        <w:t>العقل</w:t>
      </w:r>
      <w:bookmarkEnd w:id="874"/>
    </w:p>
    <w:p>
      <w:pPr>
        <w:pStyle w:val="BookText"/>
        <w:rPr/>
      </w:pPr>
      <w:r>
        <w:rPr>
          <w:rFonts w:ascii="Amiri" w:hAnsi="Amiri" w:eastAsia="Amiri" w:cs="Amiri"/>
          <w:color w:val="111111"/>
          <w:sz w:val="28"/>
          <w:sz w:val="28"/>
          <w:szCs w:val="28"/>
          <w:rtl w:val="true"/>
          <w:lang w:bidi="ar-SA"/>
        </w:rPr>
        <w:t>إنّ القول بجواز الولاية للرجل لايُعدّ فضلاً له، كما انّ القول بعدم جوازها للمرأة لايُعدّ نقصاً لها؛ إذ المدح على الذاتيّات قبيحٌ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فلايُمدح العِطر لرائحته الطيّبة، إذ لاتنفكّ الرائحة عن العِطر مادام كونه عِطراً؛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تمدح الرائحة نفسها لأنّ بعضها أحسن من بعضٍآخر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فيما نحن فيه،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خلق الرجل بحيث يصلح للقيام بمشاقّ الأمور و صعاب المِهَن، و قد خلق المرأة بحيث لاتصلح لها، و هذا لايحكم بفضلٍ له و لابنقصٍ لها، إذ لكلٍّ منهما مهمّةٌ لايمكن لغيره أن يليها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سيّدتنا الزهراء عليها السلام و قد بلغت من معارج الكمال ما لم تبلغه إلّاأصحاب العصمة الإلهيّة، و قد حارت في كمالها و مراتب قربها من اللّه الكبار من الأنبياء، و مع ذلك فما جعلها اللّه إماماً و إن كانت وليّةً؛ و لايصدر من اللّه إلّاما يوافق حكمته، و لاظلم و لااهمال و لاتعطيل في عمله و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فلوكانت المرأة صالحةً لإمامة المجتمع و الولاية عليه لكان من الواجب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يجعلها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إعطاء الشيء ما يستحقّه و ما يطلبه بلسان استعداده ممّا قضى اللّه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فلوكانت ذات المرأة و ماهيّتها مستحقّةً للولاية لكانت سيّدتنا الزهراء عليها السلام في عداد الأئمّة و أصحاب الولاية على المسلمين، إذ لااهمال و لاظلم في ما يفعله الحكيم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قس عليها غيرها من النساء ذوات الرتبة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كآسية و مريم و أمّهات الأئمّة النجباء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ظنّك بمن كانت مستودعةً لسرّ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مهبطاً للأجساد الطاهرة و الأرواح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ينبىء عن عدم صلاحيّة المرأة لها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تشير سيرة سيّدتنا الزهراء عليها السلام حينما سرّت بما اختاره لها النبيّ صلى الله عليه و آله من القيام </w:t>
      </w:r>
      <w:bookmarkStart w:id="875" w:name="pg18987_179917"/>
    </w:p>
    <w:p>
      <w:pPr>
        <w:pStyle w:val="BookText"/>
        <w:rPr/>
      </w:pPr>
      <w:bookmarkEnd w:id="875"/>
      <w:r>
        <w:rPr>
          <w:rFonts w:ascii="Amiri" w:hAnsi="Amiri" w:eastAsia="Amiri" w:cs="Amiri"/>
          <w:color w:val="111111"/>
          <w:sz w:val="28"/>
          <w:sz w:val="28"/>
          <w:szCs w:val="28"/>
          <w:rtl w:val="true"/>
          <w:lang w:bidi="ar-SA"/>
        </w:rPr>
        <w:t>بأعمال البيت و اختار لبعلها أن يقوم بأعمالٍ ترجع إلى وراء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السيرة قد رواها صاحب الوسائل</w:t>
      </w:r>
      <w:r>
        <w:rPr>
          <w:rStyle w:val="FootnoteAnchor"/>
          <w:rtl w:val="true"/>
        </w:rPr>
        <w:footnoteReference w:id="511"/>
      </w:r>
      <w:r>
        <w:rPr>
          <w:rFonts w:ascii="Amiri" w:hAnsi="Amiri" w:eastAsia="Amiri" w:cs="Amiri"/>
          <w:color w:val="111111"/>
          <w:sz w:val="28"/>
          <w:sz w:val="28"/>
          <w:szCs w:val="28"/>
          <w:rtl w:val="true"/>
          <w:lang w:bidi="ar-SA"/>
        </w:rPr>
        <w:t>، إليك تفصيلها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جعفر في قرب الإسناد</w:t>
      </w:r>
      <w:r>
        <w:rPr>
          <w:rStyle w:val="FootnoteAnchor"/>
          <w:rtl w:val="true"/>
        </w:rPr>
        <w:footnoteReference w:id="512"/>
      </w:r>
      <w:r>
        <w:rPr>
          <w:rFonts w:ascii="Amiri" w:hAnsi="Amiri" w:eastAsia="Amiri" w:cs="Amiri"/>
          <w:color w:val="111111"/>
          <w:sz w:val="28"/>
          <w:sz w:val="28"/>
          <w:szCs w:val="28"/>
          <w:rtl w:val="true"/>
          <w:lang w:bidi="ar-SA"/>
        </w:rPr>
        <w:t>عن السنديّ بن محمّد عن أبي البحتريّ عن أبي عبداللّه عليه السلام عن أبيه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تقاضى عليٌّ و فاطمة إلى رسول اللّه صلى الله عليه و آله في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على فاطمة عليها السلام بخدمتها ما دون الباب و قضى على عليٍّ عليه السلام بما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فلايعلم ما دخلني من السرور إلّا اللّه بإكفائي رسول اللّه صلى الله عليه و آله تحمّل أرقاب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صحيحٌ؛ و في أبي البختريّ إشكالٌ مضى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فلايحتاج الحديث إلى تحقيقٍ واسعٍ سنداً، إذ لايُثبت به حكمٌ من الأحكام، بل قد ذكرناه إشارةً إلى سيرتها الطاهرة</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13100288_1280447820"/>
      <w:bookmarkStart w:id="877" w:name="_Toc350"/>
      <w:bookmarkEnd w:id="876"/>
      <w:r>
        <w:rPr>
          <w:rtl w:val="true"/>
        </w:rPr>
        <w:t>ثانياً</w:t>
      </w:r>
      <w:r>
        <w:rPr>
          <w:rtl w:val="true"/>
        </w:rPr>
        <w:t xml:space="preserve">: </w:t>
      </w:r>
      <w:r>
        <w:rPr>
          <w:rtl w:val="true"/>
        </w:rPr>
        <w:t>القرآن الكريم</w:t>
      </w:r>
      <w:bookmarkEnd w:id="877"/>
    </w:p>
    <w:p>
      <w:pPr>
        <w:pStyle w:val="BookText"/>
        <w:rPr/>
      </w:pPr>
      <w:r>
        <w:rPr>
          <w:rFonts w:ascii="Amiri" w:hAnsi="Amiri" w:eastAsia="Amiri" w:cs="Amiri"/>
          <w:color w:val="111111"/>
          <w:sz w:val="28"/>
          <w:sz w:val="28"/>
          <w:szCs w:val="28"/>
          <w:rtl w:val="true"/>
          <w:lang w:bidi="ar-SA"/>
        </w:rPr>
        <w:t>فقد دلّ كثيرٌ من آيها على أنّ المطلوب في المرأة تستّرها و عدم اختلاطها بالرجال، هذا هو الحكم الأوّلي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يجز أن يضع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ينافي هذا الحكم، لأنّ هذا يؤدّي إلى شيئين على سبيل منع الخلوّ</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الهرج و الإضطراب في محيط التشريع؛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التعطيل في الأحكام، إذ يلزم أن يكون المطلوب منها أوّلاً شيئاً ثمّ يُشرع لها حكمٌ ينافي ما هو الموضوع أوّلاً؛</w:t>
      </w:r>
    </w:p>
    <w:p>
      <w:pPr>
        <w:pStyle w:val="BookText"/>
        <w:rPr/>
      </w:pPr>
      <w:r>
        <w:rPr>
          <w:rFonts w:ascii="Amiri" w:hAnsi="Amiri" w:eastAsia="Amiri" w:cs="Amiri"/>
          <w:color w:val="111111"/>
          <w:sz w:val="28"/>
          <w:sz w:val="28"/>
          <w:szCs w:val="28"/>
          <w:rtl w:val="true"/>
          <w:lang w:bidi="ar-SA"/>
        </w:rPr>
        <w:t>و كلاهما قبيحان على الحكيم، إذ مرجعهما إمّا إلى الجهل، و إمّا إلى عدم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العليم الحكيم، فلايشرع لها ما ينافي تستّرها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التستّر و الاختلاط بالرجال من لوازم المهن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كإمامة الجمعة و الجماعة و القضاء و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فيحكم العقل بعدم تشريع هذه المناصب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فانضمام الآيات إلى ما يحكم به العقل يدلّ على منعها من أن تولّي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الآيات فكثيرةٌ؛ 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سَأَلُْتمُوهُنَّ مَتَاعاً فَسْئَلُوهُنَّ مِنْ وَرَاءِ حِجَابٍ ذَلِكُمْ أَطْهَرُ لِقُلُوبِكُمْ وَ قُلُوبِهِنَّ</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امْرَأَتُ عِمْرَانَ رَبِّ إِنِّي نَذَرْتُ لَكَ مَا فِي بَطْنِي مُحَرَّراً فَتَقَبَّلْ مِنِّى إِنَّكَ أَنْتَ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وَضَعَتْهَا قَالَتْ رَبِّ إِنِّي وَضَعْتُهَا أُنْثَى وَ اللَّهُ أَعْلَمُ بِمَا وَضَعَتْ وَ لَيْسَ الذَّكَرُ كَالْأُنْثَى</w:t>
      </w:r>
      <w:r>
        <w:rPr>
          <w:rFonts w:eastAsia="Amiri" w:cs="Amiri" w:ascii="Amiri" w:hAnsi="Amiri"/>
          <w:color w:val="111111"/>
          <w:sz w:val="28"/>
          <w:szCs w:val="28"/>
          <w:rtl w:val="true"/>
          <w:lang w:bidi="ar-SA"/>
        </w:rPr>
        <w:t>»</w:t>
      </w:r>
      <w:r>
        <w:rPr>
          <w:rStyle w:val="FootnoteAnchor"/>
          <w:rtl w:val="true"/>
        </w:rPr>
        <w:footnoteReference w:id="515"/>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وَرَدَ مَاءَ مَدْيَنَ وَجَدَ عَلَيْهِ أُمَّةً مِنَ النَّاس يَسْقُونَ وَ وَجَدَ مِنْ دُونِهِمُ </w:t>
      </w:r>
      <w:bookmarkStart w:id="878" w:name="pg18987_179919"/>
    </w:p>
    <w:p>
      <w:pPr>
        <w:pStyle w:val="BookText"/>
        <w:rPr/>
      </w:pPr>
      <w:bookmarkEnd w:id="878"/>
      <w:r>
        <w:rPr>
          <w:rFonts w:ascii="Amiri" w:hAnsi="Amiri" w:eastAsia="Amiri" w:cs="Amiri"/>
          <w:color w:val="111111"/>
          <w:sz w:val="28"/>
          <w:sz w:val="28"/>
          <w:szCs w:val="28"/>
          <w:rtl w:val="true"/>
          <w:lang w:bidi="ar-SA"/>
        </w:rPr>
        <w:t>امْرَأَتَيْنِ تَذُودَانِ قَالَ مَا خَطْبُكُمَا قَالَتَا لَانَسْقِي حَتَّى يُصْدِرَ الرِّعَاءُ وَ أَبُونَا شَيْخٌ كَبِيرٌ</w:t>
      </w:r>
      <w:r>
        <w:rPr>
          <w:rFonts w:eastAsia="Amiri" w:cs="Amiri" w:ascii="Amiri" w:hAnsi="Amiri"/>
          <w:color w:val="111111"/>
          <w:sz w:val="28"/>
          <w:szCs w:val="28"/>
          <w:rtl w:val="true"/>
          <w:lang w:bidi="ar-SA"/>
        </w:rPr>
        <w:t>»</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أمثالها كثيرةٌ، و فيما ذكرناه كفايةٌ؛ حيث دلّت الأولى على وجوب الحجاب لهنّ عند المحادثة مع الرجال؛</w:t>
      </w:r>
    </w:p>
    <w:p>
      <w:pPr>
        <w:pStyle w:val="BookText"/>
        <w:rPr/>
      </w:pPr>
      <w:r>
        <w:rPr>
          <w:rFonts w:ascii="Amiri" w:hAnsi="Amiri" w:eastAsia="Amiri" w:cs="Amiri"/>
          <w:color w:val="111111"/>
          <w:sz w:val="28"/>
          <w:sz w:val="28"/>
          <w:szCs w:val="28"/>
          <w:rtl w:val="true"/>
          <w:lang w:bidi="ar-SA"/>
        </w:rPr>
        <w:t>و الثّانية على أنّ المطلوب منهنّ القرن في بيوتهنّ و عدم الخروج منه إلّالما يضطررن إليه؛</w:t>
      </w:r>
    </w:p>
    <w:p>
      <w:pPr>
        <w:pStyle w:val="BookText"/>
        <w:rPr/>
      </w:pPr>
      <w:r>
        <w:rPr>
          <w:rFonts w:ascii="Amiri" w:hAnsi="Amiri" w:eastAsia="Amiri" w:cs="Amiri"/>
          <w:color w:val="111111"/>
          <w:sz w:val="28"/>
          <w:sz w:val="28"/>
          <w:szCs w:val="28"/>
          <w:rtl w:val="true"/>
          <w:lang w:bidi="ar-SA"/>
        </w:rPr>
        <w:t xml:space="preserve">و الثّالثة على أنّ الذكر خُلق للمهن الجماعيّة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الذَّكَرُ كَالْأُنْثَى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لم تُخلق لها؛</w:t>
      </w:r>
    </w:p>
    <w:p>
      <w:pPr>
        <w:pStyle w:val="BookText"/>
        <w:rPr/>
      </w:pPr>
      <w:r>
        <w:rPr>
          <w:rFonts w:ascii="Amiri" w:hAnsi="Amiri" w:eastAsia="Amiri" w:cs="Amiri"/>
          <w:color w:val="111111"/>
          <w:sz w:val="28"/>
          <w:sz w:val="28"/>
          <w:szCs w:val="28"/>
          <w:rtl w:val="true"/>
          <w:lang w:bidi="ar-SA"/>
        </w:rPr>
        <w:t>و الرّابعة على أنّ بنتي شعيب عليه السلام ما تكفّلتا أمر الغنم و الرعاية إلّالما أشارتا إليه بقولهما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أَبُونَا شَيْخٌ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فالرعاية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ممّا يحتاج إلى مخالطة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وظائف الرجل، ثمّ لو لم يطق القيام بما هو عليه فهو على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الأوّلي عدم جواز دخول المرأة في المجتمع لوأدّى هذا الدخول إلى مخالطة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في وجوب تخصيص هذا الحكم بموارد يحتاج المجتمع فيها إلى النساء كدخولهنّ في أمر الطبابة و رئاسة مجامع النساء و تعليمهنّ أبناء جنسهنّ و ما إليها من المهن الّتي قيام النساء بها يزيد في سلامة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فالمجتمع الإسلاميّ بحاجةٍ ماسّةٍ إلى الطبيبات و المديرات و الناظرات و الأساتذة و المدرّسات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اللّه في توفيقهنّ لتقمن بما هو اللائق بهنّ من تلك الوظائف و ما يشبهها </w:t>
      </w:r>
      <w:r>
        <w:rPr>
          <w:rFonts w:eastAsia="Amiri" w:cs="Amiri" w:ascii="Amiri" w:hAnsi="Amiri"/>
          <w:color w:val="111111"/>
          <w:sz w:val="28"/>
          <w:szCs w:val="28"/>
          <w:rtl w:val="true"/>
          <w:lang w:bidi="ar-SA"/>
        </w:rPr>
        <w:t>-.</w:t>
      </w:r>
    </w:p>
    <w:p>
      <w:pPr>
        <w:pStyle w:val="Heading5"/>
        <w:numPr>
          <w:ilvl w:val="4"/>
          <w:numId w:val="1"/>
        </w:numPr>
        <w:rPr/>
      </w:pPr>
      <w:bookmarkStart w:id="879" w:name="__RefHeading___Toc13100290_1280447820"/>
      <w:bookmarkStart w:id="880" w:name="_Toc351"/>
      <w:bookmarkEnd w:id="879"/>
      <w:r>
        <w:rPr>
          <w:rtl w:val="true"/>
        </w:rPr>
        <w:t>ثالثاً</w:t>
      </w:r>
      <w:r>
        <w:rPr>
          <w:rtl w:val="true"/>
        </w:rPr>
        <w:t xml:space="preserve">: </w:t>
      </w:r>
      <w:r>
        <w:rPr>
          <w:rtl w:val="true"/>
        </w:rPr>
        <w:t>الروايات</w:t>
      </w:r>
      <w:bookmarkEnd w:id="880"/>
    </w:p>
    <w:p>
      <w:pPr>
        <w:pStyle w:val="Heading6"/>
        <w:numPr>
          <w:ilvl w:val="5"/>
          <w:numId w:val="1"/>
        </w:numPr>
        <w:rPr/>
      </w:pPr>
      <w:bookmarkStart w:id="881" w:name="__RefHeading___Toc13100292_1280447820"/>
      <w:bookmarkStart w:id="882" w:name="_Toc352"/>
      <w:bookmarkEnd w:id="881"/>
      <w:r>
        <w:rPr>
          <w:rtl w:val="true"/>
        </w:rPr>
        <w:t>اشارة</w:t>
      </w:r>
      <w:bookmarkEnd w:id="882"/>
    </w:p>
    <w:p>
      <w:pPr>
        <w:pStyle w:val="BookText"/>
        <w:rPr/>
      </w:pPr>
      <w:r>
        <w:rPr>
          <w:rFonts w:ascii="Amiri" w:hAnsi="Amiri" w:eastAsia="Amiri" w:cs="Amiri"/>
          <w:color w:val="111111"/>
          <w:sz w:val="28"/>
          <w:sz w:val="28"/>
          <w:szCs w:val="28"/>
          <w:rtl w:val="true"/>
          <w:lang w:bidi="ar-SA"/>
        </w:rPr>
        <w:t>و كثيرٌ منها يدلّ على أنّها لاتنال الولاية و لاتستحقّ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تنقسم إلى أقسامٍ؛</w:t>
      </w:r>
    </w:p>
    <w:p>
      <w:pPr>
        <w:pStyle w:val="Heading6"/>
        <w:numPr>
          <w:ilvl w:val="5"/>
          <w:numId w:val="1"/>
        </w:numPr>
        <w:rPr/>
      </w:pPr>
      <w:bookmarkStart w:id="883" w:name="__RefHeading___Toc13100294_1280447820"/>
      <w:bookmarkStart w:id="884" w:name="_Toc353"/>
      <w:bookmarkEnd w:id="883"/>
      <w:r>
        <w:rPr>
          <w:rtl w:val="true"/>
        </w:rPr>
        <w:t>القسم الأوّل</w:t>
      </w:r>
      <w:r>
        <w:rPr>
          <w:rtl w:val="true"/>
        </w:rPr>
        <w:t>:</w:t>
      </w:r>
      <w:bookmarkEnd w:id="88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يدلّ على أنّ شهادتها لاتُقبل، بل لاتحقّ للشهادة إلّافي طفيفٍ من الأحكام على </w:t>
      </w:r>
      <w:bookmarkStart w:id="885" w:name="pg18987_179920"/>
    </w:p>
    <w:p>
      <w:pPr>
        <w:pStyle w:val="BookText"/>
        <w:rPr/>
      </w:pPr>
      <w:bookmarkEnd w:id="885"/>
      <w:r>
        <w:rPr>
          <w:rFonts w:ascii="Amiri" w:hAnsi="Amiri" w:eastAsia="Amiri" w:cs="Amiri"/>
          <w:color w:val="111111"/>
          <w:sz w:val="28"/>
          <w:sz w:val="28"/>
          <w:szCs w:val="28"/>
          <w:rtl w:val="true"/>
          <w:lang w:bidi="ar-SA"/>
        </w:rPr>
        <w:t>اختلافٍ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المحصّل من اختلاف الفقهاء أن لاشهادة لها إلّافي ما يختصّ بالنساء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كأبحاث الدماء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فروع باب الديون و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ادّعى صاحب الجواهر رحمه الله الإجماع على بطلان شهادتها في ما يرجع إلى المجتمع و الأمور الجماعيّة</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صاحب الوسائل رحمه الله أحاديث الباب في الباب الأربعة عشر من أبواب الشهادات</w:t>
      </w:r>
      <w:r>
        <w:rPr>
          <w:rStyle w:val="FootnoteAnchor"/>
          <w:rtl w:val="true"/>
        </w:rPr>
        <w:footnoteReference w:id="518"/>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لاخلاف عند العقل في أنّ من لايصلح للشهادة لايصلح للقضاء، و من لايصلح للقضاء لايصلح للحكم؛ فلاحكومة للنساء أبداً</w:t>
      </w:r>
      <w:r>
        <w:rPr>
          <w:rFonts w:eastAsia="Amiri" w:cs="Amiri" w:ascii="Amiri" w:hAnsi="Amiri"/>
          <w:color w:val="111111"/>
          <w:sz w:val="28"/>
          <w:szCs w:val="28"/>
          <w:rtl w:val="true"/>
          <w:lang w:bidi="ar-SA"/>
        </w:rPr>
        <w:t>.</w:t>
      </w:r>
    </w:p>
    <w:p>
      <w:pPr>
        <w:pStyle w:val="Heading6"/>
        <w:numPr>
          <w:ilvl w:val="5"/>
          <w:numId w:val="1"/>
        </w:numPr>
        <w:rPr/>
      </w:pPr>
      <w:bookmarkStart w:id="886" w:name="__RefHeading___Toc13100296_1280447820"/>
      <w:bookmarkStart w:id="887" w:name="_Toc354"/>
      <w:bookmarkEnd w:id="886"/>
      <w:r>
        <w:rPr>
          <w:rtl w:val="true"/>
        </w:rPr>
        <w:t>القسم الثّاني</w:t>
      </w:r>
      <w:r>
        <w:rPr>
          <w:rtl w:val="true"/>
        </w:rPr>
        <w:t>:</w:t>
      </w:r>
      <w:bookmarkEnd w:id="887"/>
    </w:p>
    <w:p>
      <w:pPr>
        <w:pStyle w:val="BookText"/>
        <w:rPr/>
      </w:pPr>
      <w:r>
        <w:rPr>
          <w:rFonts w:ascii="Amiri" w:hAnsi="Amiri" w:eastAsia="Amiri" w:cs="Amiri"/>
          <w:color w:val="111111"/>
          <w:sz w:val="28"/>
          <w:sz w:val="28"/>
          <w:szCs w:val="28"/>
          <w:rtl w:val="true"/>
          <w:lang w:bidi="ar-SA"/>
        </w:rPr>
        <w:t>ما يدلّ على أنّها لاتصلح للإمامة في الصلاة، و قد أورد صاحب الوسائل رحمه الله أحاديث الباب في الباب العشرين من أبواب الجماعة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كثيرٍ من أحاديث الباب سُئل الإمام عليه السلام عن جواز إمامة النساء للنساء</w:t>
      </w:r>
      <w:r>
        <w:rPr>
          <w:rStyle w:val="FootnoteAnchor"/>
          <w:rtl w:val="true"/>
        </w:rPr>
        <w:footnoteReference w:id="520"/>
      </w:r>
      <w:r>
        <w:rPr>
          <w:rFonts w:ascii="Amiri" w:hAnsi="Amiri" w:eastAsia="Amiri" w:cs="Amiri"/>
          <w:color w:val="111111"/>
          <w:sz w:val="28"/>
          <w:sz w:val="28"/>
          <w:szCs w:val="28"/>
          <w:rtl w:val="true"/>
          <w:lang w:bidi="ar-SA"/>
        </w:rPr>
        <w:t xml:space="preserve">، فكان عدم جواز إمامتهنّ للرجال من المفروغ عنه؛ و العقل يدلّ بالأولويّة القطعيّة على أنّ من لاصلاحيّة له في أمر إمامة الصلاة لايصلح للإمامة و الولاية في ما هو أرفع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كالولاية على المجتمع </w:t>
      </w:r>
      <w:r>
        <w:rPr>
          <w:rFonts w:eastAsia="Amiri" w:cs="Amiri" w:ascii="Amiri" w:hAnsi="Amiri"/>
          <w:color w:val="111111"/>
          <w:sz w:val="28"/>
          <w:szCs w:val="28"/>
          <w:rtl w:val="true"/>
          <w:lang w:bidi="ar-SA"/>
        </w:rPr>
        <w:t>-.</w:t>
      </w:r>
    </w:p>
    <w:p>
      <w:pPr>
        <w:pStyle w:val="Heading6"/>
        <w:numPr>
          <w:ilvl w:val="5"/>
          <w:numId w:val="1"/>
        </w:numPr>
        <w:rPr/>
      </w:pPr>
      <w:bookmarkStart w:id="888" w:name="__RefHeading___Toc13100298_1280447820"/>
      <w:bookmarkStart w:id="889" w:name="_Toc355"/>
      <w:bookmarkEnd w:id="888"/>
      <w:r>
        <w:rPr>
          <w:rtl w:val="true"/>
        </w:rPr>
        <w:t>القسم الثّالث</w:t>
      </w:r>
      <w:r>
        <w:rPr>
          <w:rtl w:val="true"/>
        </w:rPr>
        <w:t>:</w:t>
      </w:r>
      <w:bookmarkEnd w:id="88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الأحاديث الكثيرة الّتي تبلغ عدداً هائلاً قريباً من ستّمأة حديثٍ، و قد ذكرها صاحب الوسائل رحمه الله في جمعٍ من أبواب المجلّد الرّابع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الأحاديث تدلّ على معنى واحدٍ، و هو عدم جواز دخول النساء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لاأقلّ من دلالتها على الكراهة </w:t>
      </w:r>
      <w:bookmarkStart w:id="890" w:name="pg18987_179921"/>
    </w:p>
    <w:p>
      <w:pPr>
        <w:pStyle w:val="BookText"/>
        <w:rPr/>
      </w:pPr>
      <w:bookmarkEnd w:id="890"/>
      <w:r>
        <w:rPr>
          <w:rFonts w:ascii="Amiri" w:hAnsi="Amiri" w:eastAsia="Amiri" w:cs="Amiri"/>
          <w:color w:val="111111"/>
          <w:sz w:val="28"/>
          <w:sz w:val="28"/>
          <w:szCs w:val="28"/>
          <w:rtl w:val="true"/>
          <w:lang w:bidi="ar-SA"/>
        </w:rPr>
        <w:t xml:space="preserve">الشديدة، و لايجوز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 الولاية المقتضية للدخول في المجتمع و مخالطة الرجال مَن حرم دخولها فيه، أو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بكراهيّته لها؛ و هذا واضحٌ</w:t>
      </w:r>
      <w:r>
        <w:rPr>
          <w:rFonts w:eastAsia="Amiri" w:cs="Amiri" w:ascii="Amiri" w:hAnsi="Amiri"/>
          <w:color w:val="111111"/>
          <w:sz w:val="28"/>
          <w:szCs w:val="28"/>
          <w:rtl w:val="true"/>
          <w:lang w:bidi="ar-SA"/>
        </w:rPr>
        <w:t>.</w:t>
      </w:r>
    </w:p>
    <w:p>
      <w:pPr>
        <w:pStyle w:val="Heading6"/>
        <w:numPr>
          <w:ilvl w:val="5"/>
          <w:numId w:val="1"/>
        </w:numPr>
        <w:rPr/>
      </w:pPr>
      <w:bookmarkStart w:id="891" w:name="__RefHeading___Toc13100300_1280447820"/>
      <w:bookmarkStart w:id="892" w:name="_Toc356"/>
      <w:bookmarkEnd w:id="891"/>
      <w:r>
        <w:rPr>
          <w:rtl w:val="true"/>
        </w:rPr>
        <w:t>القسم الرّابع</w:t>
      </w:r>
      <w:r>
        <w:rPr>
          <w:rtl w:val="true"/>
        </w:rPr>
        <w:t>:</w:t>
      </w:r>
      <w:bookmarkEnd w:id="8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الأصل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صريحٌ في عدم جواز قيامها بأمر الولاية، بل لوولّت امرأةٌ على المجتمع فلاسبيل له إلى السداد و الفلاح، و يصير أمره إلى الزوال و البوار؛ و 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لايفلح قومٌ ملكت عليهم امرأةٌ</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يفلح قومٌ أسندوا أمرهم إلى امرأةٍ</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يفلح قومٌ ولّوا أمرهم امرأةً</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يفلح قومٌ تلي أمرهم امرأةٌ</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يفلح قومٌ تدبّر أمرهم امرأةٌ</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 هذا المضمون ورد بألسنةٍ مختلفةٍ في كثيرٍ من مصادر الخاصّة و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كان الحكم قد وُضع لاهتداء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يعيشون في مجتمعٍ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فيه خيرهم دنيىً و عقبىً فلايُفرض أن يجعله اللّه على من لاسبيل للمجتمع مع قيادته إلى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الأحاديث تدلّ على أن لاولاية للمرأة على المجتمع</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لنختم الكلام في دلالة الأحاديث على عدم صلوحها له بحديثين لهما ظهورٌ تامٌّ على المطلوب</w:t>
      </w:r>
      <w:r>
        <w:rPr>
          <w:rFonts w:eastAsia="Amiri" w:cs="Amiri" w:ascii="Amiri" w:hAnsi="Amiri"/>
          <w:color w:val="111111"/>
          <w:sz w:val="28"/>
          <w:szCs w:val="28"/>
          <w:rtl w:val="true"/>
          <w:lang w:bidi="ar-SA"/>
        </w:rPr>
        <w:t xml:space="preserve">: </w:t>
      </w:r>
      <w:bookmarkStart w:id="893" w:name="pg18987_179922"/>
    </w:p>
    <w:p>
      <w:pPr>
        <w:pStyle w:val="BookText"/>
        <w:rPr/>
      </w:pPr>
      <w:bookmarkEnd w:id="893"/>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العامّة عن رسول اللّه صلى الله عليه و آله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أمرائكم خياركم و أغنيائكم سمحائكم و أمركم شورى بينكم، فظهر الأرض خيرٌ لكم من بطنها؛ و إذا كان أمرائكم شراركم و أغنيائكم أخلائكم و أموركم إلى نسائكم فبطن الأرض خيرٌ لكم من ظهرها</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مولى الكونين أبي عبداللّه الحسين عليه السلام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ليقتلني الفئة الباغية و لتلبسنّهم اللّه ذلّاً شاملاً و سيفاً قاطعاً، و ليسلّطنّ عليهم من يذلّهم حتّى يكون أذلّ من قوم سبأ إذ ملكتهم امرأةٌ منهم، فحكمت في أموالهم و دمائهم</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لايحتاج إلى زيادة توضيحٍ</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13100302_1280447820"/>
      <w:bookmarkStart w:id="895" w:name="_Toc357"/>
      <w:bookmarkEnd w:id="894"/>
      <w:r>
        <w:rPr>
          <w:rtl w:val="true"/>
        </w:rPr>
        <w:t>رابعاً</w:t>
      </w:r>
      <w:r>
        <w:rPr>
          <w:rtl w:val="true"/>
        </w:rPr>
        <w:t xml:space="preserve">: </w:t>
      </w:r>
      <w:r>
        <w:rPr>
          <w:rtl w:val="true"/>
        </w:rPr>
        <w:t>الإجماع</w:t>
      </w:r>
      <w:bookmarkEnd w:id="895"/>
    </w:p>
    <w:p>
      <w:pPr>
        <w:pStyle w:val="BookText"/>
        <w:rPr/>
      </w:pPr>
      <w:r>
        <w:rPr>
          <w:rFonts w:ascii="Amiri" w:hAnsi="Amiri" w:eastAsia="Amiri" w:cs="Amiri"/>
          <w:color w:val="111111"/>
          <w:sz w:val="28"/>
          <w:sz w:val="28"/>
          <w:szCs w:val="28"/>
          <w:rtl w:val="true"/>
          <w:lang w:bidi="ar-SA"/>
        </w:rPr>
        <w:t xml:space="preserve">أمّا الإجماع فهو أيضاً يدلّ على عدم جواز توليتها أمرها، حيث انعقد إجماع الشيعة الاماميّة على أنّها لاتصلح لإمامة الجماعة و لا لإمامة الجمعة و لالمنصب القضاء، فهو منعقدٌ على أنّها لاتصلح لما هو فوق جميع هذه المناصب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ادّعى صاحب الجواهر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مضت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الإجماع على أنّ منصب القضاء لايصلح إلّا للرجال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المحقّق الأردبيليّ رحمه الله القول بالجواز؛ بل ذهب بعض المعاصرين إلى أنّ الإجماع لايُعبؤ به لمكان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لانذهب إلى مذهبه، بل نقول بتماميّة انعقاد الإجماع في المسألة؛ و 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صحّة هذه النسبة إليه لم تثبت، بل الظاهر من كلامه القول بعدم تماميّة الأدلّة على منعها من هذا المنصب</w:t>
      </w:r>
      <w:r>
        <w:rPr>
          <w:rStyle w:val="FootnoteAnchor"/>
          <w:rtl w:val="true"/>
        </w:rPr>
        <w:footnoteReference w:id="528"/>
      </w:r>
      <w:r>
        <w:rPr>
          <w:rFonts w:ascii="Amiri" w:hAnsi="Amiri" w:eastAsia="Amiri" w:cs="Amiri"/>
          <w:color w:val="111111"/>
          <w:sz w:val="28"/>
          <w:sz w:val="28"/>
          <w:szCs w:val="28"/>
          <w:rtl w:val="true"/>
          <w:lang w:bidi="ar-SA"/>
        </w:rPr>
        <w:t>، و هذا لايُفضي إلى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لم تنهض الأدلّة على المنع فلادلالة لدليلٍ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الحكم مايقتضيه الأصل، و قد أشرنا في مقدّمات الرسالة إلى أنّ الأصل في المقام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تسلّط أحدٍ على أحدٍ إلّاما أخرجه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القضاء تسلّط القاضي على المتحاكمين، فثبوتها لأحدٍ يحتاج إلى الدليل؛ و حيث لادليل فلاجواز؛ فليس المحقّق الأردبيليّ رحمه الله قائلاً بما نُسب إليه من القول بجواز القضاء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لاتحقّ لمسند القضاء فالأولويّة العقليّة تحكم بأنّها لاتحقّ لمسند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لوسلّمنا صحّة النسبة إليه فلاضير أيضاً، إذ هو من الشذوذات الّتي لايعبؤ بها، و حكمه قبال المشهور الّذي هو مذهب الفقهاء قاطبةً أن يُرفض و يُرمى على الجدار؛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اشتهر بين أصحابك، فإنّ المجمع عليه لاريب فيه، و دع الشاذّ النادر</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بما قلنا أنّ للأدلّة الأربعة دلالةً تامّةً على أنّ الرجوليّة هي من شرائط الفقيه الوليّ</w:t>
      </w:r>
      <w:r>
        <w:rPr>
          <w:rFonts w:eastAsia="Amiri" w:cs="Amiri" w:ascii="Amiri" w:hAnsi="Amiri"/>
          <w:color w:val="111111"/>
          <w:sz w:val="28"/>
          <w:szCs w:val="28"/>
          <w:rtl w:val="true"/>
          <w:lang w:bidi="ar-SA"/>
        </w:rPr>
        <w:t xml:space="preserve">. </w:t>
      </w:r>
      <w:bookmarkStart w:id="896" w:name="pg18987_179924"/>
    </w:p>
    <w:p>
      <w:pPr>
        <w:pStyle w:val="Heading4"/>
        <w:numPr>
          <w:ilvl w:val="3"/>
          <w:numId w:val="1"/>
        </w:numPr>
        <w:rPr/>
      </w:pPr>
      <w:bookmarkStart w:id="897" w:name="__RefHeading___Toc13100304_1280447820"/>
      <w:bookmarkStart w:id="898" w:name="_Toc358"/>
      <w:bookmarkEnd w:id="896"/>
      <w:bookmarkEnd w:id="897"/>
      <w:r>
        <w:rPr>
          <w:rtl w:val="true"/>
        </w:rPr>
        <w:t>الشرط الحادي عشر</w:t>
      </w:r>
      <w:r>
        <w:rPr>
          <w:rtl w:val="true"/>
        </w:rPr>
        <w:t xml:space="preserve">: </w:t>
      </w:r>
      <w:r>
        <w:rPr>
          <w:rtl w:val="true"/>
        </w:rPr>
        <w:t>عدم كونه رديء السمعة مشهّراً</w:t>
      </w:r>
      <w:bookmarkEnd w:id="898"/>
    </w:p>
    <w:p>
      <w:pPr>
        <w:pStyle w:val="Heading5"/>
        <w:numPr>
          <w:ilvl w:val="4"/>
          <w:numId w:val="1"/>
        </w:numPr>
        <w:rPr/>
      </w:pPr>
      <w:bookmarkStart w:id="899" w:name="__RefHeading___Toc13100306_1280447820"/>
      <w:bookmarkStart w:id="900" w:name="_Toc359"/>
      <w:bookmarkEnd w:id="899"/>
      <w:r>
        <w:rPr>
          <w:rtl w:val="true"/>
        </w:rPr>
        <w:t>اشارة</w:t>
      </w:r>
      <w:bookmarkEnd w:id="900"/>
    </w:p>
    <w:p>
      <w:pPr>
        <w:pStyle w:val="BookText"/>
        <w:rPr/>
      </w:pPr>
      <w:r>
        <w:rPr>
          <w:rFonts w:ascii="Amiri" w:hAnsi="Amiri" w:eastAsia="Amiri" w:cs="Amiri"/>
          <w:color w:val="111111"/>
          <w:sz w:val="28"/>
          <w:sz w:val="28"/>
          <w:szCs w:val="28"/>
          <w:rtl w:val="true"/>
          <w:lang w:bidi="ar-SA"/>
        </w:rPr>
        <w:t>فمن اتّصف في شبابه أو في غيره من أدوار حياته بما لايليق إلّابالأراذل من الناس لايحقّ لهذا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شُهِّر بين الناس بأن أُجري الحدّ عليه لزنىً ارتكبه أو لسرقةٍ فعلها أو اشتهر بالقبائح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لوتاب و صار من الزاهدين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كفضيل بن عياض، و بشر الحافي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العقل أن يترأّس 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عليه الأدلّة الأربعة؛ إليك تفصيل دلالتها</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13100308_1280447820"/>
      <w:bookmarkStart w:id="902" w:name="_Toc360"/>
      <w:bookmarkEnd w:id="901"/>
      <w:r>
        <w:rPr>
          <w:rtl w:val="true"/>
        </w:rPr>
        <w:t>أوّلاً</w:t>
      </w:r>
      <w:r>
        <w:rPr>
          <w:rtl w:val="true"/>
        </w:rPr>
        <w:t xml:space="preserve">: </w:t>
      </w:r>
      <w:r>
        <w:rPr>
          <w:rtl w:val="true"/>
        </w:rPr>
        <w:t>العقل</w:t>
      </w:r>
      <w:bookmarkEnd w:id="902"/>
    </w:p>
    <w:p>
      <w:pPr>
        <w:pStyle w:val="BookText"/>
        <w:rPr/>
      </w:pPr>
      <w:r>
        <w:rPr>
          <w:rFonts w:ascii="Amiri" w:hAnsi="Amiri" w:eastAsia="Amiri" w:cs="Amiri"/>
          <w:color w:val="111111"/>
          <w:sz w:val="28"/>
          <w:sz w:val="28"/>
          <w:szCs w:val="28"/>
          <w:rtl w:val="true"/>
          <w:lang w:bidi="ar-SA"/>
        </w:rPr>
        <w:t>و دلالته على براءة الوليّ من رداءة السمعة واضحةٌ، حيث يقبح عنده أن يكون مجتمع المسلمين تحت حكم من كان يُعدّ فاسقاً، فلاولاية عنده للفاسق على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لااعتماد لأهل المجتمع على ما يحكم به، فيصير أمرهم إلى الاضطراب؛ بينما انّ الولاية شُرِّعت لئلّايصير أمرهم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جعل المشهَّر وليّاً نقض غرضٍ لايليق بالحكيم كما لايليق بأهل العقل من الناس</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قد عدّ المحقّق الطوسيّ رحمه الله الطهارة ممّا يشين الآباء و الأمّهات من شرائط </w:t>
      </w:r>
      <w:bookmarkStart w:id="903" w:name="pg18987_179925"/>
    </w:p>
    <w:p>
      <w:pPr>
        <w:pStyle w:val="BookText"/>
        <w:rPr/>
      </w:pPr>
      <w:bookmarkEnd w:id="903"/>
      <w:r>
        <w:rPr>
          <w:rFonts w:ascii="Amiri" w:hAnsi="Amiri" w:eastAsia="Amiri" w:cs="Amiri"/>
          <w:color w:val="111111"/>
          <w:sz w:val="28"/>
          <w:sz w:val="28"/>
          <w:szCs w:val="28"/>
          <w:rtl w:val="true"/>
          <w:lang w:bidi="ar-SA"/>
        </w:rPr>
        <w:t>النبوّة</w:t>
      </w:r>
      <w:r>
        <w:rPr>
          <w:rStyle w:val="FootnoteAnchor"/>
          <w:rtl w:val="true"/>
        </w:rPr>
        <w:footnoteReference w:id="530"/>
      </w:r>
      <w:r>
        <w:rPr>
          <w:rFonts w:ascii="Amiri" w:hAnsi="Amiri" w:eastAsia="Amiri" w:cs="Amiri"/>
          <w:color w:val="111111"/>
          <w:sz w:val="28"/>
          <w:sz w:val="28"/>
          <w:szCs w:val="28"/>
          <w:rtl w:val="true"/>
          <w:lang w:bidi="ar-SA"/>
        </w:rPr>
        <w:t>و كذلك فعل الشيَّخ رحمه الله في إشاراته و الطوسيّ في شرحه عليه</w:t>
      </w:r>
      <w:r>
        <w:rPr>
          <w:rStyle w:val="FootnoteAnchor"/>
          <w:rtl w:val="true"/>
        </w:rPr>
        <w:footnoteReference w:id="531"/>
      </w:r>
      <w:r>
        <w:rPr>
          <w:rFonts w:ascii="Amiri" w:hAnsi="Amiri" w:eastAsia="Amiri" w:cs="Amiri"/>
          <w:color w:val="111111"/>
          <w:sz w:val="28"/>
          <w:sz w:val="28"/>
          <w:szCs w:val="28"/>
          <w:rtl w:val="true"/>
          <w:lang w:bidi="ar-SA"/>
        </w:rPr>
        <w:t>و هذا حسنٌ جدّاً</w:t>
      </w:r>
      <w:r>
        <w:rPr>
          <w:rFonts w:eastAsia="Amiri" w:cs="Amiri" w:ascii="Amiri" w:hAnsi="Amiri"/>
          <w:color w:val="111111"/>
          <w:sz w:val="28"/>
          <w:szCs w:val="28"/>
          <w:rtl w:val="true"/>
          <w:lang w:bidi="ar-SA"/>
        </w:rPr>
        <w:t>.</w:t>
      </w:r>
    </w:p>
    <w:p>
      <w:pPr>
        <w:pStyle w:val="Heading5"/>
        <w:numPr>
          <w:ilvl w:val="4"/>
          <w:numId w:val="1"/>
        </w:numPr>
        <w:rPr/>
      </w:pPr>
      <w:bookmarkStart w:id="904" w:name="__RefHeading___Toc13100310_1280447820"/>
      <w:bookmarkStart w:id="905" w:name="_Toc361"/>
      <w:bookmarkEnd w:id="904"/>
      <w:r>
        <w:rPr>
          <w:rtl w:val="true"/>
        </w:rPr>
        <w:t>ثانياً</w:t>
      </w:r>
      <w:r>
        <w:rPr>
          <w:rtl w:val="true"/>
        </w:rPr>
        <w:t xml:space="preserve">: </w:t>
      </w:r>
      <w:r>
        <w:rPr>
          <w:rtl w:val="true"/>
        </w:rPr>
        <w:t>القرآن الحكيم</w:t>
      </w:r>
      <w:bookmarkEnd w:id="905"/>
    </w:p>
    <w:p>
      <w:pPr>
        <w:pStyle w:val="BookText"/>
        <w:rPr/>
      </w:pPr>
      <w:r>
        <w:rPr>
          <w:rFonts w:ascii="Amiri" w:hAnsi="Amiri" w:eastAsia="Amiri" w:cs="Amiri"/>
          <w:color w:val="111111"/>
          <w:sz w:val="28"/>
          <w:sz w:val="28"/>
          <w:szCs w:val="28"/>
          <w:rtl w:val="true"/>
          <w:lang w:bidi="ar-SA"/>
        </w:rPr>
        <w:t xml:space="preserve">أمّا القرآن الحكيم فدلالته على وجوب براءته منها تامّةٌ؛ و ذلك بالنظر إلى سيرة سيّدنا النبيّ يوسف عليه السلام، فإنّه بعد أن دخل في السجن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فِي السِّجْنِ بِضْعَ سِنِينَ</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فطلبه عزيز ليستشيره في ما أراه اللّه في المنام، علم أنّه سيكون من خواصّه و من أصحاب الولاية؛ فلم يخرج من السجن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النِّسْوَةِ اللَّاتِي قَطَّعْنَ أَيْدِيَهُنَّ</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يبيّن أنّ ما اتُّهم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دعوة امرأة عزيز إلى 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لاحقيقة له؛ بل الواقع الّذي جرى عليه الأمر انّه لم يكن فاسقاً فاجراً في زمن شبابه و ثورة هيجان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أعلن انّ قوله هذا لايريد منه أن ينتقم من امرأة عزيز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النِّسْوَةِ الَّتِي قَطَّعْنَ أَيْدِيَهُنَّ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يريد أن يعلم الوالي و آحاد الناس انّه يُعدّ من الصلحاء لا الفجّار، فقال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لِيَلْعَمَ أَنِّي لَمْ أَخُنْهُ بِالْغَيْبِ</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906" w:name="pg18987_179926"/>
    </w:p>
    <w:p>
      <w:pPr>
        <w:pStyle w:val="BookText"/>
        <w:rPr/>
      </w:pPr>
      <w:bookmarkEnd w:id="906"/>
      <w:r>
        <w:rPr>
          <w:rFonts w:ascii="Amiri" w:hAnsi="Amiri" w:eastAsia="Amiri" w:cs="Amiri"/>
          <w:color w:val="111111"/>
          <w:sz w:val="28"/>
          <w:sz w:val="28"/>
          <w:szCs w:val="28"/>
          <w:rtl w:val="true"/>
          <w:lang w:bidi="ar-SA"/>
        </w:rPr>
        <w:t>لأنّ مقرّبي السلطان يجب أن لم يكونوا مشهَّرين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امرأة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حَصْحَصَ الْحَقُ أَنَا رَاوَدْتُهُ عَنْ نَفْسِهِ</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فعلم عزيز و الناس أنّ ذيله طاهرٌ لم تشنه معصية الفجور؛ فصار من مقرّبي السلطان حيث قال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الْيَومَ لَدَيْنَا مَكِينٌ أَمِينٌ</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سيرة النبيّ يوسف عليه السلام في تطهير ذيله أوّلاً ثمّ الدخول في عداد الأمراء ثانياً لئلّا يكون رديء السمعة؛ فما ظنّك بالوليّ الّذي يحكم على جميع 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فدلالة الكريمة على وجوب طهارته من الفضاحة و الانثلام بيّنةٌ لاكلام فيها</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13100312_1280447820"/>
      <w:bookmarkStart w:id="908" w:name="_Toc362"/>
      <w:bookmarkEnd w:id="907"/>
      <w:r>
        <w:rPr>
          <w:rtl w:val="true"/>
        </w:rPr>
        <w:t>ثالثاً</w:t>
      </w:r>
      <w:r>
        <w:rPr>
          <w:rtl w:val="true"/>
        </w:rPr>
        <w:t xml:space="preserve">: </w:t>
      </w:r>
      <w:r>
        <w:rPr>
          <w:rtl w:val="true"/>
        </w:rPr>
        <w:t>الإجماع</w:t>
      </w:r>
      <w:bookmarkEnd w:id="908"/>
    </w:p>
    <w:p>
      <w:pPr>
        <w:pStyle w:val="BookText"/>
        <w:rPr/>
      </w:pPr>
      <w:r>
        <w:rPr>
          <w:rFonts w:ascii="Amiri" w:hAnsi="Amiri" w:eastAsia="Amiri" w:cs="Amiri"/>
          <w:color w:val="111111"/>
          <w:sz w:val="28"/>
          <w:sz w:val="28"/>
          <w:szCs w:val="28"/>
          <w:rtl w:val="true"/>
          <w:lang w:bidi="ar-SA"/>
        </w:rPr>
        <w:t>أمّا الإجماع فقد انعقد على أنّ من أُجري عليه حدٌّ لمعصيةٍ أو فسقٍ أو أصيب ببرصٍ أو جذامٍ فلايحقّ للإمامة في الصلاة، و لايمكن أن يشغل منصب القضاء لأنّه أُجري عليه الحدّ، فلايمكن أن يجريه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فالأولويّة القطعيّة تدلّ على انعقاده على أنّ الفضيح المنثلم لايليق بمسند الولاية؛ إذ لا اعتماد لآحاد المجتمع على أوامره و لاوثوق لهم بنواهيه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فالإجماع منعقدٌ؛ و سرّه واضحٌ</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13100314_1280447820"/>
      <w:bookmarkStart w:id="910" w:name="_Toc363"/>
      <w:bookmarkEnd w:id="909"/>
      <w:r>
        <w:rPr>
          <w:rtl w:val="true"/>
        </w:rPr>
        <w:t>رابعاً</w:t>
      </w:r>
      <w:r>
        <w:rPr>
          <w:rtl w:val="true"/>
        </w:rPr>
        <w:t xml:space="preserve">: </w:t>
      </w:r>
      <w:r>
        <w:rPr>
          <w:rtl w:val="true"/>
        </w:rPr>
        <w:t>الروايات</w:t>
      </w:r>
      <w:bookmarkEnd w:id="91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الروايات فقد دلّ قسطٌ منها على أنّ من اشتهر برداءة السمعة و ما يشين حسن السابقة فلاحقّ له في هذا المنصب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كفر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أشرك به طرفة عينٍ </w:t>
      </w:r>
    </w:p>
    <w:p>
      <w:pPr>
        <w:pStyle w:val="BookText"/>
        <w:rPr/>
      </w:pPr>
      <w:r>
        <w:rPr>
          <w:rFonts w:ascii="Amiri" w:hAnsi="Amiri" w:eastAsia="Amiri" w:cs="Amiri"/>
          <w:color w:val="111111"/>
          <w:sz w:val="28"/>
          <w:sz w:val="28"/>
          <w:szCs w:val="28"/>
          <w:rtl w:val="true"/>
          <w:lang w:bidi="ar-SA"/>
        </w:rPr>
        <w:t>أو كانت آباؤه أو أمّهاته من الكفّار أو المشركين لايمكن أن يستقرّ على عرش النبوّة و لا على عرش الإمامة العظمى، و لا على عرش إمامة المجتمع و ولايته؛ و إليه أشار عليه السلام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كنت نوراً في الأصلاب الشامخة و الأرحام المطهّرة لم تنجّسك الجاهليّة بأنجاسها و لم تلبسك من مدلهمّات ثيابها</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نفس ما أشرنا إليه من كلام الرئيس و المحقّق الطوسيّ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أيضاً هشام بن سالم في الصحيح عن أبي عبداللّه الصادق عليه السلام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صنماً أو وثناً لايكون إماماً،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لَايَنَالُ عَهْدِي الظَّالِمِينَ</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الباب أحاديث كثيرة تفسّر الآية المباركة؛ و قد روى قسطاً منها صاحب الكافي رحمه الله في جامعه</w:t>
      </w:r>
      <w:r>
        <w:rPr>
          <w:rStyle w:val="FootnoteAnchor"/>
          <w:rtl w:val="true"/>
        </w:rPr>
        <w:footnoteReference w:id="540"/>
      </w:r>
      <w:r>
        <w:rPr>
          <w:rFonts w:ascii="IRNazanin" w:hAnsi="IRNazanin" w:eastAsia="IRNazanin"/>
          <w:color w:val="111111"/>
          <w:sz w:val="28"/>
          <w:sz w:val="28"/>
          <w:szCs w:val="28"/>
          <w:rtl w:val="true"/>
          <w:lang w:bidi="fa-IR"/>
        </w:rPr>
        <w:t>، و أورد صاحبا البرهان</w:t>
      </w:r>
      <w:r>
        <w:rPr>
          <w:rStyle w:val="FootnoteAnchor"/>
          <w:rtl w:val="true"/>
        </w:rPr>
        <w:footnoteReference w:id="541"/>
      </w:r>
      <w:r>
        <w:rPr>
          <w:rFonts w:ascii="Amiri" w:hAnsi="Amiri" w:eastAsia="Amiri" w:cs="Amiri"/>
          <w:color w:val="111111"/>
          <w:sz w:val="28"/>
          <w:sz w:val="28"/>
          <w:szCs w:val="28"/>
          <w:rtl w:val="true"/>
          <w:lang w:bidi="ar-SA"/>
        </w:rPr>
        <w:t xml:space="preserve">و الميزان </w:t>
      </w:r>
      <w:r>
        <w:rPr>
          <w:rFonts w:eastAsia="Amiri" w:cs="Amiri" w:ascii="Amiri" w:hAnsi="Amiri"/>
          <w:color w:val="111111"/>
          <w:sz w:val="28"/>
          <w:szCs w:val="28"/>
          <w:lang w:bidi="ar-SA"/>
        </w:rPr>
        <w:t>0</w:t>
      </w:r>
      <w:r>
        <w:rPr>
          <w:rStyle w:val="FootnoteAnchor"/>
          <w:rtl w:val="true"/>
        </w:rPr>
        <w:footnoteReference w:id="542"/>
      </w:r>
      <w:r>
        <w:rPr>
          <w:rFonts w:ascii="Amiri" w:hAnsi="Amiri" w:eastAsia="Amiri" w:cs="Amiri"/>
          <w:color w:val="111111"/>
          <w:sz w:val="28"/>
          <w:sz w:val="28"/>
          <w:szCs w:val="28"/>
          <w:rtl w:val="true"/>
          <w:lang w:bidi="ar-SA"/>
        </w:rPr>
        <w:t>أيضاً جملةً منها؛ فارجع إليها تنل المراد</w:t>
      </w:r>
      <w:r>
        <w:rPr>
          <w:rFonts w:eastAsia="Amiri" w:cs="Amiri" w:ascii="Amiri" w:hAnsi="Amiri"/>
          <w:color w:val="111111"/>
          <w:sz w:val="28"/>
          <w:szCs w:val="28"/>
          <w:rtl w:val="true"/>
          <w:lang w:bidi="ar-SA"/>
        </w:rPr>
        <w:t xml:space="preserve">. </w:t>
      </w:r>
      <w:bookmarkStart w:id="911" w:name="pg18987_179928"/>
    </w:p>
    <w:p>
      <w:pPr>
        <w:pStyle w:val="Heading4"/>
        <w:numPr>
          <w:ilvl w:val="3"/>
          <w:numId w:val="1"/>
        </w:numPr>
        <w:rPr/>
      </w:pPr>
      <w:bookmarkStart w:id="912" w:name="__RefHeading___Toc13100316_1280447820"/>
      <w:bookmarkStart w:id="913" w:name="_Toc364"/>
      <w:bookmarkEnd w:id="911"/>
      <w:bookmarkEnd w:id="912"/>
      <w:r>
        <w:rPr>
          <w:rtl w:val="true"/>
        </w:rPr>
        <w:t>الشرط الثّاني عشر</w:t>
      </w:r>
      <w:r>
        <w:rPr>
          <w:rtl w:val="true"/>
        </w:rPr>
        <w:t xml:space="preserve">: </w:t>
      </w:r>
      <w:r>
        <w:rPr>
          <w:rtl w:val="true"/>
        </w:rPr>
        <w:t>استقامة السليقة</w:t>
      </w:r>
      <w:bookmarkEnd w:id="913"/>
    </w:p>
    <w:p>
      <w:pPr>
        <w:pStyle w:val="BookText"/>
        <w:rPr/>
      </w:pPr>
      <w:r>
        <w:rPr>
          <w:rFonts w:ascii="Amiri" w:hAnsi="Amiri" w:eastAsia="Amiri" w:cs="Amiri"/>
          <w:color w:val="111111"/>
          <w:sz w:val="28"/>
          <w:sz w:val="28"/>
          <w:szCs w:val="28"/>
          <w:rtl w:val="true"/>
          <w:lang w:bidi="ar-SA"/>
        </w:rPr>
        <w:t>و يجتمع في هذا العنوان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الاتّصاف بكثرة الخطأ و كثرة السهو و الغفلة؛</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استقامة السليقة و الطبيعة و الفطرة و البراءة من اعوجاجها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ادّعى صاحب الجواهر رحمه الله الإجماع على وجوب كون القاضي ضابطاً بريئاً من كثرة الخطأ و الغفلة</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 أمّا الثّاني فقد ادّعى المحقّق البهبهانيّ رحمه الله في الفوائدالحائريّة الإجماع على أنّ القاضي يجب أن يكون ذا حظٍّ وافرٍ من استقامة الطبيعة و بريئاً من اعوجاج الفطرة، بل تردّد رحمه الله في صحّة اجتهاد من لم يكن حضيضاً منها</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صحّة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لايقبل قول من لاضبط له و قد كثر سهوه و كثرت غفلته، فإنّ الأصوليّين قد بحثوا عند الكلام في حجّيّة خبر الواحد عن عدّة أصولٍ لايمكن الذهاب إلى حجّيّته إلّاباجرائها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تبلغ إلى سبعة عشر أصلاً،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الخطأ، و أصالة عدم السهو، و أصالة عدم الغفلة، و غيرها كأصالة عدم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بالفرق بينها و بين أصالة عدم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سريع التصديق ساذجاً أو لاحظّ له </w:t>
      </w:r>
    </w:p>
    <w:p>
      <w:pPr>
        <w:pStyle w:val="BookText"/>
        <w:rPr/>
      </w:pPr>
      <w:r>
        <w:rPr>
          <w:rFonts w:ascii="Amiri" w:hAnsi="Amiri" w:eastAsia="Amiri" w:cs="Amiri"/>
          <w:color w:val="111111"/>
          <w:sz w:val="28"/>
          <w:sz w:val="28"/>
          <w:szCs w:val="28"/>
          <w:rtl w:val="true"/>
          <w:lang w:bidi="ar-SA"/>
        </w:rPr>
        <w:t>من استقامة الفطرة أو كثر خطأه أو نسيانه أو غفلته لااعتماد على قوله و لا على خبره، إذ لايحكم العقل باجراء تلك الأصول في أقواله و أخباره؛ فلايصدّقهما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بابي القضاء و الافتاء، فإنّ الإجماع الّذي ادّعاه صاحب الجواهر رحمه الله في باب القضاء يجري في باب الافتاء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فلوكان أحدٌ خبيراً بمباني الفقه و أصوله و ما يتعلّق به من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كالرجال و الدراية و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قلّ ضبطه و كثر نسيانه و سهوه، لايمكن أن يُعدّ مفتياً و إن كان 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مضى في باب الإجتهاد و التقليد انّ حجّيّة فتوى المفتي من باب سيرة العقلاء حيث تحكم سيرتهم بوجوب الرجوع في كلّ مسألةٍ إلى المخصّص في ذلك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أحكام الشريعة أيضاً تحكم بوجوب الرجوع إلى الفقيه المفتي، كما تحكم نفس السيرة بأنّ الكثير الخطأ القليل الضبط لايعدّ من المخصّصين، بل كثرة خطائه تمنع من الاعتماد على قوله و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فيما نحن فيه، فلاقضاء لمن كملت فيه شرائط القضاء علماً و عملاً من غير اتّصافه بقلّة الخطأ و السهو و النسيان و كثرة الضبط و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لاافتاء لمن حاز جميع الشرائط من غير اتّصافه بهما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خصائص الشيعة و أسرارها القول بوجوب العصمة في من له الخلافة الإلهيّة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مراتب العصمة عدم الخطأ و النسيان و مايشبههما، فمن استخلف منه عليه السلام يجب أن يتّصف بصفاته على ما تقتضيه القدرة البشريّة و يطيقه الإنسان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الباب استقامة السليقة، فمن كثر خلافه مع القوم في فتاويهم ففي صحّة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نفس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نشأ من أنّ استقامة الفطرة قد عُدّت من شرائط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ابن جنيدٍ رحمه الله و قد كان من أكابر قدماء الإماميّة، و لكن خالفهم في كثيرٍ من </w:t>
      </w:r>
    </w:p>
    <w:p>
      <w:pPr>
        <w:pStyle w:val="BookText"/>
        <w:rPr/>
      </w:pPr>
      <w:r>
        <w:rPr>
          <w:rFonts w:ascii="IRNazanin" w:hAnsi="IRNazanin" w:eastAsia="IRNazanin"/>
          <w:color w:val="111111"/>
          <w:sz w:val="28"/>
          <w:sz w:val="28"/>
          <w:szCs w:val="28"/>
          <w:rtl w:val="true"/>
          <w:lang w:bidi="fa-IR"/>
        </w:rPr>
        <w:t>الفتاوى</w:t>
      </w:r>
      <w:r>
        <w:rPr>
          <w:rStyle w:val="FootnoteAnchor"/>
          <w:rtl w:val="true"/>
        </w:rPr>
        <w:footnoteReference w:id="545"/>
      </w:r>
      <w:r>
        <w:rPr>
          <w:rFonts w:ascii="Amiri" w:hAnsi="Amiri" w:eastAsia="Amiri" w:cs="Amiri"/>
          <w:color w:val="111111"/>
          <w:sz w:val="28"/>
          <w:sz w:val="28"/>
          <w:szCs w:val="28"/>
          <w:rtl w:val="true"/>
          <w:lang w:bidi="ar-SA"/>
        </w:rPr>
        <w:t>بحيث اشتهر انّ مخالفة ابن جنيدٍ لا تضرّ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يوجد كثيرٌ من معاقد الإجماعات لايُرى فيه مخالفٌ إلّاهو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بالنظر إلى هذا المعنى قد اخترنا في محلّه من علم الأصول 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 و دع الشاذّ النادر</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إرشادٌ منه عليه السلام إلى حكم العقل برفض الشاذّ النادر، لا تأسيسٌ منه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هذا الحكم حكماً تعبّدياً، بل يُعدّ من الأحكام العقليّة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القاضي و المفتي، فما ظنّك بالوليّ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شرائط الوليّ اتّصافه بالضبط و براءته من كثرة السهو و النسيان و الخطأ؛ و كونه ذا حظٍّ وافرٍ من استقامة الطبيعة و الفطرة لئلّا يحكم العقل بوجوب رفض أقواله، بل يخضع لها و لما يحكم به؛ و هذا واضحٌ</w:t>
      </w:r>
      <w:r>
        <w:rPr>
          <w:rFonts w:eastAsia="Amiri" w:cs="Amiri" w:ascii="Amiri" w:hAnsi="Amiri"/>
          <w:color w:val="111111"/>
          <w:sz w:val="28"/>
          <w:szCs w:val="28"/>
          <w:rtl w:val="true"/>
          <w:lang w:bidi="ar-SA"/>
        </w:rPr>
        <w:t xml:space="preserve">. </w:t>
      </w:r>
      <w:bookmarkStart w:id="914" w:name="pg18987_179931"/>
    </w:p>
    <w:p>
      <w:pPr>
        <w:pStyle w:val="Heading4"/>
        <w:numPr>
          <w:ilvl w:val="3"/>
          <w:numId w:val="1"/>
        </w:numPr>
        <w:rPr/>
      </w:pPr>
      <w:bookmarkStart w:id="915" w:name="__RefHeading___Toc13100318_1280447820"/>
      <w:bookmarkStart w:id="916" w:name="_Toc365"/>
      <w:bookmarkEnd w:id="914"/>
      <w:bookmarkEnd w:id="915"/>
      <w:r>
        <w:rPr>
          <w:rtl w:val="true"/>
        </w:rPr>
        <w:t>الشرط الثّالثة عشر</w:t>
      </w:r>
      <w:r>
        <w:rPr>
          <w:rtl w:val="true"/>
        </w:rPr>
        <w:t xml:space="preserve">: </w:t>
      </w:r>
      <w:r>
        <w:rPr>
          <w:rtl w:val="true"/>
        </w:rPr>
        <w:t>براءته ممّا يشين مروءته</w:t>
      </w:r>
      <w:bookmarkEnd w:id="916"/>
    </w:p>
    <w:p>
      <w:pPr>
        <w:pStyle w:val="Heading5"/>
        <w:numPr>
          <w:ilvl w:val="4"/>
          <w:numId w:val="1"/>
        </w:numPr>
        <w:rPr/>
      </w:pPr>
      <w:bookmarkStart w:id="917" w:name="__RefHeading___Toc13100320_1280447820"/>
      <w:bookmarkStart w:id="918" w:name="_Toc366"/>
      <w:bookmarkEnd w:id="917"/>
      <w:r>
        <w:rPr>
          <w:rtl w:val="true"/>
        </w:rPr>
        <w:t>اشارة</w:t>
      </w:r>
      <w:bookmarkEnd w:id="918"/>
    </w:p>
    <w:p>
      <w:pPr>
        <w:pStyle w:val="BookText"/>
        <w:rPr/>
      </w:pPr>
      <w:r>
        <w:rPr>
          <w:rFonts w:ascii="Amiri" w:hAnsi="Amiri" w:eastAsia="Amiri" w:cs="Amiri"/>
          <w:color w:val="111111"/>
          <w:sz w:val="28"/>
          <w:sz w:val="28"/>
          <w:szCs w:val="28"/>
          <w:rtl w:val="true"/>
          <w:lang w:bidi="ar-SA"/>
        </w:rPr>
        <w:t>و هذا الشرط من متمّمات مبحث العدالة، و قد أشرنا إليه و إلى أنّها أيضاًمن شرائطه، بل من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لنفصّل الكلام حوله؛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البراءة ممّا يشين المروءة تُعدّ من شرائط من يولّي أمراً جماعيّاً، لأنّ العقل يستقلّ بالحكم بأنّ من لامروءة له لايحسن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المروءة ينبىء عن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بلوع العقل و كماله؛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حلول ملكة العدالة؛</w:t>
      </w:r>
    </w:p>
    <w:p>
      <w:pPr>
        <w:pStyle w:val="BookText"/>
        <w:rPr/>
      </w:pPr>
      <w:r>
        <w:rPr>
          <w:rFonts w:ascii="Amiri" w:hAnsi="Amiri" w:eastAsia="Amiri" w:cs="Amiri"/>
          <w:color w:val="111111"/>
          <w:sz w:val="28"/>
          <w:sz w:val="28"/>
          <w:szCs w:val="28"/>
          <w:rtl w:val="true"/>
          <w:lang w:bidi="ar-SA"/>
        </w:rPr>
        <w:t>و العقل و العدالة من الشرائط العامّة لإمام الجماعة و للقاضي و للفقيه المرجِع و للفقيه الوليّ و لكلّ من يلي أمراً يدلّ على ولايته على غيره؛ فيُشترط في الوليّ أن لايصدر منه ما يخالف المروءة و يشينها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زيادةً على العقل تدلّ جملةٌ من أحاديثنا على اشتراطها فيه؛ و سنبحث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المروءة تُطلق و يُراد منها أحد أمورٍ ثلاثةٍ</w:t>
      </w:r>
      <w:r>
        <w:rPr>
          <w:rFonts w:eastAsia="Amiri" w:cs="Amiri" w:ascii="Amiri" w:hAnsi="Amiri"/>
          <w:color w:val="111111"/>
          <w:sz w:val="28"/>
          <w:szCs w:val="28"/>
          <w:rtl w:val="true"/>
          <w:lang w:bidi="ar-SA"/>
        </w:rPr>
        <w:t>:</w:t>
      </w:r>
    </w:p>
    <w:p>
      <w:pPr>
        <w:pStyle w:val="Heading5"/>
        <w:numPr>
          <w:ilvl w:val="4"/>
          <w:numId w:val="1"/>
        </w:numPr>
        <w:rPr/>
      </w:pPr>
      <w:bookmarkStart w:id="919" w:name="__RefHeading___Toc13100322_1280447820"/>
      <w:bookmarkStart w:id="920" w:name="_Toc367"/>
      <w:bookmarkEnd w:id="919"/>
      <w:r>
        <w:rPr>
          <w:rtl w:val="true"/>
        </w:rPr>
        <w:t>الأوّل</w:t>
      </w:r>
      <w:r>
        <w:rPr>
          <w:rtl w:val="true"/>
        </w:rPr>
        <w:t>:</w:t>
      </w:r>
      <w:bookmarkEnd w:id="920"/>
    </w:p>
    <w:p>
      <w:pPr>
        <w:pStyle w:val="BookText"/>
        <w:rPr/>
      </w:pPr>
      <w:r>
        <w:rPr>
          <w:rFonts w:ascii="Amiri" w:hAnsi="Amiri" w:eastAsia="Amiri" w:cs="Amiri"/>
          <w:color w:val="111111"/>
          <w:sz w:val="28"/>
          <w:sz w:val="28"/>
          <w:szCs w:val="28"/>
          <w:rtl w:val="true"/>
          <w:lang w:bidi="ar-SA"/>
        </w:rPr>
        <w:t>فعل ما ينبىء عن عدم تقيّد المرء بالشريعة و أحكامها و إن لم يكن الفعل نفسه حراماً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فلوفرضنا انّ رجلاً من أصحاب العِمّة يشرب التتن و يستعمل السيجارة في سوق المسلمين في مرءاهم و منظرهم، و إن لم يكن هذا الفعل حراماً و لكن له دلالةٌ على أنّ </w:t>
      </w:r>
    </w:p>
    <w:p>
      <w:pPr>
        <w:pStyle w:val="BookText"/>
        <w:rPr/>
      </w:pPr>
      <w:r>
        <w:rPr>
          <w:rFonts w:ascii="Amiri" w:hAnsi="Amiri" w:eastAsia="Amiri" w:cs="Amiri"/>
          <w:color w:val="111111"/>
          <w:sz w:val="28"/>
          <w:sz w:val="28"/>
          <w:szCs w:val="28"/>
          <w:rtl w:val="true"/>
          <w:lang w:bidi="ar-SA"/>
        </w:rPr>
        <w:t>الشارب لاتقيّد له بالأحكام الشرعيّة؛ و مثله من يأكل المكسّرات في الحفلة و الضيافة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لكلّ مجتمعٍ قواعد تحكم عليه، و لمجتمع المتشرّعين و حزبهم و فئتهم أيضاً قواعد قد أنشأها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خرج عن حكمها بل خالفها يحكم العقل بأنّه لامبالاة له بغيرها من أحكام الشرع أيضاً، فلايُعدّ من المتشرّعين، فلاولاية 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لبس لباس الشهرة، و قد مثّل له صاحب الجواهر</w:t>
      </w:r>
      <w:r>
        <w:rPr>
          <w:rStyle w:val="FootnoteAnchor"/>
          <w:rtl w:val="true"/>
        </w:rPr>
        <w:footnoteReference w:id="547"/>
      </w:r>
      <w:r>
        <w:rPr>
          <w:rFonts w:ascii="Amiri" w:hAnsi="Amiri" w:eastAsia="Amiri" w:cs="Amiri"/>
          <w:color w:val="111111"/>
          <w:sz w:val="28"/>
          <w:sz w:val="28"/>
          <w:szCs w:val="28"/>
          <w:rtl w:val="true"/>
          <w:lang w:bidi="ar-SA"/>
        </w:rPr>
        <w:t xml:space="preserve">تبعاً لصاحب الوافي </w:t>
      </w:r>
      <w:r>
        <w:rPr>
          <w:rFonts w:eastAsia="Amiri" w:cs="Amiri" w:ascii="Amiri" w:hAnsi="Amiri"/>
          <w:color w:val="111111"/>
          <w:sz w:val="28"/>
          <w:szCs w:val="28"/>
          <w:lang w:bidi="ar-SA"/>
        </w:rPr>
        <w:t>0</w:t>
      </w:r>
      <w:r>
        <w:rPr>
          <w:rStyle w:val="FootnoteAnchor"/>
          <w:rtl w:val="true"/>
        </w:rPr>
        <w:footnoteReference w:id="548"/>
      </w:r>
      <w:r>
        <w:rPr>
          <w:rFonts w:ascii="Amiri" w:hAnsi="Amiri" w:eastAsia="Amiri" w:cs="Amiri"/>
          <w:color w:val="111111"/>
          <w:sz w:val="28"/>
          <w:sz w:val="28"/>
          <w:szCs w:val="28"/>
          <w:rtl w:val="true"/>
          <w:lang w:bidi="ar-SA"/>
        </w:rPr>
        <w:t>بحرمة التلبّس بما كان لبسه مشروعاً أو معدوداً في جملة المستحبّات، ثمّ تُرك حتّى صار مذكوراً في ألبسة الشهرة؛ كارسال الحنك في غير الصلاة حيث كان من المستحبّات ثمّ تُرك حتّى لوأرسل اليوم أحدٌ حنك عمّته في غير الصلاة يُعدّ هذا من متروكات المجتمع، فينظر إليه الناس فيصير سبباً لشهرته؛ و ربّما كان سبباً لإعانة الغير على الإثم بأن يعيّروه و يغتابوه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فارسال الحنك كان مستحبّاً فصار من ألبسة الشهرة، فهو مخالفٌ للمروءة، فلاريب في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أفتى بها صاحبا الجواهر و الوافي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دونه ركوب الحمار و أخذ العصاء للشبّان، فإنّهما كانا يُعدّان من أسباب التواضع و عدم التبختر و التفرعن؛ كما روي انّ رسول اللّه صلى الله عليه و آله كان يركب الحمار مشاركاً فيه غيره</w:t>
      </w:r>
      <w:r>
        <w:rPr>
          <w:rStyle w:val="FootnoteAnchor"/>
          <w:rtl w:val="true"/>
        </w:rPr>
        <w:footnoteReference w:id="549"/>
      </w:r>
      <w:r>
        <w:rPr>
          <w:rFonts w:ascii="Amiri" w:hAnsi="Amiri" w:eastAsia="Amiri" w:cs="Amiri"/>
          <w:color w:val="111111"/>
          <w:sz w:val="28"/>
          <w:sz w:val="28"/>
          <w:szCs w:val="28"/>
          <w:rtl w:val="true"/>
          <w:lang w:bidi="ar-SA"/>
        </w:rPr>
        <w:t>، و لاريب في أنّ هذا الفعل في المدن و الأمصار يُعدّ اليوم ممّا يدلّ على السفاهة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فالمرتكب له لامروءة له، فلايصحّ أن يولّي منصب القضاء و إقامة الصلاة و ولاية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يشير ما روي من مناظرة مولانا الصادق عليه السلام مع سفيان الثوريّ حيث استشكل عليه عليه السلام بتركه </w:t>
      </w:r>
      <w:bookmarkStart w:id="921" w:name="pg18987_179933"/>
    </w:p>
    <w:p>
      <w:pPr>
        <w:pStyle w:val="BookText"/>
        <w:rPr/>
      </w:pPr>
      <w:bookmarkEnd w:id="921"/>
      <w:r>
        <w:rPr>
          <w:rFonts w:ascii="Amiri" w:hAnsi="Amiri" w:eastAsia="Amiri" w:cs="Amiri"/>
          <w:color w:val="111111"/>
          <w:sz w:val="28"/>
          <w:sz w:val="28"/>
          <w:szCs w:val="28"/>
          <w:rtl w:val="true"/>
          <w:lang w:bidi="ar-SA"/>
        </w:rPr>
        <w:t>سنّة جدّه أميرالمؤمنين عليه السلام في المأكول و الملبوس</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أجاب به عليه السلام من سؤاله يدلّ على وجوب رعاية القواعد الحاكمة على المجتمع</w:t>
      </w:r>
      <w:r>
        <w:rPr>
          <w:rFonts w:eastAsia="Amiri" w:cs="Amiri" w:ascii="Amiri" w:hAnsi="Amiri"/>
          <w:color w:val="111111"/>
          <w:sz w:val="28"/>
          <w:szCs w:val="28"/>
          <w:rtl w:val="true"/>
          <w:lang w:bidi="ar-SA"/>
        </w:rPr>
        <w:t>.</w:t>
      </w:r>
    </w:p>
    <w:p>
      <w:pPr>
        <w:pStyle w:val="Heading5"/>
        <w:numPr>
          <w:ilvl w:val="4"/>
          <w:numId w:val="1"/>
        </w:numPr>
        <w:rPr/>
      </w:pPr>
      <w:bookmarkStart w:id="922" w:name="__RefHeading___Toc13100324_1280447820"/>
      <w:bookmarkStart w:id="923" w:name="_Toc368"/>
      <w:bookmarkEnd w:id="922"/>
      <w:r>
        <w:rPr>
          <w:rtl w:val="true"/>
        </w:rPr>
        <w:t>الثّاني</w:t>
      </w:r>
      <w:r>
        <w:rPr>
          <w:rtl w:val="true"/>
        </w:rPr>
        <w:t>:</w:t>
      </w:r>
      <w:bookmarkEnd w:id="923"/>
    </w:p>
    <w:p>
      <w:pPr>
        <w:pStyle w:val="BookText"/>
        <w:rPr/>
      </w:pPr>
      <w:r>
        <w:rPr>
          <w:rFonts w:ascii="Amiri" w:hAnsi="Amiri" w:eastAsia="Amiri" w:cs="Amiri"/>
          <w:color w:val="111111"/>
          <w:sz w:val="28"/>
          <w:sz w:val="28"/>
          <w:szCs w:val="28"/>
          <w:rtl w:val="true"/>
          <w:lang w:bidi="ar-SA"/>
        </w:rPr>
        <w:t>الاحتفاظ على الهوية الجماعيّة و ذاتيّتها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الثّاني من معاني المروءة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لم يحتفظ على هويّته الجماعيّة فقد خرج عن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سيّدنا الأستاذ الفقيه البروجرديّ رحمه الله كثيراً 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لايجب تحصيل الهويّة الجماعيّة و لكن يجب الاحتفاظ عليها و المحافظة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شرائط القاضي و الشاهد و الفقيه المرجِع و الفقيه الوليّ؛ كما ذكر المحقّق الأوّل في باب الشهادات من الشرائع انّ السائل بالكفّ لايصلح للشهادة</w:t>
      </w:r>
      <w:r>
        <w:rPr>
          <w:rStyle w:val="FootnoteAnchor"/>
          <w:rtl w:val="true"/>
        </w:rPr>
        <w:footnoteReference w:id="551"/>
      </w:r>
      <w:r>
        <w:rPr>
          <w:rFonts w:ascii="Amiri" w:hAnsi="Amiri" w:eastAsia="Amiri" w:cs="Amiri"/>
          <w:color w:val="111111"/>
          <w:sz w:val="28"/>
          <w:sz w:val="28"/>
          <w:szCs w:val="28"/>
          <w:rtl w:val="true"/>
          <w:lang w:bidi="ar-SA"/>
        </w:rPr>
        <w:t>، و تبعه في هذا القول المشهور من الفقهاء</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السائل بالكفّ يخلع من نفسه ستر المروءة، فيصدر منه ما لايليق بالمؤمنين، فتسلب منه ملكة العدالة فلايحقّ لمسند القضاء و ما فوقه من المساند الجماعيّة، كما في ما هو أقلّ منه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كامرتبة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 بعض الأصحاب عدم الاحتفاظ على الهويّة الجماعيّة من الذنوب قائلاً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لافرق بين الإهانة بالغير و بين الإهانة بالنفس و انتهاك ما له من الحرمة؛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أهان وليّاً فقد بارزني بالمحاربة</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xml:space="preserve">فسُئل عن </w:t>
      </w:r>
      <w:bookmarkStart w:id="924" w:name="pg18987_179934"/>
    </w:p>
    <w:p>
      <w:pPr>
        <w:pStyle w:val="BookText"/>
        <w:rPr/>
      </w:pPr>
      <w:bookmarkEnd w:id="924"/>
      <w:r>
        <w:rPr>
          <w:rFonts w:ascii="Amiri" w:hAnsi="Amiri" w:eastAsia="Amiri" w:cs="Amiri"/>
          <w:color w:val="111111"/>
          <w:sz w:val="28"/>
          <w:sz w:val="28"/>
          <w:szCs w:val="28"/>
          <w:rtl w:val="true"/>
          <w:lang w:bidi="ar-SA"/>
        </w:rPr>
        <w:t xml:space="preserve">الصادق رحمه الله عن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شيعتنا</w:t>
      </w:r>
      <w:r>
        <w:rPr>
          <w:rFonts w:eastAsia="Amiri" w:cs="Amiri" w:ascii="Amiri" w:hAnsi="Amiri"/>
          <w:color w:val="111111"/>
          <w:sz w:val="28"/>
          <w:szCs w:val="28"/>
          <w:rtl w:val="true"/>
          <w:lang w:bidi="ar-SA"/>
        </w:rPr>
        <w:t>»</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يحتفظ على ذاتيّته الجماعيّة فقد أهان نفسه، فبارز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بالمحاربة، و من حارب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فلاعدالة له إن لم يُحكم بفسقه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هذا القائل أيضاً لابأس به</w:t>
      </w:r>
      <w:r>
        <w:rPr>
          <w:rFonts w:eastAsia="Amiri" w:cs="Amiri" w:ascii="Amiri" w:hAnsi="Amiri"/>
          <w:color w:val="111111"/>
          <w:sz w:val="28"/>
          <w:szCs w:val="28"/>
          <w:rtl w:val="true"/>
          <w:lang w:bidi="ar-SA"/>
        </w:rPr>
        <w:t>.</w:t>
      </w:r>
    </w:p>
    <w:p>
      <w:pPr>
        <w:pStyle w:val="Heading5"/>
        <w:numPr>
          <w:ilvl w:val="4"/>
          <w:numId w:val="1"/>
        </w:numPr>
        <w:rPr/>
      </w:pPr>
      <w:bookmarkStart w:id="925" w:name="__RefHeading___Toc13100326_1280447820"/>
      <w:bookmarkStart w:id="926" w:name="_Toc369"/>
      <w:bookmarkEnd w:id="925"/>
      <w:r>
        <w:rPr>
          <w:rtl w:val="true"/>
        </w:rPr>
        <w:t>الثّالث</w:t>
      </w:r>
      <w:r>
        <w:rPr>
          <w:rtl w:val="true"/>
        </w:rPr>
        <w:t>:</w:t>
      </w:r>
      <w:bookmarkEnd w:id="926"/>
    </w:p>
    <w:p>
      <w:pPr>
        <w:pStyle w:val="BookText"/>
        <w:rPr/>
      </w:pPr>
      <w:r>
        <w:rPr>
          <w:rFonts w:ascii="Amiri" w:hAnsi="Amiri" w:eastAsia="Amiri" w:cs="Amiri"/>
          <w:color w:val="111111"/>
          <w:sz w:val="28"/>
          <w:sz w:val="28"/>
          <w:szCs w:val="28"/>
          <w:rtl w:val="true"/>
          <w:lang w:bidi="ar-SA"/>
        </w:rPr>
        <w:t>نبالة المحتد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انّ نُبلَ الَمحْتِد و شرافة الأسرة من معاني المروءة، فمن كان من أسرةٍ لئيمٍ سافلٍ لايصحّ عند العقل أن يلي أمراً من مهامّ أمور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لانعني به التمييز العنصريّ و التفاوت بين طبقات الناس من أهالي المجتمع، فإنّه شيءٌ زيادةً على قبحه عند العقل قد رفضه الإسلام أشدّ 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للتربية الأسرويّة دوراً هامّاً في تكوين شخصيّة الإنسان؛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خضراء الدمن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خضراء الدمن؟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فللمنبت السوء دورٌ في تربية المرأة لايمكن أن يُتغافل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ينتسب إلى أسرةٍ شريفةٍ بحيث كان له حظٌّ وافرٌ من التربية الأسرويّة لايحقّ لمساند الجماعيّة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كاللئام و الأراذل و السفلة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قد أشير إليه في كثيرٍ من المرويّات عن أهل بيت العصمة و الطهارة عليهم السلام؛ فلنشر إلى قسطٍ منها و لنكتف بما روي عن أميرالمؤمنين عليه السلام في هذا المضمار فقط، لأنّها كثيرةٌ جدّاً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فمنه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الدول باصطناع السفل</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 اللئام من نوائب الأيّام</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اللئام مذلّة الكرام</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 الأراذل هلك الأفاضل</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استولى اللئام استهنّ الكرام</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ساد السفل خاب الأمل</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الأدنان تنجرّ إلى الظلم و الفساد</w:t>
      </w:r>
      <w:r>
        <w:rPr>
          <w:rFonts w:eastAsia="Amiri" w:cs="Amiri" w:ascii="Amiri" w:hAnsi="Amiri"/>
          <w:color w:val="111111"/>
          <w:sz w:val="28"/>
          <w:szCs w:val="28"/>
          <w:rtl w:val="true"/>
          <w:lang w:bidi="ar-SA"/>
        </w:rPr>
        <w:t>»</w:t>
      </w:r>
      <w:r>
        <w:rPr>
          <w:rStyle w:val="FootnoteAnchor"/>
          <w:rtl w:val="true"/>
        </w:rPr>
        <w:footnoteReference w:id="56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الأراذل و الأحداث دليلٌ على الانحلال</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اللئيم تكشف مساويه</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فتلخّص ممّا قلنا جميعاً انّ للمروءة معانٍ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ينبىء عن عدم تقيّد المرء بالشريعة؛</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الاحتفاظ على الهويّة الجماعيّة و ذاتيّتها؛</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نبالة المحتد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الثلاثة برمّتها هي من شرائط الوليّ حتّى لم ينه العقل عن متابعة أقواله و آرائه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أيّد الشرع حكم العقل؛ فوجوب براءة الوليّ ممّا يشين المروءة ممّا اتّفق العقل و النقل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تلخيص الكلام في شرائط الفقيه الوليّ، و قد بلغت إلى ثلاثة عشر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القارىء الكريم أن لايصلح أحدٌ لمنصب الولاية على المجتمع إلّاباحراز هذه الشرائط كلّها؛ فلوأخلّ بواحدٍ منها لايحقّ له أن يقوم بهذا المسند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توافق العقل و النقل على اشتراط هذه الشرائط فيه، كما أيّدهما الإجماع في موارد يمكن أن يقال بحجّيّته فيها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ذكرنا كفايةٌ؛ فلنختم الكلام في هذا الفصل حذراً من التطويل؛ و الحمد للّه ربّ العالمين</w:t>
      </w:r>
      <w:r>
        <w:rPr>
          <w:rFonts w:eastAsia="Amiri" w:cs="Amiri" w:ascii="Amiri" w:hAnsi="Amiri"/>
          <w:color w:val="111111"/>
          <w:sz w:val="28"/>
          <w:szCs w:val="28"/>
          <w:rtl w:val="true"/>
          <w:lang w:bidi="ar-SA"/>
        </w:rPr>
        <w:t xml:space="preserve">. </w:t>
      </w:r>
      <w:bookmarkStart w:id="927" w:name="pg18987_179937"/>
    </w:p>
    <w:p>
      <w:pPr>
        <w:pStyle w:val="Heading3"/>
        <w:numPr>
          <w:ilvl w:val="2"/>
          <w:numId w:val="1"/>
        </w:numPr>
        <w:rPr/>
      </w:pPr>
      <w:bookmarkStart w:id="928" w:name="__RefHeading___Toc13100328_1280447820"/>
      <w:bookmarkStart w:id="929" w:name="_Toc370"/>
      <w:bookmarkEnd w:id="927"/>
      <w:bookmarkEnd w:id="928"/>
      <w:r>
        <w:rPr>
          <w:rtl w:val="true"/>
        </w:rPr>
        <w:t>الفصل الرّابع شبهاتٌ حول ولاية الفقيه و الرُّدود عليها</w:t>
      </w:r>
      <w:bookmarkEnd w:id="92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0" w:name="__RefHeading___Toc13100330_1280447820"/>
      <w:bookmarkStart w:id="931" w:name="_Toc371"/>
      <w:bookmarkEnd w:id="930"/>
      <w:r>
        <w:rPr>
          <w:rtl w:val="true"/>
        </w:rPr>
        <w:t>اشارة</w:t>
      </w:r>
      <w:bookmarkEnd w:id="93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الفصل الرّابع شبهاتٌ حول ولاية الفقيه و الرُّدود عليها</w:t>
      </w:r>
    </w:p>
    <w:p>
      <w:pPr>
        <w:pStyle w:val="BookText"/>
        <w:rPr/>
      </w:pPr>
      <w:r>
        <w:rPr>
          <w:rFonts w:ascii="Amiri" w:hAnsi="Amiri" w:eastAsia="Amiri" w:cs="Amiri"/>
          <w:color w:val="111111"/>
          <w:sz w:val="28"/>
          <w:sz w:val="28"/>
          <w:szCs w:val="28"/>
          <w:rtl w:val="true"/>
          <w:lang w:bidi="ar-SA"/>
        </w:rPr>
        <w:t>إنّه قد استشكلت على مسألة ولاية الفقيه إشكالاتٌ كثيرةٌ ربّما يبلغ عددها مأة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أهمّيّة هذه المسألة من الناحية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لها من المكانة الإجتماعيّة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أمرٌ بديهيٌّ، فإنّ إثبات ما للمعصومين عليهم السلام من الولاية في تبيين الأحكام و القضاء و الاجراء لغيرهم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لايدانيه غيره من الأمور الفقهيّة و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عطف النظر إلى كثرة الشّبهات و الإشكالات و الأسؤلة الواردة في أبواب الطهارة و الصلاة و الشهادات و الديات و غيرها من الأبواب الفقهيّة ينبىء عن أنّ ما أثير حول هذه المسألة من الإشكالات و الأسؤلة أمرٌ بديهيٌّ لايستقبحه العقل، بل يستحسنه للأهمّيّة البالغة الّتي حازتها مسألة ولاية الفقيه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فعلينا أن نذكر أهمّ هذه الشّبهات أوّلاً ثمّ نجيب عنها بما تقتضيه الأدلّة، و ذلك بعد الفصح و التحقيق في هذه الشّبهات و مبانيها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عدم ذكر جميع هذه الشّبهات و الإشكالات و الأسؤلة في هذه الرسالة فيرجع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التفت النظر إلى هذه الشّبهات و الأسؤلة يرى انّ بعضها تقريرٌ لبعضٍ آخر، إذ ربّما قرّر بعضهم إشكالاً على صورةٍ غير ما قرّره الآخرون؛ فربّما يرجع قسطٌ منها إلى إشكالٍ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 و الاجابة عنه جوابٌ عن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مباني هذه الشّبهات و الأسؤلة مشتركةٌ في غالب الموارد، إذ سيرى القارىء الكريم انّ لثلّةٍ منها مبنىً واحداً، و التحقيق حول هذا المبنى و الرّد و الاجابة عنه في بيان الجواب عن إشكالٍ يفحص عن رأينا حول غيره من الإشكالات الّتي تشترك معه في المبنى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فنذكر أهمّ هذه الشّبهات و الإشكالات و نذيّل على كلّ واحدٍ منها بما لنا حوله من الآراء و الإيرادات؛ و الحمد للّه ربّ العالمين</w:t>
      </w:r>
      <w:r>
        <w:rPr>
          <w:rFonts w:eastAsia="Amiri" w:cs="Amiri" w:ascii="Amiri" w:hAnsi="Amiri"/>
          <w:color w:val="111111"/>
          <w:sz w:val="28"/>
          <w:szCs w:val="28"/>
          <w:rtl w:val="true"/>
          <w:lang w:bidi="ar-SA"/>
        </w:rPr>
        <w:t xml:space="preserve">. </w:t>
      </w:r>
      <w:bookmarkStart w:id="932" w:name="pg18987_179941"/>
    </w:p>
    <w:p>
      <w:pPr>
        <w:pStyle w:val="Heading4"/>
        <w:numPr>
          <w:ilvl w:val="3"/>
          <w:numId w:val="1"/>
        </w:numPr>
        <w:rPr/>
      </w:pPr>
      <w:bookmarkStart w:id="933" w:name="__RefHeading___Toc13100332_1280447820"/>
      <w:bookmarkStart w:id="934" w:name="_Toc372"/>
      <w:bookmarkEnd w:id="932"/>
      <w:bookmarkEnd w:id="933"/>
      <w:r>
        <w:rPr>
          <w:rtl w:val="true"/>
        </w:rPr>
        <w:t>الإشكال الأوّل</w:t>
      </w:r>
      <w:r>
        <w:rPr>
          <w:rtl w:val="true"/>
        </w:rPr>
        <w:t xml:space="preserve">: </w:t>
      </w:r>
      <w:r>
        <w:rPr>
          <w:rtl w:val="true"/>
        </w:rPr>
        <w:t>الإيراد على مقبولة عمر بن حنظلة سنداً و دلالةً‌</w:t>
      </w:r>
      <w:bookmarkEnd w:id="934"/>
    </w:p>
    <w:p>
      <w:pPr>
        <w:pStyle w:val="Heading5"/>
        <w:numPr>
          <w:ilvl w:val="4"/>
          <w:numId w:val="1"/>
        </w:numPr>
        <w:rPr/>
      </w:pPr>
      <w:bookmarkStart w:id="935" w:name="__RefHeading___Toc13100334_1280447820"/>
      <w:bookmarkStart w:id="936" w:name="_Toc373"/>
      <w:bookmarkEnd w:id="935"/>
      <w:r>
        <w:rPr>
          <w:rtl w:val="true"/>
        </w:rPr>
        <w:t>اشارة</w:t>
      </w:r>
      <w:bookmarkEnd w:id="936"/>
    </w:p>
    <w:p>
      <w:pPr>
        <w:pStyle w:val="BookText"/>
        <w:rPr/>
      </w:pPr>
      <w:r>
        <w:rPr>
          <w:rFonts w:ascii="Amiri" w:hAnsi="Amiri" w:eastAsia="Amiri" w:cs="Amiri"/>
          <w:color w:val="111111"/>
          <w:sz w:val="28"/>
          <w:sz w:val="28"/>
          <w:szCs w:val="28"/>
          <w:rtl w:val="true"/>
          <w:lang w:bidi="ar-SA"/>
        </w:rPr>
        <w:t>و هو ما تعرّض له سيّدنا الأستاذ الإمام الخمينيّ رحمه الله في كتاب البيع و أجاب عنه</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يتركّب 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مقبولة عمر بن حنظلة على فرض تماميّة دلالتها على ثبوت الولاية له هو السند الوحيد لها؛</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مولاناالصادق عليه السلام قد فوّض في هذه المقبولة الولاية إلى الفقيه، ثمّ بموته عليه السلام ينعزل الفقيه عن ولايته؛</w:t>
      </w:r>
    </w:p>
    <w:p>
      <w:pPr>
        <w:pStyle w:val="BookText"/>
        <w:rPr/>
      </w:pPr>
      <w:r>
        <w:rPr>
          <w:rFonts w:ascii="Amiri" w:hAnsi="Amiri" w:eastAsia="Amiri" w:cs="Amiri"/>
          <w:color w:val="111111"/>
          <w:sz w:val="28"/>
          <w:sz w:val="28"/>
          <w:szCs w:val="28"/>
          <w:rtl w:val="true"/>
          <w:lang w:bidi="ar-SA"/>
        </w:rPr>
        <w:t>و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فلاولاية بعده عليه السلام للفقيه</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13100336_1280447820"/>
      <w:bookmarkStart w:id="938" w:name="_Toc374"/>
      <w:bookmarkEnd w:id="937"/>
      <w:r>
        <w:rPr>
          <w:rtl w:val="true"/>
        </w:rPr>
        <w:t>و الجواب</w:t>
      </w:r>
      <w:r>
        <w:rPr>
          <w:rtl w:val="true"/>
        </w:rPr>
        <w:t>:</w:t>
      </w:r>
      <w:bookmarkEnd w:id="938"/>
    </w:p>
    <w:p>
      <w:pPr>
        <w:pStyle w:val="BookText"/>
        <w:rPr/>
      </w:pPr>
      <w:r>
        <w:rPr>
          <w:rFonts w:ascii="Amiri" w:hAnsi="Amiri" w:eastAsia="Amiri" w:cs="Amiri"/>
          <w:color w:val="111111"/>
          <w:sz w:val="28"/>
          <w:sz w:val="28"/>
          <w:szCs w:val="28"/>
          <w:rtl w:val="true"/>
          <w:lang w:bidi="ar-SA"/>
        </w:rPr>
        <w:t>عدم تماميّة هذا الإشكال، بل لنا في مقدّمتيه نظرٌ ظاهرٌ؛</w:t>
      </w:r>
    </w:p>
    <w:p>
      <w:pPr>
        <w:pStyle w:val="BookText"/>
        <w:rPr/>
      </w:pPr>
      <w:r>
        <w:rPr>
          <w:rFonts w:ascii="Amiri" w:hAnsi="Amiri" w:eastAsia="Amiri" w:cs="Amiri"/>
          <w:color w:val="111111"/>
          <w:sz w:val="28"/>
          <w:sz w:val="28"/>
          <w:szCs w:val="28"/>
          <w:rtl w:val="true"/>
          <w:lang w:bidi="ar-SA"/>
        </w:rPr>
        <w:t xml:space="preserve">أمّا المقدّمة الأولى القائلة بأنّ المقبولة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السند الوحيد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لايتفوّه بها إلّامن لم يتدبّر في أدلّة ثبوتها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مضى منّا أنّ الأدلّة الأربعة بأسرها قد تعاضدت عليها، و من جملتها مكاتبة الحجّة عليه السلام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فيها إلى رواة حديثنا، فإنّهم حجّتي عليكم و أنا حجّة اللّه</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فولايته مفوّضةٌ إليه من قبل الحجّة عليه السلام، و الحجّة باقٍ بضرورة المذهب؛ فولايته المفوَّضة إليه من قبله عليه السلام باقيةٌ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الغريب قول بعضهم حيث فسّر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حجّتي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يُحتجّ به، فإذا بيّن الفقيه حديثاً للناس يصير هذا الحديث حجّةً، فلايجوز للناس أن يتخلّفوا منه لأنّه صار حجّةً بينهم و بين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الفقيه هو الحجّة، بل الحجّة هو الحديث الّذي بيّنه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لاتخفى عليك غرابة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تمّم الحجّة عليه السلام قوله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لاخلاف في أنّه هو الحجّة لا ما يبيّنه للناس؛ فوحدة السياق تحكم بأنّ الفقيه حجّةٌ كما انّه عليه السلام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 هذا المعنى الّذي ذكره هذا القائل لايقبله العقل السليم الخالي عن الشوائب و الأوهامات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الثّانية فهي أيضاً غير تامّةٍ، إذ مضت الإشارة في مقدّمات المبحث إلى الفرق بين الولاية و الوكالة؛ و قد قلنا هناك انّ من الفوارق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الوكيل ينعزل بموت موكّله، أمّا الوليّ فلاينعزل بموت من ولّاه على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عيّنه الفقيه لولاية أمر أوقاف البلدة، فانّ من المجمع عليه عدم عزله بموت الفقيه، بل ولايته باقيةٌ حتّى يُنصّ على عزله، فهو حينئذٍ معزولٌ عن ولايته</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 ذهب الشيخ رحمه الله إلى الأوّل، و المحقّق الأردبيليّ رحمه الله إلى الثّاني؛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للمحقّق الآشتيانيّ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السيّد الأستاذ الإمام الخمينيّ رحمه الله لهذا الإشكال جواباً آخر؛ و هو</w:t>
      </w:r>
      <w:r>
        <w:rPr>
          <w:rFonts w:eastAsia="Amiri" w:cs="Amiri" w:ascii="Amiri" w:hAnsi="Amiri"/>
          <w:color w:val="111111"/>
          <w:sz w:val="28"/>
          <w:szCs w:val="28"/>
          <w:rtl w:val="true"/>
          <w:lang w:bidi="ar-SA"/>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سيرة العقلاء تخالف هذا القول، إذ لو عيّن السلطان أحداً لولاية بلدةٍ فلاينعزل هذا الوالي بموت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ولاية العامل على البلد مشروطةً بحياة السلطان، بل لومات السلطان فهو باقٍ على مسنده حتّى ينصّ الّذي يلي السلطان في سلطنته على عزله و عدم ابقائه على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قد حكمت به سيرة العقلاء في جميع الأعصار و الأمصار، فلامعنى لعزل الفقيه عن ولايته بموت مولانا الصادق عليه السلام</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bookmarkStart w:id="939" w:name="pg18987_179944"/>
    </w:p>
    <w:p>
      <w:pPr>
        <w:pStyle w:val="Heading4"/>
        <w:numPr>
          <w:ilvl w:val="3"/>
          <w:numId w:val="1"/>
        </w:numPr>
        <w:rPr/>
      </w:pPr>
      <w:bookmarkStart w:id="940" w:name="__RefHeading___Toc13100338_1280447820"/>
      <w:bookmarkStart w:id="941" w:name="_Toc375"/>
      <w:bookmarkEnd w:id="939"/>
      <w:bookmarkEnd w:id="940"/>
      <w:r>
        <w:rPr>
          <w:rtl w:val="true"/>
        </w:rPr>
        <w:t>الإشكال الثّاني لزوم اللغوعن القول بإعطاء الإمام الصّادق عليه السلام الولاية للفقيه</w:t>
      </w:r>
      <w:bookmarkEnd w:id="941"/>
    </w:p>
    <w:p>
      <w:pPr>
        <w:pStyle w:val="Heading5"/>
        <w:numPr>
          <w:ilvl w:val="4"/>
          <w:numId w:val="1"/>
        </w:numPr>
        <w:rPr/>
      </w:pPr>
      <w:bookmarkStart w:id="942" w:name="__RefHeading___Toc13100340_1280447820"/>
      <w:bookmarkStart w:id="943" w:name="_Toc376"/>
      <w:bookmarkEnd w:id="942"/>
      <w:r>
        <w:rPr>
          <w:rtl w:val="true"/>
        </w:rPr>
        <w:t>اشارة</w:t>
      </w:r>
      <w:bookmarkEnd w:id="943"/>
    </w:p>
    <w:p>
      <w:pPr>
        <w:pStyle w:val="BookText"/>
        <w:rPr/>
      </w:pPr>
      <w:r>
        <w:rPr>
          <w:rFonts w:ascii="Amiri" w:hAnsi="Amiri" w:eastAsia="Amiri" w:cs="Amiri"/>
          <w:color w:val="111111"/>
          <w:sz w:val="28"/>
          <w:sz w:val="28"/>
          <w:szCs w:val="28"/>
          <w:rtl w:val="true"/>
          <w:lang w:bidi="ar-SA"/>
        </w:rPr>
        <w:t>و قد تعرّض له السيّد الأستاذ الإمام الخمينيّ رحمه الله أيضاً في كتاب البيع</w:t>
      </w:r>
      <w:r>
        <w:rPr>
          <w:rStyle w:val="FootnoteAnchor"/>
          <w:rtl w:val="true"/>
        </w:rPr>
        <w:footnoteReference w:id="569"/>
      </w:r>
      <w:r>
        <w:rPr>
          <w:rFonts w:ascii="Amiri" w:hAnsi="Amiri" w:eastAsia="Amiri" w:cs="Amiri"/>
          <w:color w:val="111111"/>
          <w:sz w:val="28"/>
          <w:sz w:val="28"/>
          <w:szCs w:val="28"/>
          <w:rtl w:val="true"/>
          <w:lang w:bidi="ar-SA"/>
        </w:rPr>
        <w:t>في البحث عن ثبوت الولاية للفقيه؛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اللغو على القول باعطاء الصادق عليه السلام الولاية للفقيه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البيّن الّذي لايحتاج إلى مزيدٍ من البيان انّ مولانا الصادق عليه السلام لم يكن مبسوط اليد في زمن حياته الظاهريّة، بل كان محكوماً بأحكام السلاطين في حياته البشريّة الجماعيّة؛ فما معنى جعله أحداً للحكم و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الحكم بحاجةٍ ماسّةٍ إلى مؤيّدٍ و مثبِّتٍ ليقبله الناس و يرضوا به، فإذا لم يكن الإمام عليه السلام مبسوط اليد لم يكن لمن يجعل على عاتقه أمر الحكم مؤيّدٌ ليخضعوا الناس أمام حكمه و ما يحكم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عليه السلام الفقيه وليّاً على الشيعة لغوٌ، و لايصدر اللغو عن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توضيح الإشكال</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13100342_1280447820"/>
      <w:bookmarkStart w:id="945" w:name="_Toc377"/>
      <w:bookmarkEnd w:id="944"/>
      <w:r>
        <w:rPr>
          <w:rtl w:val="true"/>
        </w:rPr>
        <w:t>و الجواب عنه</w:t>
      </w:r>
      <w:r>
        <w:rPr>
          <w:rtl w:val="true"/>
        </w:rPr>
        <w:t>:</w:t>
      </w:r>
      <w:bookmarkEnd w:id="945"/>
    </w:p>
    <w:p>
      <w:pPr>
        <w:pStyle w:val="BookText"/>
        <w:rPr/>
      </w:pPr>
      <w:r>
        <w:rPr>
          <w:rFonts w:ascii="Amiri" w:hAnsi="Amiri" w:eastAsia="Amiri" w:cs="Amiri"/>
          <w:color w:val="111111"/>
          <w:sz w:val="28"/>
          <w:sz w:val="28"/>
          <w:szCs w:val="28"/>
          <w:rtl w:val="true"/>
          <w:lang w:bidi="ar-SA"/>
        </w:rPr>
        <w:t>إنّ القائلين بثبوت الولاية للفقيه يذهبون إلى أنّها من أحكام الشريعة المطهّرة، بل من أهمّ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المؤيّد و المثبِّت في غيرها من أحكام الشريعة هو المؤيّد و المثبّت فيها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الجنّة و النار مثبِّتاً لما وضعه من الأحكام، فجعل الجنّة مآل أمر المؤمنين و النار عاقبة أمر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نهج مولانا الصادق عليه السلام نفس المنهج في هذا الحكم الّذي هو من أهمّ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أهمّ الأحكام الجماعيّة الشرعيّة على الإطلاق؛ فقال عليه السلام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حكم بحكمنا فلم يُقبل منه فإنّما بحكم اللّه استخفّ و علينا ردّ، و </w:t>
      </w:r>
    </w:p>
    <w:p>
      <w:pPr>
        <w:pStyle w:val="BookText"/>
        <w:rPr/>
      </w:pPr>
      <w:r>
        <w:rPr>
          <w:rFonts w:ascii="Amiri" w:hAnsi="Amiri" w:eastAsia="Amiri" w:cs="Amiri"/>
          <w:color w:val="111111"/>
          <w:sz w:val="28"/>
          <w:sz w:val="28"/>
          <w:szCs w:val="28"/>
          <w:rtl w:val="true"/>
          <w:lang w:bidi="ar-SA"/>
        </w:rPr>
        <w:t>الرادّ علينا الرادّ على اللّه و هو على حدّ الشرك باللّه</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أعظم هذا الإنذار و ما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عليه السلام عدم الخضوع لحكم الفقيه الوليّ على حدّ الشرك باللّه؛ و هو أعظم من ترك الصلاة و الصوم و غيرهما من أحكام الشريعة 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المؤيِّد لتلك الأحكام هو المؤيّد لهذا الحكم أيضاً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انّ من المجمع عليه بين الشيعة انّ الفقيه هو المنصوب لأخذ الأخماس و الزكوات و الحكم في الحدود و الديات و غيرهما ممّا يرجع إلى حياة الناس في المجتمع، فالفقيه مبسوط اليد في المجتمع و من لم يقبل حكمه قد سلك سبيل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فلحكمه مؤيّدٌ و مثبّتٌ في ناحيتي الدنيا و العقبى؛ فلايلزم اللغو على القول بدلالة الأدلّة على جعل الفقيه في منصب الولاية؛ فالإشكال مردودٌ لايُصغى إليه</w:t>
      </w:r>
      <w:r>
        <w:rPr>
          <w:rFonts w:eastAsia="Amiri" w:cs="Amiri" w:ascii="Amiri" w:hAnsi="Amiri"/>
          <w:color w:val="111111"/>
          <w:sz w:val="28"/>
          <w:szCs w:val="28"/>
          <w:rtl w:val="true"/>
          <w:lang w:bidi="ar-SA"/>
        </w:rPr>
        <w:t xml:space="preserve">. </w:t>
      </w:r>
      <w:bookmarkStart w:id="946" w:name="pg18987_179946"/>
    </w:p>
    <w:p>
      <w:pPr>
        <w:pStyle w:val="Heading4"/>
        <w:numPr>
          <w:ilvl w:val="3"/>
          <w:numId w:val="1"/>
        </w:numPr>
        <w:rPr/>
      </w:pPr>
      <w:bookmarkStart w:id="947" w:name="__RefHeading___Toc13100344_1280447820"/>
      <w:bookmarkStart w:id="948" w:name="_Toc378"/>
      <w:bookmarkEnd w:id="946"/>
      <w:bookmarkEnd w:id="947"/>
      <w:r>
        <w:rPr>
          <w:rtl w:val="true"/>
        </w:rPr>
        <w:t>الإشكال الثّالث</w:t>
      </w:r>
      <w:r>
        <w:rPr>
          <w:rtl w:val="true"/>
        </w:rPr>
        <w:t xml:space="preserve">: </w:t>
      </w:r>
      <w:r>
        <w:rPr>
          <w:rtl w:val="true"/>
        </w:rPr>
        <w:t>لزوم الهرج و الإضطراب فى المجتمع</w:t>
      </w:r>
      <w:bookmarkEnd w:id="948"/>
    </w:p>
    <w:p>
      <w:pPr>
        <w:pStyle w:val="Heading5"/>
        <w:numPr>
          <w:ilvl w:val="4"/>
          <w:numId w:val="1"/>
        </w:numPr>
        <w:rPr/>
      </w:pPr>
      <w:bookmarkStart w:id="949" w:name="__RefHeading___Toc13100346_1280447820"/>
      <w:bookmarkStart w:id="950" w:name="_Toc379"/>
      <w:bookmarkEnd w:id="949"/>
      <w:r>
        <w:rPr>
          <w:rtl w:val="true"/>
        </w:rPr>
        <w:t>اشارة</w:t>
      </w:r>
      <w:bookmarkEnd w:id="950"/>
    </w:p>
    <w:p>
      <w:pPr>
        <w:pStyle w:val="BookText"/>
        <w:rPr/>
      </w:pPr>
      <w:r>
        <w:rPr>
          <w:rFonts w:ascii="Amiri" w:hAnsi="Amiri" w:eastAsia="Amiri" w:cs="Amiri"/>
          <w:color w:val="111111"/>
          <w:sz w:val="28"/>
          <w:sz w:val="28"/>
          <w:szCs w:val="28"/>
          <w:rtl w:val="true"/>
          <w:lang w:bidi="ar-SA"/>
        </w:rPr>
        <w:t>و هذا الإشكال يرجع إلى لزوم الهرج و الاضطراب في المجتمع على القول بثبوت الولاية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الإمام عليه السلام قد فوّض أمر تولية المجتمع إلى الفقيه، و لكن لاخلاف في أنّ الولاية قد فُوِّضت إلى مصاديق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البديهيّ امتناع تسمية الفقهاء من عهد الإمام إلى زمن قيام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فالحكم جُعل على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فُوِّضت على عاتق من حاز مرتبة الفقاهة؛ و إلى هذا يشير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في حلالنا و حرامنا فليرضوا به حكماً فإنّي قد جعلته عليكم حاكماً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هذا من ناحيةٍ؛</w:t>
      </w:r>
    </w:p>
    <w:p>
      <w:pPr>
        <w:pStyle w:val="BookText"/>
        <w:rPr/>
      </w:pPr>
      <w:r>
        <w:rPr>
          <w:rFonts w:ascii="Amiri" w:hAnsi="Amiri" w:eastAsia="Amiri" w:cs="Amiri"/>
          <w:color w:val="111111"/>
          <w:sz w:val="28"/>
          <w:sz w:val="28"/>
          <w:szCs w:val="28"/>
          <w:rtl w:val="true"/>
          <w:lang w:bidi="ar-SA"/>
        </w:rPr>
        <w:t>و من ناحيةٍ أخرى لاخلاف أيضاً في كثرة الفقهاء بين الشيعة الإماميّة في كلّ عصرٍ، بل في كلّ بلدٍ و مصرٍ، و لكلّ فقيهٍ منصب الحكم، و لامعنى لهذا إلّاتعدّد الحكّام في كلّ بلدٍ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لايقبله العقل السليم، إذ اللازم منه وقوع الهرج و الاضطراب في المجتمع لما لكلّ واحدٍ من الحكّام من الأحكام، فهذا يحكم بحكمٍ و الآخر يحكم بحكمٍ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لايؤول هذا إلّاإلى الاضطراب فتنتفي فائدة جعل الدولة و وضعها؛ إذ السرّ في وضعها هو انتظام الأمور، و هو لايتمّ إلّابتوحّد الحكم 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فلامعنى لجعل الصادق عليه السلام الولاية على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البديهيّ عدم جعله عليه السلام إيّاها على عاتق جمعٍ من الفقهاء قد خصّهم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تسمية الفقهاء، لكثرتهم و بثّهم في بلادٍ شتيتةٍ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انتفى جعل الولاية على العنوان و على المخصوصين بالذكر معاً فلاجعل أصلاً؛ لامتناع فرض صورةٍ ثالثةٍ فيه</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13100348_1280447820"/>
      <w:bookmarkStart w:id="952" w:name="_Toc380"/>
      <w:bookmarkEnd w:id="951"/>
      <w:r>
        <w:rPr>
          <w:rtl w:val="true"/>
        </w:rPr>
        <w:t>و الجواب عنه</w:t>
      </w:r>
      <w:r>
        <w:rPr>
          <w:rtl w:val="true"/>
        </w:rPr>
        <w:t>:</w:t>
      </w:r>
      <w:bookmarkEnd w:id="95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الإشكال صحيحٌ من ناحيةٍ، و لكنّه ناقصٌ من ناحيةٍ أخرى؛ </w:t>
      </w:r>
    </w:p>
    <w:p>
      <w:pPr>
        <w:pStyle w:val="BookText"/>
        <w:rPr/>
      </w:pPr>
      <w:r>
        <w:rPr>
          <w:rFonts w:ascii="Amiri" w:hAnsi="Amiri" w:eastAsia="Amiri" w:cs="Amiri"/>
          <w:color w:val="111111"/>
          <w:sz w:val="28"/>
          <w:sz w:val="28"/>
          <w:szCs w:val="28"/>
          <w:rtl w:val="true"/>
          <w:lang w:bidi="ar-SA"/>
        </w:rPr>
        <w:t xml:space="preserve">أمّا الناحية الأولى فهو بيان السرّ في جعل الدولة و 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انتظام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تامٌّ لاخدشة فيه؛</w:t>
      </w:r>
    </w:p>
    <w:p>
      <w:pPr>
        <w:pStyle w:val="BookText"/>
        <w:rPr/>
      </w:pPr>
      <w:r>
        <w:rPr>
          <w:rFonts w:ascii="Amiri" w:hAnsi="Amiri" w:eastAsia="Amiri" w:cs="Amiri"/>
          <w:color w:val="111111"/>
          <w:sz w:val="28"/>
          <w:sz w:val="28"/>
          <w:szCs w:val="28"/>
          <w:rtl w:val="true"/>
          <w:lang w:bidi="ar-SA"/>
        </w:rPr>
        <w:t xml:space="preserve">أمّا الناحية الثّانية فبأنّ الولاية قد فُوِّضت على عاتق من حاز شرائط الاتّصاف بهذا العنوان، فمن حاز عنوان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ناحيتي العلم و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الولاية على تبيين الأحكام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الولاية على الحكم و الحكومة فلاتُفرض في كلّ عصرٍ إلّالواحدٍ منهم، و هو المختار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اختاروه لهذا المنصب فهو الفقيه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مستند هذا القول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فليرضوا به 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فإنّ الحاكم هو الّذي اختاره أصحاب مسند الفقاهة؛</w:t>
      </w:r>
    </w:p>
    <w:p>
      <w:pPr>
        <w:pStyle w:val="BookText"/>
        <w:rPr/>
      </w:pPr>
      <w:r>
        <w:rPr>
          <w:rFonts w:ascii="Amiri" w:hAnsi="Amiri" w:eastAsia="Amiri" w:cs="Amiri"/>
          <w:color w:val="111111"/>
          <w:sz w:val="28"/>
          <w:sz w:val="28"/>
          <w:szCs w:val="28"/>
          <w:rtl w:val="true"/>
          <w:lang w:bidi="ar-SA"/>
        </w:rPr>
        <w:t>أمّا في عصرنا فهذا من وظائف مجلس الفقهاء و الشيوخ، فإنّهم يكشفون عن الأصلح لهذا المسند و يعرّفونه بالمجتمع؛</w:t>
      </w:r>
    </w:p>
    <w:p>
      <w:pPr>
        <w:pStyle w:val="BookText"/>
        <w:rPr/>
      </w:pPr>
      <w:r>
        <w:rPr>
          <w:rFonts w:ascii="Amiri" w:hAnsi="Amiri" w:eastAsia="Amiri" w:cs="Amiri"/>
          <w:color w:val="111111"/>
          <w:sz w:val="28"/>
          <w:sz w:val="28"/>
          <w:szCs w:val="28"/>
          <w:rtl w:val="true"/>
          <w:lang w:bidi="ar-SA"/>
        </w:rPr>
        <w:t xml:space="preserve">و أمّا في الأعصار المتقدّمة فكان هذا الأمر على عاتق الفقهاء، كما فعله صاحب الجواهر من نصب الشَّيخ الأعظم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المسند</w:t>
      </w:r>
      <w:r>
        <w:rPr>
          <w:rStyle w:val="FootnoteAnchor"/>
          <w:rtl w:val="true"/>
        </w:rPr>
        <w:footnoteReference w:id="571"/>
      </w:r>
      <w:r>
        <w:rPr>
          <w:rFonts w:ascii="Amiri" w:hAnsi="Amiri" w:eastAsia="Amiri" w:cs="Amiri"/>
          <w:color w:val="111111"/>
          <w:sz w:val="28"/>
          <w:sz w:val="28"/>
          <w:szCs w:val="28"/>
          <w:rtl w:val="true"/>
          <w:lang w:bidi="ar-SA"/>
        </w:rPr>
        <w:t xml:space="preserve">و كما فعله أصحاب الشيخ من نصب الميرزه الشيرازيّ الكبير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فلايلزم من هذا وقوع الهرج في المجتمع، بل جعل الحكم على العنوان خير معاضدٍ لبقاء الحكم، و على مصاديق العنوان أن يعيّنوا أحداً لمنصب الحكم حتّى لايؤول الأمر إلى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فهذا الإشكال أيضاً مردودٌ من أصله</w:t>
      </w:r>
      <w:r>
        <w:rPr>
          <w:rFonts w:eastAsia="Amiri" w:cs="Amiri" w:ascii="Amiri" w:hAnsi="Amiri"/>
          <w:color w:val="111111"/>
          <w:sz w:val="28"/>
          <w:szCs w:val="28"/>
          <w:rtl w:val="true"/>
          <w:lang w:bidi="ar-SA"/>
        </w:rPr>
        <w:t xml:space="preserve">. </w:t>
      </w:r>
      <w:bookmarkStart w:id="953" w:name="pg18987_179948"/>
    </w:p>
    <w:p>
      <w:pPr>
        <w:pStyle w:val="Heading4"/>
        <w:numPr>
          <w:ilvl w:val="3"/>
          <w:numId w:val="1"/>
        </w:numPr>
        <w:rPr/>
      </w:pPr>
      <w:bookmarkStart w:id="954" w:name="__RefHeading___Toc13100350_1280447820"/>
      <w:bookmarkStart w:id="955" w:name="_Toc381"/>
      <w:bookmarkEnd w:id="953"/>
      <w:bookmarkEnd w:id="954"/>
      <w:r>
        <w:rPr>
          <w:rtl w:val="true"/>
        </w:rPr>
        <w:t>الإشكال الرّابع التهافت بين ولاية الفقيه و حكومة الجمهوريّة</w:t>
      </w:r>
      <w:bookmarkEnd w:id="955"/>
    </w:p>
    <w:p>
      <w:pPr>
        <w:pStyle w:val="Heading5"/>
        <w:numPr>
          <w:ilvl w:val="4"/>
          <w:numId w:val="1"/>
        </w:numPr>
        <w:rPr/>
      </w:pPr>
      <w:bookmarkStart w:id="956" w:name="__RefHeading___Toc13100352_1280447820"/>
      <w:bookmarkStart w:id="957" w:name="_Toc382"/>
      <w:bookmarkEnd w:id="956"/>
      <w:r>
        <w:rPr>
          <w:rtl w:val="true"/>
        </w:rPr>
        <w:t>اشارة</w:t>
      </w:r>
      <w:bookmarkEnd w:id="957"/>
    </w:p>
    <w:p>
      <w:pPr>
        <w:pStyle w:val="BookText"/>
        <w:rPr/>
      </w:pPr>
      <w:r>
        <w:rPr>
          <w:rFonts w:ascii="Amiri" w:hAnsi="Amiri" w:eastAsia="Amiri" w:cs="Amiri"/>
          <w:color w:val="111111"/>
          <w:sz w:val="28"/>
          <w:sz w:val="28"/>
          <w:szCs w:val="28"/>
          <w:rtl w:val="true"/>
          <w:lang w:bidi="ar-SA"/>
        </w:rPr>
        <w:t>و هذا الإشكال يرجع إلى ما هو الحاصل من فعليّة الولاية للفقيه، و هو الجمهوريّة الإسلاميّة؛ فهذا الإشكال أخصّ من الإشكالات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الولاية ثابتةٌ للفقيه، ثمّ قام الفقيه بأمر الحكم فأسّس الجمهوريّة الإسلاميّة، فحكومة الفقيه هي الجمهوريّة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ما معنى هذا العنوان؟ إذ الجمهوريّة ترجع إلى بسط يد الناس في أمر الحكم؛ بينما انّ الإسلاميّة لامعنى لها إلّا ثبوت الحكم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فوّضه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الفقيه مفوّضٌ إليه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فلادخل للناس في أمر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إلّاتهافتاً بيّناً بين الجمهوريّة و الإسلاميّة بحيث لايمكن القول باجتماع الجزئين في عنوانٍ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فلامعنى للجمهوريّة الإسلاميّة؛ و حيث لامعنى لها فلامعنى لحكومة الفقيه، فلاولاية له</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13100354_1280447820"/>
      <w:bookmarkStart w:id="959" w:name="_Toc383"/>
      <w:bookmarkEnd w:id="958"/>
      <w:r>
        <w:rPr>
          <w:rtl w:val="true"/>
        </w:rPr>
        <w:t>و الجواب</w:t>
      </w:r>
      <w:r>
        <w:rPr>
          <w:rtl w:val="true"/>
        </w:rPr>
        <w:t>:</w:t>
      </w:r>
      <w:bookmarkEnd w:id="959"/>
    </w:p>
    <w:p>
      <w:pPr>
        <w:pStyle w:val="BookText"/>
        <w:rPr/>
      </w:pPr>
      <w:r>
        <w:rPr>
          <w:rFonts w:ascii="Amiri" w:hAnsi="Amiri" w:eastAsia="Amiri" w:cs="Amiri"/>
          <w:color w:val="111111"/>
          <w:sz w:val="28"/>
          <w:sz w:val="28"/>
          <w:szCs w:val="28"/>
          <w:rtl w:val="true"/>
          <w:lang w:bidi="ar-SA"/>
        </w:rPr>
        <w:t>إنّ هذا الإشكال يتمّ بالقول بأنّ الجزئين وقع كلٌّ واحدٍ منهما في عرض الآخر، و لكن لانقول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ولاية الفقيه مفوّضةٌ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لكن ليست ولاية الفقيه كولاية الأئمّة عليهم السلام، إذ ولايتهم عليهم السلام ذاتيّةٌ لهم لادور للناس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أميرالمؤمنين عليه السلام كان وليّاً قبل أن يُخلق أبونا آدم عليه السلام؛ و كذلك في أبنائه المعصومين عليهم السلام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ولاية الفقيه فليس الأمر كذلك، بل لافعليّة لولايته إلّاباختيار الناس، فعلى الناس أن يختاروا عصابةً من الفقهاء لتختار الفقيه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أمر الولاية من مهامّ الأمور، بل لا أهمّ منه؛ و العقل يحكم بوجوب الرجوع فيه إلى أصحاب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كذلك في غيره من مهامّ الأمور، كوجوب الرجوع لاختيار الحاذق من الأطبّاء إليهم، و وجوب الرجوع على من يحتاج إلى خريطة المساحة و تصميم البناء إلى المهندسين و المعمارين ليختاروا له الحاذق في هذه الصناعة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فجمهوريّة الدولة ترجع إلى اختيار الناس أعظاء مجلس الفقهاء و الشيوخ ليختاروا الفقيه الوليّ و يعرّفوه بهم، و اسلاميّتها ترجع إلى أنّ حكمه مفوّضٌ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فلاتهافت بين الجمهوريّة و الإسلاميّة، فلايمكن القول بنفي الولاية عنه لوقوع التهافت بين جزئي العنوان؛ فهذا الإشكال مردودٌ أيضاً</w:t>
      </w:r>
      <w:r>
        <w:rPr>
          <w:rFonts w:eastAsia="Amiri" w:cs="Amiri" w:ascii="Amiri" w:hAnsi="Amiri"/>
          <w:color w:val="111111"/>
          <w:sz w:val="28"/>
          <w:szCs w:val="28"/>
          <w:rtl w:val="true"/>
          <w:lang w:bidi="ar-SA"/>
        </w:rPr>
        <w:t xml:space="preserve">. </w:t>
      </w:r>
      <w:bookmarkStart w:id="960" w:name="pg18987_179950"/>
    </w:p>
    <w:p>
      <w:pPr>
        <w:pStyle w:val="Heading4"/>
        <w:numPr>
          <w:ilvl w:val="3"/>
          <w:numId w:val="1"/>
        </w:numPr>
        <w:rPr/>
      </w:pPr>
      <w:bookmarkStart w:id="961" w:name="__RefHeading___Toc13100356_1280447820"/>
      <w:bookmarkStart w:id="962" w:name="_Toc384"/>
      <w:bookmarkEnd w:id="960"/>
      <w:bookmarkEnd w:id="961"/>
      <w:r>
        <w:rPr>
          <w:rtl w:val="true"/>
        </w:rPr>
        <w:t>الإشكال الخامس الدَّور</w:t>
      </w:r>
      <w:bookmarkEnd w:id="962"/>
    </w:p>
    <w:p>
      <w:pPr>
        <w:pStyle w:val="Heading5"/>
        <w:numPr>
          <w:ilvl w:val="4"/>
          <w:numId w:val="1"/>
        </w:numPr>
        <w:rPr/>
      </w:pPr>
      <w:bookmarkStart w:id="963" w:name="__RefHeading___Toc13100358_1280447820"/>
      <w:bookmarkStart w:id="964" w:name="_Toc385"/>
      <w:bookmarkEnd w:id="963"/>
      <w:r>
        <w:rPr>
          <w:rtl w:val="true"/>
        </w:rPr>
        <w:t>اشارة</w:t>
      </w:r>
      <w:bookmarkEnd w:id="964"/>
    </w:p>
    <w:p>
      <w:pPr>
        <w:pStyle w:val="BookText"/>
        <w:rPr/>
      </w:pPr>
      <w:r>
        <w:rPr>
          <w:rFonts w:ascii="Amiri" w:hAnsi="Amiri" w:eastAsia="Amiri" w:cs="Amiri"/>
          <w:color w:val="111111"/>
          <w:sz w:val="28"/>
          <w:sz w:val="28"/>
          <w:szCs w:val="28"/>
          <w:rtl w:val="true"/>
          <w:lang w:bidi="ar-SA"/>
        </w:rPr>
        <w:t>و هذا الإشكال أيضاً يرجع إلى فعليّة ثبوت الحكم لأحدٍ من الفقهاء و 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فلالسان لهذا الإشكال على نفي الولاية عن الفقيه، بل رجوعه إلى كيفيّة ثبوت هذا المنصب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وظائف الحاكم في الدولة الإسلاميّة تعيين أعضاء مجلس مراقبي القانون الدُّستوريّ، فهو يختار ثلّةً من الفقهاء كأعضاء هذا المجلس العالي؛</w:t>
      </w:r>
    </w:p>
    <w:p>
      <w:pPr>
        <w:pStyle w:val="BookText"/>
        <w:rPr/>
      </w:pPr>
      <w:r>
        <w:rPr>
          <w:rFonts w:ascii="Amiri" w:hAnsi="Amiri" w:eastAsia="Amiri" w:cs="Amiri"/>
          <w:color w:val="111111"/>
          <w:sz w:val="28"/>
          <w:sz w:val="28"/>
          <w:szCs w:val="28"/>
          <w:rtl w:val="true"/>
          <w:lang w:bidi="ar-SA"/>
        </w:rPr>
        <w:t>ثمّ إنّ من وظائفهم أن يعيّنوا جمعاً من الفقهاء الصالحين لعضويّة مجلس الفقهاء و الشيوخ، فيختار الناس بعضهم ليكونوا أعضاء هذا المجلس؛</w:t>
      </w:r>
    </w:p>
    <w:p>
      <w:pPr>
        <w:pStyle w:val="BookText"/>
        <w:rPr/>
      </w:pPr>
      <w:r>
        <w:rPr>
          <w:rFonts w:ascii="Amiri" w:hAnsi="Amiri" w:eastAsia="Amiri" w:cs="Amiri"/>
          <w:color w:val="111111"/>
          <w:sz w:val="28"/>
          <w:sz w:val="28"/>
          <w:szCs w:val="28"/>
          <w:rtl w:val="true"/>
          <w:lang w:bidi="ar-SA"/>
        </w:rPr>
        <w:t>ثمّ على المنتخبين لعضويّة هذا المجلس أن يختاروا الفقيه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فالوليّ يختار أعضاء مجلس مراقبي القانون الدُّستوريّ؛</w:t>
      </w:r>
    </w:p>
    <w:p>
      <w:pPr>
        <w:pStyle w:val="BookText"/>
        <w:rPr/>
      </w:pPr>
      <w:r>
        <w:rPr>
          <w:rFonts w:ascii="Amiri" w:hAnsi="Amiri" w:eastAsia="Amiri" w:cs="Amiri"/>
          <w:color w:val="111111"/>
          <w:sz w:val="28"/>
          <w:sz w:val="28"/>
          <w:szCs w:val="28"/>
          <w:rtl w:val="true"/>
          <w:lang w:bidi="ar-SA"/>
        </w:rPr>
        <w:t>و أعضاء هذا المجلس يختارون الصالحين لعضويّة مجلس الفقهاء و الشيوخ؛</w:t>
      </w:r>
    </w:p>
    <w:p>
      <w:pPr>
        <w:pStyle w:val="BookText"/>
        <w:rPr/>
      </w:pPr>
      <w:r>
        <w:rPr>
          <w:rFonts w:ascii="Amiri" w:hAnsi="Amiri" w:eastAsia="Amiri" w:cs="Amiri"/>
          <w:color w:val="111111"/>
          <w:sz w:val="28"/>
          <w:sz w:val="28"/>
          <w:szCs w:val="28"/>
          <w:rtl w:val="true"/>
          <w:lang w:bidi="ar-SA"/>
        </w:rPr>
        <w:t>و أعضاء هذا المجلس يختارون الفقيه الوليّ؛</w:t>
      </w:r>
    </w:p>
    <w:p>
      <w:pPr>
        <w:pStyle w:val="BookText"/>
        <w:rPr/>
      </w:pPr>
      <w:r>
        <w:rPr>
          <w:rFonts w:ascii="Amiri" w:hAnsi="Amiri" w:eastAsia="Amiri" w:cs="Amiri"/>
          <w:color w:val="111111"/>
          <w:sz w:val="28"/>
          <w:sz w:val="28"/>
          <w:szCs w:val="28"/>
          <w:rtl w:val="true"/>
          <w:lang w:bidi="ar-SA"/>
        </w:rPr>
        <w:t>و هذا دورٌ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الدور باطلٌ؛ فهذه الكيفيّة الّتي بها تثبت الولاية لأحدٍ من الفقهاء باطلةٌ؛ فنفس فعليّة ولايته باطلةٌ</w:t>
      </w:r>
      <w:r>
        <w:rPr>
          <w:rFonts w:eastAsia="Amiri" w:cs="Amiri" w:ascii="Amiri" w:hAnsi="Amiri"/>
          <w:color w:val="111111"/>
          <w:sz w:val="28"/>
          <w:szCs w:val="28"/>
          <w:rtl w:val="true"/>
          <w:lang w:bidi="ar-SA"/>
        </w:rPr>
        <w:t>.</w:t>
      </w:r>
    </w:p>
    <w:p>
      <w:pPr>
        <w:pStyle w:val="Heading5"/>
        <w:numPr>
          <w:ilvl w:val="4"/>
          <w:numId w:val="1"/>
        </w:numPr>
        <w:rPr/>
      </w:pPr>
      <w:bookmarkStart w:id="965" w:name="__RefHeading___Toc13100360_1280447820"/>
      <w:bookmarkStart w:id="966" w:name="_Toc386"/>
      <w:bookmarkEnd w:id="965"/>
      <w:r>
        <w:rPr>
          <w:rtl w:val="true"/>
        </w:rPr>
        <w:t>و الجواب</w:t>
      </w:r>
      <w:r>
        <w:rPr>
          <w:rtl w:val="true"/>
        </w:rPr>
        <w:t>:</w:t>
      </w:r>
      <w:bookmarkEnd w:id="96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بالتنبيه بالفرق بين أقسام الدور، و هذا أمرٌ قد فُصِّل فيه الكلام في علمي المنطق و الحكمة الإلهيّة، إذ الدور الباطل هو الدور في توقّف وجود شيءٍ على شيءٍ آخر و توقف هذا الشيء الثّاني في وجوده على الشيء الأوّل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كالأب و الابن حيث إنّ وجود الابن متوقّفٌ على وجود الأب، فلوكان وجود الأب متوقّفاً على وجود الإبن أيضاً يحكم العقل ببطلانه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الدور المصطلح الّذي حكم العقل ببطلانه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السرّ فيه وجوب تقدّم الشيء على نفسه، إذ اللازم منه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علّةً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على نفسه بمرحلتين، إذ هو العلّة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بطلانه بديهيٌّ؛</w:t>
      </w:r>
    </w:p>
    <w:p>
      <w:pPr>
        <w:pStyle w:val="BookText"/>
        <w:rPr/>
      </w:pPr>
      <w:r>
        <w:rPr>
          <w:rFonts w:ascii="Amiri" w:hAnsi="Amiri" w:eastAsia="Amiri" w:cs="Amiri"/>
          <w:color w:val="111111"/>
          <w:sz w:val="28"/>
          <w:sz w:val="28"/>
          <w:szCs w:val="28"/>
          <w:rtl w:val="true"/>
          <w:lang w:bidi="ar-SA"/>
        </w:rPr>
        <w:t>أمّا الدور المسمّى بالدور اللِّبنيّ فلامحذور فيه، إذ ليس كلٌّ من اللِّبنتين متوقّفاً على الآخر في الوجود، بل كلٌّ منهما في وجوده معلولٌ لعلّةٍ غير الآخر، و إنّما افتقار كلٍّ منهما إلى الآخر في قيام الأوّل بالثاني و الثّاني بالأوّل؛ و تفصيل الكلام فيه موكولٌ إلى محلّه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وجود كلٍّ من هذه الثلاثة متوقّفاً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لاارتباط بين الثلاثة إلّاباختيار الأوّل أعضاء الثّاني، و اختيار الثّاني الصالحين لعضويّة الثّالث، و اختيار الثّالث الصالح لمسند الولاية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ما لآراء الناس من الدور البنّاء الهامّ في اختيار أعضاء مجلس الفقهاء و الشيوخ؛ فلادور أيضاً</w:t>
      </w:r>
      <w:r>
        <w:rPr>
          <w:rFonts w:eastAsia="Amiri" w:cs="Amiri" w:ascii="Amiri" w:hAnsi="Amiri"/>
          <w:color w:val="111111"/>
          <w:sz w:val="28"/>
          <w:szCs w:val="28"/>
          <w:rtl w:val="true"/>
          <w:lang w:bidi="ar-SA"/>
        </w:rPr>
        <w:t xml:space="preserve">. </w:t>
      </w:r>
      <w:bookmarkStart w:id="967" w:name="pg18987_179952"/>
    </w:p>
    <w:p>
      <w:pPr>
        <w:pStyle w:val="Heading4"/>
        <w:numPr>
          <w:ilvl w:val="3"/>
          <w:numId w:val="1"/>
        </w:numPr>
        <w:rPr/>
      </w:pPr>
      <w:bookmarkStart w:id="968" w:name="__RefHeading___Toc13100362_1280447820"/>
      <w:bookmarkStart w:id="969" w:name="_Toc387"/>
      <w:bookmarkEnd w:id="967"/>
      <w:bookmarkEnd w:id="968"/>
      <w:r>
        <w:rPr>
          <w:rtl w:val="true"/>
        </w:rPr>
        <w:t>الإشكال السّادس كفاية العقل فى الحكم و الحكومة</w:t>
      </w:r>
      <w:bookmarkEnd w:id="969"/>
    </w:p>
    <w:p>
      <w:pPr>
        <w:pStyle w:val="Heading5"/>
        <w:numPr>
          <w:ilvl w:val="4"/>
          <w:numId w:val="1"/>
        </w:numPr>
        <w:rPr/>
      </w:pPr>
      <w:bookmarkStart w:id="970" w:name="__RefHeading___Toc13100364_1280447820"/>
      <w:bookmarkStart w:id="971" w:name="_Toc388"/>
      <w:bookmarkEnd w:id="970"/>
      <w:r>
        <w:rPr>
          <w:rtl w:val="true"/>
        </w:rPr>
        <w:t>اشارة</w:t>
      </w:r>
      <w:bookmarkEnd w:id="971"/>
    </w:p>
    <w:p>
      <w:pPr>
        <w:pStyle w:val="BookText"/>
        <w:rPr/>
      </w:pPr>
      <w:r>
        <w:rPr>
          <w:rFonts w:ascii="Amiri" w:hAnsi="Amiri" w:eastAsia="Amiri" w:cs="Amiri"/>
          <w:color w:val="111111"/>
          <w:sz w:val="28"/>
          <w:sz w:val="28"/>
          <w:szCs w:val="28"/>
          <w:rtl w:val="true"/>
          <w:lang w:bidi="ar-SA"/>
        </w:rPr>
        <w:t xml:space="preserve">و مدار هذا الإشكال على كفاية العقل في الحكم بعدم لزوم الولاية للفقيه؛ فهذا الإشكال يدور على أنّ العقل يحكم بأنّه لا لزوم في جعل الولاية على عاتق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فقيهاً كان أو غير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فلالسان له على نفي أصل الولاية عنه، بل له لسانٌ على عدم لزوم ثبوتها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للعقل قضيّةً عقليّةً يقبلها و يحكم بصحّتها، و هي تتركّب من مقدّمتين؛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في لزوم الحكم و الحكومة في المجتمع حذراً عن وقوع الهرج و الاضطراب في حياة الناس الجمعيّة؛</w:t>
      </w:r>
    </w:p>
    <w:p>
      <w:pPr>
        <w:pStyle w:val="BookText"/>
        <w:rPr/>
      </w:pPr>
      <w:r>
        <w:rPr>
          <w:rFonts w:ascii="Amiri" w:hAnsi="Amiri" w:eastAsia="Amiri" w:cs="Amiri"/>
          <w:color w:val="111111"/>
          <w:sz w:val="28"/>
          <w:sz w:val="28"/>
          <w:szCs w:val="28"/>
          <w:rtl w:val="true"/>
          <w:lang w:bidi="ar-SA"/>
        </w:rPr>
        <w:t>و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يقتدر على تدبير الملك و سياسته فله أن يترأّس على المجتمع؛</w:t>
      </w:r>
    </w:p>
    <w:p>
      <w:pPr>
        <w:pStyle w:val="BookText"/>
        <w:rPr/>
      </w:pPr>
      <w:r>
        <w:rPr>
          <w:rFonts w:ascii="Amiri" w:hAnsi="Amiri" w:eastAsia="Amiri" w:cs="Amiri"/>
          <w:color w:val="111111"/>
          <w:sz w:val="28"/>
          <w:sz w:val="28"/>
          <w:szCs w:val="28"/>
          <w:rtl w:val="true"/>
          <w:lang w:bidi="ar-SA"/>
        </w:rPr>
        <w:t>و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الولاية ثابتةٌ بحكم العقل لكلّ من هو قادرٌ للقيام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العنوان أعمّ من الفقيه، فلايلزم أن يكون الفقيه وليّاً على المجتمع مفوّضٌ إليه الولاية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Heading5"/>
        <w:numPr>
          <w:ilvl w:val="4"/>
          <w:numId w:val="1"/>
        </w:numPr>
        <w:rPr/>
      </w:pPr>
      <w:bookmarkStart w:id="972" w:name="__RefHeading___Toc13100366_1280447820"/>
      <w:bookmarkStart w:id="973" w:name="_Toc389"/>
      <w:bookmarkEnd w:id="972"/>
      <w:r>
        <w:rPr>
          <w:rtl w:val="true"/>
        </w:rPr>
        <w:t>و الجواب</w:t>
      </w:r>
      <w:bookmarkEnd w:id="973"/>
    </w:p>
    <w:p>
      <w:pPr>
        <w:pStyle w:val="Heading6"/>
        <w:numPr>
          <w:ilvl w:val="5"/>
          <w:numId w:val="1"/>
        </w:numPr>
        <w:rPr/>
      </w:pPr>
      <w:bookmarkStart w:id="974" w:name="__RefHeading___Toc13100368_1280447820"/>
      <w:bookmarkStart w:id="975" w:name="_Toc390"/>
      <w:bookmarkEnd w:id="974"/>
      <w:r>
        <w:rPr>
          <w:rtl w:val="true"/>
        </w:rPr>
        <w:t>اشارة</w:t>
      </w:r>
      <w:bookmarkEnd w:id="975"/>
    </w:p>
    <w:p>
      <w:pPr>
        <w:pStyle w:val="BookText"/>
        <w:rPr/>
      </w:pPr>
      <w:r>
        <w:rPr>
          <w:rFonts w:ascii="Amiri" w:hAnsi="Amiri" w:eastAsia="Amiri" w:cs="Amiri"/>
          <w:color w:val="111111"/>
          <w:sz w:val="28"/>
          <w:sz w:val="28"/>
          <w:szCs w:val="28"/>
          <w:rtl w:val="true"/>
          <w:lang w:bidi="ar-SA"/>
        </w:rPr>
        <w:t>عن هذا الإشكال يتمّ بالنظر في ما لنا من الإيرادات حول هذه القضيّة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6"/>
        <w:numPr>
          <w:ilvl w:val="5"/>
          <w:numId w:val="1"/>
        </w:numPr>
        <w:rPr/>
      </w:pPr>
      <w:bookmarkStart w:id="976" w:name="__RefHeading___Toc13100370_1280447820"/>
      <w:bookmarkStart w:id="977" w:name="_Toc391"/>
      <w:bookmarkEnd w:id="976"/>
      <w:r>
        <w:rPr>
          <w:rtl w:val="true"/>
        </w:rPr>
        <w:t>النظر الأوّل</w:t>
      </w:r>
      <w:r>
        <w:rPr>
          <w:rtl w:val="true"/>
        </w:rPr>
        <w:t>:</w:t>
      </w:r>
      <w:bookmarkEnd w:id="977"/>
    </w:p>
    <w:p>
      <w:pPr>
        <w:pStyle w:val="BookText"/>
        <w:rPr/>
      </w:pPr>
      <w:r>
        <w:rPr>
          <w:rFonts w:ascii="Amiri" w:hAnsi="Amiri" w:eastAsia="Amiri" w:cs="Amiri"/>
          <w:color w:val="111111"/>
          <w:sz w:val="28"/>
          <w:sz w:val="28"/>
          <w:szCs w:val="28"/>
          <w:rtl w:val="true"/>
          <w:lang w:bidi="ar-SA"/>
        </w:rPr>
        <w:t xml:space="preserve">فانّ هذه القضيّة أخصّ ممّا نحن فيه، إذ ليس الكلام في البحث عن لزوم أصل الولاية في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المفروغ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الكلام كلّه في كيفيّة الدولة في المجتمعات الإسلاميّة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الّتي نبحث عنها هيهنا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للإسلام نظريّةٌ و عرضٌ في </w:t>
      </w:r>
      <w:bookmarkStart w:id="978" w:name="pg18987_179953"/>
    </w:p>
    <w:p>
      <w:pPr>
        <w:pStyle w:val="BookText"/>
        <w:rPr/>
      </w:pPr>
      <w:bookmarkEnd w:id="978"/>
      <w:r>
        <w:rPr>
          <w:rFonts w:ascii="Amiri" w:hAnsi="Amiri" w:eastAsia="Amiri" w:cs="Amiri"/>
          <w:color w:val="111111"/>
          <w:sz w:val="28"/>
          <w:sz w:val="28"/>
          <w:szCs w:val="28"/>
          <w:rtl w:val="true"/>
          <w:lang w:bidi="ar-SA"/>
        </w:rPr>
        <w:t>مسألة الحكم و الحكومة كما له أحكامٌ في العبادات و المعاملات؟ أم هو ساكتٌ عن مسألة الحكم لا كلام 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لاريب في أنّ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لهم من الطبع المدنيّ كغيرهم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العيش في المجتمع، و مجتمعهم مجتمعٌ إسلاميٌّ يحكم عليه الإسلام بما له من الأحكام، و لاريب في ثبوت الأحكام الفرديّة في الإسلام؛ فهل له الأحكام الجماعيّة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كفانا مؤونة الجواب عنه ما مضى في هذه الرسالة من الآيات و الروايات الكثيرة الدالّة على ثبوت الحكم للأنبياء و الأئمّة و المستخلفين منهم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من صورة القياس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في لزوم الحكم و الحكومة في المجتمع الإسلاميّ حذراً عن وقوع الهرج و الاضطراب في حياة الناس الجمعيّة؛</w:t>
      </w:r>
    </w:p>
    <w:p>
      <w:pPr>
        <w:pStyle w:val="BookText"/>
        <w:rPr/>
      </w:pPr>
      <w:r>
        <w:rPr>
          <w:rFonts w:ascii="Amiri" w:hAnsi="Amiri" w:eastAsia="Amiri" w:cs="Amiri"/>
          <w:color w:val="111111"/>
          <w:sz w:val="28"/>
          <w:sz w:val="28"/>
          <w:szCs w:val="28"/>
          <w:rtl w:val="true"/>
          <w:lang w:bidi="ar-SA"/>
        </w:rPr>
        <w:t>و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يقتدر على تدبير الملك و سياسته على ما تقتضيه الشريعة و تعيّنها و ترسمها فله أن يترأّس على المجتمع؛</w:t>
      </w:r>
    </w:p>
    <w:p>
      <w:pPr>
        <w:pStyle w:val="BookText"/>
        <w:rPr/>
      </w:pPr>
      <w:r>
        <w:rPr>
          <w:rFonts w:ascii="Amiri" w:hAnsi="Amiri" w:eastAsia="Amiri" w:cs="Amiri"/>
          <w:color w:val="111111"/>
          <w:sz w:val="28"/>
          <w:sz w:val="28"/>
          <w:szCs w:val="28"/>
          <w:rtl w:val="true"/>
          <w:lang w:bidi="ar-SA"/>
        </w:rPr>
        <w:t>و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الولاية ثابتةٌ بحكم العقل لكلّ من هو قادرٌ للقيام بها، و ليس هو إلّاالفقيه العادل المدبّر الّذي يستطيع أن يحمل أعباء الحكم و السلطة</w:t>
      </w:r>
      <w:r>
        <w:rPr>
          <w:rFonts w:eastAsia="Amiri" w:cs="Amiri" w:ascii="Amiri" w:hAnsi="Amiri"/>
          <w:color w:val="111111"/>
          <w:sz w:val="28"/>
          <w:szCs w:val="28"/>
          <w:rtl w:val="true"/>
          <w:lang w:bidi="ar-SA"/>
        </w:rPr>
        <w:t>.</w:t>
      </w:r>
    </w:p>
    <w:p>
      <w:pPr>
        <w:pStyle w:val="Heading6"/>
        <w:numPr>
          <w:ilvl w:val="5"/>
          <w:numId w:val="1"/>
        </w:numPr>
        <w:rPr/>
      </w:pPr>
      <w:bookmarkStart w:id="979" w:name="__RefHeading___Toc13100372_1280447820"/>
      <w:bookmarkStart w:id="980" w:name="_Toc392"/>
      <w:bookmarkEnd w:id="979"/>
      <w:r>
        <w:rPr>
          <w:rtl w:val="true"/>
        </w:rPr>
        <w:t>النظر الثّاني</w:t>
      </w:r>
      <w:r>
        <w:rPr>
          <w:rtl w:val="true"/>
        </w:rPr>
        <w:t>:</w:t>
      </w:r>
      <w:bookmarkEnd w:id="98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كبرى القضية القائلة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من يقدر على تدبير الملك و سياسته فله أن يترأّس على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لايقبله العقل، إذ لاريب في أنّ منصب الولاية و الحكم من أرفع المناصب و أعلاها، بل لا أرفع منه في المناصب الإجتماعيّة؛ فيحكم العقل بأنّ من يلي هذا المسند يجب أن يتّصف بكثيرٍ من الأوصاف و الشرائط ليتمكّن من تدبير أمر الناس على ما يليق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المتيقّن من هذه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لايتردّد العقل في وجوب اتّصاف الوالي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الخبرويّة و العدالة و الكفاية لسياسة الأمور، بينما انّ الشرطين الأوّلين قد خُبِتَ ذكرُهما في كبرى القضيّة؛ فهي إذاً ناقصةٌ</w:t>
      </w:r>
      <w:r>
        <w:rPr>
          <w:rFonts w:eastAsia="Amiri" w:cs="Amiri" w:ascii="Amiri" w:hAnsi="Amiri"/>
          <w:color w:val="111111"/>
          <w:sz w:val="28"/>
          <w:szCs w:val="28"/>
          <w:rtl w:val="true"/>
          <w:lang w:bidi="ar-SA"/>
        </w:rPr>
        <w:t xml:space="preserve">. </w:t>
      </w:r>
      <w:bookmarkStart w:id="981" w:name="pg18987_179954"/>
    </w:p>
    <w:p>
      <w:pPr>
        <w:pStyle w:val="BookText"/>
        <w:rPr/>
      </w:pPr>
      <w:bookmarkEnd w:id="981"/>
      <w:r>
        <w:rPr>
          <w:rFonts w:ascii="Amiri" w:hAnsi="Amiri" w:eastAsia="Amiri" w:cs="Amiri"/>
          <w:color w:val="111111"/>
          <w:sz w:val="28"/>
          <w:sz w:val="28"/>
          <w:szCs w:val="28"/>
          <w:rtl w:val="true"/>
          <w:lang w:bidi="ar-SA"/>
        </w:rPr>
        <w:t>و لامعنى للخبرويّة في المجتمع الإسلاميّ إلّاالخبرويّة في معرفة آراء الإسلام في العقائد و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من صورة الكبرى يحصل بانضمام هذين الشرطين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إذن مثبتةٌ لما نحن بصدده و لاتهافت بينهما بوجهٍ</w:t>
      </w:r>
      <w:r>
        <w:rPr>
          <w:rFonts w:eastAsia="Amiri" w:cs="Amiri" w:ascii="Amiri" w:hAnsi="Amiri"/>
          <w:color w:val="111111"/>
          <w:sz w:val="28"/>
          <w:szCs w:val="28"/>
          <w:rtl w:val="true"/>
          <w:lang w:bidi="ar-SA"/>
        </w:rPr>
        <w:t>.</w:t>
      </w:r>
    </w:p>
    <w:p>
      <w:pPr>
        <w:pStyle w:val="Heading6"/>
        <w:numPr>
          <w:ilvl w:val="5"/>
          <w:numId w:val="1"/>
        </w:numPr>
        <w:rPr/>
      </w:pPr>
      <w:bookmarkStart w:id="982" w:name="__RefHeading___Toc13100374_1280447820"/>
      <w:bookmarkStart w:id="983" w:name="_Toc393"/>
      <w:bookmarkEnd w:id="982"/>
      <w:r>
        <w:rPr>
          <w:rtl w:val="true"/>
        </w:rPr>
        <w:t>النظر الثّالث</w:t>
      </w:r>
      <w:r>
        <w:rPr>
          <w:rtl w:val="true"/>
        </w:rPr>
        <w:t>:</w:t>
      </w:r>
      <w:bookmarkEnd w:id="983"/>
    </w:p>
    <w:p>
      <w:pPr>
        <w:pStyle w:val="BookText"/>
        <w:rPr/>
      </w:pPr>
      <w:r>
        <w:rPr>
          <w:rFonts w:ascii="Amiri" w:hAnsi="Amiri" w:eastAsia="Amiri" w:cs="Amiri"/>
          <w:color w:val="111111"/>
          <w:sz w:val="28"/>
          <w:sz w:val="28"/>
          <w:szCs w:val="28"/>
          <w:rtl w:val="true"/>
          <w:lang w:bidi="ar-SA"/>
        </w:rPr>
        <w:t xml:space="preserve">إنّ هذه القضية العقليّة تنافي ما مضت الإشارة إليه من أنّ للعقل قاعدةً أخرى يحكم بصحّتها من بادىء الأمر، و هي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 لأحدٍ أن يسلّط على أحدٍ إلّا ما أخرجه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القاعدة هي من مقتضيات العقل النظريّ كما يحكم العقل العمليّ بجريانها في أمر الحكم و الدولة؛ و لامعنى لتعارض العقليّين إلّابطلان أحدهما و كونه شبهةً مزيّفةً في صورة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تحقيق ما هو الحقّ من بين القضيّتين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بتقدّم الثّانية على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لكلّ من يقتدر على تدبير الملك أن يولّى أمره،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لاحكم لأحدٍ على أحدٍ إلّاما أخرجه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كلّهم عباد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مُلْكُ السَّمَاوَاتِ وَ الْأَرْضِ</w:t>
      </w:r>
      <w:r>
        <w:rPr>
          <w:rFonts w:eastAsia="Amiri" w:cs="Amiri" w:ascii="Amiri" w:hAnsi="Amiri"/>
          <w:color w:val="111111"/>
          <w:sz w:val="28"/>
          <w:szCs w:val="28"/>
          <w:rtl w:val="true"/>
          <w:lang w:bidi="ar-SA"/>
        </w:rPr>
        <w:t>»</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للقيام بالولاية و فوّضها إليه فهو الدليل لتخصيص القاعدة القائلة بنفي الحكم لأحدٍ على أحدٍ، بل له الحكم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لاخلاف في ثبوت هذا التفويض للنبيّ صلى الله عليه و آله و أئمّة أهل البيت عليهم السلام، و لاخلاف أيضاً في حاجة الناس في عصر الغيبة إلى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فوّض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أمر الولاية في عصر الغيبة هو الّذي له أن يترأّس على المجتمع،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يقتدر على إدارته و سياسته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إلّا الفقيه العادل المدبّر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كفانا مؤونة التفصيل حول هذا الحصر ما مضى في هذه الرسالة من دلالة الأدلّة الأربعة على ثبوتها له</w:t>
      </w:r>
      <w:r>
        <w:rPr>
          <w:rFonts w:eastAsia="Amiri" w:cs="Amiri" w:ascii="Amiri" w:hAnsi="Amiri"/>
          <w:color w:val="111111"/>
          <w:sz w:val="28"/>
          <w:szCs w:val="28"/>
          <w:rtl w:val="true"/>
          <w:lang w:bidi="ar-SA"/>
        </w:rPr>
        <w:t>.</w:t>
      </w:r>
    </w:p>
    <w:p>
      <w:pPr>
        <w:pStyle w:val="Heading6"/>
        <w:numPr>
          <w:ilvl w:val="5"/>
          <w:numId w:val="1"/>
        </w:numPr>
        <w:rPr/>
      </w:pPr>
      <w:bookmarkStart w:id="984" w:name="__RefHeading___Toc13100376_1280447820"/>
      <w:bookmarkStart w:id="985" w:name="_Toc394"/>
      <w:bookmarkEnd w:id="984"/>
      <w:r>
        <w:rPr>
          <w:rtl w:val="true"/>
        </w:rPr>
        <w:t>النظر الرّابع</w:t>
      </w:r>
      <w:r>
        <w:rPr>
          <w:rtl w:val="true"/>
        </w:rPr>
        <w:t>:</w:t>
      </w:r>
      <w:bookmarkEnd w:id="98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يحكم بلزوم الحكم على المجتمع، و لكن هيهنا اقتراحان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الاقتراح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القول بكفاية التدبير في الوالي؛</w:t>
      </w:r>
    </w:p>
    <w:p>
      <w:pPr>
        <w:pStyle w:val="BookText"/>
        <w:rPr/>
      </w:pPr>
      <w:r>
        <w:rPr>
          <w:rFonts w:ascii="Amiri" w:hAnsi="Amiri" w:eastAsia="Amiri" w:cs="Amiri"/>
          <w:color w:val="111111"/>
          <w:sz w:val="28"/>
          <w:sz w:val="28"/>
          <w:szCs w:val="28"/>
          <w:rtl w:val="true"/>
          <w:lang w:bidi="ar-SA"/>
        </w:rPr>
        <w:t>الاقتراح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القول بأنّ التدبير يُعدّ من أهم شرائطه و لكن لايكفي في الو الي أن يكون مدبّراً فحسب، بل يجب أن يتّصف بالفقاهة و العدالة أيضاً؛</w:t>
      </w:r>
    </w:p>
    <w:p>
      <w:pPr>
        <w:pStyle w:val="BookText"/>
        <w:rPr/>
      </w:pPr>
      <w:r>
        <w:rPr>
          <w:rFonts w:ascii="Amiri" w:hAnsi="Amiri" w:eastAsia="Amiri" w:cs="Amiri"/>
          <w:color w:val="111111"/>
          <w:sz w:val="28"/>
          <w:sz w:val="28"/>
          <w:szCs w:val="28"/>
          <w:rtl w:val="true"/>
          <w:lang w:bidi="ar-SA"/>
        </w:rPr>
        <w:t>و عند تعارض الاقتراحين يحكم العقل بصحّة الثّاني منهما، نظراً إلى أهميّة هذا المسند البالغة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قلنا انّ هذه الأنظار الأربعة تحكم بعدم تماميّة هذا الإشكال، بل تقرير تلك القضيّة العقليّة على ما هو الحقّ فيها اللائق بها يؤيّد ثبوت الولاية له، و لاتنافي بينهما بوجهٍ</w:t>
      </w:r>
      <w:r>
        <w:rPr>
          <w:rFonts w:eastAsia="Amiri" w:cs="Amiri" w:ascii="Amiri" w:hAnsi="Amiri"/>
          <w:color w:val="111111"/>
          <w:sz w:val="28"/>
          <w:szCs w:val="28"/>
          <w:rtl w:val="true"/>
          <w:lang w:bidi="ar-SA"/>
        </w:rPr>
        <w:t xml:space="preserve">. </w:t>
      </w:r>
      <w:bookmarkStart w:id="986" w:name="pg18987_179956"/>
    </w:p>
    <w:p>
      <w:pPr>
        <w:pStyle w:val="Heading4"/>
        <w:numPr>
          <w:ilvl w:val="3"/>
          <w:numId w:val="1"/>
        </w:numPr>
        <w:rPr/>
      </w:pPr>
      <w:bookmarkStart w:id="987" w:name="__RefHeading___Toc13100378_1280447820"/>
      <w:bookmarkStart w:id="988" w:name="_Toc395"/>
      <w:bookmarkEnd w:id="986"/>
      <w:bookmarkEnd w:id="987"/>
      <w:r>
        <w:rPr>
          <w:rtl w:val="true"/>
        </w:rPr>
        <w:t>الإشكال السّابع ولاية الفقيه تلازم الإستبداد و الدّكتاتوريّة</w:t>
      </w:r>
      <w:bookmarkEnd w:id="988"/>
    </w:p>
    <w:p>
      <w:pPr>
        <w:pStyle w:val="Heading5"/>
        <w:numPr>
          <w:ilvl w:val="4"/>
          <w:numId w:val="1"/>
        </w:numPr>
        <w:rPr/>
      </w:pPr>
      <w:bookmarkStart w:id="989" w:name="__RefHeading___Toc13100380_1280447820"/>
      <w:bookmarkStart w:id="990" w:name="_Toc396"/>
      <w:bookmarkEnd w:id="989"/>
      <w:r>
        <w:rPr>
          <w:rtl w:val="true"/>
        </w:rPr>
        <w:t>اشارة</w:t>
      </w:r>
      <w:bookmarkEnd w:id="990"/>
    </w:p>
    <w:p>
      <w:pPr>
        <w:pStyle w:val="BookText"/>
        <w:rPr/>
      </w:pPr>
      <w:r>
        <w:rPr>
          <w:rFonts w:ascii="Amiri" w:hAnsi="Amiri" w:eastAsia="Amiri" w:cs="Amiri"/>
          <w:color w:val="111111"/>
          <w:sz w:val="28"/>
          <w:sz w:val="28"/>
          <w:szCs w:val="28"/>
          <w:rtl w:val="true"/>
          <w:lang w:bidi="ar-SA"/>
        </w:rPr>
        <w:t xml:space="preserve">إنّ ثبوت الولاية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يلازم الاستبداد و الدكتاتوريّة و السلطة المطلقة؛ و لاريب في أنّ الاستبداد من المرغوب منه عند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يحكم ببطلانه و وجوب حفظ المجتمع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فولاية الفقيه ممّا يحكم برفضها و عدم الخضوع لها</w:t>
      </w:r>
      <w:r>
        <w:rPr>
          <w:rFonts w:eastAsia="Amiri" w:cs="Amiri" w:ascii="Amiri" w:hAnsi="Amiri"/>
          <w:color w:val="111111"/>
          <w:sz w:val="28"/>
          <w:szCs w:val="28"/>
          <w:rtl w:val="true"/>
          <w:lang w:bidi="ar-SA"/>
        </w:rPr>
        <w:t>.</w:t>
      </w:r>
    </w:p>
    <w:p>
      <w:pPr>
        <w:pStyle w:val="Heading5"/>
        <w:numPr>
          <w:ilvl w:val="4"/>
          <w:numId w:val="1"/>
        </w:numPr>
        <w:rPr/>
      </w:pPr>
      <w:bookmarkStart w:id="991" w:name="__RefHeading___Toc13100382_1280447820"/>
      <w:bookmarkStart w:id="992" w:name="_Toc397"/>
      <w:bookmarkEnd w:id="991"/>
      <w:r>
        <w:rPr>
          <w:rtl w:val="true"/>
        </w:rPr>
        <w:t>و الجواب</w:t>
      </w:r>
      <w:r>
        <w:rPr>
          <w:rtl w:val="true"/>
        </w:rPr>
        <w:t>:</w:t>
      </w:r>
      <w:bookmarkEnd w:id="992"/>
    </w:p>
    <w:p>
      <w:pPr>
        <w:pStyle w:val="Heading6"/>
        <w:numPr>
          <w:ilvl w:val="5"/>
          <w:numId w:val="1"/>
        </w:numPr>
        <w:rPr/>
      </w:pPr>
      <w:bookmarkStart w:id="993" w:name="__RefHeading___Toc13100384_1280447820"/>
      <w:bookmarkStart w:id="994" w:name="_Toc398"/>
      <w:bookmarkEnd w:id="993"/>
      <w:r>
        <w:rPr>
          <w:rtl w:val="true"/>
        </w:rPr>
        <w:t>اشارة</w:t>
      </w:r>
      <w:bookmarkEnd w:id="994"/>
    </w:p>
    <w:p>
      <w:pPr>
        <w:pStyle w:val="BookText"/>
        <w:rPr/>
      </w:pPr>
      <w:r>
        <w:rPr>
          <w:rFonts w:ascii="Amiri" w:hAnsi="Amiri" w:eastAsia="Amiri" w:cs="Amiri"/>
          <w:color w:val="111111"/>
          <w:sz w:val="28"/>
          <w:sz w:val="28"/>
          <w:szCs w:val="28"/>
          <w:rtl w:val="true"/>
          <w:lang w:bidi="ar-SA"/>
        </w:rPr>
        <w:t>إنّ لنا في هذه الأطروحة أنظارٌ أيضاً، و يتمّ الجواب بالنظر في هذه الأنظار؛ و تفصيلها</w:t>
      </w:r>
      <w:r>
        <w:rPr>
          <w:rFonts w:eastAsia="Amiri" w:cs="Amiri" w:ascii="Amiri" w:hAnsi="Amiri"/>
          <w:color w:val="111111"/>
          <w:sz w:val="28"/>
          <w:szCs w:val="28"/>
          <w:rtl w:val="true"/>
          <w:lang w:bidi="ar-SA"/>
        </w:rPr>
        <w:t>:</w:t>
      </w:r>
    </w:p>
    <w:p>
      <w:pPr>
        <w:pStyle w:val="Heading6"/>
        <w:numPr>
          <w:ilvl w:val="5"/>
          <w:numId w:val="1"/>
        </w:numPr>
        <w:rPr/>
      </w:pPr>
      <w:bookmarkStart w:id="995" w:name="__RefHeading___Toc13100386_1280447820"/>
      <w:bookmarkStart w:id="996" w:name="_Toc399"/>
      <w:bookmarkEnd w:id="995"/>
      <w:r>
        <w:rPr>
          <w:rtl w:val="true"/>
        </w:rPr>
        <w:t>النظر الأوّل</w:t>
      </w:r>
      <w:r>
        <w:rPr>
          <w:rtl w:val="true"/>
        </w:rPr>
        <w:t>:</w:t>
      </w:r>
      <w:bookmarkEnd w:id="996"/>
    </w:p>
    <w:p>
      <w:pPr>
        <w:pStyle w:val="BookText"/>
        <w:rPr/>
      </w:pPr>
      <w:r>
        <w:rPr>
          <w:rFonts w:ascii="Amiri" w:hAnsi="Amiri" w:eastAsia="Amiri" w:cs="Amiri"/>
          <w:color w:val="111111"/>
          <w:sz w:val="28"/>
          <w:sz w:val="28"/>
          <w:szCs w:val="28"/>
          <w:rtl w:val="true"/>
          <w:lang w:bidi="ar-SA"/>
        </w:rPr>
        <w:t>إنّ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ثبوت الولاية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يلازم 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 ما انعقد عليه إجماع الإماميّة من ثبوت الحكم و الولاية للنبيّ صلى الله عليه و آله و المعصومين من أهل بيته عليهم السلام؛ إذ من المجمع عليه بينهم طيلة القرون انّ اللّه قد جعل النبيّ و الأئمّة أولياء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دار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يلزم من هذا الجعل الدكتاتوريّة و السلطة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أجابوا بأنّ العصمة من خصائص المعصومين و هي تمنعهم عن الفجور و السلطة المطلقة؛</w:t>
      </w:r>
    </w:p>
    <w:p>
      <w:pPr>
        <w:pStyle w:val="BookText"/>
        <w:rPr/>
      </w:pPr>
      <w:r>
        <w:rPr>
          <w:rFonts w:ascii="Amiri" w:hAnsi="Amiri" w:eastAsia="Amiri" w:cs="Amiri"/>
          <w:color w:val="111111"/>
          <w:sz w:val="28"/>
          <w:sz w:val="28"/>
          <w:szCs w:val="28"/>
          <w:rtl w:val="true"/>
          <w:lang w:bidi="ar-SA"/>
        </w:rPr>
        <w:t>نردّ عليهم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أيضاً من شرائط الوليّ، و العدالة هي المرتبة الأدنى من مراتب العصمة؛ و هي تمنع الفقيه الوليّ عن الفجور و السلطة المطلقة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مذهبكم في ولاية المعصومين عليهم السلام هو بنفسه مذهبنا في ولاية الفقيه العدل</w:t>
      </w:r>
      <w:r>
        <w:rPr>
          <w:rFonts w:eastAsia="Amiri" w:cs="Amiri" w:ascii="Amiri" w:hAnsi="Amiri"/>
          <w:color w:val="111111"/>
          <w:sz w:val="28"/>
          <w:szCs w:val="28"/>
          <w:rtl w:val="true"/>
          <w:lang w:bidi="ar-SA"/>
        </w:rPr>
        <w:t>.</w:t>
      </w:r>
    </w:p>
    <w:p>
      <w:pPr>
        <w:pStyle w:val="Heading6"/>
        <w:numPr>
          <w:ilvl w:val="5"/>
          <w:numId w:val="1"/>
        </w:numPr>
        <w:rPr/>
      </w:pPr>
      <w:bookmarkStart w:id="997" w:name="__RefHeading___Toc13100388_1280447820"/>
      <w:bookmarkStart w:id="998" w:name="_Toc400"/>
      <w:bookmarkEnd w:id="997"/>
      <w:r>
        <w:rPr>
          <w:rtl w:val="true"/>
        </w:rPr>
        <w:t>النظر الثّاني</w:t>
      </w:r>
      <w:r>
        <w:rPr>
          <w:rtl w:val="true"/>
        </w:rPr>
        <w:t>:</w:t>
      </w:r>
      <w:bookmarkEnd w:id="99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قولكم هذا يؤيّد القول بثبوت الولاية للفقيه، إذ مضى منّا مراراً اشتراط العدالة في الوليّ بينما انّ الوالي في سائر الأطروحات السياسيّة لايشترط فيه إلّا التغلّب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بواسطة الآراء و الانتخابات العموميّة، أو بغيره من الوسائط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bookmarkStart w:id="999" w:name="pg18987_179957"/>
    </w:p>
    <w:p>
      <w:pPr>
        <w:pStyle w:val="BookText"/>
        <w:rPr/>
      </w:pPr>
      <w:bookmarkEnd w:id="999"/>
      <w:r>
        <w:rPr>
          <w:rFonts w:ascii="Amiri" w:hAnsi="Amiri" w:eastAsia="Amiri" w:cs="Amiri"/>
          <w:color w:val="111111"/>
          <w:sz w:val="28"/>
          <w:sz w:val="28"/>
          <w:szCs w:val="28"/>
          <w:rtl w:val="true"/>
          <w:lang w:bidi="ar-SA"/>
        </w:rPr>
        <w:t>هو من مظانّ الاستبداد لا الوليّ الّذي يجب أن يتّصف أوّلاً بالعدالة و التحلّي بمكارم الأخلاق و التخلّي عن سفسافها ثمّ يصلح للقيام بأمر الحكم؛ و 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الإشكال يرجع إلى مبناهم و يرد عليه لا على مبنى ثبوتها له</w:t>
      </w:r>
      <w:r>
        <w:rPr>
          <w:rFonts w:eastAsia="Amiri" w:cs="Amiri" w:ascii="Amiri" w:hAnsi="Amiri"/>
          <w:color w:val="111111"/>
          <w:sz w:val="28"/>
          <w:szCs w:val="28"/>
          <w:rtl w:val="true"/>
          <w:lang w:bidi="ar-SA"/>
        </w:rPr>
        <w:t>.</w:t>
      </w:r>
    </w:p>
    <w:p>
      <w:pPr>
        <w:pStyle w:val="Heading6"/>
        <w:numPr>
          <w:ilvl w:val="5"/>
          <w:numId w:val="1"/>
        </w:numPr>
        <w:rPr/>
      </w:pPr>
      <w:bookmarkStart w:id="1000" w:name="__RefHeading___Toc13100390_1280447820"/>
      <w:bookmarkStart w:id="1001" w:name="_Toc401"/>
      <w:bookmarkEnd w:id="1000"/>
      <w:r>
        <w:rPr>
          <w:rtl w:val="true"/>
        </w:rPr>
        <w:t>النظر الثّالث</w:t>
      </w:r>
      <w:r>
        <w:rPr>
          <w:rtl w:val="true"/>
        </w:rPr>
        <w:t>:</w:t>
      </w:r>
      <w:bookmarkEnd w:id="1001"/>
    </w:p>
    <w:p>
      <w:pPr>
        <w:pStyle w:val="BookText"/>
        <w:rPr/>
      </w:pPr>
      <w:r>
        <w:rPr>
          <w:rFonts w:ascii="Amiri" w:hAnsi="Amiri" w:eastAsia="Amiri" w:cs="Amiri"/>
          <w:color w:val="111111"/>
          <w:sz w:val="28"/>
          <w:sz w:val="28"/>
          <w:szCs w:val="28"/>
          <w:rtl w:val="true"/>
          <w:lang w:bidi="ar-SA"/>
        </w:rPr>
        <w:t>إنّا اشترطنا في الفقيه الوليّ الفقاهة، و نفس عنوان الوالي في الدولة الإسلاميّة يشير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لمعرفته بأحكام اللّه لايأمر إلّابما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لاينهي إلّاعمّا نهى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بالجملة لا رأي له إلّاعلى ما تقتضيه الشريعة الغرّاء، فلااستبداد على هذه الأطروحة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غيره من الاقتراحات السياسيّة فالوالي لايحكم إلّاعلى ما يقتضيه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فلاسبيل للفقيه الوليّ إلى الدكتاتوريّة بينما أن لاسبيل لغيره من الولاة إلّاإليها</w:t>
      </w:r>
      <w:r>
        <w:rPr>
          <w:rFonts w:eastAsia="Amiri" w:cs="Amiri" w:ascii="Amiri" w:hAnsi="Amiri"/>
          <w:color w:val="111111"/>
          <w:sz w:val="28"/>
          <w:szCs w:val="28"/>
          <w:rtl w:val="true"/>
          <w:lang w:bidi="ar-SA"/>
        </w:rPr>
        <w:t>.</w:t>
      </w:r>
    </w:p>
    <w:p>
      <w:pPr>
        <w:pStyle w:val="Heading6"/>
        <w:numPr>
          <w:ilvl w:val="5"/>
          <w:numId w:val="1"/>
        </w:numPr>
        <w:rPr/>
      </w:pPr>
      <w:bookmarkStart w:id="1002" w:name="__RefHeading___Toc13100392_1280447820"/>
      <w:bookmarkStart w:id="1003" w:name="_Toc402"/>
      <w:bookmarkEnd w:id="1002"/>
      <w:r>
        <w:rPr>
          <w:rtl w:val="true"/>
        </w:rPr>
        <w:t>النظر الرّابع</w:t>
      </w:r>
      <w:r>
        <w:rPr>
          <w:rtl w:val="true"/>
        </w:rPr>
        <w:t>:</w:t>
      </w:r>
      <w:bookmarkEnd w:id="1003"/>
    </w:p>
    <w:p>
      <w:pPr>
        <w:pStyle w:val="BookText"/>
        <w:rPr/>
      </w:pPr>
      <w:r>
        <w:rPr>
          <w:rFonts w:ascii="IRNazanin" w:hAnsi="IRNazanin" w:eastAsia="IRNazanin"/>
          <w:color w:val="111111"/>
          <w:sz w:val="28"/>
          <w:sz w:val="28"/>
          <w:szCs w:val="28"/>
          <w:rtl w:val="true"/>
          <w:lang w:bidi="fa-IR"/>
        </w:rPr>
        <w:t>ما هو المراد من الاستبداد؟</w:t>
      </w:r>
    </w:p>
    <w:p>
      <w:pPr>
        <w:pStyle w:val="BookText"/>
        <w:rPr/>
      </w:pPr>
      <w:r>
        <w:rPr>
          <w:rFonts w:ascii="Amiri" w:hAnsi="Amiri" w:eastAsia="Amiri" w:cs="Amiri"/>
          <w:color w:val="111111"/>
          <w:sz w:val="28"/>
          <w:sz w:val="28"/>
          <w:szCs w:val="28"/>
          <w:rtl w:val="true"/>
          <w:lang w:bidi="ar-SA"/>
        </w:rPr>
        <w:t>إن كان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المطلقة، فقد فرغنا من الاجابة منه؛</w:t>
      </w:r>
    </w:p>
    <w:p>
      <w:pPr>
        <w:pStyle w:val="BookText"/>
        <w:rPr/>
      </w:pPr>
      <w:r>
        <w:rPr>
          <w:rFonts w:ascii="Amiri" w:hAnsi="Amiri" w:eastAsia="Amiri" w:cs="Amiri"/>
          <w:color w:val="111111"/>
          <w:sz w:val="28"/>
          <w:sz w:val="28"/>
          <w:szCs w:val="28"/>
          <w:rtl w:val="true"/>
          <w:lang w:bidi="ar-SA"/>
        </w:rPr>
        <w:t xml:space="preserve">و إن كان المراد منه انّ قول الفقيه الوليّ هو القول الفصل و الأخير عند تزاحم الآراء و الأقوال، فهذا ممّا لابدّ منه؛ إذ في كلّ حكومةٍ و دولةٍ لامناص من أن يُتلقّى قول الوالي كقول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اليوم يُعدّ قول السلطان أو الرئيس الجمهوريّة القول الأخير في جميع نظامات العالم السياسيّة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زيادةً على سيرة العقلاء يشهد لصحّته الشرع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شَاوِرْهُمْ فِي الْأَمْرِ فَإِذَا عَزَمْتَ فَتَوَكَّلْ عَلَى اللَّهِ</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شاورهم في الأمر فإذا عزموا فتوكّل على اللّه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الحكومة أن تستشير المخصّصين في جميع ما يُقبل إليها، و لكن القول الفصل و الأخير هو للوالي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لايختصّ بالدولة الإسلاميّة فقط، بل كذلك جرت السيرة في </w:t>
      </w:r>
    </w:p>
    <w:p>
      <w:pPr>
        <w:pStyle w:val="BookText"/>
        <w:rPr/>
      </w:pPr>
      <w:r>
        <w:rPr>
          <w:rFonts w:ascii="Amiri" w:hAnsi="Amiri" w:eastAsia="Amiri" w:cs="Amiri"/>
          <w:color w:val="111111"/>
          <w:sz w:val="28"/>
          <w:sz w:val="28"/>
          <w:szCs w:val="28"/>
          <w:rtl w:val="true"/>
          <w:lang w:bidi="ar-SA"/>
        </w:rPr>
        <w:t>جميع نظامات الحاكمة في جميع الأعصار و الأمصار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قلنا أن لاسبيل للوالي في الدولة الإسلاميّة إلى الدكتاتوريّة، لأنّ الفقاهة و العدالة المشترطتان فيه تمنعانه من الفجور و التحكّم و العَسْف؛ فالإشكال يرجع إلى القائلين بغير هذه الأطروحة من الأطروحات السياسيّة، لا إلى القائلين بها</w:t>
      </w:r>
      <w:r>
        <w:rPr>
          <w:rFonts w:eastAsia="Amiri" w:cs="Amiri" w:ascii="Amiri" w:hAnsi="Amiri"/>
          <w:color w:val="111111"/>
          <w:sz w:val="28"/>
          <w:szCs w:val="28"/>
          <w:rtl w:val="true"/>
          <w:lang w:bidi="ar-SA"/>
        </w:rPr>
        <w:t xml:space="preserve">. </w:t>
      </w:r>
      <w:bookmarkStart w:id="1004" w:name="pg18987_179959"/>
    </w:p>
    <w:p>
      <w:pPr>
        <w:pStyle w:val="Heading4"/>
        <w:numPr>
          <w:ilvl w:val="3"/>
          <w:numId w:val="1"/>
        </w:numPr>
        <w:rPr/>
      </w:pPr>
      <w:bookmarkStart w:id="1005" w:name="__RefHeading___Toc13100394_1280447820"/>
      <w:bookmarkStart w:id="1006" w:name="_Toc403"/>
      <w:bookmarkEnd w:id="1004"/>
      <w:bookmarkEnd w:id="1005"/>
      <w:r>
        <w:rPr>
          <w:rtl w:val="true"/>
        </w:rPr>
        <w:t>الإشكال الثامن تداخل الدّولتين</w:t>
      </w:r>
      <w:bookmarkEnd w:id="1006"/>
    </w:p>
    <w:p>
      <w:pPr>
        <w:pStyle w:val="Heading5"/>
        <w:numPr>
          <w:ilvl w:val="4"/>
          <w:numId w:val="1"/>
        </w:numPr>
        <w:rPr/>
      </w:pPr>
      <w:bookmarkStart w:id="1007" w:name="__RefHeading___Toc13100396_1280447820"/>
      <w:bookmarkStart w:id="1008" w:name="_Toc404"/>
      <w:bookmarkEnd w:id="1007"/>
      <w:r>
        <w:rPr>
          <w:rtl w:val="true"/>
        </w:rPr>
        <w:t>اشارة</w:t>
      </w:r>
      <w:bookmarkEnd w:id="1008"/>
    </w:p>
    <w:p>
      <w:pPr>
        <w:pStyle w:val="BookText"/>
        <w:rPr/>
      </w:pPr>
      <w:r>
        <w:rPr>
          <w:rFonts w:ascii="Amiri" w:hAnsi="Amiri" w:eastAsia="Amiri" w:cs="Amiri"/>
          <w:color w:val="111111"/>
          <w:sz w:val="28"/>
          <w:sz w:val="28"/>
          <w:szCs w:val="28"/>
          <w:rtl w:val="true"/>
          <w:lang w:bidi="ar-SA"/>
        </w:rPr>
        <w:t>و هذا الإشكال يدور على كيفيّة الحكم في الدولة الإسلاميّة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لاريب في أن التوحّد في الحكم من لوازم الدولة في جميع الأطروحات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يحكم به العقل، إذ فرض وجود الدولتين يؤدّي إلى الهرج في أمر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من ناحيةٍ؛</w:t>
      </w:r>
    </w:p>
    <w:p>
      <w:pPr>
        <w:pStyle w:val="BookText"/>
        <w:rPr/>
      </w:pPr>
      <w:r>
        <w:rPr>
          <w:rFonts w:ascii="Amiri" w:hAnsi="Amiri" w:eastAsia="Amiri" w:cs="Amiri"/>
          <w:color w:val="111111"/>
          <w:sz w:val="28"/>
          <w:sz w:val="28"/>
          <w:szCs w:val="28"/>
          <w:rtl w:val="true"/>
          <w:lang w:bidi="ar-SA"/>
        </w:rPr>
        <w:t xml:space="preserve">و من ناحيةٍ أخرى فانّ في الدولة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بالجمهوريّة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لامناص من ثبوت الدولة في الدولة، بل ثبوت دولتين كلٌّ منهما في عرض الآخر،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الّتي ينتخبه الناس بواسطة الآراء العموميّة، و رئيسها هو الرئيس الجمهوريّة، و هذا مقتضى جمهوريّة النظام؛</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الّتي لادخل للناس في اختيارها، و رئيسها هو الفقيه الوليّ، و هذا مقتضى إسلاميّته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فهيهنا دولتان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انتصابيّةٌ؛ و دولةٌ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لاريب في أنّ العقل و سيرة العقلاء يحكمان ببطلان هذه الأطروحة، فمن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ما لآراء الناس من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الدولة الإنتصابيّة و الخضوع لأحكام الدولة الانتخابيّة</w:t>
      </w:r>
      <w:r>
        <w:rPr>
          <w:rFonts w:eastAsia="Amiri" w:cs="Amiri" w:ascii="Amiri" w:hAnsi="Amiri"/>
          <w:color w:val="111111"/>
          <w:sz w:val="28"/>
          <w:szCs w:val="28"/>
          <w:rtl w:val="true"/>
          <w:lang w:bidi="ar-SA"/>
        </w:rPr>
        <w:t>.</w:t>
      </w:r>
    </w:p>
    <w:p>
      <w:pPr>
        <w:pStyle w:val="Heading5"/>
        <w:numPr>
          <w:ilvl w:val="4"/>
          <w:numId w:val="1"/>
        </w:numPr>
        <w:rPr/>
      </w:pPr>
      <w:bookmarkStart w:id="1009" w:name="__RefHeading___Toc13100398_1280447820"/>
      <w:bookmarkStart w:id="1010" w:name="_Toc405"/>
      <w:bookmarkEnd w:id="1009"/>
      <w:r>
        <w:rPr>
          <w:rtl w:val="true"/>
        </w:rPr>
        <w:t>و الجواب</w:t>
      </w:r>
      <w:r>
        <w:rPr>
          <w:rtl w:val="true"/>
        </w:rPr>
        <w:t>:</w:t>
      </w:r>
      <w:bookmarkEnd w:id="1010"/>
    </w:p>
    <w:p>
      <w:pPr>
        <w:pStyle w:val="BookText"/>
        <w:rPr/>
      </w:pPr>
      <w:r>
        <w:rPr>
          <w:rFonts w:ascii="Amiri" w:hAnsi="Amiri" w:eastAsia="Amiri" w:cs="Amiri"/>
          <w:color w:val="111111"/>
          <w:sz w:val="28"/>
          <w:sz w:val="28"/>
          <w:szCs w:val="28"/>
          <w:rtl w:val="true"/>
          <w:lang w:bidi="ar-SA"/>
        </w:rPr>
        <w:t>إنّ هذا الإشكال لايُعدّ شيئاً، بل هو محض خطابةٍ لابرهان عليه جملةً و تفصيلاً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مراراً الإشارة إلى حكم العقل 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لايجوز لأحدٍ أن يسلّط على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حكم الشرع بأنّه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 بأنّه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و هذا مقتضى ربوبيّته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التكوين كما انّ له الربوبيّة في التشريع، فلاحكم إلّا حكمه، سواءٌ فيه التشريع و التكوين و ما يرجع إلى الأمور الفرديّة أو الجماعيّة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أمر الدولة و السلطة، فحكمه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بتفويض الولاية إلى الفقيه هو الحكم المتَّبع في أمر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الرئيس الجمهوريّة و الوكلاء و الوزراء و مديري الفروع و غيرهم من أصحاب السلطة، فإنّهم جميعاً يُعدّون من أيدي الفقيه الوليّ لتدبير الملك و أموره الداخليّة و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فلاتُفرض دولتان في آنٍ واحدٍ في قطرٍ و موطنٍ واحدٍ، بل الناس بواسطة الآراء العموميّة يختارون الأصلح ليكون عضْداً للوالي فيما يرتبط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فالرئيس الجمهوريّة فيما يرتبط به، و الوكلاء فيما يرتبط بهم كلّهم أيدي الوليّ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فليست في الدولة الإسلاميّة إلّادولةٌ واحدةٌ، لادولتين مستقلّتين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قلنا انّ هذا الإشكال ليس إلّامحض خطابةٍ لايعضده برهانٌ قطّ</w:t>
      </w:r>
      <w:r>
        <w:rPr>
          <w:rFonts w:eastAsia="Amiri" w:cs="Amiri" w:ascii="Amiri" w:hAnsi="Amiri"/>
          <w:color w:val="111111"/>
          <w:sz w:val="28"/>
          <w:szCs w:val="28"/>
          <w:rtl w:val="true"/>
          <w:lang w:bidi="ar-SA"/>
        </w:rPr>
        <w:t xml:space="preserve">. </w:t>
      </w:r>
      <w:bookmarkStart w:id="1011" w:name="pg18987_179961"/>
    </w:p>
    <w:p>
      <w:pPr>
        <w:pStyle w:val="Heading4"/>
        <w:numPr>
          <w:ilvl w:val="3"/>
          <w:numId w:val="1"/>
        </w:numPr>
        <w:rPr/>
      </w:pPr>
      <w:bookmarkStart w:id="1012" w:name="__RefHeading___Toc13100400_1280447820"/>
      <w:bookmarkStart w:id="1013" w:name="_Toc406"/>
      <w:bookmarkEnd w:id="1011"/>
      <w:bookmarkEnd w:id="1012"/>
      <w:r>
        <w:rPr>
          <w:rtl w:val="true"/>
        </w:rPr>
        <w:t>الإشكال التّاسع مخالفة فلسفة إرسال الرّسل عليهم السلام</w:t>
      </w:r>
      <w:bookmarkEnd w:id="1013"/>
    </w:p>
    <w:p>
      <w:pPr>
        <w:pStyle w:val="Heading5"/>
        <w:numPr>
          <w:ilvl w:val="4"/>
          <w:numId w:val="1"/>
        </w:numPr>
        <w:rPr/>
      </w:pPr>
      <w:bookmarkStart w:id="1014" w:name="__RefHeading___Toc13100402_1280447820"/>
      <w:bookmarkStart w:id="1015" w:name="_Toc407"/>
      <w:bookmarkEnd w:id="1014"/>
      <w:r>
        <w:rPr>
          <w:rtl w:val="true"/>
        </w:rPr>
        <w:t>اشارة</w:t>
      </w:r>
      <w:bookmarkEnd w:id="1015"/>
    </w:p>
    <w:p>
      <w:pPr>
        <w:pStyle w:val="BookText"/>
        <w:rPr/>
      </w:pPr>
      <w:r>
        <w:rPr>
          <w:rFonts w:ascii="Amiri" w:hAnsi="Amiri" w:eastAsia="Amiri" w:cs="Amiri"/>
          <w:color w:val="111111"/>
          <w:sz w:val="28"/>
          <w:sz w:val="28"/>
          <w:szCs w:val="28"/>
          <w:rtl w:val="true"/>
          <w:lang w:bidi="ar-SA"/>
        </w:rPr>
        <w:t xml:space="preserve">و هذا الإشكال يدور حول نقطةٍ بنّائةٍ، و هي فلسفة ارسال الرسل عليهم السلام و حيطة اختيارهم و ما جعله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عاتقهم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على الأنبياء و الأئمّة و نوّابهم الخاصّة و العامّة إلّاهداية الناس بالرفق و المماشاة معهم، فعليهم تزكية الناس و إرائة الطريق 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يُزَكِّيهِمْ وَ يُعَلِّمُهُمُ الْكِتَابَ وَ الْحِكْمَةَ</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عليهم القيام بأمر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عَلَيْهِمْ بِجَبَّارٍ</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و ليس لدعوتهم مؤيِّدٌ و مثبِّتٌ غير الجنّة و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كَانَ يَرْجُوا لِقَاءَ رَبِّهِ فَلْيَعْمَلْ عَمَلاً صَالِحاً وَ لَايُشْرِكْ بِعِبَادَةِ رَبِّهِ </w:t>
      </w:r>
      <w:bookmarkStart w:id="1016" w:name="pg18987_179962"/>
    </w:p>
    <w:p>
      <w:pPr>
        <w:pStyle w:val="BookText"/>
        <w:rPr/>
      </w:pPr>
      <w:bookmarkEnd w:id="1016"/>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تلخيص القول في وظائف الأنبياء و الأئمّة و الفقهاء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لَاإِكْرَاهَ فِي الدِّينِ</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فلايجوز للفقهاء أن يترأّسوا على المجتمع، لأنّ الجفاءة و الغلاظة من لوازم الحكم و لابدّ للحاكم منها؛ بينما أن ليس على الهداة التوسّل إلى الجفاءة،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الفقهاء اهتداء الناس بتدوينهم الرسائل العمليّة و انذار المجتمع ببيان المواعظ و توضيح دقائق كلام اللّه و سنّة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عليهم أمرٌ غير هذا الأمر، و ليس شأنهم إلّاشأن المذكِّرين و الخطباء</w:t>
      </w:r>
      <w:r>
        <w:rPr>
          <w:rFonts w:eastAsia="Amiri" w:cs="Amiri" w:ascii="Amiri" w:hAnsi="Amiri"/>
          <w:color w:val="111111"/>
          <w:sz w:val="28"/>
          <w:szCs w:val="28"/>
          <w:rtl w:val="true"/>
          <w:lang w:bidi="ar-SA"/>
        </w:rPr>
        <w:t>.</w:t>
      </w:r>
    </w:p>
    <w:p>
      <w:pPr>
        <w:pStyle w:val="Heading5"/>
        <w:numPr>
          <w:ilvl w:val="4"/>
          <w:numId w:val="1"/>
        </w:numPr>
        <w:rPr/>
      </w:pPr>
      <w:bookmarkStart w:id="1017" w:name="__RefHeading___Toc13100404_1280447820"/>
      <w:bookmarkStart w:id="1018" w:name="_Toc408"/>
      <w:bookmarkEnd w:id="1017"/>
      <w:r>
        <w:rPr>
          <w:rtl w:val="true"/>
        </w:rPr>
        <w:t>و الجواب</w:t>
      </w:r>
      <w:r>
        <w:rPr>
          <w:rtl w:val="true"/>
        </w:rPr>
        <w:t>:</w:t>
      </w:r>
      <w:bookmarkEnd w:id="1018"/>
    </w:p>
    <w:p>
      <w:pPr>
        <w:pStyle w:val="Heading6"/>
        <w:numPr>
          <w:ilvl w:val="5"/>
          <w:numId w:val="1"/>
        </w:numPr>
        <w:rPr/>
      </w:pPr>
      <w:bookmarkStart w:id="1019" w:name="__RefHeading___Toc13100406_1280447820"/>
      <w:bookmarkStart w:id="1020" w:name="_Toc409"/>
      <w:bookmarkEnd w:id="1019"/>
      <w:r>
        <w:rPr>
          <w:rtl w:val="true"/>
        </w:rPr>
        <w:t>اشارة</w:t>
      </w:r>
      <w:bookmarkEnd w:id="1020"/>
    </w:p>
    <w:p>
      <w:pPr>
        <w:pStyle w:val="BookText"/>
        <w:rPr/>
      </w:pPr>
      <w:r>
        <w:rPr>
          <w:rFonts w:ascii="Amiri" w:hAnsi="Amiri" w:eastAsia="Amiri" w:cs="Amiri"/>
          <w:color w:val="111111"/>
          <w:sz w:val="28"/>
          <w:sz w:val="28"/>
          <w:szCs w:val="28"/>
          <w:rtl w:val="true"/>
          <w:lang w:bidi="ar-SA"/>
        </w:rPr>
        <w:t>إنّ لنا في هذا الإشكال نظرين</w:t>
      </w:r>
      <w:r>
        <w:rPr>
          <w:rFonts w:eastAsia="Amiri" w:cs="Amiri" w:ascii="Amiri" w:hAnsi="Amiri"/>
          <w:color w:val="111111"/>
          <w:sz w:val="28"/>
          <w:szCs w:val="28"/>
          <w:rtl w:val="true"/>
          <w:lang w:bidi="ar-SA"/>
        </w:rPr>
        <w:t>:</w:t>
      </w:r>
    </w:p>
    <w:p>
      <w:pPr>
        <w:pStyle w:val="Heading6"/>
        <w:numPr>
          <w:ilvl w:val="5"/>
          <w:numId w:val="1"/>
        </w:numPr>
        <w:rPr/>
      </w:pPr>
      <w:bookmarkStart w:id="1021" w:name="__RefHeading___Toc13100408_1280447820"/>
      <w:bookmarkStart w:id="1022" w:name="_Toc410"/>
      <w:bookmarkEnd w:id="1021"/>
      <w:r>
        <w:rPr>
          <w:rtl w:val="true"/>
        </w:rPr>
        <w:t>النظر الأوّل</w:t>
      </w:r>
      <w:r>
        <w:rPr>
          <w:rtl w:val="true"/>
        </w:rPr>
        <w:t>:</w:t>
      </w:r>
      <w:bookmarkEnd w:id="1022"/>
    </w:p>
    <w:p>
      <w:pPr>
        <w:pStyle w:val="BookText"/>
        <w:rPr/>
      </w:pPr>
      <w:r>
        <w:rPr>
          <w:rFonts w:ascii="Amiri" w:hAnsi="Amiri" w:eastAsia="Amiri" w:cs="Amiri"/>
          <w:color w:val="111111"/>
          <w:sz w:val="28"/>
          <w:sz w:val="28"/>
          <w:szCs w:val="28"/>
          <w:rtl w:val="true"/>
          <w:lang w:bidi="ar-SA"/>
        </w:rPr>
        <w:t xml:space="preserve">إنّ هذه النظريّة في فلسفة ارسال الرسل لاتوافق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وحيه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الكريمة تشير إلى مقام التكوين، لامرحلة الشريع؛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لايكلّف اللّه أحداً بالخضوع لدينٍ أو شريعةٍ و لايكرهه عليه، هذا في مقام التكوين؛ أمّا في مرحلة التشريع فليس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مقتضى الجمع بين هذه الكريمة و غيرها من الآيات الدالّة على ثبوت العُنف في الأحكام الجماعيّة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الدالّة على وجوب الأمر بالمعروف و النهي عن المنكر؛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 يَدْعُونَ إِلَى الْخَيْرِ</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القتال و الجهاد؛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قَاتِلُوهُمْ حَتَّى لَاتَكُونَ فِتْنَةٌ وَ يَكُونَ الدِّينُ لِلَّهِ</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الْكُفْرِ إِنَّهُمْ لَاأَيْمَانَ لَهُمْ لَعَلَّهُمْ يَنْتَهُونَ</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القصاص؛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مقتضى تماميّة الشريعة و كمالها الناشئة من كمال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الشريعة مقتضى علمه و حكمته، و هما تمامان بحيث لايتصوّر أتمّ منهما؛ و في دعاء الافتتاح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أرحم الراحمين في موضع العفو و الرحمة، و أشدّ المعاقبين في موضع النكال و النقمة</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تمسّكوا به من الآيات إمّا راجعةٌ إلى مقام التكوين؛</w:t>
      </w:r>
    </w:p>
    <w:p>
      <w:pPr>
        <w:pStyle w:val="BookText"/>
        <w:rPr/>
      </w:pPr>
      <w:r>
        <w:rPr>
          <w:rFonts w:ascii="Amiri" w:hAnsi="Amiri" w:eastAsia="Amiri" w:cs="Amiri"/>
          <w:color w:val="111111"/>
          <w:sz w:val="28"/>
          <w:sz w:val="28"/>
          <w:szCs w:val="28"/>
          <w:rtl w:val="true"/>
          <w:lang w:bidi="ar-SA"/>
        </w:rPr>
        <w:t>و إمّا راجعةٌ إلى مقام الرحمة 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المقام بعث الأنبياء و أرسل الرسل و وضع الشرايع و جعل الحكم و الدولة؛ و لكن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المعاقبين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النكال و النقمة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المقام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الْحَدِيدَ فِيهِ بَأْسٌ شَدِيدٌ</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و وضع القصاص و أمر بالجهاد و الأمر بالمعروف و النهي عن المنكر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الأنبياء و الأئمّة و نوّابهم و المستخلفين عنهم القيام بأمر الحكم من باب الرحمة، ثمّ العمل بمقتضى آيات النكال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كآيات القصاص و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كلاهما ممّا دلّت عليه الشريعة </w:t>
      </w:r>
      <w:bookmarkStart w:id="1023" w:name="pg18987_179964"/>
    </w:p>
    <w:p>
      <w:pPr>
        <w:pStyle w:val="BookText"/>
        <w:rPr/>
      </w:pPr>
      <w:bookmarkEnd w:id="1023"/>
      <w:r>
        <w:rPr>
          <w:rFonts w:ascii="Amiri" w:hAnsi="Amiri" w:eastAsia="Amiri" w:cs="Amiri"/>
          <w:color w:val="111111"/>
          <w:sz w:val="28"/>
          <w:sz w:val="28"/>
          <w:szCs w:val="28"/>
          <w:rtl w:val="true"/>
          <w:lang w:bidi="ar-SA"/>
        </w:rPr>
        <w:t>الغرّاء؛ و هذا واضحٌ</w:t>
      </w:r>
      <w:r>
        <w:rPr>
          <w:rFonts w:eastAsia="Amiri" w:cs="Amiri" w:ascii="Amiri" w:hAnsi="Amiri"/>
          <w:color w:val="111111"/>
          <w:sz w:val="28"/>
          <w:szCs w:val="28"/>
          <w:rtl w:val="true"/>
          <w:lang w:bidi="ar-SA"/>
        </w:rPr>
        <w:t>.</w:t>
      </w:r>
    </w:p>
    <w:p>
      <w:pPr>
        <w:pStyle w:val="Heading6"/>
        <w:numPr>
          <w:ilvl w:val="5"/>
          <w:numId w:val="1"/>
        </w:numPr>
        <w:rPr/>
      </w:pPr>
      <w:bookmarkStart w:id="1024" w:name="__RefHeading___Toc13100410_1280447820"/>
      <w:bookmarkStart w:id="1025" w:name="_Toc411"/>
      <w:bookmarkEnd w:id="1024"/>
      <w:r>
        <w:rPr>
          <w:rtl w:val="true"/>
        </w:rPr>
        <w:t>النظر الثّاني</w:t>
      </w:r>
      <w:r>
        <w:rPr>
          <w:rtl w:val="true"/>
        </w:rPr>
        <w:t>:</w:t>
      </w:r>
      <w:bookmarkEnd w:id="1025"/>
    </w:p>
    <w:p>
      <w:pPr>
        <w:pStyle w:val="BookText"/>
        <w:rPr/>
      </w:pPr>
      <w:r>
        <w:rPr>
          <w:rFonts w:ascii="Amiri" w:hAnsi="Amiri" w:eastAsia="Amiri" w:cs="Amiri"/>
          <w:color w:val="111111"/>
          <w:sz w:val="28"/>
          <w:sz w:val="28"/>
          <w:szCs w:val="28"/>
          <w:rtl w:val="true"/>
          <w:lang w:bidi="ar-SA"/>
        </w:rPr>
        <w:t>و هذا النظر يقوم على أساس سيرة النبيّ صلى الله عليه و آله الّتي لايختلف فيها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قيامه صلى الله عليه و آله بتشكيل الحكم و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لاخلاف بين الإماميّة في أنّه صلى الله عليه و آله قد نصّ على أهل بيته و عيّنهم لولاية المسلمين؛ فمن أنكره و تمسّك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ايَاتِهِ وَ يُزَكِّيهِمْ وَ يُعَلِّمُهُمُ الْكِتَابَ وَ الْحِكْمَةَ</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فقد أنكر البديهيّ المثبَت في الجوامع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انّ الكتاب الكريم خير شاهدٍ على ما نحن بصدده؛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 وَ أَنْزَلْنَا الْحَدِيدَ فِيهِ بَأْسٌ شَدِيدٌ وَ مَنَافِعُ لِلنَّاسَ</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الإشكال لايوافق نصّ الوحي و لاسيرة النبيّ العمليّة، و لاسيرة أميرالمؤمنين و سيرة سيّدنا المجتبى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الإشكال ليس بشيءٍ</w:t>
      </w:r>
      <w:r>
        <w:rPr>
          <w:rFonts w:eastAsia="Amiri" w:cs="Amiri" w:ascii="Amiri" w:hAnsi="Amiri"/>
          <w:color w:val="111111"/>
          <w:sz w:val="28"/>
          <w:szCs w:val="28"/>
          <w:rtl w:val="true"/>
          <w:lang w:bidi="ar-SA"/>
        </w:rPr>
        <w:t xml:space="preserve">. </w:t>
      </w:r>
      <w:bookmarkStart w:id="1026" w:name="pg18987_179965"/>
    </w:p>
    <w:p>
      <w:pPr>
        <w:pStyle w:val="Heading4"/>
        <w:numPr>
          <w:ilvl w:val="3"/>
          <w:numId w:val="1"/>
        </w:numPr>
        <w:rPr/>
      </w:pPr>
      <w:bookmarkStart w:id="1027" w:name="__RefHeading___Toc13100412_1280447820"/>
      <w:bookmarkStart w:id="1028" w:name="_Toc412"/>
      <w:bookmarkEnd w:id="1026"/>
      <w:bookmarkEnd w:id="1027"/>
      <w:r>
        <w:rPr>
          <w:rtl w:val="true"/>
        </w:rPr>
        <w:t>الإشكال العاشرالخاتميّة تدلّ على نفى ولاية الفقيه</w:t>
      </w:r>
      <w:bookmarkEnd w:id="1028"/>
    </w:p>
    <w:p>
      <w:pPr>
        <w:pStyle w:val="Heading5"/>
        <w:numPr>
          <w:ilvl w:val="4"/>
          <w:numId w:val="1"/>
        </w:numPr>
        <w:rPr/>
      </w:pPr>
      <w:bookmarkStart w:id="1029" w:name="__RefHeading___Toc13100414_1280447820"/>
      <w:bookmarkStart w:id="1030" w:name="_Toc413"/>
      <w:bookmarkEnd w:id="1029"/>
      <w:r>
        <w:rPr>
          <w:rtl w:val="true"/>
        </w:rPr>
        <w:t>اشارة</w:t>
      </w:r>
      <w:bookmarkEnd w:id="1030"/>
    </w:p>
    <w:p>
      <w:pPr>
        <w:pStyle w:val="BookText"/>
        <w:rPr/>
      </w:pPr>
      <w:r>
        <w:rPr>
          <w:rFonts w:ascii="Amiri" w:hAnsi="Amiri" w:eastAsia="Amiri" w:cs="Amiri"/>
          <w:color w:val="111111"/>
          <w:sz w:val="28"/>
          <w:sz w:val="28"/>
          <w:szCs w:val="28"/>
          <w:rtl w:val="true"/>
          <w:lang w:bidi="ar-SA"/>
        </w:rPr>
        <w:t>و هذا الإشكال يقوم على أساس القول بأنّ الخاتميّة تدلّ على نفي الحكومة الإسلاميّة، فهذا الإشكال من أهمّ الإشكالات الواردة على مبنى ثبوت الولاية للفقيه الّذي هو أساس الحكومة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الأنبياء عليهم السلام أن يكمّلوا عقول الناس بإرشادها إلى ما هو الخير لهم و فيه خيرهم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كملت دائرة النبوّة بظهور نبيّنا صلى الله عليه و آله فقد كملت عقول الناس، فإذن يصير العقل خلفاً و وارثاً و بديلاً و نائباً عن الوحي؛ فيستغني الناس عن الوحي إلّافي الأحكام التوقيفيّة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كعدد ركعات الصلاة و الشهر الّذي يجب فيه الصوم و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كأحكام الحكم و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فلاحاجة للناس إلى الوحي، بل عليهم الاكتفاء بما تحكم به العقول و السير على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أساس هذا الإشكال لايجب بناء الحكم على مقتضى أحكام الشريعة، فلاحكومة لها، فلاولاية للفقيه؛ هذا تقرير إشكالهم العاشر</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13100416_1280447820"/>
      <w:bookmarkStart w:id="1032" w:name="_Toc414"/>
      <w:bookmarkEnd w:id="1031"/>
      <w:r>
        <w:rPr>
          <w:rtl w:val="true"/>
        </w:rPr>
        <w:t>أمّا الجواب عنه</w:t>
      </w:r>
      <w:r>
        <w:rPr>
          <w:rtl w:val="true"/>
        </w:rPr>
        <w:t>:</w:t>
      </w:r>
      <w:bookmarkEnd w:id="1032"/>
    </w:p>
    <w:p>
      <w:pPr>
        <w:pStyle w:val="Heading6"/>
        <w:numPr>
          <w:ilvl w:val="5"/>
          <w:numId w:val="1"/>
        </w:numPr>
        <w:rPr/>
      </w:pPr>
      <w:bookmarkStart w:id="1033" w:name="__RefHeading___Toc13100418_1280447820"/>
      <w:bookmarkStart w:id="1034" w:name="_Toc415"/>
      <w:bookmarkEnd w:id="1033"/>
      <w:r>
        <w:rPr>
          <w:rtl w:val="true"/>
        </w:rPr>
        <w:t>اشارة</w:t>
      </w:r>
      <w:bookmarkEnd w:id="1034"/>
    </w:p>
    <w:p>
      <w:pPr>
        <w:pStyle w:val="BookText"/>
        <w:rPr/>
      </w:pPr>
      <w:r>
        <w:rPr>
          <w:rFonts w:ascii="Amiri" w:hAnsi="Amiri" w:eastAsia="Amiri" w:cs="Amiri"/>
          <w:color w:val="111111"/>
          <w:sz w:val="28"/>
          <w:sz w:val="28"/>
          <w:szCs w:val="28"/>
          <w:rtl w:val="true"/>
          <w:lang w:bidi="ar-SA"/>
        </w:rPr>
        <w:t>فيتمّ بالنظر في هاتين النكتتين</w:t>
      </w:r>
      <w:r>
        <w:rPr>
          <w:rFonts w:eastAsia="Amiri" w:cs="Amiri" w:ascii="Amiri" w:hAnsi="Amiri"/>
          <w:color w:val="111111"/>
          <w:sz w:val="28"/>
          <w:szCs w:val="28"/>
          <w:rtl w:val="true"/>
          <w:lang w:bidi="ar-SA"/>
        </w:rPr>
        <w:t>:</w:t>
      </w:r>
    </w:p>
    <w:p>
      <w:pPr>
        <w:pStyle w:val="Heading6"/>
        <w:numPr>
          <w:ilvl w:val="5"/>
          <w:numId w:val="1"/>
        </w:numPr>
        <w:rPr/>
      </w:pPr>
      <w:bookmarkStart w:id="1035" w:name="__RefHeading___Toc13100420_1280447820"/>
      <w:bookmarkStart w:id="1036" w:name="_Toc416"/>
      <w:bookmarkEnd w:id="1035"/>
      <w:r>
        <w:rPr>
          <w:rtl w:val="true"/>
        </w:rPr>
        <w:t>النكتة الأولى</w:t>
      </w:r>
      <w:r>
        <w:rPr>
          <w:rtl w:val="true"/>
        </w:rPr>
        <w:t>:</w:t>
      </w:r>
      <w:bookmarkEnd w:id="1036"/>
    </w:p>
    <w:p>
      <w:pPr>
        <w:pStyle w:val="BookText"/>
        <w:rPr/>
      </w:pPr>
      <w:r>
        <w:rPr>
          <w:rFonts w:ascii="Amiri" w:hAnsi="Amiri" w:eastAsia="Amiri" w:cs="Amiri"/>
          <w:color w:val="111111"/>
          <w:sz w:val="28"/>
          <w:sz w:val="28"/>
          <w:szCs w:val="28"/>
          <w:rtl w:val="true"/>
          <w:lang w:bidi="ar-SA"/>
        </w:rPr>
        <w:t xml:space="preserve">إنّ هذه الأطروحة في تفسير الخاتميّة لاتوافق الكتاب و السنّة؛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 لَكِنْ رَسُولَاللَّهِ وَ خَاتَمَ النَّبِيِّينَ</w:t>
      </w:r>
      <w:r>
        <w:rPr>
          <w:rFonts w:eastAsia="Amiri" w:cs="Amiri" w:ascii="Amiri" w:hAnsi="Amiri"/>
          <w:color w:val="111111"/>
          <w:sz w:val="28"/>
          <w:szCs w:val="28"/>
          <w:rtl w:val="true"/>
          <w:lang w:bidi="ar-SA"/>
        </w:rPr>
        <w:t>»</w:t>
      </w:r>
      <w:r>
        <w:rPr>
          <w:rStyle w:val="FootnoteAnchor"/>
          <w:rtl w:val="true"/>
        </w:rPr>
        <w:footnoteReference w:id="592"/>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bookmarkStart w:id="1037" w:name="pg18987_179966"/>
    </w:p>
    <w:p>
      <w:pPr>
        <w:pStyle w:val="BookText"/>
        <w:rPr/>
      </w:pPr>
      <w:bookmarkEnd w:id="10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إلى يوم القيامة و حرامه حرامٌ إلى يوم القيامة</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هما نصّان على ثبوت أحكامه الفرديّة و الجماعيّة طيلة الزمن و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إنّ عدم سنوح النسخ لأحكام شريعته صلى الله عليه و آله من ضروريّات الدين و عليه إجماع المسلمين، و لافرق فيه بين أحكامه الفرديّة و الجماعيّة؛ بينما انّ من فسّر الخاتميّة بختم دائرة الشرائع باختتام زمن الوحي و خلافة العقل عنه قد حكم بنسخ الشريعة الإسلاميّة في أحكامه الإجتماعيّة و لو لم يكن ملتفتاً إلى لازم قوله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أتينا بتوضيحٍ موجزٍ حول معنى الخاتميّة في مقدّمات الرسالة؛ فراجعه</w:t>
      </w:r>
      <w:r>
        <w:rPr>
          <w:rFonts w:eastAsia="Amiri" w:cs="Amiri" w:ascii="Amiri" w:hAnsi="Amiri"/>
          <w:color w:val="111111"/>
          <w:sz w:val="28"/>
          <w:szCs w:val="28"/>
          <w:rtl w:val="true"/>
          <w:lang w:bidi="ar-SA"/>
        </w:rPr>
        <w:t>.</w:t>
      </w:r>
    </w:p>
    <w:p>
      <w:pPr>
        <w:pStyle w:val="Heading6"/>
        <w:numPr>
          <w:ilvl w:val="5"/>
          <w:numId w:val="1"/>
        </w:numPr>
        <w:rPr/>
      </w:pPr>
      <w:bookmarkStart w:id="1038" w:name="__RefHeading___Toc13100422_1280447820"/>
      <w:bookmarkStart w:id="1039" w:name="_Toc417"/>
      <w:bookmarkEnd w:id="1038"/>
      <w:r>
        <w:rPr>
          <w:rtl w:val="true"/>
        </w:rPr>
        <w:t>النكتة الثّانية</w:t>
      </w:r>
      <w:r>
        <w:rPr>
          <w:rtl w:val="true"/>
        </w:rPr>
        <w:t>:</w:t>
      </w:r>
      <w:bookmarkEnd w:id="1039"/>
    </w:p>
    <w:p>
      <w:pPr>
        <w:pStyle w:val="BookText"/>
        <w:rPr/>
      </w:pPr>
      <w:r>
        <w:rPr>
          <w:rFonts w:ascii="Amiri" w:hAnsi="Amiri" w:eastAsia="Amiri" w:cs="Amiri"/>
          <w:color w:val="111111"/>
          <w:sz w:val="28"/>
          <w:sz w:val="28"/>
          <w:szCs w:val="28"/>
          <w:rtl w:val="true"/>
          <w:lang w:bidi="ar-SA"/>
        </w:rPr>
        <w:t xml:space="preserve">إنّ هذا القول يساوي القول بعدم حاجة الناس إلى العلم، بل بانسداد باب العلوم؛ إذ من البيّن الّذي لاترديد للعقل فيه انّ الناس بحاجةٍ ماسّةٍ دائمةٍ إلى المخصّصين في كلّ فنٍ من فنون العلم، بل و إلى المخصّصين في الصنائع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كالطبيب و المهندس و الحدّاد و الجصّاص و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مقتضى حياتهم الدنياويّة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لاريب في حاجتهم الدائمة أيضاً إلى علمٍ يبيّن لهم سبيل السعادة في العقبى؛ و لايكفي له العقل، و هذا واضحٌ</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 بحاجةٍ إلى علم الشريعة، فلايصحّ القول باستخلاف العقل عنه</w:t>
      </w:r>
      <w:r>
        <w:rPr>
          <w:rFonts w:eastAsia="Amiri" w:cs="Amiri" w:ascii="Amiri" w:hAnsi="Amiri"/>
          <w:color w:val="111111"/>
          <w:sz w:val="28"/>
          <w:szCs w:val="28"/>
          <w:rtl w:val="true"/>
          <w:lang w:bidi="ar-SA"/>
        </w:rPr>
        <w:t xml:space="preserve">. </w:t>
      </w:r>
      <w:bookmarkStart w:id="1040" w:name="pg18987_179967"/>
    </w:p>
    <w:p>
      <w:pPr>
        <w:pStyle w:val="Heading4"/>
        <w:numPr>
          <w:ilvl w:val="3"/>
          <w:numId w:val="1"/>
        </w:numPr>
        <w:rPr/>
      </w:pPr>
      <w:bookmarkStart w:id="1041" w:name="__RefHeading___Toc13100424_1280447820"/>
      <w:bookmarkStart w:id="1042" w:name="_Toc418"/>
      <w:bookmarkEnd w:id="1040"/>
      <w:bookmarkEnd w:id="1041"/>
      <w:r>
        <w:rPr>
          <w:rtl w:val="true"/>
        </w:rPr>
        <w:t>الإشكال الحادي عشرالنّاس لا يحتاجون إلى القيِّم</w:t>
      </w:r>
      <w:bookmarkEnd w:id="1042"/>
    </w:p>
    <w:p>
      <w:pPr>
        <w:pStyle w:val="Heading5"/>
        <w:numPr>
          <w:ilvl w:val="4"/>
          <w:numId w:val="1"/>
        </w:numPr>
        <w:rPr/>
      </w:pPr>
      <w:bookmarkStart w:id="1043" w:name="__RefHeading___Toc13100426_1280447820"/>
      <w:bookmarkStart w:id="1044" w:name="_Toc419"/>
      <w:bookmarkEnd w:id="1043"/>
      <w:r>
        <w:rPr>
          <w:rtl w:val="true"/>
        </w:rPr>
        <w:t>اشارة</w:t>
      </w:r>
      <w:bookmarkEnd w:id="1044"/>
    </w:p>
    <w:p>
      <w:pPr>
        <w:pStyle w:val="BookText"/>
        <w:rPr/>
      </w:pPr>
      <w:r>
        <w:rPr>
          <w:rFonts w:ascii="Amiri" w:hAnsi="Amiri" w:eastAsia="Amiri" w:cs="Amiri"/>
          <w:color w:val="111111"/>
          <w:sz w:val="28"/>
          <w:sz w:val="28"/>
          <w:szCs w:val="28"/>
          <w:rtl w:val="true"/>
          <w:lang w:bidi="ar-SA"/>
        </w:rPr>
        <w:t>و هذا الإشكال يقوم على أساس الإشكال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حاجة الناس إلى الوحي لاينقطع أبداً، و لكن الوحي كمل بشريعة الإسلام و الإسلام خاتم الأديان، فهو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الكامل لايحتاج إلى مفسّرٍ فقيهٍ، بل الناس بما لهم من العقل مستطيعون في تعيين الحكم و الحكومة كما يأخذون أحكامهم العباديّة و كذلك ما يرجع إلى معاملاتهم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فلانحتاج إلى فقيهٍ يولّي أمر الحكم، بل لاحاجة للناس في أمورهم الفرديّة و الجماعيّة إلى فقيهٍ يرجعون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فلاحاجة إلى الفقيه ليفوّض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الولاية على المجتمع</w:t>
      </w:r>
      <w:r>
        <w:rPr>
          <w:rFonts w:eastAsia="Amiri" w:cs="Amiri" w:ascii="Amiri" w:hAnsi="Amiri"/>
          <w:color w:val="111111"/>
          <w:sz w:val="28"/>
          <w:szCs w:val="28"/>
          <w:rtl w:val="true"/>
          <w:lang w:bidi="ar-SA"/>
        </w:rPr>
        <w:t>.</w:t>
      </w:r>
    </w:p>
    <w:p>
      <w:pPr>
        <w:pStyle w:val="Heading5"/>
        <w:numPr>
          <w:ilvl w:val="4"/>
          <w:numId w:val="1"/>
        </w:numPr>
        <w:rPr/>
      </w:pPr>
      <w:bookmarkStart w:id="1045" w:name="__RefHeading___Toc13100428_1280447820"/>
      <w:bookmarkStart w:id="1046" w:name="_Toc420"/>
      <w:bookmarkEnd w:id="1045"/>
      <w:r>
        <w:rPr>
          <w:rtl w:val="true"/>
        </w:rPr>
        <w:t>و الجواب</w:t>
      </w:r>
      <w:bookmarkEnd w:id="104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هذا الإشكال قد مضى في الاجابة عن الإشكال السابق عليه، بل لاحاجة إلى الاجابة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الكلام لايصدر إلّاعمّن لادربة له بالعلوم، بل و لا إلى نظامات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حاجة الناس إلى المخصّصين في كلّ فنٍّ تزيد يوماً فيوماً، و هذا مقتضى ارتقاء العلوم و عمران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العلوم تتّسع في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في كلّ 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لايمكن أن يُقاس الغابر منها بالموجود عنها؛ و كذلك الجوامع البشريّة كلّ يومٍ يزيد في عمرانها، فحاجتها إلى العلوم تصير أكثر ممّا كانت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كحاجتها إلى الطبّ و فنّ المساحة و معرفة دقائق كلام اللّه و 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أحداً من العقلاء يحكم بعدم الحاجة إلى الطبيب و المسّاح و بأنّ الناس يكفيهم كتابا القانون و المجسطي؟ هذا لايصدر عن عاقلٍ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فكذلك القول بأن لاحاجة للمجتمع إلى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قول جاهلٍ إن لم يكن قول مغرضٍ</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أسّس هذا القول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ليجعل الناس في استغناءٍ عن أميرالمؤمنين و أهل بيته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الإشكال لايحتاج إلى مزيدٍ من هذا الجواب</w:t>
      </w:r>
      <w:r>
        <w:rPr>
          <w:rFonts w:eastAsia="Amiri" w:cs="Amiri" w:ascii="Amiri" w:hAnsi="Amiri"/>
          <w:color w:val="111111"/>
          <w:sz w:val="28"/>
          <w:szCs w:val="28"/>
          <w:rtl w:val="true"/>
          <w:lang w:bidi="ar-SA"/>
        </w:rPr>
        <w:t xml:space="preserve">. </w:t>
      </w:r>
      <w:bookmarkStart w:id="1047" w:name="pg18987_179969"/>
    </w:p>
    <w:p>
      <w:pPr>
        <w:pStyle w:val="Heading4"/>
        <w:numPr>
          <w:ilvl w:val="3"/>
          <w:numId w:val="1"/>
        </w:numPr>
        <w:rPr/>
      </w:pPr>
      <w:bookmarkStart w:id="1048" w:name="__RefHeading___Toc13100430_1280447820"/>
      <w:bookmarkStart w:id="1049" w:name="_Toc421"/>
      <w:bookmarkEnd w:id="1047"/>
      <w:bookmarkEnd w:id="1048"/>
      <w:r>
        <w:rPr>
          <w:rtl w:val="true"/>
        </w:rPr>
        <w:t>الإشكال الثّاني عشرليس من شأن الفقيه تعيين الموضوعات</w:t>
      </w:r>
      <w:bookmarkEnd w:id="1049"/>
    </w:p>
    <w:p>
      <w:pPr>
        <w:pStyle w:val="Heading5"/>
        <w:numPr>
          <w:ilvl w:val="4"/>
          <w:numId w:val="1"/>
        </w:numPr>
        <w:rPr/>
      </w:pPr>
      <w:bookmarkStart w:id="1050" w:name="__RefHeading___Toc13100432_1280447820"/>
      <w:bookmarkStart w:id="1051" w:name="_Toc422"/>
      <w:bookmarkEnd w:id="1050"/>
      <w:r>
        <w:rPr>
          <w:rtl w:val="true"/>
        </w:rPr>
        <w:t>اشارة</w:t>
      </w:r>
      <w:bookmarkEnd w:id="1051"/>
    </w:p>
    <w:p>
      <w:pPr>
        <w:pStyle w:val="BookText"/>
        <w:rPr/>
      </w:pPr>
      <w:r>
        <w:rPr>
          <w:rFonts w:ascii="Amiri" w:hAnsi="Amiri" w:eastAsia="Amiri" w:cs="Amiri"/>
          <w:color w:val="111111"/>
          <w:sz w:val="28"/>
          <w:sz w:val="28"/>
          <w:szCs w:val="28"/>
          <w:rtl w:val="true"/>
          <w:lang w:bidi="ar-SA"/>
        </w:rPr>
        <w:t>و هذا الإشكال ينشأ من نكتةٍ فقهيّةٍ كأنّ المستشكل ما فهمها أو فهمها على غير ما هو اللائق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و الحكومة يحتاج إلى تعيين الموضوعات و لاسيّما الموضوعات الإجتماعيّة ممّا يرتبط بالاقتصاد و السياسة و الثقافة و عمران البلاد و غيرها، هذا من ناحيةٍ؛</w:t>
      </w:r>
    </w:p>
    <w:p>
      <w:pPr>
        <w:pStyle w:val="BookText"/>
        <w:rPr/>
      </w:pPr>
      <w:r>
        <w:rPr>
          <w:rFonts w:ascii="Amiri" w:hAnsi="Amiri" w:eastAsia="Amiri" w:cs="Amiri"/>
          <w:color w:val="111111"/>
          <w:sz w:val="28"/>
          <w:sz w:val="28"/>
          <w:szCs w:val="28"/>
          <w:rtl w:val="true"/>
          <w:lang w:bidi="ar-SA"/>
        </w:rPr>
        <w:t>و من ناحيةٍ أخرى قد اشتهر انّ تعيين الموضوع ليس من شأن الفقيه،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الفقيه تعيين الحكم في كلّ واقعةٍ من غير مداخلةٍ له في الموضوعات، فليس من شأن الفقيه التدخّل فيما يرتبط بالحكم و السلطة</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13100434_1280447820"/>
      <w:bookmarkStart w:id="1053" w:name="_Toc423"/>
      <w:bookmarkEnd w:id="1052"/>
      <w:r>
        <w:rPr>
          <w:rtl w:val="true"/>
        </w:rPr>
        <w:t>و الجواب</w:t>
      </w:r>
      <w:bookmarkEnd w:id="1053"/>
    </w:p>
    <w:p>
      <w:pPr>
        <w:pStyle w:val="Heading6"/>
        <w:numPr>
          <w:ilvl w:val="5"/>
          <w:numId w:val="1"/>
        </w:numPr>
        <w:rPr/>
      </w:pPr>
      <w:bookmarkStart w:id="1054" w:name="__RefHeading___Toc13100436_1280447820"/>
      <w:bookmarkStart w:id="1055" w:name="_Toc424"/>
      <w:bookmarkEnd w:id="1054"/>
      <w:r>
        <w:rPr>
          <w:rtl w:val="true"/>
        </w:rPr>
        <w:t>اشارة</w:t>
      </w:r>
      <w:bookmarkEnd w:id="1055"/>
    </w:p>
    <w:p>
      <w:pPr>
        <w:pStyle w:val="BookText"/>
        <w:rPr/>
      </w:pPr>
      <w:r>
        <w:rPr>
          <w:rFonts w:ascii="Amiri" w:hAnsi="Amiri" w:eastAsia="Amiri" w:cs="Amiri"/>
          <w:color w:val="111111"/>
          <w:sz w:val="28"/>
          <w:sz w:val="28"/>
          <w:szCs w:val="28"/>
          <w:rtl w:val="true"/>
          <w:lang w:bidi="ar-SA"/>
        </w:rPr>
        <w:t>عن هذا الإشكال يتمّ بالنظر إلى هاتين النقطتين</w:t>
      </w:r>
      <w:r>
        <w:rPr>
          <w:rFonts w:eastAsia="Amiri" w:cs="Amiri" w:ascii="Amiri" w:hAnsi="Amiri"/>
          <w:color w:val="111111"/>
          <w:sz w:val="28"/>
          <w:szCs w:val="28"/>
          <w:rtl w:val="true"/>
          <w:lang w:bidi="ar-SA"/>
        </w:rPr>
        <w:t>:</w:t>
      </w:r>
    </w:p>
    <w:p>
      <w:pPr>
        <w:pStyle w:val="Heading6"/>
        <w:numPr>
          <w:ilvl w:val="5"/>
          <w:numId w:val="1"/>
        </w:numPr>
        <w:rPr/>
      </w:pPr>
      <w:bookmarkStart w:id="1056" w:name="__RefHeading___Toc13100438_1280447820"/>
      <w:bookmarkStart w:id="1057" w:name="_Toc425"/>
      <w:bookmarkEnd w:id="1056"/>
      <w:r>
        <w:rPr>
          <w:rtl w:val="true"/>
        </w:rPr>
        <w:t>النقطة الأولى</w:t>
      </w:r>
      <w:r>
        <w:rPr>
          <w:rtl w:val="true"/>
        </w:rPr>
        <w:t>:</w:t>
      </w:r>
      <w:bookmarkEnd w:id="1057"/>
    </w:p>
    <w:p>
      <w:pPr>
        <w:pStyle w:val="BookText"/>
        <w:rPr/>
      </w:pPr>
      <w:r>
        <w:rPr>
          <w:rFonts w:ascii="Amiri" w:hAnsi="Amiri" w:eastAsia="Amiri" w:cs="Amiri"/>
          <w:color w:val="111111"/>
          <w:sz w:val="28"/>
          <w:sz w:val="28"/>
          <w:szCs w:val="28"/>
          <w:rtl w:val="true"/>
          <w:lang w:bidi="ar-SA"/>
        </w:rPr>
        <w:t>انّ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تعيين الموضوعات من شأن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لاريب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 المراد منه ما ذهبتم إليه، بل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الفقيه بما هو فقيهٌ عالمٌ بدقائق علوم الشريعة لايجوز له تعيين موضوعات الأحكام، لأنّ تعيين الموضوعات أمرٌ قد فُوّض على عاتق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العقل و الشرع قد تطابقا على أنّ قول كلّ مخصّصٍ في فنٍّ من الفنون حجّةٌ في نفس الفنّ لا في غيره من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الفقيه بما هو فقيهٌ له مهارةٌ تامّةٌ في الفقه، فشأنه من جهة انّه فقيهٌ شأن بيان الحكم على ما يقتضيه استنباطه، لا بيان الموضوعات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لايراد منه انّ الفقيه بما انّه من آحاد الناس و أعضاء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انّه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موضوعاً فهو مخطىءٌ فيه، أو لايحقّ له أن يتداخل فيما هو شأن آحاد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فللفقيه </w:t>
      </w:r>
      <w:bookmarkStart w:id="1058" w:name="pg18987_179970"/>
    </w:p>
    <w:p>
      <w:pPr>
        <w:pStyle w:val="BookText"/>
        <w:rPr/>
      </w:pPr>
      <w:bookmarkEnd w:id="1058"/>
      <w:r>
        <w:rPr>
          <w:rFonts w:ascii="Amiri" w:hAnsi="Amiri" w:eastAsia="Amiri" w:cs="Amiri"/>
          <w:color w:val="111111"/>
          <w:sz w:val="28"/>
          <w:sz w:val="28"/>
          <w:szCs w:val="28"/>
          <w:rtl w:val="true"/>
          <w:lang w:bidi="ar-SA"/>
        </w:rPr>
        <w:t>أيضاً تعيين موضوعات الأحكام و لكن مع خلوّ باله عن المصطلحات العلميّة و الدقائق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لنأت لمزيد البيان بمثالٍ؛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الفقيه بما هو فقيهٌ أن يعيّن حكم ماء البئر طهارةً و نجاسةً، و ليس عليه من جهة انّه فقيهٌ أن يعيّن ماهيّة البئر و الفرق بينها و بين العين و الأردَبَّة، إذ هذا شأن العرف و فرضه و واجبه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الفقيه بما انّه من أعضاء المجتمع إن استطاع أن يكون كأحدٍ من الناس خالي البال عن المصطلحات و النكت العلميّة فله أن يشترك مع غير المخصّصين في الفقه في تعيين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يجري في غيره من أساتذة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كأساتذة الطبّ و الحكمة و الفِيزياء و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نؤيّد هذا بما جرت عليه سيرة الفقهاء من زمن المعصومين عليهم السلام إلى الآن من تعيين الموضوع لكثيرٍ من الأحكام الفقهيّة، فهذا حكمهم بأن لون الدم الباقي على الثوب بعد تطهيره لايُعدّ نجساً، بينما انّ عقل الفقيه بما هو فقيهٌ يحكم بأنّ اللون لاينفصل عن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من أعراضه، و بقاء العرض يشير إلى بقاء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أن يكون الثوب الّذي عليه بقيّةٌ من اللون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الفقيه بما انّه من أعضاء المجتمع يرى انّ العرف لايعدّ اللون دماً، فيحكم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له نظيرٌ في الفقه من مبتدأ باب الطهارات إلى نهاية باب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فلايصحّ منع الفقيه بما انّه من آحاد الناس عن المداخلة في تعيين الموضوعات</w:t>
      </w:r>
      <w:r>
        <w:rPr>
          <w:rFonts w:eastAsia="Amiri" w:cs="Amiri" w:ascii="Amiri" w:hAnsi="Amiri"/>
          <w:color w:val="111111"/>
          <w:sz w:val="28"/>
          <w:szCs w:val="28"/>
          <w:rtl w:val="true"/>
          <w:lang w:bidi="ar-SA"/>
        </w:rPr>
        <w:t>.</w:t>
      </w:r>
    </w:p>
    <w:p>
      <w:pPr>
        <w:pStyle w:val="Heading6"/>
        <w:numPr>
          <w:ilvl w:val="5"/>
          <w:numId w:val="1"/>
        </w:numPr>
        <w:rPr/>
      </w:pPr>
      <w:bookmarkStart w:id="1059" w:name="__RefHeading___Toc13100440_1280447820"/>
      <w:bookmarkStart w:id="1060" w:name="_Toc426"/>
      <w:bookmarkEnd w:id="1059"/>
      <w:r>
        <w:rPr>
          <w:rtl w:val="true"/>
        </w:rPr>
        <w:t>النقطة الثّانية</w:t>
      </w:r>
      <w:r>
        <w:rPr>
          <w:rtl w:val="true"/>
        </w:rPr>
        <w:t>:</w:t>
      </w:r>
      <w:bookmarkEnd w:id="1060"/>
    </w:p>
    <w:p>
      <w:pPr>
        <w:pStyle w:val="BookText"/>
        <w:rPr/>
      </w:pPr>
      <w:r>
        <w:rPr>
          <w:rFonts w:ascii="Amiri" w:hAnsi="Amiri" w:eastAsia="Amiri" w:cs="Amiri"/>
          <w:color w:val="111111"/>
          <w:sz w:val="28"/>
          <w:sz w:val="28"/>
          <w:szCs w:val="28"/>
          <w:rtl w:val="true"/>
          <w:lang w:bidi="ar-SA"/>
        </w:rPr>
        <w:t>مضت منّا الإشارة إلى أنّ للفقيه شؤوناً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شأن تبيين الأحكام؛</w:t>
      </w:r>
    </w:p>
    <w:p>
      <w:pPr>
        <w:pStyle w:val="BookText"/>
        <w:rPr/>
      </w:pPr>
      <w:r>
        <w:rPr>
          <w:rFonts w:ascii="Amiri" w:hAnsi="Amiri" w:eastAsia="Amiri" w:cs="Amiri"/>
          <w:color w:val="111111"/>
          <w:sz w:val="28"/>
          <w:sz w:val="28"/>
          <w:szCs w:val="28"/>
          <w:rtl w:val="true"/>
          <w:lang w:bidi="ar-SA"/>
        </w:rPr>
        <w:t>و شأن القضاء بين الناس؛</w:t>
      </w:r>
    </w:p>
    <w:p>
      <w:pPr>
        <w:pStyle w:val="BookText"/>
        <w:rPr/>
      </w:pPr>
      <w:r>
        <w:rPr>
          <w:rFonts w:ascii="Amiri" w:hAnsi="Amiri" w:eastAsia="Amiri" w:cs="Amiri"/>
          <w:color w:val="111111"/>
          <w:sz w:val="28"/>
          <w:sz w:val="28"/>
          <w:szCs w:val="28"/>
          <w:rtl w:val="true"/>
          <w:lang w:bidi="ar-SA"/>
        </w:rPr>
        <w:t>و شأن الحكم على المجتمع</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معنى القضاء غير تعيين الموضوعات أوّلاً ثمّ القضاوة على ما تقتضيها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الرجوع إلى العرف أوّلاً و إلى المخصّصين في كلّ فنٍ ثانياً لتكون معرفته بالموضوعات و ما يفتي به من الأحكام مطابقةً للواقع 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فهذا الإشكال أيضاً لايرد على مبنى القائلين بثبوت الولاية للفقيه</w:t>
      </w:r>
      <w:r>
        <w:rPr>
          <w:rFonts w:eastAsia="Amiri" w:cs="Amiri" w:ascii="Amiri" w:hAnsi="Amiri"/>
          <w:color w:val="111111"/>
          <w:sz w:val="28"/>
          <w:szCs w:val="28"/>
          <w:rtl w:val="true"/>
          <w:lang w:bidi="ar-SA"/>
        </w:rPr>
        <w:t xml:space="preserve">. </w:t>
      </w:r>
      <w:bookmarkStart w:id="1061" w:name="pg18987_179972"/>
    </w:p>
    <w:p>
      <w:pPr>
        <w:pStyle w:val="Heading4"/>
        <w:numPr>
          <w:ilvl w:val="3"/>
          <w:numId w:val="1"/>
        </w:numPr>
        <w:rPr/>
      </w:pPr>
      <w:bookmarkStart w:id="1062" w:name="__RefHeading___Toc13100442_1280447820"/>
      <w:bookmarkStart w:id="1063" w:name="_Toc427"/>
      <w:bookmarkEnd w:id="1061"/>
      <w:bookmarkEnd w:id="1062"/>
      <w:r>
        <w:rPr>
          <w:rtl w:val="true"/>
        </w:rPr>
        <w:t>الإشكال الثّالث عشرادارة المُلك تحتاج إلى غير الفقه من العلوم</w:t>
      </w:r>
      <w:bookmarkEnd w:id="1063"/>
    </w:p>
    <w:p>
      <w:pPr>
        <w:pStyle w:val="Heading5"/>
        <w:numPr>
          <w:ilvl w:val="4"/>
          <w:numId w:val="1"/>
        </w:numPr>
        <w:rPr/>
      </w:pPr>
      <w:bookmarkStart w:id="1064" w:name="__RefHeading___Toc13100444_1280447820"/>
      <w:bookmarkStart w:id="1065" w:name="_Toc428"/>
      <w:bookmarkEnd w:id="1064"/>
      <w:r>
        <w:rPr>
          <w:rtl w:val="true"/>
        </w:rPr>
        <w:t>اشارة</w:t>
      </w:r>
      <w:bookmarkEnd w:id="1065"/>
    </w:p>
    <w:p>
      <w:pPr>
        <w:pStyle w:val="BookText"/>
        <w:rPr/>
      </w:pPr>
      <w:r>
        <w:rPr>
          <w:rFonts w:ascii="Amiri" w:hAnsi="Amiri" w:eastAsia="Amiri" w:cs="Amiri"/>
          <w:color w:val="111111"/>
          <w:sz w:val="28"/>
          <w:sz w:val="28"/>
          <w:szCs w:val="28"/>
          <w:rtl w:val="true"/>
          <w:lang w:bidi="ar-SA"/>
        </w:rPr>
        <w:t>و هذا الإشكال قد تعرّض له بعض أعاظم العصر قدس سره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لاارتباط بين الفقه و بين ما تقتضيه السلطة من دقائق أمر الحكم و السياسة و الأمور اليوميّة و الشؤون الداخليّة و الخارجيّة، فإدارة المُلك تحتاج إلى غير الفقه من العلوم، فعلى الفقيه أن لايحوم حول هذا المنصب؛ و هذا الاشكال هو الّذى قد يعبّر عنه فى عصرنا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المديريّة الفقهيّة و المديريّة العلميّة</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13100446_1280447820"/>
      <w:bookmarkStart w:id="1067" w:name="_Toc429"/>
      <w:bookmarkEnd w:id="1066"/>
      <w:r>
        <w:rPr>
          <w:rtl w:val="true"/>
        </w:rPr>
        <w:t>و الجواب</w:t>
      </w:r>
      <w:bookmarkEnd w:id="1067"/>
    </w:p>
    <w:p>
      <w:pPr>
        <w:pStyle w:val="BookText"/>
        <w:rPr/>
      </w:pPr>
      <w:r>
        <w:rPr>
          <w:rFonts w:ascii="Amiri" w:hAnsi="Amiri" w:eastAsia="Amiri" w:cs="Amiri"/>
          <w:color w:val="111111"/>
          <w:sz w:val="28"/>
          <w:sz w:val="28"/>
          <w:szCs w:val="28"/>
          <w:rtl w:val="true"/>
          <w:lang w:bidi="ar-SA"/>
        </w:rPr>
        <w:t>عن هذا الإشكال يظهر بالتأمّل فيما مضى من شرائط الفقيه الوالي، فقد بينّا فيما مضى من هذه الرسالة انّ للوالي في الدولة الإسلاميّة شروطاً لايصلح للولاية و لاتتمّ الولاية له إلّاباحرازها؛ و أهمّ الشروط الفقاهة و العدالة و الكفاية لتدبير جميع ما يرجع إلى أمر الحكم و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لاتكفي الفقاهة للجلوس على عرش الحكومة، و هذا كلامٌ لانقاش فيه؛ و لكن القائلين بثبوت الولاية له و الذاهبين إليه ما اكتفوا باشتراط الفقاهة فيه فحسب، بل نصّوا باشتراط التدبير فيه أيضاً؛ و قد أكّدوا على هذا الشرط أبلغ تأكيدٍ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الإشكال لايعدّ إشكالاً وارداً على مبنانا، بل هو مؤيّدٌ لما ذهبنا إليه من صحّة اشتراط الفقاهة و العدالة و الكفاية معاً في الفقيه الوليّ</w:t>
      </w:r>
      <w:r>
        <w:rPr>
          <w:rFonts w:eastAsia="Amiri" w:cs="Amiri" w:ascii="Amiri" w:hAnsi="Amiri"/>
          <w:color w:val="111111"/>
          <w:sz w:val="28"/>
          <w:szCs w:val="28"/>
          <w:rtl w:val="true"/>
          <w:lang w:bidi="ar-SA"/>
        </w:rPr>
        <w:t xml:space="preserve">. </w:t>
      </w:r>
      <w:bookmarkStart w:id="1068" w:name="pg18987_179973"/>
    </w:p>
    <w:p>
      <w:pPr>
        <w:pStyle w:val="Heading4"/>
        <w:numPr>
          <w:ilvl w:val="3"/>
          <w:numId w:val="1"/>
        </w:numPr>
        <w:rPr/>
      </w:pPr>
      <w:bookmarkStart w:id="1069" w:name="__RefHeading___Toc13100448_1280447820"/>
      <w:bookmarkStart w:id="1070" w:name="_Toc430"/>
      <w:bookmarkEnd w:id="1068"/>
      <w:bookmarkEnd w:id="1069"/>
      <w:r>
        <w:rPr>
          <w:rtl w:val="true"/>
        </w:rPr>
        <w:t>الإشكال الرّابع عشرالآيات القرآنيّة تدلّ على الحكومة الإختياريّة</w:t>
      </w:r>
      <w:bookmarkEnd w:id="1070"/>
    </w:p>
    <w:p>
      <w:pPr>
        <w:pStyle w:val="Heading5"/>
        <w:numPr>
          <w:ilvl w:val="4"/>
          <w:numId w:val="1"/>
        </w:numPr>
        <w:rPr/>
      </w:pPr>
      <w:bookmarkStart w:id="1071" w:name="__RefHeading___Toc13100450_1280447820"/>
      <w:bookmarkStart w:id="1072" w:name="_Toc431"/>
      <w:bookmarkEnd w:id="1071"/>
      <w:r>
        <w:rPr>
          <w:rtl w:val="true"/>
        </w:rPr>
        <w:t>اشارة</w:t>
      </w:r>
      <w:bookmarkEnd w:id="1072"/>
    </w:p>
    <w:p>
      <w:pPr>
        <w:pStyle w:val="BookText"/>
        <w:rPr/>
      </w:pPr>
      <w:r>
        <w:rPr>
          <w:rFonts w:ascii="Amiri" w:hAnsi="Amiri" w:eastAsia="Amiri" w:cs="Amiri"/>
          <w:color w:val="111111"/>
          <w:sz w:val="28"/>
          <w:sz w:val="28"/>
          <w:szCs w:val="28"/>
          <w:rtl w:val="true"/>
          <w:lang w:bidi="ar-SA"/>
        </w:rPr>
        <w:t>و هذا الإشكال أوردوه بما يظهر من بعض الآيات القرانيّة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خاطب الناس في كثيرٍ من الآيات بما يدلّ على أنّهم هم المسؤولون لتشكيل الدولة و تركيبها، و ليس على الفقيه أن يقوم بهذا الأمر و لاسبيل للناس إلى تشكيل الدولة إلّاباختيار من ينوب عنهم في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الجهاد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الْكُفْرِ إِنَّهُمْ لَاأَيْمَانَ لَهُمْ</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لَاتَكُونَ فِتْنَةٌ وَ يَكُونَ الدِّينُ كُلُّهُ لِلَّهِ</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الحدود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وَ السَّارِقَةُ فَاقْطَعُوا أَيْدِيَهُمَا جَزَاءً بِمَا كَسَبَا نَكَالاً مِنَ اللَّهِ</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إنّ الأوامر الواردة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فَاجْلِدُوا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فَاقْطَعُوا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تخاطب الناس برمّتهم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فالوالي هو الحاكم المختار من قبل الناس، لاالفقيه المنصوب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bookmarkStart w:id="1073" w:name="pg18987_179974"/>
    </w:p>
    <w:p>
      <w:pPr>
        <w:pStyle w:val="Heading5"/>
        <w:numPr>
          <w:ilvl w:val="4"/>
          <w:numId w:val="1"/>
        </w:numPr>
        <w:rPr/>
      </w:pPr>
      <w:bookmarkStart w:id="1074" w:name="__RefHeading___Toc13100452_1280447820"/>
      <w:bookmarkStart w:id="1075" w:name="_Toc432"/>
      <w:bookmarkEnd w:id="1073"/>
      <w:bookmarkEnd w:id="1074"/>
      <w:r>
        <w:rPr>
          <w:rtl w:val="true"/>
        </w:rPr>
        <w:t>و الجواب</w:t>
      </w:r>
      <w:bookmarkEnd w:id="1075"/>
    </w:p>
    <w:p>
      <w:pPr>
        <w:pStyle w:val="Heading6"/>
        <w:numPr>
          <w:ilvl w:val="5"/>
          <w:numId w:val="1"/>
        </w:numPr>
        <w:rPr/>
      </w:pPr>
      <w:bookmarkStart w:id="1076" w:name="__RefHeading___Toc13100454_1280447820"/>
      <w:bookmarkStart w:id="1077" w:name="_Toc433"/>
      <w:bookmarkEnd w:id="1076"/>
      <w:r>
        <w:rPr>
          <w:rtl w:val="true"/>
        </w:rPr>
        <w:t>اشارة</w:t>
      </w:r>
      <w:bookmarkEnd w:id="1077"/>
    </w:p>
    <w:p>
      <w:pPr>
        <w:pStyle w:val="BookText"/>
        <w:rPr/>
      </w:pPr>
      <w:r>
        <w:rPr>
          <w:rFonts w:ascii="Amiri" w:hAnsi="Amiri" w:eastAsia="Amiri" w:cs="Amiri"/>
          <w:color w:val="111111"/>
          <w:sz w:val="28"/>
          <w:sz w:val="28"/>
          <w:szCs w:val="28"/>
          <w:rtl w:val="true"/>
          <w:lang w:bidi="ar-SA"/>
        </w:rPr>
        <w:t>بعدم تماميّة دلالة الآيات على مطلوبهم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لاريب في دلالتها على وجوب تشكيل الدولة في المجتمع، إذ لايُعقل أن يقوم كلّ واحدٍ من الناس بما أُمروا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مقاتلة أئمّة الكفر و جلد الزاني و الزانية و قطع أيدي السارق و السارقة و ما يشبهها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هذا يؤدّي إلى الهرج في أمر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الواجب أن تكون دولةٌ لتقوم بانفاذ هذه الأوامر و غيرها من الأوامر الّتي لولاها لما ينتظم أمر الملك و لايطيب عيش الناس المادّيّ و الروحانيّ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الكلام كلّه في أنّ هذه الآيات لا دلالة لها على أزيد من ذلك، فلادلالة لها على وجوب قيام الناس بتشكيل الحكم والدولة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لايخفى على الفطن انّ التمسّك بها للقول بوجوب قيام الناس به من باب التمسّك بالعامّ في الشبهات المصداقيّة، و هذا التمسّك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فصّل الأصوليّون الكلام حوله في مسفوراتهم</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بوجوب نصب الحاكم من اللّه أو وجوب تشكيل الحكم على الناس يحتاج إلى دليلٍ آخر، و لادلالة لتلك الآيات على أحد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القائلون بثبوت الولاية للفقيه الذاهبون إلى وجوب نصب الحاكم من اللّه ففي فصحةٍ، إذ مضى تفصيل الكلام في الأدلّة الّتي أقاموها على ثبوتها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فبانضمام الآيات إلى الأدلّة العقليّة و النقليّة الّتي مضت الإشارة إليها نستنتج نتيجةً؛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نصب الوالي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وجوب تشكيل الدولة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هيهنا نكتٌ ثلاث يجب الالمام بها؛ و هي</w:t>
      </w:r>
      <w:r>
        <w:rPr>
          <w:rFonts w:eastAsia="Amiri" w:cs="Amiri" w:ascii="Amiri" w:hAnsi="Amiri"/>
          <w:color w:val="111111"/>
          <w:sz w:val="28"/>
          <w:szCs w:val="28"/>
          <w:rtl w:val="true"/>
          <w:lang w:bidi="ar-SA"/>
        </w:rPr>
        <w:t>:</w:t>
      </w:r>
    </w:p>
    <w:p>
      <w:pPr>
        <w:pStyle w:val="Heading6"/>
        <w:numPr>
          <w:ilvl w:val="5"/>
          <w:numId w:val="1"/>
        </w:numPr>
        <w:rPr/>
      </w:pPr>
      <w:bookmarkStart w:id="1078" w:name="__RefHeading___Toc13100456_1280447820"/>
      <w:bookmarkStart w:id="1079" w:name="_Toc434"/>
      <w:bookmarkEnd w:id="1078"/>
      <w:r>
        <w:rPr>
          <w:rtl w:val="true"/>
        </w:rPr>
        <w:t>النكتة الأولى</w:t>
      </w:r>
      <w:r>
        <w:rPr>
          <w:rtl w:val="true"/>
        </w:rPr>
        <w:t>:</w:t>
      </w:r>
      <w:bookmarkEnd w:id="107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لوكابر مكابرٌ و ذهب إلى عدم تماميّة دلالة الأدلّة على ثبوتها له فلاضير أيضاً، إذ العقل و النقل تطابقا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لاولاية لأحدٍ على أحدٍ إلّاما أخرجه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فلايجوز لأحدٍ من الناس أن يجلس على عرش السلطة إلّاأن يدلّ دليلٌ على جوازه؛ و الدليل مفقودٌ في الباب</w:t>
      </w:r>
      <w:r>
        <w:rPr>
          <w:rFonts w:eastAsia="Amiri" w:cs="Amiri" w:ascii="Amiri" w:hAnsi="Amiri"/>
          <w:color w:val="111111"/>
          <w:sz w:val="28"/>
          <w:szCs w:val="28"/>
          <w:rtl w:val="true"/>
          <w:lang w:bidi="ar-SA"/>
        </w:rPr>
        <w:t xml:space="preserve">. </w:t>
      </w:r>
      <w:bookmarkStart w:id="1080" w:name="pg18987_179975"/>
    </w:p>
    <w:p>
      <w:pPr>
        <w:pStyle w:val="Heading6"/>
        <w:numPr>
          <w:ilvl w:val="5"/>
          <w:numId w:val="1"/>
        </w:numPr>
        <w:rPr/>
      </w:pPr>
      <w:bookmarkStart w:id="1081" w:name="__RefHeading___Toc13100458_1280447820"/>
      <w:bookmarkStart w:id="1082" w:name="_Toc435"/>
      <w:bookmarkEnd w:id="1080"/>
      <w:bookmarkEnd w:id="1081"/>
      <w:r>
        <w:rPr>
          <w:rtl w:val="true"/>
        </w:rPr>
        <w:t>النكتة الثّانية</w:t>
      </w:r>
      <w:r>
        <w:rPr>
          <w:rtl w:val="true"/>
        </w:rPr>
        <w:t>:</w:t>
      </w:r>
      <w:bookmarkEnd w:id="1082"/>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خاطب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الناس في هذه الأوامر و كان من المقدور له أن يوجّه الأمر إلى الحكّام المنصوبين من قِبله فقط؟</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خاطب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الناس لما لهم من الدور الهامّ في إقامة شرايع الإسلام، فإنّه لاقدرة و لااستطاعة للدولة على اقامتها إلّابمعاونةٍ من الناس و معاضدتهم إيّاها؛ فهذا هو السرّ في توجيه الخطاب نحوهم</w:t>
      </w:r>
      <w:r>
        <w:rPr>
          <w:rFonts w:eastAsia="Amiri" w:cs="Amiri" w:ascii="Amiri" w:hAnsi="Amiri"/>
          <w:color w:val="111111"/>
          <w:sz w:val="28"/>
          <w:szCs w:val="28"/>
          <w:rtl w:val="true"/>
          <w:lang w:bidi="ar-SA"/>
        </w:rPr>
        <w:t>.</w:t>
      </w:r>
    </w:p>
    <w:p>
      <w:pPr>
        <w:pStyle w:val="Heading6"/>
        <w:numPr>
          <w:ilvl w:val="5"/>
          <w:numId w:val="1"/>
        </w:numPr>
        <w:rPr/>
      </w:pPr>
      <w:bookmarkStart w:id="1083" w:name="__RefHeading___Toc13100460_1280447820"/>
      <w:bookmarkStart w:id="1084" w:name="_Toc436"/>
      <w:bookmarkEnd w:id="1083"/>
      <w:r>
        <w:rPr>
          <w:rtl w:val="true"/>
        </w:rPr>
        <w:t>النكتة الثّالثة</w:t>
      </w:r>
      <w:r>
        <w:rPr>
          <w:rtl w:val="true"/>
        </w:rPr>
        <w:t>:</w:t>
      </w:r>
      <w:bookmarkEnd w:id="1084"/>
    </w:p>
    <w:p>
      <w:pPr>
        <w:pStyle w:val="BookText"/>
        <w:rPr/>
      </w:pPr>
      <w:r>
        <w:rPr>
          <w:rFonts w:ascii="Amiri" w:hAnsi="Amiri" w:eastAsia="Amiri" w:cs="Amiri"/>
          <w:color w:val="111111"/>
          <w:sz w:val="28"/>
          <w:sz w:val="28"/>
          <w:szCs w:val="28"/>
          <w:rtl w:val="true"/>
          <w:lang w:bidi="ar-SA"/>
        </w:rPr>
        <w:t>لاريب في دلالة الأمر على الوجوب، فيجب الإتيان بمقتضى هذه الأوامر و مدلولاتها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لاريب أيضاً في أنّ تشكيل الحكم يعدّ مقدّمةً للاتيان بهذه الأوامر، فالقيام بتشكيل الدولة يكون من مقدّمات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هيهنا نكتةٌ لطيفةٌ؛ و هي انّا قد فصّلنا الكلام في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الفرق بين مقدّمة الواجب و مقدّمة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هناك انّ مقدّمة الوجوب ليست بواجبةٍ، فلايجب على المكلّف تحصيل الاستطاعة ليجب عليه الحجّ؛ بينما انّ مقدّمة الواجب واجبةٌ، فيجب عليه تحصيل الماء ليتمكّن من الوضوء عند وجوب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فلوكان القيام بتشكيل الحكم من باب مقدّمة الواجب يجب على الناس القيام به ليتمكّنوا من الإتيان بما أمروا به في تلك الآيات المباركات؛ و لكن لوكان من باب مقدّمة الواجب فلايجب عليهم القيام به، إذ ليس تحصيل مقدّمة الوجوب واجباً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القائلين بوجوب تشكيل الحكم على آحاد الناس أن يثبتوا أوّلاً كونه من باب مقدّمة الواجب و يبرهنوا عليه، و أنّى لهم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القائلين بعدم وجوبه عليهم ففي فصحةٍ من ذلك، إذ الأصل عند الشكّ في كون شيءٍ مقدّمة الواجب أو الوجوب يقتضي أن يكون مقدّمة الوجوب، فلاشيء عليهم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الكلام فيه موكولٌ إلى محلّه من علم الأصول</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فتلخّص ممّا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الآيات على وجوب تشكيل الحكم و الحكومة تامّةٌ؛</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لادلالة فيها على وجوب القيام بأمر الحكم على آحاد الناس؛</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فالذهاب إلى القول بوجوبه عليهم أو وجوبه من اللّه يحتاج الي دليلٍ آخر؛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الأدلّة الكثيرة من الأدلّة الأربعة الّتي أقمناها على وجوب تعيين الحاكم من اللّه تدلّ على صحّة الذهاب إلى قولنا هذا؛ و هو يساوي القول بثبوت الولاية للفقيه الجامع لشرائط الفتيا</w:t>
      </w:r>
      <w:r>
        <w:rPr>
          <w:rFonts w:eastAsia="Amiri" w:cs="Amiri" w:ascii="Amiri" w:hAnsi="Amiri"/>
          <w:color w:val="111111"/>
          <w:sz w:val="28"/>
          <w:szCs w:val="28"/>
          <w:rtl w:val="true"/>
          <w:lang w:bidi="ar-SA"/>
        </w:rPr>
        <w:t xml:space="preserve">. </w:t>
      </w:r>
      <w:bookmarkStart w:id="1085" w:name="pg18987_179977"/>
    </w:p>
    <w:p>
      <w:pPr>
        <w:pStyle w:val="Heading4"/>
        <w:numPr>
          <w:ilvl w:val="3"/>
          <w:numId w:val="1"/>
        </w:numPr>
        <w:rPr/>
      </w:pPr>
      <w:bookmarkStart w:id="1086" w:name="__RefHeading___Toc13100462_1280447820"/>
      <w:bookmarkStart w:id="1087" w:name="_Toc437"/>
      <w:bookmarkEnd w:id="1085"/>
      <w:bookmarkEnd w:id="1086"/>
      <w:r>
        <w:rPr>
          <w:rtl w:val="true"/>
        </w:rPr>
        <w:t>الإشكال الخامس عشردلالة القرآن الكريم على لزوم إذن النّاس فى الحكومة و التصرف</w:t>
      </w:r>
      <w:bookmarkEnd w:id="1087"/>
    </w:p>
    <w:p>
      <w:pPr>
        <w:pStyle w:val="Heading5"/>
        <w:numPr>
          <w:ilvl w:val="4"/>
          <w:numId w:val="1"/>
        </w:numPr>
        <w:rPr/>
      </w:pPr>
      <w:bookmarkStart w:id="1088" w:name="__RefHeading___Toc13100464_1280447820"/>
      <w:bookmarkStart w:id="1089" w:name="_Toc438"/>
      <w:bookmarkEnd w:id="1088"/>
      <w:r>
        <w:rPr>
          <w:rtl w:val="true"/>
        </w:rPr>
        <w:t>اشارة</w:t>
      </w:r>
      <w:bookmarkEnd w:id="1089"/>
    </w:p>
    <w:p>
      <w:pPr>
        <w:pStyle w:val="BookText"/>
        <w:rPr/>
      </w:pPr>
      <w:r>
        <w:rPr>
          <w:rFonts w:ascii="Amiri" w:hAnsi="Amiri" w:eastAsia="Amiri" w:cs="Amiri"/>
          <w:color w:val="111111"/>
          <w:sz w:val="28"/>
          <w:sz w:val="28"/>
          <w:szCs w:val="28"/>
          <w:rtl w:val="true"/>
          <w:lang w:bidi="ar-SA"/>
        </w:rPr>
        <w:t>و هذا الإشكال أيضاً يقوم على ما يُستفاد من بعض الآيات الكريمات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آيات الكتاب يدلّ على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للناس الأرض و ما فيها، فلجميعهم أن يستفيدوا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 في بعضها دلالةٌ واضحةٌ على تعميم الحكم إلى جميع ما دخل في حيّز الوجود؛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لَكُمْ مَا فِي السَّمَاوَاتِ وَ مَا فِي الْأَرْضِ وَ أَسْبَغَ عَلَيْكُمْ نِعَمَهُ ظَاهِرَةً وَ بَاطِنَةً</w:t>
      </w:r>
      <w:r>
        <w:rPr>
          <w:rFonts w:eastAsia="Amiri" w:cs="Amiri" w:ascii="Amiri" w:hAnsi="Amiri"/>
          <w:color w:val="111111"/>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الدالّ على أنّ لجميعهم حقّ السيادة عليه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فمن يريد أن يستقرّ على عرش الحكم يجب أن يكون بإذن الناس، إذ الحكم يساوي التصرّف في ما في الأرض الّذي وهبه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تصرّف الحاكم موقوفةٌ على إذنهم، فالحكم حكمهم و السلطة سلطتهم؛ و هذا معنى صحّة الدولة الإختياريّة</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13100466_1280447820"/>
      <w:bookmarkStart w:id="1091" w:name="_Toc439"/>
      <w:bookmarkEnd w:id="1090"/>
      <w:r>
        <w:rPr>
          <w:rtl w:val="true"/>
        </w:rPr>
        <w:t>و الجواب</w:t>
      </w:r>
      <w:bookmarkEnd w:id="1091"/>
    </w:p>
    <w:p>
      <w:pPr>
        <w:pStyle w:val="Heading6"/>
        <w:numPr>
          <w:ilvl w:val="5"/>
          <w:numId w:val="1"/>
        </w:numPr>
        <w:rPr/>
      </w:pPr>
      <w:bookmarkStart w:id="1092" w:name="__RefHeading___Toc13100468_1280447820"/>
      <w:bookmarkStart w:id="1093" w:name="_Toc440"/>
      <w:bookmarkEnd w:id="1092"/>
      <w:r>
        <w:rPr>
          <w:rtl w:val="true"/>
        </w:rPr>
        <w:t>اشارة</w:t>
      </w:r>
      <w:bookmarkEnd w:id="1093"/>
    </w:p>
    <w:p>
      <w:pPr>
        <w:pStyle w:val="BookText"/>
        <w:rPr/>
      </w:pPr>
      <w:r>
        <w:rPr>
          <w:rFonts w:ascii="Amiri" w:hAnsi="Amiri" w:eastAsia="Amiri" w:cs="Amiri"/>
          <w:color w:val="111111"/>
          <w:sz w:val="28"/>
          <w:sz w:val="28"/>
          <w:szCs w:val="28"/>
          <w:rtl w:val="true"/>
          <w:lang w:bidi="ar-SA"/>
        </w:rPr>
        <w:t>عن هذا الإشكال يتمّ بالنظر إلى هذه النقاط</w:t>
      </w:r>
      <w:r>
        <w:rPr>
          <w:rFonts w:eastAsia="Amiri" w:cs="Amiri" w:ascii="Amiri" w:hAnsi="Amiri"/>
          <w:color w:val="111111"/>
          <w:sz w:val="28"/>
          <w:szCs w:val="28"/>
          <w:rtl w:val="true"/>
          <w:lang w:bidi="ar-SA"/>
        </w:rPr>
        <w:t>:</w:t>
      </w:r>
    </w:p>
    <w:p>
      <w:pPr>
        <w:pStyle w:val="Heading6"/>
        <w:numPr>
          <w:ilvl w:val="5"/>
          <w:numId w:val="1"/>
        </w:numPr>
        <w:rPr/>
      </w:pPr>
      <w:bookmarkStart w:id="1094" w:name="__RefHeading___Toc13100470_1280447820"/>
      <w:bookmarkStart w:id="1095" w:name="_Toc441"/>
      <w:bookmarkEnd w:id="1094"/>
      <w:r>
        <w:rPr>
          <w:rtl w:val="true"/>
        </w:rPr>
        <w:t>النقطة الأولى</w:t>
      </w:r>
      <w:r>
        <w:rPr>
          <w:rtl w:val="true"/>
        </w:rPr>
        <w:t>:</w:t>
      </w:r>
      <w:bookmarkEnd w:id="109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قولكم هذا يدلّ على زهق الدولة الاختياريّة و بوارها، إذ لايمكن أن يرضى جميع أهالي المجتمع بدولةٍ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يُشاهد في جميع الأمصار و الدول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رأيكم </w:t>
      </w:r>
      <w:bookmarkStart w:id="1096" w:name="pg18987_179978"/>
    </w:p>
    <w:p>
      <w:pPr>
        <w:pStyle w:val="BookText"/>
        <w:rPr/>
      </w:pPr>
      <w:bookmarkEnd w:id="1096"/>
      <w:r>
        <w:rPr>
          <w:rFonts w:ascii="Amiri" w:hAnsi="Amiri" w:eastAsia="Amiri" w:cs="Amiri"/>
          <w:color w:val="111111"/>
          <w:sz w:val="28"/>
          <w:sz w:val="28"/>
          <w:szCs w:val="28"/>
          <w:rtl w:val="true"/>
          <w:lang w:bidi="ar-SA"/>
        </w:rPr>
        <w:t>في المناوىء الكاره الّذي لايرضى بالحكم و لايقنع به؟ أ ليس هو ممّن وهب اللّه له ما في الأرض؟ فما هو المبرز و المصحّح لتصرّف الدولة فيما يتعلّق بهذا المناوىء من المياه و الأراضي و المعادن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أدلّ دليلٍ على تزييف تصرّفات الدولة الاختياريّة؛</w:t>
      </w:r>
    </w:p>
    <w:p>
      <w:pPr>
        <w:pStyle w:val="BookText"/>
        <w:rPr/>
      </w:pPr>
      <w:r>
        <w:rPr>
          <w:rFonts w:ascii="Amiri" w:hAnsi="Amiri" w:eastAsia="Amiri" w:cs="Amiri"/>
          <w:color w:val="111111"/>
          <w:sz w:val="28"/>
          <w:sz w:val="28"/>
          <w:szCs w:val="28"/>
          <w:rtl w:val="true"/>
          <w:lang w:bidi="ar-SA"/>
        </w:rPr>
        <w:t>و حيث لاتصرّف لها فلاحكم لها، إذ حقّ التصرّف في الملك من مقوّمات الدولة، و لادولة إلّابه، و لايمكن قيام الدولة بفرائضها إلّابعد الفراغ من جواز تصرّفها في الملك</w:t>
      </w:r>
      <w:r>
        <w:rPr>
          <w:rFonts w:eastAsia="Amiri" w:cs="Amiri" w:ascii="Amiri" w:hAnsi="Amiri"/>
          <w:color w:val="111111"/>
          <w:sz w:val="28"/>
          <w:szCs w:val="28"/>
          <w:rtl w:val="true"/>
          <w:lang w:bidi="ar-SA"/>
        </w:rPr>
        <w:t>.</w:t>
      </w:r>
    </w:p>
    <w:p>
      <w:pPr>
        <w:pStyle w:val="Heading6"/>
        <w:numPr>
          <w:ilvl w:val="5"/>
          <w:numId w:val="1"/>
        </w:numPr>
        <w:rPr/>
      </w:pPr>
      <w:bookmarkStart w:id="1097" w:name="__RefHeading___Toc13100472_1280447820"/>
      <w:bookmarkStart w:id="1098" w:name="_Toc442"/>
      <w:bookmarkEnd w:id="1097"/>
      <w:r>
        <w:rPr>
          <w:rtl w:val="true"/>
        </w:rPr>
        <w:t>النقطة الثّانية</w:t>
      </w:r>
      <w:r>
        <w:rPr>
          <w:rtl w:val="true"/>
        </w:rPr>
        <w:t>:</w:t>
      </w:r>
      <w:bookmarkEnd w:id="1098"/>
    </w:p>
    <w:p>
      <w:pPr>
        <w:pStyle w:val="BookText"/>
        <w:rPr/>
      </w:pPr>
      <w:r>
        <w:rPr>
          <w:rFonts w:ascii="Amiri" w:hAnsi="Amiri" w:eastAsia="Amiri" w:cs="Amiri"/>
          <w:color w:val="111111"/>
          <w:sz w:val="28"/>
          <w:sz w:val="28"/>
          <w:szCs w:val="28"/>
          <w:rtl w:val="true"/>
          <w:lang w:bidi="ar-SA"/>
        </w:rPr>
        <w:t xml:space="preserve">إنّ قولكم هذا و إن كان صحيحاً في نفسه و لكن تعميمه إلى جميع ما في الأرض باطلٌ مزيّفٌ؛ إذ تلك الآيات قد خُصّصت بغيرها من الآيات الدالّة على أن لاتصرّف لأحدٍ في الأنفال، و لاحقّ لأحدٍ عليها إلّاللّه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عيّنه و نصّ عليه للتصرّف فيها؛ 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الْأَنْفَالِ قُلِ الْأَنْفَالُ لِلَّهِ وَ الرَّسُولِ</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الأنفال تشتمل المياه و الأراضي و المعادن و غيرها، و لاريب في أنّ الدولة بحاجةٍ ماسّةٍ إلى التصرّف فيها ليتمكّن من أداء ما فُرض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القيام باصلاح معيشة الناس و تسطيح شوارعهم و زقاقاتهم و ضمان أمنهم و تأمينه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فلايحلّ للناس أن يتصرّفوا فيها 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قد أذن لنبيّه صلى الله عليه و آله و أئمّتنا المعصومين عليهم السلام في التصرّف فيها، و قد نصّ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مضت الإشارة إليه في هذه السطور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الأدلّة الّتي أقمناها على استخلاف الفقيه عنهم عليهم السلام في زمن الغيبة تدلّ على جواز تصرّفه فيها؛ كقوله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r>
        <w:rPr>
          <w:rStyle w:val="FootnoteAnchor"/>
          <w:rtl w:val="true"/>
        </w:rPr>
        <w:footnoteReference w:id="605"/>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bookmarkStart w:id="1099" w:name="pg18987_179979"/>
    </w:p>
    <w:p>
      <w:pPr>
        <w:pStyle w:val="BookText"/>
        <w:rPr/>
      </w:pPr>
      <w:bookmarkEnd w:id="10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مضى تفصيل الكلام حول كيفيّة الاستدلال بهما و بما يشبههما من الآيات و الأحاديث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فلاحكم إلّاللفقيه العدل المدبّر لأنّه المجاز للتصرّف في الأنفال طيلة عصر الغيبة</w:t>
      </w:r>
      <w:r>
        <w:rPr>
          <w:rFonts w:eastAsia="Amiri" w:cs="Amiri" w:ascii="Amiri" w:hAnsi="Amiri"/>
          <w:color w:val="111111"/>
          <w:sz w:val="28"/>
          <w:szCs w:val="28"/>
          <w:rtl w:val="true"/>
          <w:lang w:bidi="ar-SA"/>
        </w:rPr>
        <w:t>.</w:t>
      </w:r>
    </w:p>
    <w:p>
      <w:pPr>
        <w:pStyle w:val="Heading6"/>
        <w:numPr>
          <w:ilvl w:val="5"/>
          <w:numId w:val="1"/>
        </w:numPr>
        <w:rPr/>
      </w:pPr>
      <w:bookmarkStart w:id="1100" w:name="__RefHeading___Toc13100474_1280447820"/>
      <w:bookmarkStart w:id="1101" w:name="_Toc443"/>
      <w:bookmarkEnd w:id="1100"/>
      <w:r>
        <w:rPr>
          <w:rtl w:val="true"/>
        </w:rPr>
        <w:t>النقطة الثّالثة</w:t>
      </w:r>
      <w:r>
        <w:rPr>
          <w:rtl w:val="true"/>
        </w:rPr>
        <w:t>:</w:t>
      </w:r>
      <w:bookmarkEnd w:id="1101"/>
    </w:p>
    <w:p>
      <w:pPr>
        <w:pStyle w:val="BookText"/>
        <w:rPr/>
      </w:pPr>
      <w:r>
        <w:rPr>
          <w:rFonts w:ascii="Amiri" w:hAnsi="Amiri" w:eastAsia="Amiri" w:cs="Amiri"/>
          <w:color w:val="111111"/>
          <w:sz w:val="28"/>
          <w:sz w:val="28"/>
          <w:szCs w:val="28"/>
          <w:rtl w:val="true"/>
          <w:lang w:bidi="ar-SA"/>
        </w:rPr>
        <w:t xml:space="preserve">الظاهر انّ الجارّ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لايراد منه معنى الملكيّة، بل المراد منه الاختصاص؛ فمعنى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الأرض و اختصّها ببني آدم ليتصرّفوا فيها على مقتضى ما عيّنه لهم، ليسعوا في عمرانها لتكون مهداً و مِنزّاً لسيرهم إلى اللّه و نيلهم إلى الكمال المطلوب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من تلك الكريمة ما لفّقوه ثمّ بنوا عليه هذا الإشكال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قلنا انّ هذا الإشكال أيضاً لايرد على مبنى القائلين بثبوت الولاية للفقيه</w:t>
      </w:r>
      <w:r>
        <w:rPr>
          <w:rFonts w:eastAsia="Amiri" w:cs="Amiri" w:ascii="Amiri" w:hAnsi="Amiri"/>
          <w:color w:val="111111"/>
          <w:sz w:val="28"/>
          <w:szCs w:val="28"/>
          <w:rtl w:val="true"/>
          <w:lang w:bidi="ar-SA"/>
        </w:rPr>
        <w:t xml:space="preserve">. </w:t>
      </w:r>
      <w:bookmarkStart w:id="1102" w:name="pg18987_179980"/>
    </w:p>
    <w:p>
      <w:pPr>
        <w:pStyle w:val="Heading4"/>
        <w:numPr>
          <w:ilvl w:val="3"/>
          <w:numId w:val="1"/>
        </w:numPr>
        <w:rPr/>
      </w:pPr>
      <w:bookmarkStart w:id="1103" w:name="__RefHeading___Toc13100476_1280447820"/>
      <w:bookmarkStart w:id="1104" w:name="_Toc444"/>
      <w:bookmarkEnd w:id="1102"/>
      <w:bookmarkEnd w:id="1103"/>
      <w:r>
        <w:rPr>
          <w:rtl w:val="true"/>
        </w:rPr>
        <w:t>الإشكال السّادس عشرولاية الفقية تخالف نظريّة اميرالمؤمنين عليه السلام السّياسيّة</w:t>
      </w:r>
      <w:bookmarkEnd w:id="1104"/>
    </w:p>
    <w:p>
      <w:pPr>
        <w:pStyle w:val="Heading5"/>
        <w:numPr>
          <w:ilvl w:val="4"/>
          <w:numId w:val="1"/>
        </w:numPr>
        <w:rPr/>
      </w:pPr>
      <w:bookmarkStart w:id="1105" w:name="__RefHeading___Toc13100478_1280447820"/>
      <w:bookmarkStart w:id="1106" w:name="_Toc445"/>
      <w:bookmarkEnd w:id="1105"/>
      <w:r>
        <w:rPr>
          <w:rtl w:val="true"/>
        </w:rPr>
        <w:t>اشارة</w:t>
      </w:r>
      <w:bookmarkEnd w:id="1106"/>
    </w:p>
    <w:p>
      <w:pPr>
        <w:pStyle w:val="BookText"/>
        <w:rPr/>
      </w:pPr>
      <w:r>
        <w:rPr>
          <w:rFonts w:ascii="Amiri" w:hAnsi="Amiri" w:eastAsia="Amiri" w:cs="Amiri"/>
          <w:color w:val="111111"/>
          <w:sz w:val="28"/>
          <w:sz w:val="28"/>
          <w:szCs w:val="28"/>
          <w:rtl w:val="true"/>
          <w:lang w:bidi="ar-SA"/>
        </w:rPr>
        <w:t>و هذا الإشكال مبنيٌّ على جملٍ من أقوال أميرالمؤمنين عليه السلام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ورد في النهج حول نظريّة الإمام السياسيّة يدلّ على أنّه عليه السلام قد أمضى سيرة المسلمين حين اجتمعوا على مبايعة أبي بكرٍ ثمّ مبايعة عمر ثمّ مبايعة عثمان؛ و قد خضع لحكم الخلفاء بما أنّهم كانوا مختارين من قبل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الأقوال تدلّ على أنّه عليه السلام ما كان يرى لنفسه مرتبة الاستخلاف عن النبيّ صلى الله عليه و آله و الجلوس على عرش السلطة إلّاإذا اتّفقت كلمة المسلمين على اعطائهم إياه عليه السلام هذا المسند، بل كان ينكَف عن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حينما أقبلوا إليه ليقوم بأمر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 التمسوا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عنه في نفس الخطابة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لكم وزيراً خيرٌ لكم منّي أميراً</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لوكان عليه السلام قائلاً بالدولة الانتصابيّة لما كان يجوز له أن يأبىٰ عن رئاسة المجتمع، إذ المنصوب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لتعاطي أمرٍ و نَفاذه لااختيار له في ردّه و قبوله، و لايجوز له الاستنكاف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تفصيل الكلام في ذلك موكولٌ إلى باب النبوّة من علم الكلام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ما ورد في كلماته عليه السلام من بيان ما للبيعة من الأهمّيّة، فإنّه عليه السلام قد عدّها أمراً هامّا لاتستقيم الخلافة و الرئاسة لأحدٍ إلّابه؛ قال عليه السلام حينما أقبل إليه الناس للبيعة بعد </w:t>
      </w:r>
      <w:bookmarkStart w:id="1107" w:name="pg18987_179981"/>
    </w:p>
    <w:p>
      <w:pPr>
        <w:pStyle w:val="BookText"/>
        <w:rPr/>
      </w:pPr>
      <w:bookmarkEnd w:id="1107"/>
      <w:r>
        <w:rPr>
          <w:rFonts w:ascii="IRNazanin" w:hAnsi="IRNazanin" w:eastAsia="IRNazanin"/>
          <w:color w:val="111111"/>
          <w:sz w:val="28"/>
          <w:sz w:val="28"/>
          <w:szCs w:val="28"/>
          <w:rtl w:val="true"/>
          <w:lang w:bidi="fa-IR"/>
        </w:rPr>
        <w:t>أن قُتل 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فأقبلتم إليَّ إقبال العوذ المطافيل على أولادها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لهذا و نظائره الكثيرة الّتي وردت في النهج بين حينٍ و حينٍ دلالةٌ واضحةٌ على موافقة الإمام على نظريّة الدولة الإختياريّة و إقراره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الجواب عن هذا الإشكال يجب علينا أن نشير إلى نكتةٍ، و هي لمّيّة تكرار هذا الإشكال و الجواب عنه في رسالتنا هذه؛ فقد ذكرنا الإشكال بعينه و أجبنا عنه في فصلٍ عقدناه لبيان ما استدلّ به مدافعوا الدولة الاختياريّة على صحّة القول بها فيما مضى من الرسالة؛ و لكن للأهمّيّة الهامّة الّتي حازها هذا الإشكال في رأي الذاهبين إلى نفي الولاية عن الفقيه قد أتينا به ثانياً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نلخّص القول في الاجابة عنه هيهنا حذراً عن التطويل و نهيل القاريء الكريم إلى ما ذكرناه هناك</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13100480_1280447820"/>
      <w:bookmarkStart w:id="1109" w:name="_Toc446"/>
      <w:bookmarkEnd w:id="1108"/>
      <w:r>
        <w:rPr>
          <w:rtl w:val="true"/>
        </w:rPr>
        <w:t>أمّا الجواب</w:t>
      </w:r>
      <w:bookmarkEnd w:id="1109"/>
    </w:p>
    <w:p>
      <w:pPr>
        <w:pStyle w:val="Heading6"/>
        <w:numPr>
          <w:ilvl w:val="5"/>
          <w:numId w:val="1"/>
        </w:numPr>
        <w:rPr/>
      </w:pPr>
      <w:bookmarkStart w:id="1110" w:name="__RefHeading___Toc13100482_1280447820"/>
      <w:bookmarkStart w:id="1111" w:name="_Toc447"/>
      <w:bookmarkEnd w:id="1110"/>
      <w:r>
        <w:rPr>
          <w:rtl w:val="true"/>
        </w:rPr>
        <w:t>اشارة</w:t>
      </w:r>
      <w:bookmarkEnd w:id="1111"/>
    </w:p>
    <w:p>
      <w:pPr>
        <w:pStyle w:val="BookText"/>
        <w:rPr/>
      </w:pPr>
      <w:r>
        <w:rPr>
          <w:rFonts w:ascii="Amiri" w:hAnsi="Amiri" w:eastAsia="Amiri" w:cs="Amiri"/>
          <w:color w:val="111111"/>
          <w:sz w:val="28"/>
          <w:sz w:val="28"/>
          <w:szCs w:val="28"/>
          <w:rtl w:val="true"/>
          <w:lang w:bidi="ar-SA"/>
        </w:rPr>
        <w:t>عنه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عن هذا الإشكال جوابان</w:t>
      </w:r>
      <w:r>
        <w:rPr>
          <w:rFonts w:eastAsia="Amiri" w:cs="Amiri" w:ascii="Amiri" w:hAnsi="Amiri"/>
          <w:color w:val="111111"/>
          <w:sz w:val="28"/>
          <w:szCs w:val="28"/>
          <w:rtl w:val="true"/>
          <w:lang w:bidi="ar-SA"/>
        </w:rPr>
        <w:t>:</w:t>
      </w:r>
    </w:p>
    <w:p>
      <w:pPr>
        <w:pStyle w:val="Heading6"/>
        <w:numPr>
          <w:ilvl w:val="5"/>
          <w:numId w:val="1"/>
        </w:numPr>
        <w:rPr/>
      </w:pPr>
      <w:bookmarkStart w:id="1112" w:name="__RefHeading___Toc13100484_1280447820"/>
      <w:bookmarkStart w:id="1113" w:name="_Toc448"/>
      <w:bookmarkEnd w:id="1112"/>
      <w:r>
        <w:rPr>
          <w:rtl w:val="true"/>
        </w:rPr>
        <w:t>الأوّل</w:t>
      </w:r>
      <w:r>
        <w:rPr>
          <w:rtl w:val="true"/>
        </w:rPr>
        <w:t>:</w:t>
      </w:r>
      <w:bookmarkEnd w:id="1113"/>
    </w:p>
    <w:p>
      <w:pPr>
        <w:pStyle w:val="BookText"/>
        <w:rPr/>
      </w:pPr>
      <w:r>
        <w:rPr>
          <w:rFonts w:ascii="Amiri" w:hAnsi="Amiri" w:eastAsia="Amiri" w:cs="Amiri"/>
          <w:color w:val="111111"/>
          <w:sz w:val="28"/>
          <w:sz w:val="28"/>
          <w:szCs w:val="28"/>
          <w:rtl w:val="true"/>
          <w:lang w:bidi="ar-SA"/>
        </w:rPr>
        <w:t>إنّا لاننكر ورود ما ذكروه من خطبه و أقواله عليه السلام في النهج و غيره من الجوامع الروائيّة، و لكنّ الكلام كلّه في أنّ له عليه السلام أقوالاً يدلّ على عدم خضوعه عليه السلام لدولة الخلفاء الّذين سبقوا منه إلى هذا المسند، بل كان يعدّهم غاصبي هذا المنصب و يرى نفسه أمير المسلمين من غير مدافعٍ؛ كما وصفهم في الخطبة الشقشقيّة بأقبح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فعنه عليه السلام في نفس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تقمّصها فلانٌ و انّه ليعلم انّ محلّي منها محلّ القطب من الرحى</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يدلّ على أنّه عليه السلام كان يرى نفسه صالحاً لرداء الخلافة، بل صاحبها الوحيد من </w:t>
      </w:r>
    </w:p>
    <w:p>
      <w:pPr>
        <w:pStyle w:val="BookText"/>
        <w:rPr/>
      </w:pPr>
      <w:r>
        <w:rPr>
          <w:rFonts w:ascii="Amiri" w:hAnsi="Amiri" w:eastAsia="Amiri" w:cs="Amiri"/>
          <w:color w:val="111111"/>
          <w:sz w:val="28"/>
          <w:sz w:val="28"/>
          <w:szCs w:val="28"/>
          <w:rtl w:val="true"/>
          <w:lang w:bidi="ar-SA"/>
        </w:rPr>
        <w:t>غير أن يكون لاقبال الناس عليه مدخلٌ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يحكي عليه السلام نفسيّته حينما مُنع عن حقّه و جلس غيره في محلّه؛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طفقت أرتئي بين أن أصول بيدٍ جذّاءٍ أو أصبر، فرأيت أنّ الصبر أحجى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فصبرت و في العين قذى و في الحلق شجى</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شكواه عليه السلام عمّا أُجري على المسلمين على غفلةٍ منهم، فمنعوه عن حقّه و بايعوا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ترى؟ هل هذا قول من يخضع لما فعل الناس من اختيار والٍ من قبل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هذا قول من لايرضى بما فعلوه و لايمضيه؟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البيّن وقوع التعارض بين هذين القسمين من أقواله عليه السلام؛ فلايمكن التمسّك بهما إلّا بعد القول بترجيح أحدهما على الآخر، فإذن يُقبل الراجح و يُرفض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بين ما يدلّ على صحّة الدولة الاختياريّة و بين ما يدلّ على تزييفها بل وجوب الرجوع إلى الدولة الانتصابيّة يقتضي القول بأنّ الطائفة الأولى ليست إلّامن باب الزام الخصم بما هو قائلٌ به؛ فكان عليه السلام يخاطب القاسطين و المارقين و الناكثين بالمجادلة الحسنة لابالحكمة، إذ كانوا قائلين بصحّة خلافة الثلاثة لمبايعة الناس إيّاهم، و لكن ما خضعوا لخلافته و جلوسه على مسند الحكم؛ فكان يستدلّ بالمبايعة الّتي كانوا يستدلّون بها بالنسبة إلى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الطائفة الثّانية فكانت تنبىء عن نظريّته السياسيّة و رأيه في كيفيّة الدولة، فكانت من باب الدعوة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بِالْحِكْمَةِ وَ الْمَوعِظَةِ الْحَسَنَةِ</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النهج من أقواله عليه السلام في هذا المضمار يدلّ على صحّة ما قلنا</w:t>
      </w:r>
      <w:r>
        <w:rPr>
          <w:rFonts w:eastAsia="Amiri" w:cs="Amiri" w:ascii="Amiri" w:hAnsi="Amiri"/>
          <w:color w:val="111111"/>
          <w:sz w:val="28"/>
          <w:szCs w:val="28"/>
          <w:rtl w:val="true"/>
          <w:lang w:bidi="ar-SA"/>
        </w:rPr>
        <w:t xml:space="preserve">. </w:t>
      </w:r>
      <w:bookmarkStart w:id="1114" w:name="pg18987_179983"/>
    </w:p>
    <w:p>
      <w:pPr>
        <w:pStyle w:val="Heading6"/>
        <w:numPr>
          <w:ilvl w:val="5"/>
          <w:numId w:val="1"/>
        </w:numPr>
        <w:rPr/>
      </w:pPr>
      <w:bookmarkStart w:id="1115" w:name="__RefHeading___Toc13100486_1280447820"/>
      <w:bookmarkStart w:id="1116" w:name="_Toc449"/>
      <w:bookmarkEnd w:id="1114"/>
      <w:bookmarkEnd w:id="1115"/>
      <w:r>
        <w:rPr>
          <w:rtl w:val="true"/>
        </w:rPr>
        <w:t>الثّاني</w:t>
      </w:r>
      <w:r>
        <w:rPr>
          <w:rtl w:val="true"/>
        </w:rPr>
        <w:t>:</w:t>
      </w:r>
      <w:bookmarkEnd w:id="1116"/>
    </w:p>
    <w:p>
      <w:pPr>
        <w:pStyle w:val="BookText"/>
        <w:rPr/>
      </w:pPr>
      <w:r>
        <w:rPr>
          <w:rFonts w:ascii="Amiri" w:hAnsi="Amiri" w:eastAsia="Amiri" w:cs="Amiri"/>
          <w:color w:val="111111"/>
          <w:sz w:val="28"/>
          <w:sz w:val="28"/>
          <w:szCs w:val="28"/>
          <w:rtl w:val="true"/>
          <w:lang w:bidi="ar-SA"/>
        </w:rPr>
        <w:t xml:space="preserve">إنّ لتلك الخطب و الأقوال تعارضاً بيّناً مع ما يدلّ على انتصابه عليه السلام من قبل اللّه؛ و زيادةً على ما في القرآن الكريم من الآيات الدالّة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لَمْتَفْعَلْ فَمَا بَلَّغْتَ رِسَالَتَهُ</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و غيرهما من الآيات الكثيرة الّتي اجمعت الإماميّة على دلالتها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وقعة الغدير خير شاهدٍ على أن جعله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للمسلمين إماماً لهم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فلوتمّ استدلالهم بهذه الخطب و الأقوال فلاضير أيضاً، إذ انّها تصير مخالفاً لما في الكتاب و السنّة من الآيات و الإشارات؛ فلامناص من رفضها، و قد أمر النبيّ صلى الله عليه و آله بضرب ما يخالف الكتاب على الجدار</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bookmarkStart w:id="1117" w:name="pg18987_179984"/>
    </w:p>
    <w:p>
      <w:pPr>
        <w:pStyle w:val="Heading4"/>
        <w:numPr>
          <w:ilvl w:val="3"/>
          <w:numId w:val="1"/>
        </w:numPr>
        <w:rPr/>
      </w:pPr>
      <w:bookmarkStart w:id="1118" w:name="__RefHeading___Toc13100488_1280447820"/>
      <w:bookmarkStart w:id="1119" w:name="_Toc450"/>
      <w:bookmarkEnd w:id="1117"/>
      <w:bookmarkEnd w:id="1118"/>
      <w:r>
        <w:rPr>
          <w:rtl w:val="true"/>
        </w:rPr>
        <w:t>الإشكال السّابع عشردوام الولاية للفقيه يلازم الإستبداد</w:t>
      </w:r>
      <w:bookmarkEnd w:id="1119"/>
    </w:p>
    <w:p>
      <w:pPr>
        <w:pStyle w:val="Heading5"/>
        <w:numPr>
          <w:ilvl w:val="4"/>
          <w:numId w:val="1"/>
        </w:numPr>
        <w:rPr/>
      </w:pPr>
      <w:bookmarkStart w:id="1120" w:name="__RefHeading___Toc13100490_1280447820"/>
      <w:bookmarkStart w:id="1121" w:name="_Toc451"/>
      <w:bookmarkEnd w:id="1120"/>
      <w:r>
        <w:rPr>
          <w:rtl w:val="true"/>
        </w:rPr>
        <w:t>اشارة</w:t>
      </w:r>
      <w:bookmarkEnd w:id="1121"/>
    </w:p>
    <w:p>
      <w:pPr>
        <w:pStyle w:val="BookText"/>
        <w:rPr/>
      </w:pPr>
      <w:r>
        <w:rPr>
          <w:rFonts w:ascii="Amiri" w:hAnsi="Amiri" w:eastAsia="Amiri" w:cs="Amiri"/>
          <w:color w:val="111111"/>
          <w:sz w:val="28"/>
          <w:sz w:val="28"/>
          <w:szCs w:val="28"/>
          <w:rtl w:val="true"/>
          <w:lang w:bidi="ar-SA"/>
        </w:rPr>
        <w:t>و أساس هذا الإشكال على تحليل ثبوت الولاية للوالي، على الدّوام من غير تقييدها ببرهةٍ و فترةٍ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على القول بثبوت الولاية للفقيه ما تنفرّ منه العقول السليمة، إذ القائلون بثبوتها له يثبتونها من غير تقييدها بفترةٍ دون فترةٍ؛ و هذا يؤدّي إلى العَسْف و حكومة الفرد من ناحيةٍ، و العناد و اللجاجة من ناحيةٍ أخرى، و منْع من هو الأصلح للولاية ممّا يليق به من ناحيةٍ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أن يرُبَّ المجتمع من يكون أصلح للقيام بهذا المسند و لكن ثبوت الولاية للوالي مادام حيّاً يمنع هذا الأصلح عن رئاسة المجتمع و يمنع المجتمع عن الاستفادة عن قابليّاته و مستطاعه</w:t>
      </w:r>
      <w:r>
        <w:rPr>
          <w:rFonts w:eastAsia="Amiri" w:cs="Amiri" w:ascii="Amiri" w:hAnsi="Amiri"/>
          <w:color w:val="111111"/>
          <w:sz w:val="28"/>
          <w:szCs w:val="28"/>
          <w:rtl w:val="true"/>
          <w:lang w:bidi="ar-SA"/>
        </w:rPr>
        <w:t>.</w:t>
      </w:r>
    </w:p>
    <w:p>
      <w:pPr>
        <w:pStyle w:val="Heading5"/>
        <w:numPr>
          <w:ilvl w:val="4"/>
          <w:numId w:val="1"/>
        </w:numPr>
        <w:rPr/>
      </w:pPr>
      <w:bookmarkStart w:id="1122" w:name="__RefHeading___Toc13100492_1280447820"/>
      <w:bookmarkStart w:id="1123" w:name="_Toc452"/>
      <w:bookmarkEnd w:id="1122"/>
      <w:r>
        <w:rPr>
          <w:rtl w:val="true"/>
        </w:rPr>
        <w:t>و الجواب</w:t>
      </w:r>
      <w:bookmarkEnd w:id="1123"/>
    </w:p>
    <w:p>
      <w:pPr>
        <w:pStyle w:val="BookText"/>
        <w:rPr/>
      </w:pPr>
      <w:r>
        <w:rPr>
          <w:rFonts w:ascii="Amiri" w:hAnsi="Amiri" w:eastAsia="Amiri" w:cs="Amiri"/>
          <w:color w:val="111111"/>
          <w:sz w:val="28"/>
          <w:sz w:val="28"/>
          <w:szCs w:val="28"/>
          <w:rtl w:val="true"/>
          <w:lang w:bidi="ar-SA"/>
        </w:rPr>
        <w:t>عن هذا الإشكال مضى في الجواب عن الإشكال السّابع، و لانعيده بتفصيله حذراً عن الاطالة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نقول مراعياً للايجاز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تفصيل الكلام في الشرائط الّتي يجب اتّصاف الوالي بها لتصحّ الولاية له و يصلح هو لها؛ و من جملة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اقتناء العدالة و الملكة القدسيّة بحيث لم يكن مكبّاً على الدنيا محبّاً لحطامها، بل كان متحليّاً بأوصاف من استخلف عنهم عليهم السلام متخلّقاً بأخلاقهم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أخلاقهم عليهم السلام كون الدنيا عندهم كفيء الظلّ‌</w:t>
      </w:r>
      <w:r>
        <w:rPr>
          <w:rStyle w:val="FootnoteAnchor"/>
          <w:rtl w:val="true"/>
        </w:rPr>
        <w:footnoteReference w:id="614"/>
      </w:r>
      <w:r>
        <w:rPr>
          <w:rFonts w:ascii="Amiri" w:hAnsi="Amiri" w:eastAsia="Amiri" w:cs="Amiri"/>
          <w:color w:val="111111"/>
          <w:sz w:val="28"/>
          <w:sz w:val="28"/>
          <w:szCs w:val="28"/>
          <w:rtl w:val="true"/>
          <w:lang w:bidi="ar-SA"/>
        </w:rPr>
        <w:t>بحيث لاقيمة لها عندهم، فثبت عن أميرالمؤمنين عليه السلام انّه قال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لوأُعطيت الأقاليم السبعة بما تحت أفلاكها على أن أعصيَ اللّه في نملةٍ </w:t>
      </w:r>
    </w:p>
    <w:p>
      <w:pPr>
        <w:pStyle w:val="BookText"/>
        <w:rPr/>
      </w:pPr>
      <w:r>
        <w:rPr>
          <w:rFonts w:ascii="Amiri" w:hAnsi="Amiri" w:eastAsia="Amiri" w:cs="Amiri"/>
          <w:color w:val="111111"/>
          <w:sz w:val="28"/>
          <w:sz w:val="28"/>
          <w:szCs w:val="28"/>
          <w:rtl w:val="true"/>
          <w:lang w:bidi="ar-SA"/>
        </w:rPr>
        <w:t>أسلبها جُلب شعيرةٍ ما فعلته</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مثبتوا الولاية للفقيه يشترطون فيه اتّصافه بمكارم الأخلاق، بل صيرورتها ملكةً 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جملتها الاتّصاف بعدم الكبّ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أميرالمؤمنين عليه السلام في هذا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يمكن أن يكون عنوداً لجوجاً؟ أم كيف يمكن أن يرى في المجتمع من هو أصلح منه للقيام بهذه المهمّة من غير أن يتزحزح عن مسنده و يؤيّده للجلوس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المستشكل لم يفهم مغزى مراد القائلين بهذه النظريّة</w:t>
      </w:r>
      <w:r>
        <w:rPr>
          <w:rFonts w:eastAsia="Amiri" w:cs="Amiri" w:ascii="Amiri" w:hAnsi="Amiri"/>
          <w:color w:val="111111"/>
          <w:sz w:val="28"/>
          <w:szCs w:val="28"/>
          <w:rtl w:val="true"/>
          <w:lang w:bidi="ar-SA"/>
        </w:rPr>
        <w:t xml:space="preserve">. </w:t>
      </w:r>
      <w:bookmarkStart w:id="1124" w:name="pg18987_179986"/>
    </w:p>
    <w:p>
      <w:pPr>
        <w:pStyle w:val="Heading4"/>
        <w:numPr>
          <w:ilvl w:val="3"/>
          <w:numId w:val="1"/>
        </w:numPr>
        <w:rPr/>
      </w:pPr>
      <w:bookmarkStart w:id="1125" w:name="__RefHeading___Toc13100494_1280447820"/>
      <w:bookmarkStart w:id="1126" w:name="_Toc453"/>
      <w:bookmarkEnd w:id="1124"/>
      <w:bookmarkEnd w:id="1125"/>
      <w:r>
        <w:rPr>
          <w:rtl w:val="true"/>
        </w:rPr>
        <w:t>الإشكال الثّامن عشرالحقوق المتقابل و فلسفة الحقوق تنافى ولاية الفقيه</w:t>
      </w:r>
      <w:bookmarkEnd w:id="1126"/>
    </w:p>
    <w:p>
      <w:pPr>
        <w:pStyle w:val="Heading5"/>
        <w:numPr>
          <w:ilvl w:val="4"/>
          <w:numId w:val="1"/>
        </w:numPr>
        <w:rPr/>
      </w:pPr>
      <w:bookmarkStart w:id="1127" w:name="__RefHeading___Toc13100496_1280447820"/>
      <w:bookmarkStart w:id="1128" w:name="_Toc454"/>
      <w:bookmarkEnd w:id="1127"/>
      <w:r>
        <w:rPr>
          <w:rtl w:val="true"/>
        </w:rPr>
        <w:t>اشارة</w:t>
      </w:r>
      <w:bookmarkEnd w:id="1128"/>
    </w:p>
    <w:p>
      <w:pPr>
        <w:pStyle w:val="BookText"/>
        <w:rPr/>
      </w:pPr>
      <w:r>
        <w:rPr>
          <w:rFonts w:ascii="Amiri" w:hAnsi="Amiri" w:eastAsia="Amiri" w:cs="Amiri"/>
          <w:color w:val="111111"/>
          <w:sz w:val="28"/>
          <w:sz w:val="28"/>
          <w:szCs w:val="28"/>
          <w:rtl w:val="true"/>
          <w:lang w:bidi="ar-SA"/>
        </w:rPr>
        <w:t>و مبنى هذا الإشكال أيضاً على ما يُستفاد من نكتةٍ قد نسب إبداعها إلى علماء فلسفة الحقوق الغربيّين، و لكن توجد نظائرها في كثيرٍ من أحاديث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المقرَّر في فلسفة الحقوق انّ للناس حقّاً على الحكّام، و للحكّام حقّاً على الناس؛ و علم الحقوق الحديث قد بُني على ما لهما من الحقّ المتقابل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حقوق الناس على الحاكم أن يكون مختاراً من قبلهم بينما أن لاصلة بين الولاية المفوَّضة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الفقيه و بين اعطاء الناس الحكم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النكتة تدلّ على وجوب اختيار الوالي من قبل الناس؛ و ليس هو إلّاالدولة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الذاهبون إلى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ما قلنا ما روي عن أميرالمؤمنين عليه السلام في النهج</w:t>
      </w:r>
      <w:r>
        <w:rPr>
          <w:rStyle w:val="FootnoteAnchor"/>
          <w:rtl w:val="true"/>
        </w:rPr>
        <w:footnoteReference w:id="616"/>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عليكم حقّاً و لكم عليَّ حقٌّ؛ فأمّا حقّكم عليَّ فالنصيحة لكم و توفير فيئكم عليكم و تعليمكم كيلا تجهلوا و تأديبكم كيما تعلموا؛ و أمّا حقّي عليكم فالوفاء بالبيعة و النصيحة في المشهد و المغيب و الاجابة حين أدعوكم و الطاعة حين آمركم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 هذا يدلّ على ثبوت الحقّ للناس على الوالي، و لاحقّ لهم أعظم من اختيارهم إيّاه</w:t>
      </w:r>
      <w:r>
        <w:rPr>
          <w:rFonts w:eastAsia="Amiri" w:cs="Amiri" w:ascii="Amiri" w:hAnsi="Amiri"/>
          <w:color w:val="111111"/>
          <w:sz w:val="28"/>
          <w:szCs w:val="28"/>
          <w:rtl w:val="true"/>
          <w:lang w:bidi="ar-SA"/>
        </w:rPr>
        <w:t xml:space="preserve">. </w:t>
      </w:r>
      <w:bookmarkStart w:id="1129" w:name="pg18987_179987"/>
    </w:p>
    <w:p>
      <w:pPr>
        <w:pStyle w:val="Heading5"/>
        <w:numPr>
          <w:ilvl w:val="4"/>
          <w:numId w:val="1"/>
        </w:numPr>
        <w:rPr/>
      </w:pPr>
      <w:bookmarkStart w:id="1130" w:name="__RefHeading___Toc13100498_1280447820"/>
      <w:bookmarkStart w:id="1131" w:name="_Toc455"/>
      <w:bookmarkEnd w:id="1129"/>
      <w:bookmarkEnd w:id="1130"/>
      <w:r>
        <w:rPr>
          <w:rtl w:val="true"/>
        </w:rPr>
        <w:t>و الجواب</w:t>
      </w:r>
      <w:bookmarkEnd w:id="1131"/>
    </w:p>
    <w:p>
      <w:pPr>
        <w:pStyle w:val="BookText"/>
        <w:rPr/>
      </w:pPr>
      <w:r>
        <w:rPr>
          <w:rFonts w:ascii="Amiri" w:hAnsi="Amiri" w:eastAsia="Amiri" w:cs="Amiri"/>
          <w:color w:val="111111"/>
          <w:sz w:val="28"/>
          <w:sz w:val="28"/>
          <w:szCs w:val="28"/>
          <w:rtl w:val="true"/>
          <w:lang w:bidi="ar-SA"/>
        </w:rPr>
        <w:t>عن هذا الإشكال يتمّ بالنظر إلى أنّ ثبوت الحقوق المتقابلة للناس على الولاة و للولاة على الناس ممّا لايُنكر، بل العقل الصريح يحكم به؛ و لكنّ الكلام كلّه في أنّ ثبوتها لهم عليه لايدلّ على وجوب اختيارهم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الثابت الّذي لايُنكر أيضاً ثبوتها لهم على من اختاره اللّه و جعل مقاليد الحكم في 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بثبوت الحقوق المتقابلة لايؤدّي إلى القول بوجوب اختيار الدولة الاختياريّة، اذ نفس الحقوق ثابتٌ لهم على الفقيه الوليّ أيضاً؛ و عليه أن يراعيها من غير تكاسلٍ و فشلٍ و فتورٍ منه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رسالةٍ أرسلها إلى معاوية يدلّ على جدّه و اجتهاده في هذا الأمر، فإنّه عليه السلام كتب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أصبح بالكوفة أحدٌ إلّاناعماً، إنّ أدناهم منزلةً ليأكل البرّ و يجلس في الظلّ و يشرب من ماء الفرات</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يُعدّ من الواجب على الفقيه الوليّ أيضاً، إذ جدّ الحاكم في سبيل الراحة و الرفاهيّة و المصالح العامّة من أهمّ ما فرض عليه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ممّا قلنا انّ ثبوت الحقوق المتقابلة للناس على الوالي و له عليهم لايدلّ على صحّة الذهاب إلى الدولة الاختياريّة، بل هذه الحقوق ثابتةٌ أيضاً لهم على الوالي المنصوب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bookmarkStart w:id="1132" w:name="pg18987_179988"/>
    </w:p>
    <w:p>
      <w:pPr>
        <w:pStyle w:val="Heading4"/>
        <w:numPr>
          <w:ilvl w:val="3"/>
          <w:numId w:val="1"/>
        </w:numPr>
        <w:rPr/>
      </w:pPr>
      <w:bookmarkStart w:id="1133" w:name="__RefHeading___Toc13100500_1280447820"/>
      <w:bookmarkStart w:id="1134" w:name="_Toc456"/>
      <w:bookmarkEnd w:id="1132"/>
      <w:bookmarkEnd w:id="1133"/>
      <w:r>
        <w:rPr>
          <w:rtl w:val="true"/>
        </w:rPr>
        <w:t>الإشكال التّاسع عشرولاية الفقيه تنافى الحُرّيّة</w:t>
      </w:r>
      <w:bookmarkEnd w:id="1134"/>
    </w:p>
    <w:p>
      <w:pPr>
        <w:pStyle w:val="Heading5"/>
        <w:numPr>
          <w:ilvl w:val="4"/>
          <w:numId w:val="1"/>
        </w:numPr>
        <w:rPr/>
      </w:pPr>
      <w:bookmarkStart w:id="1135" w:name="__RefHeading___Toc13100502_1280447820"/>
      <w:bookmarkStart w:id="1136" w:name="_Toc457"/>
      <w:bookmarkEnd w:id="1135"/>
      <w:r>
        <w:rPr>
          <w:rtl w:val="true"/>
        </w:rPr>
        <w:t>اشارة</w:t>
      </w:r>
      <w:bookmarkEnd w:id="1136"/>
    </w:p>
    <w:p>
      <w:pPr>
        <w:pStyle w:val="BookText"/>
        <w:rPr/>
      </w:pPr>
      <w:r>
        <w:rPr>
          <w:rFonts w:ascii="Amiri" w:hAnsi="Amiri" w:eastAsia="Amiri" w:cs="Amiri"/>
          <w:color w:val="111111"/>
          <w:sz w:val="28"/>
          <w:sz w:val="28"/>
          <w:szCs w:val="28"/>
          <w:rtl w:val="true"/>
          <w:lang w:bidi="ar-SA"/>
        </w:rPr>
        <w:t>و هذا الإشكال مبنيٌّ على مغالطةٍ ظاهرةٍ في تقسير الحرّيّة و ما هو المطلوب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الإنسان حرّاً من غير أن يكون عبداً لغيره، و حرّيّته تقتضي ثبوت الخيار له فيما يرجع إليه من أموره الفرديّة و الجماعيّة، فله الخيار في اختيار الحكّام؛</w:t>
      </w:r>
    </w:p>
    <w:p>
      <w:pPr>
        <w:pStyle w:val="BookText"/>
        <w:rPr/>
      </w:pPr>
      <w:r>
        <w:rPr>
          <w:rFonts w:ascii="Amiri" w:hAnsi="Amiri" w:eastAsia="Amiri" w:cs="Amiri"/>
          <w:color w:val="111111"/>
          <w:sz w:val="28"/>
          <w:sz w:val="28"/>
          <w:szCs w:val="28"/>
          <w:rtl w:val="true"/>
          <w:lang w:bidi="ar-SA"/>
        </w:rPr>
        <w:t>و لكن من البيّن الّذي لايُشكّ فيه انّ نظريّة الانتصاب لاتوافق خيار الناس في تفويض الولاية إلى من يختاروه، فمن الواجب رفضها و الذهاب إلى الدولة الاختياريّة</w:t>
      </w:r>
      <w:r>
        <w:rPr>
          <w:rFonts w:eastAsia="Amiri" w:cs="Amiri" w:ascii="Amiri" w:hAnsi="Amiri"/>
          <w:color w:val="111111"/>
          <w:sz w:val="28"/>
          <w:szCs w:val="28"/>
          <w:rtl w:val="true"/>
          <w:lang w:bidi="ar-SA"/>
        </w:rPr>
        <w:t>.</w:t>
      </w:r>
    </w:p>
    <w:p>
      <w:pPr>
        <w:pStyle w:val="Heading5"/>
        <w:numPr>
          <w:ilvl w:val="4"/>
          <w:numId w:val="1"/>
        </w:numPr>
        <w:rPr/>
      </w:pPr>
      <w:bookmarkStart w:id="1137" w:name="__RefHeading___Toc13100504_1280447820"/>
      <w:bookmarkStart w:id="1138" w:name="_Toc458"/>
      <w:bookmarkEnd w:id="1137"/>
      <w:r>
        <w:rPr>
          <w:rtl w:val="true"/>
        </w:rPr>
        <w:t>و الجواب</w:t>
      </w:r>
      <w:bookmarkEnd w:id="1138"/>
    </w:p>
    <w:p>
      <w:pPr>
        <w:pStyle w:val="BookText"/>
        <w:rPr/>
      </w:pPr>
      <w:r>
        <w:rPr>
          <w:rFonts w:ascii="Amiri" w:hAnsi="Amiri" w:eastAsia="Amiri" w:cs="Amiri"/>
          <w:color w:val="111111"/>
          <w:sz w:val="28"/>
          <w:sz w:val="28"/>
          <w:szCs w:val="28"/>
          <w:rtl w:val="true"/>
          <w:lang w:bidi="ar-SA"/>
        </w:rPr>
        <w:t>عن هذا الإشكال ببيان مغالطةٍ وقعت فيه، و هي الخلط بين حرّيّة الإنسان و بين خياره لاختيار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ثبوت الحرّيّة ممّا لاينكر، بل لاينبغي الترديد فيه، فإنّ فكّ الأغلال عن أيدي الناس قد عُدّ من الفرائض على الأنبياء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 عَنْهُمْ إِصْرَهُمْ وَ الْأَغْلَالَ الَّتِي كَانَتْ عَلَيْهِمْ</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فلاريب في صحّة ثبوتها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الكلام كلّه في أنّ العقل لايحكم بصحّة الحرّيّة المطلقة للإنسان، و عليه جرت سيرة العقلاء أيضاً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المجتمع البشريّ من القبائل البدويّة الّتي لامدنيّة لها إلى الدول المتمدّنة الّتي حازت السبق في مجال الصنايع و الفنون كلٌّ يحكم بلزوم الدُّستور في المجتمع و عدم جواز تمرّد الناس عنه و عصيانهم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في جميع دستورات البلاد نرى قد قُيّدت حرّيّته من نواحي شتيتة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جواز خروج الناس على الحكم و الحاكم، و عدم جواز بيع السلاح لمخالفي الدولة، و عدم جواز القيام بما ينجرّ إلى فساد المجتمع أمنه أو اقتصاده أو غيرهما من المصالح </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فليست سيرة العقلاء جاريةً على الخضوع لحرّيّة الإنسان المطلقة من غير أيّ تقييدٍ فيها؛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للإسلام أيضاً دُستورٌ هو الوحي المبين و السنّة الشريفة الّتي هي مفسّرةٌ له، فلودلّ هذا الدُّستور على تقييدٍ في ناحيةٍ من نواحي حرّيّة الإنسان فلايجوز التمرّد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طائفةً من الآيات و الأحاديث الدالّة على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مُلْكَهُ مَنْ يَشَاءُ</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xml:space="preserve">زيادةً على حكم العقل بأنّه يجب من اللّه أن يفوّض الولاية إلى من هو الصالح لها كي لايؤدّي أمر المجتمع إلى الهرج و الاضطراب؛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لم يخرج عن رقبة الإسلام بالخروج عن حكم الفقيه الوليّ فله الحرّيّة على ما يرسمه دُستور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فخلقُ اللّهِ الإنسانَ حرّاً أمرٌ نؤيّده و نقرّر عليه، و لكن من غير خضوعٍ لحرّيّته المطلقة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ممّا حكم به العقل و جرت عليه سيرة العقلاء في جميع الأمصار و الأعصار</w:t>
      </w:r>
      <w:r>
        <w:rPr>
          <w:rFonts w:eastAsia="Amiri" w:cs="Amiri" w:ascii="Amiri" w:hAnsi="Amiri"/>
          <w:color w:val="111111"/>
          <w:sz w:val="28"/>
          <w:szCs w:val="28"/>
          <w:rtl w:val="true"/>
          <w:lang w:bidi="ar-SA"/>
        </w:rPr>
        <w:t xml:space="preserve">. </w:t>
      </w:r>
      <w:bookmarkStart w:id="1139" w:name="pg18987_179990"/>
    </w:p>
    <w:p>
      <w:pPr>
        <w:pStyle w:val="Heading4"/>
        <w:numPr>
          <w:ilvl w:val="3"/>
          <w:numId w:val="1"/>
        </w:numPr>
        <w:rPr/>
      </w:pPr>
      <w:bookmarkStart w:id="1140" w:name="__RefHeading___Toc13100506_1280447820"/>
      <w:bookmarkStart w:id="1141" w:name="_Toc459"/>
      <w:bookmarkEnd w:id="1139"/>
      <w:bookmarkEnd w:id="1140"/>
      <w:r>
        <w:rPr>
          <w:rtl w:val="true"/>
        </w:rPr>
        <w:t>الإشكال المتمّم للعشرين تباين السّياسة و الشّريعة</w:t>
      </w:r>
      <w:bookmarkEnd w:id="1141"/>
    </w:p>
    <w:p>
      <w:pPr>
        <w:pStyle w:val="Heading5"/>
        <w:numPr>
          <w:ilvl w:val="4"/>
          <w:numId w:val="1"/>
        </w:numPr>
        <w:rPr/>
      </w:pPr>
      <w:bookmarkStart w:id="1142" w:name="__RefHeading___Toc13100508_1280447820"/>
      <w:bookmarkStart w:id="1143" w:name="_Toc460"/>
      <w:bookmarkEnd w:id="1142"/>
      <w:r>
        <w:rPr>
          <w:rtl w:val="true"/>
        </w:rPr>
        <w:t>اشارة</w:t>
      </w:r>
      <w:bookmarkEnd w:id="1143"/>
    </w:p>
    <w:p>
      <w:pPr>
        <w:pStyle w:val="BookText"/>
        <w:rPr/>
      </w:pPr>
      <w:r>
        <w:rPr>
          <w:rFonts w:ascii="Amiri" w:hAnsi="Amiri" w:eastAsia="Amiri" w:cs="Amiri"/>
          <w:color w:val="111111"/>
          <w:sz w:val="28"/>
          <w:sz w:val="28"/>
          <w:szCs w:val="28"/>
          <w:rtl w:val="true"/>
          <w:lang w:bidi="ar-SA"/>
        </w:rPr>
        <w:t>و هو الأخير ممّا نبحث عنه من الإشكالات الّتي أوردها خاضعوا الدولة الاختياريّة على مبنى الدولة الانتصابيّة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السياسة و بين الشريعة تبايناً جوهريّاً بحيث لاصِلة بينهما، إذ الأوّل بُني على الخدعة و الكذب و الإفك و الشَّطارة و ما يشبهها؛ بينما انّ الثّاني بُني على سلامة النيّة و الكرامة و الصلاح و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فلايمكن أن يكون السياسيّ صالحاً سديداً كما لايمكن أن يكون المتشرّع الزاهد خدّاعاً كذّاباً؛ فلكلٍّ شرعةٌ و منهاجٌ يوصلهما إلى ما هو المطلوب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تباين الطريقين يدلّ على تباين الغايتين و الغرضين، فعلى السياسيّ أن يترك الشرع و على المتشرّع أن يهجر السياسة</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13100510_1280447820"/>
      <w:bookmarkStart w:id="1145" w:name="_Toc461"/>
      <w:bookmarkEnd w:id="1144"/>
      <w:r>
        <w:rPr>
          <w:rtl w:val="true"/>
        </w:rPr>
        <w:t>و الجواب</w:t>
      </w:r>
      <w:r>
        <w:rPr>
          <w:rtl w:val="true"/>
        </w:rPr>
        <w:t>:</w:t>
      </w:r>
      <w:bookmarkEnd w:id="1145"/>
    </w:p>
    <w:p>
      <w:pPr>
        <w:pStyle w:val="BookText"/>
        <w:rPr/>
      </w:pPr>
      <w:r>
        <w:rPr>
          <w:rFonts w:ascii="Amiri" w:hAnsi="Amiri" w:eastAsia="Amiri" w:cs="Amiri"/>
          <w:color w:val="111111"/>
          <w:sz w:val="28"/>
          <w:sz w:val="28"/>
          <w:szCs w:val="28"/>
          <w:rtl w:val="true"/>
          <w:lang w:bidi="ar-SA"/>
        </w:rPr>
        <w:t>إن هذا الإشكال مع ما له من الضوضاء و الحَيصة البالغة يُعدّ من أوهن الإشكالات، بل لاوقع له عند العقل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مضت الإشارة إلى الآيات و الأحاديث الدالّة على أنّ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الشرايع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و حكماً، و لاحكم إلّابالسياسة؛ فثبوت السياسة في الشريعة ممّا لاينبغي أن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للسياسة الإسلاميّة ميزاتٌ خاصّةٌ تحكم بافتراقها عن السياسة غير الإلهيّة؛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w:t>
      </w:r>
    </w:p>
    <w:p>
      <w:pPr>
        <w:pStyle w:val="BookText"/>
        <w:rPr/>
      </w:pPr>
      <w:r>
        <w:rPr>
          <w:rFonts w:ascii="Amiri" w:hAnsi="Amiri" w:eastAsia="Amiri" w:cs="Amiri"/>
          <w:color w:val="111111"/>
          <w:sz w:val="28"/>
          <w:sz w:val="28"/>
          <w:szCs w:val="28"/>
          <w:rtl w:val="true"/>
          <w:lang w:bidi="ar-SA"/>
        </w:rPr>
        <w:t>بِالْقِسْطِ وَ أَنْزَلْنَا الْحَدِيدَ فِيهِ بَأْسٌ شَدِيدٌ وَ مَنَافِعُ لِلنَّاسِ</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فللرسل حكمٌ، فلهم سياسةٌ كما للمستخلفين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سيّد الخلفاء و الوصيّين مولانا أميرالمؤمنين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كراهيّة الغدر لكنت من أدهى الناس</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فلسياستهم ميزاتٌ منها الاجتناب عن الغدر و 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قلنا ظهر أنّ السياسة الغدريّة لاصلة لها بالإسلام، بل للإسلام سياسةٌ إلهيّةٌ صالحةٌ غير مبتنيةٍ على المكر و 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بعينه يجري في زمن الغيبة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فللدولة الإسلاميّة و الفقيه الّذي يُعدّ قائدها نفس السياسة الصالحة؛ فهذا الإشكال أيضاً لايردّ على مبنى القائلين بثبوت الولاية له؛ و الحمد للّه ربّ العالمين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الرّد و الإجابة عن أهمّ ما استشكلوا به على مبنى الخاضعين للدولة الانتصابيّة، و قد فرغنا من بيان تفصيله و الاجابة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بالرجوع إلى هذه الإيرادات يظهر ما لنا من الآراء حول غيرها من الإشكالات؛ فلاحاجة إلى ذكر غيرها و الاجابة عنها، إذ هذا يؤدّي إلى التطويل من غير فائدةٍ علميّةٍ أو عمليّةٍ؛ فآن لنا أن نطوي الكلام في هذا الفصل حامداً للّه مصلّياً على نبيّه و آله الطاهرين عليهم السلام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6" w:name="pg18987_179993"/>
      <w:bookmarkStart w:id="1147" w:name="pg18987_179993"/>
      <w:bookmarkEnd w:id="1147"/>
    </w:p>
    <w:p>
      <w:pPr>
        <w:pStyle w:val="Heading3"/>
        <w:numPr>
          <w:ilvl w:val="2"/>
          <w:numId w:val="1"/>
        </w:numPr>
        <w:rPr/>
      </w:pPr>
      <w:bookmarkStart w:id="1148" w:name="pg18987_179993"/>
      <w:bookmarkStart w:id="1149" w:name="__RefHeading___Toc13100512_1280447820"/>
      <w:bookmarkStart w:id="1150" w:name="_Toc462"/>
      <w:bookmarkEnd w:id="1148"/>
      <w:bookmarkEnd w:id="1149"/>
      <w:r>
        <w:rPr>
          <w:rtl w:val="true"/>
        </w:rPr>
        <w:t>الفصل الخامس أسؤلة حول ولاية الفقيه و أجوبتها</w:t>
      </w:r>
      <w:bookmarkEnd w:id="115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1" w:name="__RefHeading___Toc13100514_1280447820"/>
      <w:bookmarkStart w:id="1152" w:name="_Toc463"/>
      <w:bookmarkEnd w:id="1151"/>
      <w:r>
        <w:rPr>
          <w:rtl w:val="true"/>
        </w:rPr>
        <w:t>اشارة</w:t>
      </w:r>
      <w:bookmarkEnd w:id="115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الفصل الخامس أسؤلةٌ حول ولاية الفقيه و أجوبتها</w:t>
      </w:r>
    </w:p>
    <w:p>
      <w:pPr>
        <w:pStyle w:val="BookText"/>
        <w:rPr/>
      </w:pPr>
      <w:r>
        <w:rPr>
          <w:rFonts w:ascii="Amiri" w:hAnsi="Amiri" w:eastAsia="Amiri" w:cs="Amiri"/>
          <w:color w:val="111111"/>
          <w:sz w:val="28"/>
          <w:sz w:val="28"/>
          <w:szCs w:val="28"/>
          <w:rtl w:val="true"/>
          <w:lang w:bidi="ar-SA"/>
        </w:rPr>
        <w:t>قد ذكرنا في الفصل الرّابع قسطاً من الإشكالات الّتي أوردت على مبنى ثبوت الولاية للفقيه؛ و قد فرغنا من الاجابة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أسؤلةٌ قد اقترحها المحقّقون لايضاح هذه الأطروحة أكثر ممّا كانت عليه، فعلينا أن نذكر الأسؤلة ثمّ نجيب عنها لتنوير المبحث و إضاءته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الأسؤلة أيضاً كثيرةٌ، و نحن هيهنا ذاكرون ما هو ألأهمّ منها حذراً من التطويل و خوفاً من الاطالة و نذيّل على كلّ واحد منها بما لنا حوله من الجواب؛ و اللّه الهادي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bookmarkStart w:id="1153" w:name="pg18987_179996"/>
    </w:p>
    <w:p>
      <w:pPr>
        <w:pStyle w:val="Heading4"/>
        <w:numPr>
          <w:ilvl w:val="3"/>
          <w:numId w:val="1"/>
        </w:numPr>
        <w:rPr/>
      </w:pPr>
      <w:bookmarkStart w:id="1154" w:name="__RefHeading___Toc13100516_1280447820"/>
      <w:bookmarkStart w:id="1155" w:name="_Toc464"/>
      <w:bookmarkEnd w:id="1153"/>
      <w:bookmarkEnd w:id="1154"/>
      <w:r>
        <w:rPr>
          <w:rtl w:val="true"/>
        </w:rPr>
        <w:t>السؤال الأوّل</w:t>
      </w:r>
      <w:r>
        <w:rPr>
          <w:rtl w:val="true"/>
        </w:rPr>
        <w:t xml:space="preserve">: </w:t>
      </w:r>
      <w:r>
        <w:rPr>
          <w:rtl w:val="true"/>
        </w:rPr>
        <w:t>هل لولىّ الفقيه رتبةٌ فوق رتبةِ الدُّستور؟</w:t>
      </w:r>
      <w:bookmarkEnd w:id="1155"/>
    </w:p>
    <w:p>
      <w:pPr>
        <w:pStyle w:val="Heading5"/>
        <w:numPr>
          <w:ilvl w:val="4"/>
          <w:numId w:val="1"/>
        </w:numPr>
        <w:rPr/>
      </w:pPr>
      <w:bookmarkStart w:id="1156" w:name="__RefHeading___Toc13100518_1280447820"/>
      <w:bookmarkStart w:id="1157" w:name="_Toc465"/>
      <w:bookmarkEnd w:id="1156"/>
      <w:r>
        <w:rPr>
          <w:rtl w:val="true"/>
        </w:rPr>
        <w:t>اشارة</w:t>
      </w:r>
      <w:bookmarkEnd w:id="1157"/>
    </w:p>
    <w:p>
      <w:pPr>
        <w:pStyle w:val="BookText"/>
        <w:rPr/>
      </w:pPr>
      <w:r>
        <w:rPr>
          <w:rFonts w:ascii="Amiri" w:hAnsi="Amiri" w:eastAsia="Amiri" w:cs="Amiri"/>
          <w:color w:val="111111"/>
          <w:sz w:val="28"/>
          <w:sz w:val="28"/>
          <w:szCs w:val="28"/>
          <w:rtl w:val="true"/>
          <w:lang w:bidi="ar-SA"/>
        </w:rPr>
        <w:t>هل للفقيه الوليّ مرتبةٌ فوق مرتبة القانون و الدُّستور؟ أم مرتبته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في مستوىً أعلى من مستوى القانون أم هو محكومٌ بأحكامه أيضاً؟</w:t>
      </w:r>
      <w:r>
        <w:rPr>
          <w:rFonts w:eastAsia="Amiri" w:cs="Amiri" w:ascii="Amiri" w:hAnsi="Amiri"/>
          <w:color w:val="111111"/>
          <w:sz w:val="28"/>
          <w:szCs w:val="28"/>
          <w:rtl w:val="true"/>
          <w:lang w:bidi="ar-SA"/>
        </w:rPr>
        <w:t>.</w:t>
      </w:r>
    </w:p>
    <w:p>
      <w:pPr>
        <w:pStyle w:val="Heading5"/>
        <w:numPr>
          <w:ilvl w:val="4"/>
          <w:numId w:val="1"/>
        </w:numPr>
        <w:rPr/>
      </w:pPr>
      <w:bookmarkStart w:id="1158" w:name="__RefHeading___Toc13100520_1280447820"/>
      <w:bookmarkStart w:id="1159" w:name="_Toc466"/>
      <w:bookmarkEnd w:id="1158"/>
      <w:r>
        <w:rPr>
          <w:rtl w:val="true"/>
        </w:rPr>
        <w:t>و الجواب</w:t>
      </w:r>
      <w:r>
        <w:rPr>
          <w:rtl w:val="true"/>
        </w:rPr>
        <w:t>:</w:t>
      </w:r>
      <w:bookmarkEnd w:id="1159"/>
    </w:p>
    <w:p>
      <w:pPr>
        <w:pStyle w:val="BookText"/>
        <w:rPr/>
      </w:pPr>
      <w:r>
        <w:rPr>
          <w:rFonts w:ascii="Amiri" w:hAnsi="Amiri" w:eastAsia="Amiri" w:cs="Amiri"/>
          <w:color w:val="111111"/>
          <w:sz w:val="28"/>
          <w:sz w:val="28"/>
          <w:szCs w:val="28"/>
          <w:rtl w:val="true"/>
          <w:lang w:bidi="ar-SA"/>
        </w:rPr>
        <w:t>مضى منّا الكلام في أنّ الفقيه الوليّ له مرتبة الخلافة العامّة عن سادات الكونين عليهم السلام، فحكمه في المسألة نفس حكمهم عليهم السلام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يُعدّون من ناحيةٍ في مستوىً أعلى من مستوى القانون، و من ناحيةٍ أخرى لافرق بينهم و بين غيرهم في وجوب الطاعة عن الدستور و الناموس الإلهيّ؛ و هي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للحكم مراتب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مرتبة الاقتضاء؛</w:t>
      </w:r>
    </w:p>
    <w:p>
      <w:pPr>
        <w:pStyle w:val="BookText"/>
        <w:rPr/>
      </w:pPr>
      <w:r>
        <w:rPr>
          <w:rFonts w:ascii="Amiri" w:hAnsi="Amiri" w:eastAsia="Amiri" w:cs="Amiri"/>
          <w:color w:val="111111"/>
          <w:sz w:val="28"/>
          <w:sz w:val="28"/>
          <w:szCs w:val="28"/>
          <w:rtl w:val="true"/>
          <w:lang w:bidi="ar-SA"/>
        </w:rPr>
        <w:t>و مرتبة الإنشاء؛</w:t>
      </w:r>
    </w:p>
    <w:p>
      <w:pPr>
        <w:pStyle w:val="BookText"/>
        <w:rPr/>
      </w:pPr>
      <w:r>
        <w:rPr>
          <w:rFonts w:ascii="Amiri" w:hAnsi="Amiri" w:eastAsia="Amiri" w:cs="Amiri"/>
          <w:color w:val="111111"/>
          <w:sz w:val="28"/>
          <w:sz w:val="28"/>
          <w:szCs w:val="28"/>
          <w:rtl w:val="true"/>
          <w:lang w:bidi="ar-SA"/>
        </w:rPr>
        <w:t>و مرتبة الفعليّة؛</w:t>
      </w:r>
    </w:p>
    <w:p>
      <w:pPr>
        <w:pStyle w:val="BookText"/>
        <w:rPr/>
      </w:pPr>
      <w:r>
        <w:rPr>
          <w:rFonts w:ascii="Amiri" w:hAnsi="Amiri" w:eastAsia="Amiri" w:cs="Amiri"/>
          <w:color w:val="111111"/>
          <w:sz w:val="28"/>
          <w:sz w:val="28"/>
          <w:szCs w:val="28"/>
          <w:rtl w:val="true"/>
          <w:lang w:bidi="ar-SA"/>
        </w:rPr>
        <w:t>و مرتبة 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المرتبة الأولى فلاحكم؛</w:t>
      </w:r>
    </w:p>
    <w:p>
      <w:pPr>
        <w:pStyle w:val="BookText"/>
        <w:rPr/>
      </w:pPr>
      <w:r>
        <w:rPr>
          <w:rFonts w:ascii="Amiri" w:hAnsi="Amiri" w:eastAsia="Amiri" w:cs="Amiri"/>
          <w:color w:val="111111"/>
          <w:sz w:val="28"/>
          <w:sz w:val="28"/>
          <w:szCs w:val="28"/>
          <w:rtl w:val="true"/>
          <w:lang w:bidi="ar-SA"/>
        </w:rPr>
        <w:t>و في المرتبة الثّانية قد أنشأ اللّه الحكم من غير أن يوحى به إلى النبيّ عليه السلام؛</w:t>
      </w:r>
    </w:p>
    <w:p>
      <w:pPr>
        <w:pStyle w:val="BookText"/>
        <w:rPr/>
      </w:pPr>
      <w:r>
        <w:rPr>
          <w:rFonts w:ascii="Amiri" w:hAnsi="Amiri" w:eastAsia="Amiri" w:cs="Amiri"/>
          <w:color w:val="111111"/>
          <w:sz w:val="28"/>
          <w:sz w:val="28"/>
          <w:szCs w:val="28"/>
          <w:rtl w:val="true"/>
          <w:lang w:bidi="ar-SA"/>
        </w:rPr>
        <w:t xml:space="preserve">و في المرتبة الثّالث يبلّغه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عليه السلام؛</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المرتبة الرّابع يتنجّز الحكم على جميع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المرتبة الثّالث هو مرتبة تبيين الأحكام الّذي قد فوّضها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مستوى تبيين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مستوى الذكر، فالنبيّ في هذه المرتبة في مستوىً أعلى من مرتبة القانون؛</w:t>
      </w:r>
    </w:p>
    <w:p>
      <w:pPr>
        <w:pStyle w:val="BookText"/>
        <w:rPr/>
      </w:pPr>
      <w:r>
        <w:rPr>
          <w:rFonts w:ascii="Amiri" w:hAnsi="Amiri" w:eastAsia="Amiri" w:cs="Amiri"/>
          <w:color w:val="111111"/>
          <w:sz w:val="28"/>
          <w:sz w:val="28"/>
          <w:szCs w:val="28"/>
          <w:rtl w:val="true"/>
          <w:lang w:bidi="ar-SA"/>
        </w:rPr>
        <w:t>أمّا في المرتبة الرّابع فلافرق بين النبيّ و بين غيره في تنجّز الأحكام عليهم، فهو محكومٌ بها و لايجوز له التمرّد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هيهنا نكتةٌ لطيفةٌ؛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صلى الله عليه و آله بما كان له من القرب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مرتبة العبوديّة التامّة كان أشدّ رعايةً من غيره بالنسبة إلى الأحكام، بل كان يجب عليه ما لم يكن واجباً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تنجّز التكليف كان أشدّ خضوعاً للدستور الإلهيّ من غيره، و كذلك خلفاؤه المعصومون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الحكم في عصر الغيبة نفس الحكم أيضاً، فالفقيه الوليّ في مرحلة جعل الدُّستور من قِبل مجلس الشورى الإسلاميّ يُعدّ في مرتبةٍ أعلى من مرتبة القانون، أمّا بعد تنفيذه من قبله و إمضائه إيّاه فلافرق بينه و بين غيره في وجوب المتابعة عنه، بل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من الخلافة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أشدّ مواظبةً من غيره عليه؛ قال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من كلّ أحدٍ حسنٌ و إنّه منك أحسن لمكانك منّا، و إنّ القبيح من كلّ أحدٍ قبيحٌ و إنّه منك أقبح لمكانك منّا</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انّ التمرّد عن القانون لاسبب له إلّااستكثار المنافع الفرديّة و الإفراط في </w:t>
      </w:r>
    </w:p>
    <w:p>
      <w:pPr>
        <w:pStyle w:val="BookText"/>
        <w:rPr/>
      </w:pPr>
      <w:r>
        <w:rPr>
          <w:rFonts w:ascii="Amiri" w:hAnsi="Amiri" w:eastAsia="Amiri" w:cs="Amiri"/>
          <w:color w:val="111111"/>
          <w:sz w:val="28"/>
          <w:sz w:val="28"/>
          <w:szCs w:val="28"/>
          <w:rtl w:val="true"/>
          <w:lang w:bidi="ar-SA"/>
        </w:rPr>
        <w:t xml:space="preserve">مسألة ما يتعلّق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كان أو حقّاً أو منفعةً 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اشترطنا في الوالي اتّصافه بالعدالة؛ فلايطلب ما ليس له فيه حقٌّ، فلايحتاج إلى التمرّد و العنود عن الدُّستور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قلنا أن لافرق بينه و بين آحاد الناس في وجوب الطاعة عن القوانين بعد تنجّزها و صيرورتها بالفعل بعد أن كان في المراتب الثلاث الأولى</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لافرق في ما قلنا بين الأحكام الأوّليّة و الثانويّة، فإذا حكم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مرجِعاً كان أو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بما له من العناوين الثانويّة فهو منجّزٌ عليه أيضاً، و لايمكن له العصيان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كحكم المجدّد الشيرازيّ رحمه الله بحرمة التنباك في فترةٍ خاصّةٍ، فلايجوز له شرب التتن فيها كما لايجوز لغيره من المؤمنين</w:t>
      </w:r>
      <w:r>
        <w:rPr>
          <w:rFonts w:eastAsia="Amiri" w:cs="Amiri" w:ascii="Amiri" w:hAnsi="Amiri"/>
          <w:color w:val="111111"/>
          <w:sz w:val="28"/>
          <w:szCs w:val="28"/>
          <w:rtl w:val="true"/>
          <w:lang w:bidi="ar-SA"/>
        </w:rPr>
        <w:t xml:space="preserve">. </w:t>
      </w:r>
      <w:bookmarkStart w:id="1160" w:name="pg18987_179999"/>
    </w:p>
    <w:p>
      <w:pPr>
        <w:pStyle w:val="Heading4"/>
        <w:numPr>
          <w:ilvl w:val="3"/>
          <w:numId w:val="1"/>
        </w:numPr>
        <w:rPr/>
      </w:pPr>
      <w:bookmarkStart w:id="1161" w:name="__RefHeading___Toc13100522_1280447820"/>
      <w:bookmarkStart w:id="1162" w:name="_Toc467"/>
      <w:bookmarkEnd w:id="1160"/>
      <w:bookmarkEnd w:id="1161"/>
      <w:r>
        <w:rPr>
          <w:rtl w:val="true"/>
        </w:rPr>
        <w:t>السؤال الثّاني ما هى النّسبة بين الولىّ الفقيه و مجلس الدُّستور؟</w:t>
      </w:r>
      <w:bookmarkEnd w:id="1162"/>
    </w:p>
    <w:p>
      <w:pPr>
        <w:pStyle w:val="Heading5"/>
        <w:numPr>
          <w:ilvl w:val="4"/>
          <w:numId w:val="1"/>
        </w:numPr>
        <w:rPr/>
      </w:pPr>
      <w:bookmarkStart w:id="1163" w:name="__RefHeading___Toc13100524_1280447820"/>
      <w:bookmarkStart w:id="1164" w:name="_Toc468"/>
      <w:bookmarkEnd w:id="1163"/>
      <w:r>
        <w:rPr>
          <w:rtl w:val="true"/>
        </w:rPr>
        <w:t>اشارة</w:t>
      </w:r>
      <w:bookmarkEnd w:id="1164"/>
    </w:p>
    <w:p>
      <w:pPr>
        <w:pStyle w:val="BookText"/>
        <w:rPr/>
      </w:pPr>
      <w:r>
        <w:rPr>
          <w:rFonts w:ascii="Amiri" w:hAnsi="Amiri" w:eastAsia="Amiri" w:cs="Amiri"/>
          <w:color w:val="111111"/>
          <w:sz w:val="28"/>
          <w:sz w:val="28"/>
          <w:szCs w:val="28"/>
          <w:rtl w:val="true"/>
          <w:lang w:bidi="ar-SA"/>
        </w:rPr>
        <w:t>ما هى النسبة بين الفقيه الوليّ و مجلس الشورى الإسلامي؟</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13100526_1280447820"/>
      <w:bookmarkStart w:id="1166" w:name="_Toc469"/>
      <w:bookmarkEnd w:id="1165"/>
      <w:r>
        <w:rPr>
          <w:rtl w:val="true"/>
        </w:rPr>
        <w:t>و الجواب</w:t>
      </w:r>
      <w:bookmarkEnd w:id="1166"/>
    </w:p>
    <w:p>
      <w:pPr>
        <w:pStyle w:val="BookText"/>
        <w:rPr/>
      </w:pPr>
      <w:r>
        <w:rPr>
          <w:rFonts w:ascii="Amiri" w:hAnsi="Amiri" w:eastAsia="Amiri" w:cs="Amiri"/>
          <w:color w:val="111111"/>
          <w:sz w:val="28"/>
          <w:sz w:val="28"/>
          <w:szCs w:val="28"/>
          <w:rtl w:val="true"/>
          <w:lang w:bidi="ar-SA"/>
        </w:rPr>
        <w:t>عن هذا السؤال ظهر ممّا ذكرنا في الاجابة عن السؤال الأوّل، حيث ظهر أنّ فرض البرلمان و واجبه هو إنشاء الدُّستور و الناموس، و لايتنجّز هذا الناموس إلّابعد ما رسم عليه الوليّ، و هذا من وظائفه و قد فوّضها اليوم إلى مجلس صيانة الدّستور و الفقهاء النظّار على ما يأتي به الندوة النيابيّة من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أن أقرّه و صار الناموس فعليّاً بعد أن كان في مرحلة الإنشاء لافرق بينه و بين الوكلاء و بين آحاد الناس في وجوب الطاعة عنه؛ ففي مرحلة الإنشاء هو في مستوىً أعلى من مرتبة مجلس النوّاب أمّا في مرحلة التنجّز فهو محكومٌ بما صوّبه ممّا قرّره المجلس النيابيّ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فالمجلس النيابيّ يُعدّ عضْداً من أعضاد الوالي بعينه في وضع النواميس الّتي يحتاج إليها المُلك و الدولة بين حينٍ و حينٍ</w:t>
      </w:r>
      <w:r>
        <w:rPr>
          <w:rFonts w:eastAsia="Amiri" w:cs="Amiri" w:ascii="Amiri" w:hAnsi="Amiri"/>
          <w:color w:val="111111"/>
          <w:sz w:val="28"/>
          <w:szCs w:val="28"/>
          <w:rtl w:val="true"/>
          <w:lang w:bidi="ar-SA"/>
        </w:rPr>
        <w:t xml:space="preserve">. </w:t>
      </w:r>
      <w:bookmarkStart w:id="1167" w:name="pg18987_180000"/>
    </w:p>
    <w:p>
      <w:pPr>
        <w:pStyle w:val="Heading4"/>
        <w:numPr>
          <w:ilvl w:val="3"/>
          <w:numId w:val="1"/>
        </w:numPr>
        <w:rPr/>
      </w:pPr>
      <w:bookmarkStart w:id="1168" w:name="__RefHeading___Toc13100528_1280447820"/>
      <w:bookmarkStart w:id="1169" w:name="_Toc470"/>
      <w:bookmarkEnd w:id="1167"/>
      <w:bookmarkEnd w:id="1168"/>
      <w:r>
        <w:rPr>
          <w:rtl w:val="true"/>
        </w:rPr>
        <w:t>السؤال الثّالث ما هو المخرج عن معضلة تعدّد الولاة بتعدّد الفقهاء؟</w:t>
      </w:r>
      <w:bookmarkEnd w:id="1169"/>
    </w:p>
    <w:p>
      <w:pPr>
        <w:pStyle w:val="Heading5"/>
        <w:numPr>
          <w:ilvl w:val="4"/>
          <w:numId w:val="1"/>
        </w:numPr>
        <w:rPr/>
      </w:pPr>
      <w:bookmarkStart w:id="1170" w:name="__RefHeading___Toc13100530_1280447820"/>
      <w:bookmarkStart w:id="1171" w:name="_Toc471"/>
      <w:bookmarkEnd w:id="1170"/>
      <w:r>
        <w:rPr>
          <w:rtl w:val="true"/>
        </w:rPr>
        <w:t>اشارة</w:t>
      </w:r>
      <w:bookmarkEnd w:id="1171"/>
    </w:p>
    <w:p>
      <w:pPr>
        <w:pStyle w:val="BookText"/>
        <w:rPr/>
      </w:pPr>
      <w:r>
        <w:rPr>
          <w:rFonts w:ascii="Amiri" w:hAnsi="Amiri" w:eastAsia="Amiri" w:cs="Amiri"/>
          <w:color w:val="111111"/>
          <w:sz w:val="28"/>
          <w:sz w:val="28"/>
          <w:szCs w:val="28"/>
          <w:rtl w:val="true"/>
          <w:lang w:bidi="ar-SA"/>
        </w:rPr>
        <w:t xml:space="preserve">ما هي الحيلة للخروج عن معضلة تعدّد الولاة في زمنٍ واحدٍ، إذ من البيّن الّذي قد قرّرتم عليه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علّق حكم الولاية على العنوان؛ قال الحجّة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فيها إلى رواة حديثنا فانّهم حجّتي عليكم و أنا حجّة اللّه</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فمجرى الولاية في زمن الغيبة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في حلالنا و حرامنا</w:t>
      </w:r>
      <w:r>
        <w:rPr>
          <w:rFonts w:eastAsia="Amiri" w:cs="Amiri" w:ascii="Amiri" w:hAnsi="Amiri"/>
          <w:color w:val="111111"/>
          <w:sz w:val="28"/>
          <w:szCs w:val="28"/>
          <w:rtl w:val="true"/>
          <w:lang w:bidi="ar-SA"/>
        </w:rPr>
        <w:t>»</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لبداهة امتناع تَعداد الفقهاء و تذكارهم من لدن ظاهرة الغيبة إلى قيام الحجّة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من ناحيةٍ؛</w:t>
      </w:r>
    </w:p>
    <w:p>
      <w:pPr>
        <w:pStyle w:val="BookText"/>
        <w:rPr/>
      </w:pPr>
      <w:r>
        <w:rPr>
          <w:rFonts w:ascii="Amiri" w:hAnsi="Amiri" w:eastAsia="Amiri" w:cs="Amiri"/>
          <w:color w:val="111111"/>
          <w:sz w:val="28"/>
          <w:sz w:val="28"/>
          <w:szCs w:val="28"/>
          <w:rtl w:val="true"/>
          <w:lang w:bidi="ar-SA"/>
        </w:rPr>
        <w:t>و من ناحيةٍ ثانيةٍ نرى تعدّد الفقهاء العدول في كلّ عصرٍ و حتّى في مصرٍ واحدٍ، و لايؤدّي هذا إلّاإلى تعدّد الولاة، و هذا ممّا يحكم العقل ببطلانه؛ بل بسفاهة القائل بامكانه، إذ توحّد الحكم و الدولة ممّا لامناص منه</w:t>
      </w:r>
      <w:r>
        <w:rPr>
          <w:rFonts w:eastAsia="Amiri" w:cs="Amiri" w:ascii="Amiri" w:hAnsi="Amiri"/>
          <w:color w:val="111111"/>
          <w:sz w:val="28"/>
          <w:szCs w:val="28"/>
          <w:rtl w:val="true"/>
          <w:lang w:bidi="ar-SA"/>
        </w:rPr>
        <w:t>.</w:t>
      </w:r>
    </w:p>
    <w:p>
      <w:pPr>
        <w:pStyle w:val="Heading5"/>
        <w:numPr>
          <w:ilvl w:val="4"/>
          <w:numId w:val="1"/>
        </w:numPr>
        <w:rPr/>
      </w:pPr>
      <w:bookmarkStart w:id="1172" w:name="__RefHeading___Toc13100532_1280447820"/>
      <w:bookmarkStart w:id="1173" w:name="_Toc472"/>
      <w:bookmarkEnd w:id="1172"/>
      <w:r>
        <w:rPr>
          <w:rtl w:val="true"/>
        </w:rPr>
        <w:t>و الجواب</w:t>
      </w:r>
      <w:bookmarkEnd w:id="1173"/>
    </w:p>
    <w:p>
      <w:pPr>
        <w:pStyle w:val="Heading6"/>
        <w:numPr>
          <w:ilvl w:val="5"/>
          <w:numId w:val="1"/>
        </w:numPr>
        <w:rPr/>
      </w:pPr>
      <w:bookmarkStart w:id="1174" w:name="__RefHeading___Toc13100534_1280447820"/>
      <w:bookmarkStart w:id="1175" w:name="_Toc473"/>
      <w:bookmarkEnd w:id="1174"/>
      <w:r>
        <w:rPr>
          <w:rtl w:val="true"/>
        </w:rPr>
        <w:t>اشارة</w:t>
      </w:r>
      <w:bookmarkEnd w:id="1175"/>
    </w:p>
    <w:p>
      <w:pPr>
        <w:pStyle w:val="BookText"/>
        <w:rPr/>
      </w:pPr>
      <w:r>
        <w:rPr>
          <w:rFonts w:ascii="Amiri" w:hAnsi="Amiri" w:eastAsia="Amiri" w:cs="Amiri"/>
          <w:color w:val="111111"/>
          <w:sz w:val="28"/>
          <w:sz w:val="28"/>
          <w:szCs w:val="28"/>
          <w:rtl w:val="true"/>
          <w:lang w:bidi="ar-SA"/>
        </w:rPr>
        <w:t>عن هذا السؤال قد مضى فيما سبق من هذه الرسالة؛ و هيهنا نقول مراعياً للاختصار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في صدق العنوان على فئةٍ من الأعلام في كلّ عصرٍ، و لكن عليهم أن يقدّموا من له الصلاحيّة التامّة للقيام بأمر الولاية ثمّ يطيعوه في كلّ ما أمر به و 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 الأصحاب لحكم المسألة في أبواب القضاء، فقد أجمعوا على أنّ المستنبط لايجوز له نقض ما قضى به القاضي لبطلانه على مقتضى رأيه و فتواه، بل عليه أن يخضع لحكمه</w:t>
      </w:r>
      <w:r>
        <w:rPr>
          <w:rFonts w:eastAsia="Amiri" w:cs="Amiri" w:ascii="Amiri" w:hAnsi="Amiri"/>
          <w:color w:val="111111"/>
          <w:sz w:val="28"/>
          <w:szCs w:val="28"/>
          <w:rtl w:val="true"/>
          <w:lang w:bidi="ar-SA"/>
        </w:rPr>
        <w:t xml:space="preserve">. </w:t>
      </w:r>
      <w:bookmarkStart w:id="1176" w:name="pg18987_180001"/>
    </w:p>
    <w:p>
      <w:pPr>
        <w:pStyle w:val="BookText"/>
        <w:rPr/>
      </w:pPr>
      <w:bookmarkEnd w:id="1176"/>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الخلاف مستنداً إلى اختلافهما في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مستنداً إلى ما يرجع إلى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أن لايعمل بما حكم به القاضي و الحاكم؛ كحكم الحاكم بالخروج عن شهر اللّه و الدخول في شوّال مستنداً فيه إلى شهادة عدلين لم تثبت عدالتهما عند فقيهٍ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ثبت عنده عدم اتّصافهما بالعدالة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فلهذا الفقيه أن لايعمل بما حكم به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تنصيصه بعدم الخروج عن شهر الصيام بحيث يؤدّي إلى وهن الحاكم فممّا لايجوز عليه؛ و قد نصّ عليه الأصحاب في كتاب القضاء</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ذهب إليه الفقهاء طيلة القرون من ثبوت الإجزاء في بابي الإجتهاد و التقليد أيضاً إشارةٌ إلى منعهم عن نقض الفقيه ما حكم و أفتى به غيره و لوكان مخالفاً لما أدّى إليه رأيه و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الاقتداء بإمامٍ يكتفي بتسبيحةٍ واحدةٍ و يجزيها في الصلاة لمن يقلّد من مستنبطٍ لايجزي إلّاتسبيحاتٍ ثلاث، و ليس له أن يُنكر صلاة الإمام مستنداً إلى ما أفتى به مرجِعه؛ و هذا معنى الاجزاء في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فلوكان كذلك فمن البيّن عدم جواز نقضه ما حكم به القاضي و الحاكم مقلِّداً كان أو مقلَّداً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منع من تعدّد الآراء فيما لايرجع إلى الدولة، فاختلاف آراء الفقهاء في أبواب العبادات و المعاملات و غيرهما ممّا لامساس له بالدولة و ضرورة توحّدها لايُعدّ قبيحاً، بل لاخلاف في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يؤدّي إلى ارتقاء الفقه و ازدهاره خطوةً فخطوةً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قلنا في الاجابة عن هذا السؤال أمورٌ</w:t>
      </w:r>
      <w:r>
        <w:rPr>
          <w:rFonts w:eastAsia="Amiri" w:cs="Amiri" w:ascii="Amiri" w:hAnsi="Amiri"/>
          <w:color w:val="111111"/>
          <w:sz w:val="28"/>
          <w:szCs w:val="28"/>
          <w:rtl w:val="true"/>
          <w:lang w:bidi="ar-SA"/>
        </w:rPr>
        <w:t>:</w:t>
      </w:r>
    </w:p>
    <w:p>
      <w:pPr>
        <w:pStyle w:val="Heading6"/>
        <w:numPr>
          <w:ilvl w:val="5"/>
          <w:numId w:val="1"/>
        </w:numPr>
        <w:rPr/>
      </w:pPr>
      <w:bookmarkStart w:id="1177" w:name="__RefHeading___Toc13100536_1280447820"/>
      <w:bookmarkStart w:id="1178" w:name="_Toc474"/>
      <w:bookmarkEnd w:id="1177"/>
      <w:r>
        <w:rPr>
          <w:rtl w:val="true"/>
        </w:rPr>
        <w:t>الأوّل</w:t>
      </w:r>
      <w:r>
        <w:rPr>
          <w:rtl w:val="true"/>
        </w:rPr>
        <w:t>:</w:t>
      </w:r>
      <w:bookmarkEnd w:id="117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طاعة المقلَّدين و مقلِّديهم عن الحاكم فيما يرتبط بأمور الحكم؛ </w:t>
      </w:r>
      <w:bookmarkStart w:id="1179" w:name="pg18987_180002"/>
    </w:p>
    <w:p>
      <w:pPr>
        <w:pStyle w:val="Heading6"/>
        <w:numPr>
          <w:ilvl w:val="5"/>
          <w:numId w:val="1"/>
        </w:numPr>
        <w:rPr/>
      </w:pPr>
      <w:bookmarkStart w:id="1180" w:name="__RefHeading___Toc13100538_1280447820"/>
      <w:bookmarkStart w:id="1181" w:name="_Toc475"/>
      <w:bookmarkEnd w:id="1179"/>
      <w:bookmarkEnd w:id="1180"/>
      <w:r>
        <w:rPr>
          <w:rtl w:val="true"/>
        </w:rPr>
        <w:t>و الثّاني</w:t>
      </w:r>
      <w:r>
        <w:rPr>
          <w:rtl w:val="true"/>
        </w:rPr>
        <w:t>:</w:t>
      </w:r>
      <w:bookmarkEnd w:id="1181"/>
    </w:p>
    <w:p>
      <w:pPr>
        <w:pStyle w:val="BookText"/>
        <w:rPr/>
      </w:pPr>
      <w:r>
        <w:rPr>
          <w:rFonts w:ascii="Amiri" w:hAnsi="Amiri" w:eastAsia="Amiri" w:cs="Amiri"/>
          <w:color w:val="111111"/>
          <w:sz w:val="28"/>
          <w:sz w:val="28"/>
          <w:szCs w:val="28"/>
          <w:rtl w:val="true"/>
          <w:lang w:bidi="ar-SA"/>
        </w:rPr>
        <w:t>جواز اختلافهم فيما لايرتبط بها؛</w:t>
      </w:r>
    </w:p>
    <w:p>
      <w:pPr>
        <w:pStyle w:val="Heading6"/>
        <w:numPr>
          <w:ilvl w:val="5"/>
          <w:numId w:val="1"/>
        </w:numPr>
        <w:rPr/>
      </w:pPr>
      <w:bookmarkStart w:id="1182" w:name="__RefHeading___Toc13100540_1280447820"/>
      <w:bookmarkStart w:id="1183" w:name="_Toc476"/>
      <w:bookmarkEnd w:id="1182"/>
      <w:r>
        <w:rPr>
          <w:rtl w:val="true"/>
        </w:rPr>
        <w:t>الثّالث</w:t>
      </w:r>
      <w:r>
        <w:rPr>
          <w:rtl w:val="true"/>
        </w:rPr>
        <w:t>:</w:t>
      </w:r>
      <w:bookmarkEnd w:id="1183"/>
    </w:p>
    <w:p>
      <w:pPr>
        <w:pStyle w:val="BookText"/>
        <w:rPr/>
      </w:pPr>
      <w:r>
        <w:rPr>
          <w:rFonts w:ascii="Amiri" w:hAnsi="Amiri" w:eastAsia="Amiri" w:cs="Amiri"/>
          <w:color w:val="111111"/>
          <w:sz w:val="28"/>
          <w:sz w:val="28"/>
          <w:szCs w:val="28"/>
          <w:rtl w:val="true"/>
          <w:lang w:bidi="ar-SA"/>
        </w:rPr>
        <w:t>جرت السيرة على عدم نقض بعض الفقهاء حكم الآخر فيما لايرجع إليها أيضاً، إذ أجمعوا في الفقه على ثبوت الإجزاء في بابي الإجتهاد و التقليد</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فبما قلنا ظهر انّ صدق العنوان على ثلّةٍ من الأعلام في زمنٍ واحدٍ لامناص عنه، و لكن هذا لايؤدّي إلى عدم توحّد الدولة و ظهور الهرج و الاضطراب في أمر الحكم</w:t>
      </w:r>
      <w:r>
        <w:rPr>
          <w:rFonts w:eastAsia="Amiri" w:cs="Amiri" w:ascii="Amiri" w:hAnsi="Amiri"/>
          <w:color w:val="111111"/>
          <w:sz w:val="28"/>
          <w:szCs w:val="28"/>
          <w:rtl w:val="true"/>
          <w:lang w:bidi="ar-SA"/>
        </w:rPr>
        <w:t xml:space="preserve">. </w:t>
      </w:r>
      <w:bookmarkStart w:id="1184" w:name="pg18987_180003"/>
    </w:p>
    <w:p>
      <w:pPr>
        <w:pStyle w:val="Heading4"/>
        <w:numPr>
          <w:ilvl w:val="3"/>
          <w:numId w:val="1"/>
        </w:numPr>
        <w:rPr/>
      </w:pPr>
      <w:bookmarkStart w:id="1185" w:name="__RefHeading___Toc13100542_1280447820"/>
      <w:bookmarkStart w:id="1186" w:name="_Toc477"/>
      <w:bookmarkEnd w:id="1184"/>
      <w:bookmarkEnd w:id="1185"/>
      <w:r>
        <w:rPr>
          <w:rtl w:val="true"/>
        </w:rPr>
        <w:t>السؤال الرّابع هل تجب الطّاعة عن جميع أوامر الولىّ و نواهيه؟</w:t>
      </w:r>
      <w:bookmarkEnd w:id="1186"/>
    </w:p>
    <w:p>
      <w:pPr>
        <w:pStyle w:val="Heading5"/>
        <w:numPr>
          <w:ilvl w:val="4"/>
          <w:numId w:val="1"/>
        </w:numPr>
        <w:rPr/>
      </w:pPr>
      <w:bookmarkStart w:id="1187" w:name="__RefHeading___Toc13100544_1280447820"/>
      <w:bookmarkStart w:id="1188" w:name="_Toc478"/>
      <w:bookmarkEnd w:id="1187"/>
      <w:r>
        <w:rPr>
          <w:rtl w:val="true"/>
        </w:rPr>
        <w:t>اشارة</w:t>
      </w:r>
      <w:bookmarkEnd w:id="1188"/>
    </w:p>
    <w:p>
      <w:pPr>
        <w:pStyle w:val="BookText"/>
        <w:rPr/>
      </w:pPr>
      <w:r>
        <w:rPr>
          <w:rFonts w:ascii="Amiri" w:hAnsi="Amiri" w:eastAsia="Amiri" w:cs="Amiri"/>
          <w:color w:val="111111"/>
          <w:sz w:val="28"/>
          <w:sz w:val="28"/>
          <w:szCs w:val="28"/>
          <w:rtl w:val="true"/>
          <w:lang w:bidi="ar-SA"/>
        </w:rPr>
        <w:t>هل تجب طاعة الوليّ في كلّ ما يأمر به أو ينهى عنه؟،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الفقيه الوليّ مفترض الطاعة؟</w:t>
      </w:r>
      <w:r>
        <w:rPr>
          <w:rFonts w:eastAsia="Amiri" w:cs="Amiri" w:ascii="Amiri" w:hAnsi="Amiri"/>
          <w:color w:val="111111"/>
          <w:sz w:val="28"/>
          <w:szCs w:val="28"/>
          <w:rtl w:val="true"/>
          <w:lang w:bidi="ar-SA"/>
        </w:rPr>
        <w:t>.</w:t>
      </w:r>
    </w:p>
    <w:p>
      <w:pPr>
        <w:pStyle w:val="Heading5"/>
        <w:numPr>
          <w:ilvl w:val="4"/>
          <w:numId w:val="1"/>
        </w:numPr>
        <w:rPr/>
      </w:pPr>
      <w:bookmarkStart w:id="1189" w:name="__RefHeading___Toc13100546_1280447820"/>
      <w:bookmarkStart w:id="1190" w:name="_Toc479"/>
      <w:bookmarkEnd w:id="1189"/>
      <w:r>
        <w:rPr>
          <w:rtl w:val="true"/>
        </w:rPr>
        <w:t>و الجواب</w:t>
      </w:r>
      <w:r>
        <w:rPr>
          <w:rtl w:val="true"/>
        </w:rPr>
        <w:t>:</w:t>
      </w:r>
      <w:bookmarkEnd w:id="1190"/>
    </w:p>
    <w:p>
      <w:pPr>
        <w:pStyle w:val="BookText"/>
        <w:rPr/>
      </w:pPr>
      <w:r>
        <w:rPr>
          <w:rFonts w:ascii="Amiri" w:hAnsi="Amiri" w:eastAsia="Amiri" w:cs="Amiri"/>
          <w:color w:val="111111"/>
          <w:sz w:val="28"/>
          <w:sz w:val="28"/>
          <w:szCs w:val="28"/>
          <w:rtl w:val="true"/>
          <w:lang w:bidi="ar-SA"/>
        </w:rPr>
        <w:t xml:space="preserve">لاخلاف بين الشيعة الإماميّة في وجوب الطاعة عن النبيّ صلى الله عليه و آله و الأئمّة عليهم السلام في أوامرهم و نواهيهم، حكماً كان أو موضوعاً؛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لَامُؤْمِنَةٍ إِذَا قَضَى اللَّهُ وَ رَسُولُهُ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الوليّ فذهب فريقٌ إلى وجوب الطاعة منه؛ و جماعةٌ إلى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بين قائلٍ بالاثبات و قائلٍ بالنفي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النافون فاستندوا إلى أنّ هذا المستوى لايليق بغير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طاعة الفقيه في بابي الأحكام و القضاء، أمّا في الموضوعات فلايجب الطاعة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المثبتون فاستدلّوا على ما ذهبوا إليه بأمرين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الدالّة على وجوب الطاعة عن النبيّ صلى الله عليه و آله لاترجع إلى شخصه، و لاارتباط بينها و بينه؛ بل الآيات كلّها تشير إلى وجوب الطاعة عنه بما هو وليّ المسلمين و هادي المجتمع إلى ما فيه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المنصب ثابتٌ للفقيه الوليّ في عصر الغيبة أيضاً، فلافرق بينه و بين النبيّ صلى الله عليه و آله و أهل بيته المعصومين عليهم السلام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الدليل قد ذكره الشيخ الأعظم رحمه الله في كتاب القضاء و الشهادات، و قد أومأنا إليه فيما مضى </w:t>
      </w:r>
    </w:p>
    <w:p>
      <w:pPr>
        <w:pStyle w:val="BookText"/>
        <w:rPr/>
      </w:pPr>
      <w:r>
        <w:rPr>
          <w:rFonts w:ascii="Amiri" w:hAnsi="Amiri" w:eastAsia="Amiri" w:cs="Amiri"/>
          <w:color w:val="111111"/>
          <w:sz w:val="28"/>
          <w:sz w:val="28"/>
          <w:szCs w:val="28"/>
          <w:rtl w:val="true"/>
          <w:lang w:bidi="ar-SA"/>
        </w:rPr>
        <w:t>من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مجرى حكم الحاكم هو الموضوعات، إذ لاحكم له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كحكمه بالخروج عن شهر اللّه و الدخول في الشوّال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من ناحيةٍ؛</w:t>
      </w:r>
    </w:p>
    <w:p>
      <w:pPr>
        <w:pStyle w:val="BookText"/>
        <w:rPr/>
      </w:pPr>
      <w:r>
        <w:rPr>
          <w:rFonts w:ascii="Amiri" w:hAnsi="Amiri" w:eastAsia="Amiri" w:cs="Amiri"/>
          <w:color w:val="111111"/>
          <w:sz w:val="28"/>
          <w:sz w:val="28"/>
          <w:szCs w:val="28"/>
          <w:rtl w:val="true"/>
          <w:lang w:bidi="ar-SA"/>
        </w:rPr>
        <w:t xml:space="preserve">و من ناحيةٍ أخرى قد انعقد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الضروريّات في فقه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نفوذ حكم الحاكم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كان، و لوكان مجتهداً جامعاً لشرائط الإفتاء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بالإجماع الطاعة عنه فيما يحكم به، و لاحكم له إلّافي الموضوعات؛ فهو مفترض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لافرق بينه و بين المعصومين من هذه الوجهة و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نكتةٌ و بالغفلة أو التغافل عنها قد يعيّرنا مثبتوا الدولة الاختياريّة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يساوي نفي الخيار عن الناس، إذ من البيّن انّ للوليّ ما لغيره من الناس من الأميال و الأهواء، فلوحكم بما تقتضيه أهواؤه لايحكم العقل بوجوب الطاعة منه بينما انّكم قد أوجبتم على المسلمين التبعيّة منه في كلّ ما أمر به و 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هذا التعيير باستلفات نظرهم إلى ما مضى من شرائط الوليّ الّتي لايصلح للجلوس على عرش الحكم إلّاباقتنائها، حيث قلنا انّ العدالة من الشرائط اللازمة له، فلايحكم بما تقتضيه أمياله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لوحكم به ليصير فاسقاً و ليسقط من الإمارة و ليكون متغلّباً لاوليّاً مفترض الطاعة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بما قلنا انّ تعييرهم هذا لاينشأ إلّاعن عدم التثبّت و الدقّة فيما اشترطناه فيه</w:t>
      </w:r>
      <w:r>
        <w:rPr>
          <w:rFonts w:eastAsia="Amiri" w:cs="Amiri" w:ascii="Amiri" w:hAnsi="Amiri"/>
          <w:color w:val="111111"/>
          <w:sz w:val="28"/>
          <w:szCs w:val="28"/>
          <w:rtl w:val="true"/>
          <w:lang w:bidi="ar-SA"/>
        </w:rPr>
        <w:t xml:space="preserve">. </w:t>
      </w:r>
      <w:bookmarkStart w:id="1191" w:name="pg18987_180005"/>
    </w:p>
    <w:p>
      <w:pPr>
        <w:pStyle w:val="Heading4"/>
        <w:numPr>
          <w:ilvl w:val="3"/>
          <w:numId w:val="1"/>
        </w:numPr>
        <w:rPr/>
      </w:pPr>
      <w:bookmarkStart w:id="1192" w:name="__RefHeading___Toc13100548_1280447820"/>
      <w:bookmarkStart w:id="1193" w:name="_Toc480"/>
      <w:bookmarkEnd w:id="1191"/>
      <w:bookmarkEnd w:id="1192"/>
      <w:r>
        <w:rPr>
          <w:rtl w:val="true"/>
        </w:rPr>
        <w:t>السؤال الخامس ماهى النّسبة بين الولىّ الفقيه و مسألة الشّورىٰ؟</w:t>
      </w:r>
      <w:bookmarkEnd w:id="1193"/>
    </w:p>
    <w:p>
      <w:pPr>
        <w:pStyle w:val="Heading5"/>
        <w:numPr>
          <w:ilvl w:val="4"/>
          <w:numId w:val="1"/>
        </w:numPr>
        <w:rPr/>
      </w:pPr>
      <w:bookmarkStart w:id="1194" w:name="__RefHeading___Toc13100550_1280447820"/>
      <w:bookmarkStart w:id="1195" w:name="_Toc481"/>
      <w:bookmarkEnd w:id="1194"/>
      <w:r>
        <w:rPr>
          <w:rtl w:val="true"/>
        </w:rPr>
        <w:t>اشارة</w:t>
      </w:r>
      <w:bookmarkEnd w:id="1195"/>
    </w:p>
    <w:p>
      <w:pPr>
        <w:pStyle w:val="BookText"/>
        <w:rPr/>
      </w:pPr>
      <w:r>
        <w:rPr>
          <w:rFonts w:ascii="Amiri" w:hAnsi="Amiri" w:eastAsia="Amiri" w:cs="Amiri"/>
          <w:color w:val="111111"/>
          <w:sz w:val="28"/>
          <w:sz w:val="28"/>
          <w:szCs w:val="28"/>
          <w:rtl w:val="true"/>
          <w:lang w:bidi="ar-SA"/>
        </w:rPr>
        <w:t xml:space="preserve">ما هي النسبة بين القول بثبوت الولاية للفقيه الجامع لشرائط الإفتاء و بين الشورى الّتي أكّد و شدّد عليها القرآن الكريم في بعض آياته،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أَمْرُهُمْ شُورَىٰ بَينَهُمْ</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شَاوِرْهُمْ فِي الْأَمْرِ</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ليس قولكم هذا مخالفاً لمدلول الكريمتين و ما يشبههما؟</w:t>
      </w:r>
      <w:r>
        <w:rPr>
          <w:rFonts w:eastAsia="Amiri" w:cs="Amiri" w:ascii="Amiri" w:hAnsi="Amiri"/>
          <w:color w:val="111111"/>
          <w:sz w:val="28"/>
          <w:szCs w:val="28"/>
          <w:rtl w:val="true"/>
          <w:lang w:bidi="ar-SA"/>
        </w:rPr>
        <w:t>.</w:t>
      </w:r>
    </w:p>
    <w:p>
      <w:pPr>
        <w:pStyle w:val="Heading5"/>
        <w:numPr>
          <w:ilvl w:val="4"/>
          <w:numId w:val="1"/>
        </w:numPr>
        <w:rPr/>
      </w:pPr>
      <w:bookmarkStart w:id="1196" w:name="__RefHeading___Toc13100552_1280447820"/>
      <w:bookmarkStart w:id="1197" w:name="_Toc482"/>
      <w:bookmarkEnd w:id="1196"/>
      <w:r>
        <w:rPr>
          <w:rtl w:val="true"/>
        </w:rPr>
        <w:t>و الجواب</w:t>
      </w:r>
      <w:bookmarkEnd w:id="1197"/>
    </w:p>
    <w:p>
      <w:pPr>
        <w:pStyle w:val="Heading6"/>
        <w:numPr>
          <w:ilvl w:val="5"/>
          <w:numId w:val="1"/>
        </w:numPr>
        <w:rPr/>
      </w:pPr>
      <w:bookmarkStart w:id="1198" w:name="__RefHeading___Toc13100554_1280447820"/>
      <w:bookmarkStart w:id="1199" w:name="_Toc483"/>
      <w:bookmarkEnd w:id="1198"/>
      <w:r>
        <w:rPr>
          <w:rtl w:val="true"/>
        </w:rPr>
        <w:t>اشارة</w:t>
      </w:r>
      <w:bookmarkEnd w:id="1199"/>
    </w:p>
    <w:p>
      <w:pPr>
        <w:pStyle w:val="BookText"/>
        <w:rPr/>
      </w:pPr>
      <w:r>
        <w:rPr>
          <w:rFonts w:ascii="Amiri" w:hAnsi="Amiri" w:eastAsia="Amiri" w:cs="Amiri"/>
          <w:color w:val="111111"/>
          <w:sz w:val="28"/>
          <w:sz w:val="28"/>
          <w:szCs w:val="28"/>
          <w:rtl w:val="true"/>
          <w:lang w:bidi="ar-SA"/>
        </w:rPr>
        <w:t>عن هذا السؤال قد مضى في هذه الرسالة؛ و تلخيص القول فيه يتمّ بالإشارة إلى الأدلّة المثبتة إيّاها له، فتلك الأدلّة دالّةٌ على أن ليس الحكم بالشورى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نكتٌ يجب علينا أن نشير إليها</w:t>
      </w:r>
      <w:r>
        <w:rPr>
          <w:rFonts w:eastAsia="Amiri" w:cs="Amiri" w:ascii="Amiri" w:hAnsi="Amiri"/>
          <w:color w:val="111111"/>
          <w:sz w:val="28"/>
          <w:szCs w:val="28"/>
          <w:rtl w:val="true"/>
          <w:lang w:bidi="ar-SA"/>
        </w:rPr>
        <w:t>:</w:t>
      </w:r>
    </w:p>
    <w:p>
      <w:pPr>
        <w:pStyle w:val="Heading6"/>
        <w:numPr>
          <w:ilvl w:val="5"/>
          <w:numId w:val="1"/>
        </w:numPr>
        <w:rPr/>
      </w:pPr>
      <w:bookmarkStart w:id="1200" w:name="__RefHeading___Toc13100556_1280447820"/>
      <w:bookmarkStart w:id="1201" w:name="_Toc484"/>
      <w:bookmarkEnd w:id="1200"/>
      <w:r>
        <w:rPr>
          <w:rtl w:val="true"/>
        </w:rPr>
        <w:t>النكتة الأولى</w:t>
      </w:r>
      <w:r>
        <w:rPr>
          <w:rtl w:val="true"/>
        </w:rPr>
        <w:t>:</w:t>
      </w:r>
      <w:bookmarkEnd w:id="1201"/>
    </w:p>
    <w:p>
      <w:pPr>
        <w:pStyle w:val="BookText"/>
        <w:rPr/>
      </w:pPr>
      <w:r>
        <w:rPr>
          <w:rFonts w:ascii="Amiri" w:hAnsi="Amiri" w:eastAsia="Amiri" w:cs="Amiri"/>
          <w:color w:val="111111"/>
          <w:sz w:val="28"/>
          <w:sz w:val="28"/>
          <w:szCs w:val="28"/>
          <w:rtl w:val="true"/>
          <w:lang w:bidi="ar-SA"/>
        </w:rPr>
        <w:t xml:space="preserve">الظاهر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أَمْرُهُمْ 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إلى حكمٍ أخلاقيٍّ يشدّد عليه العقل أيضاً،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الرجوع في مهامّ الأمور إلى رأي الناس و عدم جواز الاستبداد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أن يزوّج بنته عليه أن يشاور في زواجها، و كذلك من أراد أن يشتري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Heading6"/>
        <w:numPr>
          <w:ilvl w:val="5"/>
          <w:numId w:val="1"/>
        </w:numPr>
        <w:rPr/>
      </w:pPr>
      <w:bookmarkStart w:id="1202" w:name="__RefHeading___Toc13100558_1280447820"/>
      <w:bookmarkStart w:id="1203" w:name="_Toc485"/>
      <w:bookmarkEnd w:id="1202"/>
      <w:r>
        <w:rPr>
          <w:rtl w:val="true"/>
        </w:rPr>
        <w:t>النكتة الثّانية</w:t>
      </w:r>
      <w:r>
        <w:rPr>
          <w:rtl w:val="true"/>
        </w:rPr>
        <w:t>:</w:t>
      </w:r>
      <w:bookmarkEnd w:id="1203"/>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سريان الآية إلى أمر الحكم لتكون دالّةً على وجوب كونه بالشورى لايخلو عن شيءٍ، إذ لايتمّ هذا إلّابأخذ الإطلاق عنها، و هذا من المحذور منه، إذ الآية نزلت </w:t>
      </w:r>
      <w:bookmarkStart w:id="1204" w:name="pg18987_180006"/>
    </w:p>
    <w:p>
      <w:pPr>
        <w:pStyle w:val="BookText"/>
        <w:rPr/>
      </w:pPr>
      <w:bookmarkEnd w:id="1204"/>
      <w:r>
        <w:rPr>
          <w:rFonts w:ascii="Amiri" w:hAnsi="Amiri" w:eastAsia="Amiri" w:cs="Amiri"/>
          <w:color w:val="111111"/>
          <w:sz w:val="28"/>
          <w:sz w:val="28"/>
          <w:szCs w:val="28"/>
          <w:rtl w:val="true"/>
          <w:lang w:bidi="ar-SA"/>
        </w:rPr>
        <w:t>في مقام تشريع الحكم فلاإطلاق لها حتّى يؤخذ به</w:t>
      </w:r>
      <w:r>
        <w:rPr>
          <w:rFonts w:eastAsia="Amiri" w:cs="Amiri" w:ascii="Amiri" w:hAnsi="Amiri"/>
          <w:color w:val="111111"/>
          <w:sz w:val="28"/>
          <w:szCs w:val="28"/>
          <w:rtl w:val="true"/>
          <w:lang w:bidi="ar-SA"/>
        </w:rPr>
        <w:t>.</w:t>
      </w:r>
    </w:p>
    <w:p>
      <w:pPr>
        <w:pStyle w:val="Heading6"/>
        <w:numPr>
          <w:ilvl w:val="5"/>
          <w:numId w:val="1"/>
        </w:numPr>
        <w:rPr/>
      </w:pPr>
      <w:bookmarkStart w:id="1205" w:name="__RefHeading___Toc13100560_1280447820"/>
      <w:bookmarkStart w:id="1206" w:name="_Toc486"/>
      <w:bookmarkEnd w:id="1205"/>
      <w:r>
        <w:rPr>
          <w:rtl w:val="true"/>
        </w:rPr>
        <w:t>النكتة الثّالثة</w:t>
      </w:r>
      <w:r>
        <w:rPr>
          <w:rtl w:val="true"/>
        </w:rPr>
        <w:t>:</w:t>
      </w:r>
      <w:bookmarkEnd w:id="1206"/>
    </w:p>
    <w:p>
      <w:pPr>
        <w:pStyle w:val="BookText"/>
        <w:rPr/>
      </w:pPr>
      <w:r>
        <w:rPr>
          <w:rFonts w:ascii="Amiri" w:hAnsi="Amiri" w:eastAsia="Amiri" w:cs="Amiri"/>
          <w:color w:val="111111"/>
          <w:sz w:val="28"/>
          <w:sz w:val="28"/>
          <w:szCs w:val="28"/>
          <w:rtl w:val="true"/>
          <w:lang w:bidi="ar-SA"/>
        </w:rPr>
        <w:t>لوكابر مكابرٌ و أصرّ على جواز أخذ الإطلاق منها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 إطلاقها وجوب رجوع الولاة و الحكّام في كلّ مسألةٍ إلى آراء المخصّصين فيها، لا كون أصل الحكم بالمشاورة بحيث لم تكن للوليّ ولايةٌ فيه</w:t>
      </w:r>
      <w:r>
        <w:rPr>
          <w:rFonts w:eastAsia="Amiri" w:cs="Amiri" w:ascii="Amiri" w:hAnsi="Amiri"/>
          <w:color w:val="111111"/>
          <w:sz w:val="28"/>
          <w:szCs w:val="28"/>
          <w:rtl w:val="true"/>
          <w:lang w:bidi="ar-SA"/>
        </w:rPr>
        <w:t>.</w:t>
      </w:r>
    </w:p>
    <w:p>
      <w:pPr>
        <w:pStyle w:val="Heading6"/>
        <w:numPr>
          <w:ilvl w:val="5"/>
          <w:numId w:val="1"/>
        </w:numPr>
        <w:rPr/>
      </w:pPr>
      <w:bookmarkStart w:id="1207" w:name="__RefHeading___Toc13100562_1280447820"/>
      <w:bookmarkStart w:id="1208" w:name="_Toc487"/>
      <w:bookmarkEnd w:id="1207"/>
      <w:r>
        <w:rPr>
          <w:rtl w:val="true"/>
        </w:rPr>
        <w:t>النكتة الرّابعة</w:t>
      </w:r>
      <w:r>
        <w:rPr>
          <w:rtl w:val="true"/>
        </w:rPr>
        <w:t>:</w:t>
      </w:r>
      <w:bookmarkEnd w:id="1208"/>
    </w:p>
    <w:p>
      <w:pPr>
        <w:pStyle w:val="BookText"/>
        <w:rPr/>
      </w:pPr>
      <w:r>
        <w:rPr>
          <w:rFonts w:ascii="Amiri" w:hAnsi="Amiri" w:eastAsia="Amiri" w:cs="Amiri"/>
          <w:color w:val="111111"/>
          <w:sz w:val="28"/>
          <w:sz w:val="28"/>
          <w:szCs w:val="28"/>
          <w:rtl w:val="true"/>
          <w:lang w:bidi="ar-SA"/>
        </w:rPr>
        <w:t>و على فرض تماميّة دلالة الآية على مطلوبهم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الّتي اقمناها على ثبوت الولاية للفقيه في زمن الغيبة تُخصّص هذه الآية الكريمة، فلادلالة فيها على ما استدلّوا بها له</w:t>
      </w:r>
      <w:r>
        <w:rPr>
          <w:rFonts w:eastAsia="Amiri" w:cs="Amiri" w:ascii="Amiri" w:hAnsi="Amiri"/>
          <w:color w:val="111111"/>
          <w:sz w:val="28"/>
          <w:szCs w:val="28"/>
          <w:rtl w:val="true"/>
          <w:lang w:bidi="ar-SA"/>
        </w:rPr>
        <w:t>.</w:t>
      </w:r>
    </w:p>
    <w:p>
      <w:pPr>
        <w:pStyle w:val="Heading6"/>
        <w:numPr>
          <w:ilvl w:val="5"/>
          <w:numId w:val="1"/>
        </w:numPr>
        <w:rPr/>
      </w:pPr>
      <w:bookmarkStart w:id="1209" w:name="__RefHeading___Toc13100564_1280447820"/>
      <w:bookmarkStart w:id="1210" w:name="_Toc488"/>
      <w:bookmarkEnd w:id="1209"/>
      <w:r>
        <w:rPr>
          <w:rtl w:val="true"/>
        </w:rPr>
        <w:t>النكتة الخامسة</w:t>
      </w:r>
      <w:r>
        <w:rPr>
          <w:rtl w:val="true"/>
        </w:rPr>
        <w:t>:</w:t>
      </w:r>
      <w:bookmarkEnd w:id="1210"/>
    </w:p>
    <w:p>
      <w:pPr>
        <w:pStyle w:val="BookText"/>
        <w:rPr/>
      </w:pPr>
      <w:r>
        <w:rPr>
          <w:rFonts w:ascii="Amiri" w:hAnsi="Amiri" w:eastAsia="Amiri" w:cs="Amiri"/>
          <w:color w:val="111111"/>
          <w:sz w:val="28"/>
          <w:sz w:val="28"/>
          <w:szCs w:val="28"/>
          <w:rtl w:val="true"/>
          <w:lang w:bidi="ar-SA"/>
        </w:rPr>
        <w:t xml:space="preserve">و قول الفصل في المسألة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فَتَوَكَّلْ عَلَى اللَّهِ</w:t>
      </w:r>
      <w:r>
        <w:rPr>
          <w:rFonts w:eastAsia="Amiri" w:cs="Amiri" w:ascii="Amiri" w:hAnsi="Amiri"/>
          <w:color w:val="111111"/>
          <w:sz w:val="28"/>
          <w:szCs w:val="28"/>
          <w:rtl w:val="true"/>
          <w:lang w:bidi="ar-SA"/>
        </w:rPr>
        <w:t>»</w:t>
      </w:r>
      <w:r>
        <w:rPr>
          <w:rStyle w:val="FootnoteAnchor"/>
          <w:rtl w:val="true"/>
        </w:rPr>
        <w:footnoteReference w:id="632"/>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دلّ على حكومة قول الوالي على غيره من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تفصيل الكلام فيما يرتبط بالمقام</w:t>
      </w:r>
      <w:r>
        <w:rPr>
          <w:rFonts w:eastAsia="Amiri" w:cs="Amiri" w:ascii="Amiri" w:hAnsi="Amiri"/>
          <w:color w:val="111111"/>
          <w:sz w:val="28"/>
          <w:szCs w:val="28"/>
          <w:rtl w:val="true"/>
          <w:lang w:bidi="ar-SA"/>
        </w:rPr>
        <w:t xml:space="preserve">. </w:t>
      </w:r>
      <w:bookmarkStart w:id="1211" w:name="pg18987_180007"/>
    </w:p>
    <w:p>
      <w:pPr>
        <w:pStyle w:val="Heading4"/>
        <w:numPr>
          <w:ilvl w:val="3"/>
          <w:numId w:val="1"/>
        </w:numPr>
        <w:rPr/>
      </w:pPr>
      <w:bookmarkStart w:id="1212" w:name="__RefHeading___Toc13100566_1280447820"/>
      <w:bookmarkStart w:id="1213" w:name="_Toc489"/>
      <w:bookmarkEnd w:id="1211"/>
      <w:bookmarkEnd w:id="1212"/>
      <w:r>
        <w:rPr>
          <w:rtl w:val="true"/>
        </w:rPr>
        <w:t>السؤال السّادس هل يمكن تعدّد الولاة فى الدّول المتعدّدة؟</w:t>
      </w:r>
      <w:bookmarkEnd w:id="1213"/>
    </w:p>
    <w:p>
      <w:pPr>
        <w:pStyle w:val="Heading5"/>
        <w:numPr>
          <w:ilvl w:val="4"/>
          <w:numId w:val="1"/>
        </w:numPr>
        <w:rPr/>
      </w:pPr>
      <w:bookmarkStart w:id="1214" w:name="__RefHeading___Toc13100568_1280447820"/>
      <w:bookmarkStart w:id="1215" w:name="_Toc490"/>
      <w:bookmarkEnd w:id="1214"/>
      <w:r>
        <w:rPr>
          <w:rtl w:val="true"/>
        </w:rPr>
        <w:t>اشارة</w:t>
      </w:r>
      <w:bookmarkEnd w:id="1215"/>
    </w:p>
    <w:p>
      <w:pPr>
        <w:pStyle w:val="BookText"/>
        <w:rPr/>
      </w:pPr>
      <w:r>
        <w:rPr>
          <w:rFonts w:ascii="Amiri" w:hAnsi="Amiri" w:eastAsia="Amiri" w:cs="Amiri"/>
          <w:color w:val="111111"/>
          <w:sz w:val="28"/>
          <w:sz w:val="28"/>
          <w:szCs w:val="28"/>
          <w:rtl w:val="true"/>
          <w:lang w:bidi="ar-SA"/>
        </w:rPr>
        <w:t>أشرنا في السؤال الثّالث إلى امتناع تعدّد الولاة في مصرٍ واحدٍ في عصرٍ؛ و الآن بدا لنا شيءٌ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تعدّد الولاة الفقهاء في الدول المتعدّدة؟ أم يجب توحّد الفقيه الوليّ في جميع الدول؟</w:t>
      </w:r>
    </w:p>
    <w:p>
      <w:pPr>
        <w:pStyle w:val="Heading5"/>
        <w:numPr>
          <w:ilvl w:val="4"/>
          <w:numId w:val="1"/>
        </w:numPr>
        <w:rPr/>
      </w:pPr>
      <w:bookmarkStart w:id="1216" w:name="__RefHeading___Toc13100570_1280447820"/>
      <w:bookmarkStart w:id="1217" w:name="_Toc491"/>
      <w:bookmarkEnd w:id="1216"/>
      <w:r>
        <w:rPr>
          <w:rtl w:val="true"/>
        </w:rPr>
        <w:t>و الجواب</w:t>
      </w:r>
      <w:r>
        <w:rPr>
          <w:rtl w:val="true"/>
        </w:rPr>
        <w:t>:</w:t>
      </w:r>
      <w:bookmarkEnd w:id="1217"/>
    </w:p>
    <w:p>
      <w:pPr>
        <w:pStyle w:val="BookText"/>
        <w:rPr/>
      </w:pPr>
      <w:r>
        <w:rPr>
          <w:rFonts w:ascii="Amiri" w:hAnsi="Amiri" w:eastAsia="Amiri" w:cs="Amiri"/>
          <w:color w:val="111111"/>
          <w:sz w:val="28"/>
          <w:sz w:val="28"/>
          <w:szCs w:val="28"/>
          <w:rtl w:val="true"/>
          <w:lang w:bidi="ar-SA"/>
        </w:rPr>
        <w:t>إنّا أشرنا في الجواب عن ذلك السؤال إلى أنّ السرّ في امتناع عدد الولاة هو لزوم الهرج و الاضطراب في المُلك لو كان هناك وليّان لكلٍّ منهما أوامر و نواهٍ، أمّا في الدول المتعدّدة فلامانع من ثبوت الولاية و فعليّتها لطائفةٍ من الفقهاء يسلّط كلٌّ منهم على عرش الحكم في دولةٍ بالاستقلال، إذ لايلزم من ذلك ظهور الاضطراب في أمر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لاخلاف في ثبوت التوحّد في الأولى العزم من الرسل و في أئمّة أهل البيت عليهم السلام، فلايمكن اجتماع أولي العزمين في زمنٍ واحدٍ و كذلك إمامين حالكونهما قائمين على مسند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توحّد الولاية أمرٌ مطلوبٌ يفضي إلى عمران البلاد و أمن الناس، و لكن الظاهر أن لاسبيل إليه إلّابقيام الحجّة عليه السلام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ما مضت الإشارة إليه من ثبوت الولاية لجميع الفقهاء و لوكانوا في بلدةٍ واحدةٍ، و لكن ذلك فيما لايرتبط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كأخذ الأخماس و الزكوات و القيام بإدارة الحوزات العلميّة و القضاء بين الناس و الإفتاء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لأنّه لايؤدّي إلى التهافت و </w:t>
      </w:r>
    </w:p>
    <w:p>
      <w:pPr>
        <w:pStyle w:val="BookText"/>
        <w:rPr/>
      </w:pPr>
      <w:r>
        <w:rPr>
          <w:rFonts w:ascii="Amiri" w:hAnsi="Amiri" w:eastAsia="Amiri" w:cs="Amiri"/>
          <w:color w:val="111111"/>
          <w:sz w:val="28"/>
          <w:sz w:val="28"/>
          <w:szCs w:val="28"/>
          <w:rtl w:val="true"/>
          <w:lang w:bidi="ar-SA"/>
        </w:rPr>
        <w:t>الهَلَع في أمر الملك</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بما قلنا انّه لامانع من ثبوت الولاية للولاة الفقهاء في الدول المتعدّدة بحيث يسلّط كلٌّ منهم على دولةٍ من غير أن يصير هذا سبباً لتضعيف حكم الإسلام و دولته</w:t>
      </w:r>
      <w:r>
        <w:rPr>
          <w:rFonts w:eastAsia="Amiri" w:cs="Amiri" w:ascii="Amiri" w:hAnsi="Amiri"/>
          <w:color w:val="111111"/>
          <w:sz w:val="28"/>
          <w:szCs w:val="28"/>
          <w:rtl w:val="true"/>
          <w:lang w:bidi="ar-SA"/>
        </w:rPr>
        <w:t xml:space="preserve">. </w:t>
      </w:r>
      <w:bookmarkStart w:id="1218" w:name="pg18987_180009"/>
    </w:p>
    <w:p>
      <w:pPr>
        <w:pStyle w:val="Heading4"/>
        <w:numPr>
          <w:ilvl w:val="3"/>
          <w:numId w:val="1"/>
        </w:numPr>
        <w:rPr/>
      </w:pPr>
      <w:bookmarkStart w:id="1219" w:name="__RefHeading___Toc13100572_1280447820"/>
      <w:bookmarkStart w:id="1220" w:name="_Toc492"/>
      <w:bookmarkEnd w:id="1218"/>
      <w:bookmarkEnd w:id="1219"/>
      <w:r>
        <w:rPr>
          <w:rtl w:val="true"/>
        </w:rPr>
        <w:t>السؤال السّابع هل ولاية الولىّ الفقيه تقبل التفويض أم لا؟</w:t>
      </w:r>
      <w:bookmarkEnd w:id="1220"/>
    </w:p>
    <w:p>
      <w:pPr>
        <w:pStyle w:val="Heading5"/>
        <w:numPr>
          <w:ilvl w:val="4"/>
          <w:numId w:val="1"/>
        </w:numPr>
        <w:rPr/>
      </w:pPr>
      <w:bookmarkStart w:id="1221" w:name="__RefHeading___Toc13100574_1280447820"/>
      <w:bookmarkStart w:id="1222" w:name="_Toc493"/>
      <w:bookmarkEnd w:id="1221"/>
      <w:r>
        <w:rPr>
          <w:rtl w:val="true"/>
        </w:rPr>
        <w:t>اشارة</w:t>
      </w:r>
      <w:bookmarkEnd w:id="1222"/>
    </w:p>
    <w:p>
      <w:pPr>
        <w:pStyle w:val="BookText"/>
        <w:rPr/>
      </w:pPr>
      <w:r>
        <w:rPr>
          <w:rFonts w:ascii="Amiri" w:hAnsi="Amiri" w:eastAsia="Amiri" w:cs="Amiri"/>
          <w:color w:val="111111"/>
          <w:sz w:val="28"/>
          <w:sz w:val="28"/>
          <w:szCs w:val="28"/>
          <w:rtl w:val="true"/>
          <w:lang w:bidi="ar-SA"/>
        </w:rPr>
        <w:t>هل هذه الولاية ممّا تقبل التفويض؟ أم لا؟؛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للوليّ أن يفوّض منصبه إلى آخر؟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يجز له ذلك فكيف تُوجَّه الإدارات و الدواوين الحكوميّة الّتي لها ولايةٌ على بعض الأعمال؟</w:t>
      </w:r>
      <w:r>
        <w:rPr>
          <w:rFonts w:eastAsia="Amiri" w:cs="Amiri" w:ascii="Amiri" w:hAnsi="Amiri"/>
          <w:color w:val="111111"/>
          <w:sz w:val="28"/>
          <w:szCs w:val="28"/>
          <w:rtl w:val="true"/>
          <w:lang w:bidi="ar-SA"/>
        </w:rPr>
        <w:t>.</w:t>
      </w:r>
    </w:p>
    <w:p>
      <w:pPr>
        <w:pStyle w:val="Heading5"/>
        <w:numPr>
          <w:ilvl w:val="4"/>
          <w:numId w:val="1"/>
        </w:numPr>
        <w:rPr/>
      </w:pPr>
      <w:bookmarkStart w:id="1223" w:name="__RefHeading___Toc13100576_1280447820"/>
      <w:bookmarkStart w:id="1224" w:name="_Toc494"/>
      <w:bookmarkEnd w:id="1223"/>
      <w:r>
        <w:rPr>
          <w:rtl w:val="true"/>
        </w:rPr>
        <w:t>و الجواب</w:t>
      </w:r>
      <w:r>
        <w:rPr>
          <w:rtl w:val="true"/>
        </w:rPr>
        <w:t>:</w:t>
      </w:r>
      <w:bookmarkEnd w:id="1224"/>
    </w:p>
    <w:p>
      <w:pPr>
        <w:pStyle w:val="Heading6"/>
        <w:numPr>
          <w:ilvl w:val="5"/>
          <w:numId w:val="1"/>
        </w:numPr>
        <w:rPr/>
      </w:pPr>
      <w:bookmarkStart w:id="1225" w:name="__RefHeading___Toc13100578_1280447820"/>
      <w:bookmarkStart w:id="1226" w:name="_Toc495"/>
      <w:bookmarkEnd w:id="1225"/>
      <w:r>
        <w:rPr>
          <w:rtl w:val="true"/>
        </w:rPr>
        <w:t>اشارة</w:t>
      </w:r>
      <w:bookmarkEnd w:id="1226"/>
    </w:p>
    <w:p>
      <w:pPr>
        <w:pStyle w:val="BookText"/>
        <w:rPr/>
      </w:pPr>
      <w:r>
        <w:rPr>
          <w:rFonts w:ascii="Amiri" w:hAnsi="Amiri" w:eastAsia="Amiri" w:cs="Amiri"/>
          <w:color w:val="111111"/>
          <w:sz w:val="28"/>
          <w:sz w:val="28"/>
          <w:szCs w:val="28"/>
          <w:rtl w:val="true"/>
          <w:lang w:bidi="ar-SA"/>
        </w:rPr>
        <w:t>انّ هيهنا نكتاً</w:t>
      </w:r>
      <w:r>
        <w:rPr>
          <w:rFonts w:eastAsia="Amiri" w:cs="Amiri" w:ascii="Amiri" w:hAnsi="Amiri"/>
          <w:color w:val="111111"/>
          <w:sz w:val="28"/>
          <w:szCs w:val="28"/>
          <w:rtl w:val="true"/>
          <w:lang w:bidi="ar-SA"/>
        </w:rPr>
        <w:t>:</w:t>
      </w:r>
    </w:p>
    <w:p>
      <w:pPr>
        <w:pStyle w:val="Heading6"/>
        <w:numPr>
          <w:ilvl w:val="5"/>
          <w:numId w:val="1"/>
        </w:numPr>
        <w:rPr/>
      </w:pPr>
      <w:bookmarkStart w:id="1227" w:name="__RefHeading___Toc13100580_1280447820"/>
      <w:bookmarkStart w:id="1228" w:name="_Toc496"/>
      <w:bookmarkEnd w:id="1227"/>
      <w:r>
        <w:rPr>
          <w:rtl w:val="true"/>
        </w:rPr>
        <w:t>النكتة الأولى</w:t>
      </w:r>
      <w:r>
        <w:rPr>
          <w:rtl w:val="true"/>
        </w:rPr>
        <w:t>:</w:t>
      </w:r>
      <w:bookmarkEnd w:id="1228"/>
    </w:p>
    <w:p>
      <w:pPr>
        <w:pStyle w:val="BookText"/>
        <w:rPr/>
      </w:pPr>
      <w:r>
        <w:rPr>
          <w:rFonts w:ascii="Amiri" w:hAnsi="Amiri" w:eastAsia="Amiri" w:cs="Amiri"/>
          <w:color w:val="111111"/>
          <w:sz w:val="28"/>
          <w:sz w:val="28"/>
          <w:szCs w:val="28"/>
          <w:rtl w:val="true"/>
          <w:lang w:bidi="ar-SA"/>
        </w:rPr>
        <w:t xml:space="preserve">مضى فيما سبق من هذه الرسالة تفصيل الكلام في أنّ الولاية مفوَّضةٌ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الفقيه العادل المدبّر، فهو من الأحكام لا من الحقوق، و من الفروق البنائيّة بين الحقّ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الأوّل يقبل التفويض بينما أنّ الثّاني لا تفويض فيه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جار في جميع الأحكام إلّاما أخرجه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فلايجوز أن يفوّض أحدٌ الصلاة الواجبة عليه إلى آخر ليصلّي بدلاً منه؛ و هكذا في الصوم و غيرهما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استثنى الشارع الحجّ، فيجوز أن ينوب أحدٌ عمّن لا استطاعة له بدنيّاً لأن يحجّ؛ أمّا في غيره من الأحكام فلا نيابة و لاتفويض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فثبوت التفويض في الولاية أيضاً يحتاج إلى دليلٍ، و هو مفقودٌ في المقام</w:t>
      </w:r>
      <w:r>
        <w:rPr>
          <w:rFonts w:eastAsia="Amiri" w:cs="Amiri" w:ascii="Amiri" w:hAnsi="Amiri"/>
          <w:color w:val="111111"/>
          <w:sz w:val="28"/>
          <w:szCs w:val="28"/>
          <w:rtl w:val="true"/>
          <w:lang w:bidi="ar-SA"/>
        </w:rPr>
        <w:t>.</w:t>
      </w:r>
    </w:p>
    <w:p>
      <w:pPr>
        <w:pStyle w:val="Heading6"/>
        <w:numPr>
          <w:ilvl w:val="5"/>
          <w:numId w:val="1"/>
        </w:numPr>
        <w:rPr/>
      </w:pPr>
      <w:bookmarkStart w:id="1229" w:name="__RefHeading___Toc13100582_1280447820"/>
      <w:bookmarkStart w:id="1230" w:name="_Toc497"/>
      <w:bookmarkEnd w:id="1229"/>
      <w:r>
        <w:rPr>
          <w:rtl w:val="true"/>
        </w:rPr>
        <w:t>النكتة الثّانية</w:t>
      </w:r>
      <w:r>
        <w:rPr>
          <w:rtl w:val="true"/>
        </w:rPr>
        <w:t>:</w:t>
      </w:r>
      <w:bookmarkEnd w:id="1230"/>
    </w:p>
    <w:p>
      <w:pPr>
        <w:pStyle w:val="BookText"/>
        <w:rPr/>
      </w:pPr>
      <w:r>
        <w:rPr>
          <w:rFonts w:ascii="Amiri" w:hAnsi="Amiri" w:eastAsia="Amiri" w:cs="Amiri"/>
          <w:color w:val="111111"/>
          <w:sz w:val="28"/>
          <w:sz w:val="28"/>
          <w:szCs w:val="28"/>
          <w:rtl w:val="true"/>
          <w:lang w:bidi="ar-SA"/>
        </w:rPr>
        <w:t>إنّ المفوَّض إليه إمّا أن يكون مجتهداً عادلاً مدبّراً؛</w:t>
      </w:r>
    </w:p>
    <w:p>
      <w:pPr>
        <w:pStyle w:val="BookText"/>
        <w:rPr/>
      </w:pPr>
      <w:r>
        <w:rPr>
          <w:rFonts w:ascii="Amiri" w:hAnsi="Amiri" w:eastAsia="Amiri" w:cs="Amiri"/>
          <w:color w:val="111111"/>
          <w:sz w:val="28"/>
          <w:sz w:val="28"/>
          <w:szCs w:val="28"/>
          <w:rtl w:val="true"/>
          <w:lang w:bidi="ar-SA"/>
        </w:rPr>
        <w:t>و إمّا أن لم يكن؛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الثّاني فبطلان التفويض فيه ظاهرٌ لايحتاج إلى مزيد بيانٍ، إذ من البديهيّ اشتراط اثني عشر شرطاً في الوليّ، و من لم يتّصف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فلايصلح للقيام بهذا </w:t>
      </w:r>
      <w:bookmarkStart w:id="1231" w:name="pg18987_180010"/>
    </w:p>
    <w:p>
      <w:pPr>
        <w:pStyle w:val="BookText"/>
        <w:rPr/>
      </w:pPr>
      <w:bookmarkEnd w:id="1231"/>
      <w:r>
        <w:rPr>
          <w:rFonts w:ascii="Amiri" w:hAnsi="Amiri" w:eastAsia="Amiri" w:cs="Amiri"/>
          <w:color w:val="111111"/>
          <w:sz w:val="28"/>
          <w:sz w:val="28"/>
          <w:szCs w:val="28"/>
          <w:rtl w:val="true"/>
          <w:lang w:bidi="ar-SA"/>
        </w:rPr>
        <w:t>المسند؛ فلايتصوّر أن يُفوّض إليه ما لاحقّ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فمضى في الجواب عن السؤال السّادس انّ الولاية ثابتةٌ لجميع الفقهاء في كلّ عصرٍ، و لكن يحكم العقل بلزوم التوحّد في الحكم، فعليهم أن يقدّموا من هو الأصلح لهذا الأمر ثمّ يطيعوه كما تجب الطاعة عنه على آحاد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فلايجوز تفويض الولاية بحيث يؤدّي إلى الهرج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لاتوجب الاضطراب لامانع من هذا التفويض، بل نفس الولاية ثابتةٌ للفقهاء من غير أن يحتاج إلى تفويضٍ</w:t>
      </w:r>
      <w:r>
        <w:rPr>
          <w:rFonts w:eastAsia="Amiri" w:cs="Amiri" w:ascii="Amiri" w:hAnsi="Amiri"/>
          <w:color w:val="111111"/>
          <w:sz w:val="28"/>
          <w:szCs w:val="28"/>
          <w:rtl w:val="true"/>
          <w:lang w:bidi="ar-SA"/>
        </w:rPr>
        <w:t>.</w:t>
      </w:r>
    </w:p>
    <w:p>
      <w:pPr>
        <w:pStyle w:val="Heading6"/>
        <w:numPr>
          <w:ilvl w:val="5"/>
          <w:numId w:val="1"/>
        </w:numPr>
        <w:rPr/>
      </w:pPr>
      <w:bookmarkStart w:id="1232" w:name="__RefHeading___Toc13100584_1280447820"/>
      <w:bookmarkStart w:id="1233" w:name="_Toc498"/>
      <w:bookmarkEnd w:id="1232"/>
      <w:r>
        <w:rPr>
          <w:rtl w:val="true"/>
        </w:rPr>
        <w:t>النكتة الثّالثة</w:t>
      </w:r>
      <w:r>
        <w:rPr>
          <w:rtl w:val="true"/>
        </w:rPr>
        <w:t>:</w:t>
      </w:r>
      <w:bookmarkEnd w:id="1233"/>
    </w:p>
    <w:p>
      <w:pPr>
        <w:pStyle w:val="BookText"/>
        <w:rPr/>
      </w:pPr>
      <w:r>
        <w:rPr>
          <w:rFonts w:ascii="Amiri" w:hAnsi="Amiri" w:eastAsia="Amiri" w:cs="Amiri"/>
          <w:color w:val="111111"/>
          <w:sz w:val="28"/>
          <w:sz w:val="28"/>
          <w:szCs w:val="28"/>
          <w:rtl w:val="true"/>
          <w:lang w:bidi="ar-SA"/>
        </w:rPr>
        <w:t xml:space="preserve">أمّا بالنسبة إلى غير الفقهاء فلاتفويض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مضت الإشارة إليه في النكتة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الإدارات و الدواوين الحكوميّة الّتي لها ولايةٌ على ما يرتبط بها و رؤساء تلك الدواوين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كالعامل على البلد و المتصرّف و المحافظ و رئيس المجلس البلديّ و غيرهم من رؤساء الدوائر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لاتفويض هناك، بل كلّهم أعضاد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مقتضى طبع الحكم و الحكومة، إذ لايقوم الحكم إلّابفئةٍ من الرؤساء و العمّال على البلاد و الوكلاء و المتصرّفين و غيرهم؛ و قلنا انّ هذا من مقتضى طبع الحكم، لا انّه نشأ من تفويض الوالي الولاية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إمّا من باب الإجارة، أو من باب النصب، أو من باب الوكالة؛ و الأوّل أولى</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الكلام فيه موكولٌ إلى محلّه من علم الفقه</w:t>
      </w:r>
      <w:r>
        <w:rPr>
          <w:rFonts w:eastAsia="Amiri" w:cs="Amiri" w:ascii="Amiri" w:hAnsi="Amiri"/>
          <w:color w:val="111111"/>
          <w:sz w:val="28"/>
          <w:szCs w:val="28"/>
          <w:rtl w:val="true"/>
          <w:lang w:bidi="ar-SA"/>
        </w:rPr>
        <w:t xml:space="preserve">. </w:t>
      </w:r>
      <w:bookmarkStart w:id="1234" w:name="pg18987_180011"/>
    </w:p>
    <w:p>
      <w:pPr>
        <w:pStyle w:val="Heading4"/>
        <w:numPr>
          <w:ilvl w:val="3"/>
          <w:numId w:val="1"/>
        </w:numPr>
        <w:rPr/>
      </w:pPr>
      <w:bookmarkStart w:id="1235" w:name="__RefHeading___Toc13100586_1280447820"/>
      <w:bookmarkStart w:id="1236" w:name="_Toc499"/>
      <w:bookmarkEnd w:id="1234"/>
      <w:bookmarkEnd w:id="1235"/>
      <w:r>
        <w:rPr>
          <w:rtl w:val="true"/>
        </w:rPr>
        <w:t>السؤال الثّامن ما هو حكمُ مَن خالف الولىّ الفقيه؟</w:t>
      </w:r>
      <w:bookmarkEnd w:id="1236"/>
    </w:p>
    <w:p>
      <w:pPr>
        <w:pStyle w:val="Heading5"/>
        <w:numPr>
          <w:ilvl w:val="4"/>
          <w:numId w:val="1"/>
        </w:numPr>
        <w:rPr/>
      </w:pPr>
      <w:bookmarkStart w:id="1237" w:name="__RefHeading___Toc13100588_1280447820"/>
      <w:bookmarkStart w:id="1238" w:name="_Toc500"/>
      <w:bookmarkEnd w:id="1237"/>
      <w:r>
        <w:rPr>
          <w:rtl w:val="true"/>
        </w:rPr>
        <w:t>اشارة</w:t>
      </w:r>
      <w:bookmarkEnd w:id="1238"/>
    </w:p>
    <w:p>
      <w:pPr>
        <w:pStyle w:val="BookText"/>
        <w:rPr/>
      </w:pPr>
      <w:r>
        <w:rPr>
          <w:rFonts w:ascii="Amiri" w:hAnsi="Amiri" w:eastAsia="Amiri" w:cs="Amiri"/>
          <w:color w:val="111111"/>
          <w:sz w:val="28"/>
          <w:sz w:val="28"/>
          <w:szCs w:val="28"/>
          <w:rtl w:val="true"/>
          <w:lang w:bidi="ar-SA"/>
        </w:rPr>
        <w:t>ما هو الحكم في مَن خالف الوالي في أحكامه؟؛ و هل يجب على الناس أن يطيعوه في كلّ ما أمر به و نهى عنه؟</w:t>
      </w:r>
      <w:r>
        <w:rPr>
          <w:rFonts w:eastAsia="Amiri" w:cs="Amiri" w:ascii="Amiri" w:hAnsi="Amiri"/>
          <w:color w:val="111111"/>
          <w:sz w:val="28"/>
          <w:szCs w:val="28"/>
          <w:rtl w:val="true"/>
          <w:lang w:bidi="ar-SA"/>
        </w:rPr>
        <w:t>.</w:t>
      </w:r>
    </w:p>
    <w:p>
      <w:pPr>
        <w:pStyle w:val="Heading5"/>
        <w:numPr>
          <w:ilvl w:val="4"/>
          <w:numId w:val="1"/>
        </w:numPr>
        <w:rPr/>
      </w:pPr>
      <w:bookmarkStart w:id="1239" w:name="__RefHeading___Toc13100590_1280447820"/>
      <w:bookmarkStart w:id="1240" w:name="_Toc501"/>
      <w:bookmarkEnd w:id="1239"/>
      <w:r>
        <w:rPr>
          <w:rtl w:val="true"/>
        </w:rPr>
        <w:t>و الجواب</w:t>
      </w:r>
      <w:r>
        <w:rPr>
          <w:rtl w:val="true"/>
        </w:rPr>
        <w:t>:</w:t>
      </w:r>
      <w:bookmarkEnd w:id="1240"/>
    </w:p>
    <w:p>
      <w:pPr>
        <w:pStyle w:val="BookText"/>
        <w:rPr/>
      </w:pPr>
      <w:r>
        <w:rPr>
          <w:rFonts w:ascii="Amiri" w:hAnsi="Amiri" w:eastAsia="Amiri" w:cs="Amiri"/>
          <w:color w:val="111111"/>
          <w:sz w:val="28"/>
          <w:sz w:val="28"/>
          <w:szCs w:val="28"/>
          <w:rtl w:val="true"/>
          <w:lang w:bidi="ar-SA"/>
        </w:rPr>
        <w:t>أمّا الجواب عن الشقّ الأخير فقد مضى تفصيل الكلام فيه؛ أمّا الأوّل من الشقّين فالجواب عنه في عهدة هذه الأسطار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لنفس الولاية أحكاماً؛ منها ما يرجع إلى الوالي؛</w:t>
      </w:r>
    </w:p>
    <w:p>
      <w:pPr>
        <w:pStyle w:val="BookText"/>
        <w:rPr/>
      </w:pPr>
      <w:r>
        <w:rPr>
          <w:rFonts w:ascii="Amiri" w:hAnsi="Amiri" w:eastAsia="Amiri" w:cs="Amiri"/>
          <w:color w:val="111111"/>
          <w:sz w:val="28"/>
          <w:sz w:val="28"/>
          <w:szCs w:val="28"/>
          <w:rtl w:val="true"/>
          <w:lang w:bidi="ar-SA"/>
        </w:rPr>
        <w:t>و منها ما يرجع إلى غيره؛</w:t>
      </w:r>
    </w:p>
    <w:p>
      <w:pPr>
        <w:pStyle w:val="BookText"/>
        <w:rPr/>
      </w:pPr>
      <w:r>
        <w:rPr>
          <w:rFonts w:ascii="Amiri" w:hAnsi="Amiri" w:eastAsia="Amiri" w:cs="Amiri"/>
          <w:color w:val="111111"/>
          <w:sz w:val="28"/>
          <w:sz w:val="28"/>
          <w:szCs w:val="28"/>
          <w:rtl w:val="true"/>
          <w:lang w:bidi="ar-SA"/>
        </w:rPr>
        <w:t>و غير الوالي إمّا أن يكون مجتهداً عادلاً؛</w:t>
      </w:r>
    </w:p>
    <w:p>
      <w:pPr>
        <w:pStyle w:val="BookText"/>
        <w:rPr/>
      </w:pPr>
      <w:r>
        <w:rPr>
          <w:rFonts w:ascii="Amiri" w:hAnsi="Amiri" w:eastAsia="Amiri" w:cs="Amiri"/>
          <w:color w:val="111111"/>
          <w:sz w:val="28"/>
          <w:sz w:val="28"/>
          <w:szCs w:val="28"/>
          <w:rtl w:val="true"/>
          <w:lang w:bidi="ar-SA"/>
        </w:rPr>
        <w:t>و إمّا أن لايكون بهذه 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فهيهنا أقسامٌ ثلاثةٌ؛ و تفصيل الكلام في كلٍّ من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الوالي فيجب عليه قبول الولاية و التصدّر لهذا المنصب لوكان متعيّناً فيه، فلوفرض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لايوجد في موطنٍ و قطرٍ إلّافقيهٌ واحدٌ و اجتمع فيه مع الفقاهة العدل و التدبير للأمور يتعيّن عليه أن يقوم بهذا المنصب، و وجوبه عليه وجوبٌ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لأنّها من مهامّ الأحكام، بل لايبعد القول بأنّه لا أهمّ منها؛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يناد بشيءٍ كما نودي بالولاية</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فرض تعدّد مصاديق هذا العنوان بحيث تكون في زمنٍ واحدٍ فئةٌ من الموصوفين بالفقاهة و العدالة و التدبير فوجوب القيام بهذا المنصب عليهم وجوبٌ كفائيٌّ بحيث يسقط </w:t>
      </w:r>
    </w:p>
    <w:p>
      <w:pPr>
        <w:pStyle w:val="BookText"/>
        <w:rPr/>
      </w:pPr>
      <w:r>
        <w:rPr>
          <w:rFonts w:ascii="Amiri" w:hAnsi="Amiri" w:eastAsia="Amiri" w:cs="Amiri"/>
          <w:color w:val="111111"/>
          <w:sz w:val="28"/>
          <w:sz w:val="28"/>
          <w:szCs w:val="28"/>
          <w:rtl w:val="true"/>
          <w:lang w:bidi="ar-SA"/>
        </w:rPr>
        <w:t>من الجميع لوقام واحدٌ منهم به؛ هذا في الفقيه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الكلام في الفقيه المرجِع و وجوب قيام من يصلح لهذا المسند به و سقوط الوجوب عن غيره ممّن يصلح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بالقسم الأوّل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الثّاني فانّ لمخالفة المستنبطِ الفقيهَ الوليَّ صورتين بعد التسالم على أنّ خلافه مستندٌ إلى ما أدّى إليه نظره و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فالفقيه بعد أن أدّى رأيه إلى ما يخالف رأي الوالي هل يجوز له أن يعلن نظره و يقابل به رأي الوالي؟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لهذه المخالفة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خلافه في فتوىً من الفتاوي بحيث لم يؤدّ إلى تزييف الحكم و تضعيفه، و هذا ممّا لامانع منه، إذ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من الأخصّائيّين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يعلن ما أدّى إليه نظره من غير أن يردّ فيه على الوليّ؛</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خلافه في ما يرتبط بالحكم، لا فيما يرتبط بالفتوى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الصورة يجب على جميع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و السيرة المستمرّة بين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يخضعوا لحكمه حذراً عن الهرج في الملك المؤدّي إلى نقض ما هو الغرض المطلوب من تشكيل الحكم و تشكّله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قد تعرّض لها الأصحاب في باب القضاء و الشهادات؛ و قد سبقت الإشارة إلى أنّهم ذهبوا إلى عدم جواز نقض الفقيه حكم القاضي و لو كان أعلم و أفقه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مقبولة عمر بن حنظلة دلالةٌ واضحةٌ عليه حيث قال الإمام عليه السلام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فليرضوا به حكماً فإنّي قد جعلته عليكم حاكماً، فإذا حكم بحكمنا فلم يُقبل منه فإنّما استخفّ بحكم اللّه و علينا ردّ، و الرادّ علينا الرادّ على اللّه و هو في حدّ الشرك باللّه</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فلايجوز لفقيهٍ الردّ على الوالي بحيث يؤدّي إلى وهن الحكم و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يتعلّق بالقسم الثّاني من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الثّالث، فله أيضاً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تمرّده عن حكم الوالي غير مضرٍّ بسيطرة الحكم،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مخالفته مخالفةً في القول من غير أن يضرّ باستمرار الدولة و سيطرتها على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حرامٌ و لاريب في أنّ فاعله يُعدّ آثماً؛</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تمرّده عن حكم الوالي مضرّاً بسيطرة الحكم بحيث يؤدّي إلى وهن الحكم و الدولة الإسلاميّة، بل ربّما يكون موطّئاً لدولة الجور و سيطرة من لاحقّ له في الولاية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في عرف المتشرّعين و العقلاء، فيجب على الدولة و الوالي القيام لصيانة الحكم عن وساوسه و القاءاته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قلنا انّ امتناع الفقيه الّذي يجب عليه القيام بهذا المسند على نحو الوجوب العينيّ عن قبوله حرامٌ و إثمٌ؛</w:t>
      </w:r>
    </w:p>
    <w:p>
      <w:pPr>
        <w:pStyle w:val="BookText"/>
        <w:rPr/>
      </w:pPr>
      <w:r>
        <w:rPr>
          <w:rFonts w:ascii="Amiri" w:hAnsi="Amiri" w:eastAsia="Amiri" w:cs="Amiri"/>
          <w:color w:val="111111"/>
          <w:sz w:val="28"/>
          <w:sz w:val="28"/>
          <w:szCs w:val="28"/>
          <w:rtl w:val="true"/>
          <w:lang w:bidi="ar-SA"/>
        </w:rPr>
        <w:t>و كذا مخالفة المستنبط الوليّ لوأدّت مخالفته إلى وهن الحكم؛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مخالفة غير الفقيه</w:t>
      </w:r>
      <w:r>
        <w:rPr>
          <w:rFonts w:eastAsia="Amiri" w:cs="Amiri" w:ascii="Amiri" w:hAnsi="Amiri"/>
          <w:color w:val="111111"/>
          <w:sz w:val="28"/>
          <w:szCs w:val="28"/>
          <w:rtl w:val="true"/>
          <w:lang w:bidi="ar-SA"/>
        </w:rPr>
        <w:t xml:space="preserve">. </w:t>
      </w:r>
      <w:bookmarkStart w:id="1241" w:name="pg18987_180014"/>
    </w:p>
    <w:p>
      <w:pPr>
        <w:pStyle w:val="Heading4"/>
        <w:numPr>
          <w:ilvl w:val="3"/>
          <w:numId w:val="1"/>
        </w:numPr>
        <w:rPr/>
      </w:pPr>
      <w:bookmarkStart w:id="1242" w:name="__RefHeading___Toc13100592_1280447820"/>
      <w:bookmarkStart w:id="1243" w:name="_Toc502"/>
      <w:bookmarkEnd w:id="1241"/>
      <w:bookmarkEnd w:id="1242"/>
      <w:r>
        <w:rPr>
          <w:rtl w:val="true"/>
        </w:rPr>
        <w:t>السؤال التّاسع ما هو معنى الإطلاق فى ولاية الفقيه المطلقة؟</w:t>
      </w:r>
      <w:bookmarkEnd w:id="1243"/>
    </w:p>
    <w:p>
      <w:pPr>
        <w:pStyle w:val="Heading5"/>
        <w:numPr>
          <w:ilvl w:val="4"/>
          <w:numId w:val="1"/>
        </w:numPr>
        <w:rPr/>
      </w:pPr>
      <w:bookmarkStart w:id="1244" w:name="__RefHeading___Toc13100594_1280447820"/>
      <w:bookmarkStart w:id="1245" w:name="_Toc503"/>
      <w:bookmarkEnd w:id="1244"/>
      <w:r>
        <w:rPr>
          <w:rtl w:val="true"/>
        </w:rPr>
        <w:t>اشارة</w:t>
      </w:r>
      <w:bookmarkEnd w:id="1245"/>
    </w:p>
    <w:p>
      <w:pPr>
        <w:pStyle w:val="BookText"/>
        <w:rPr/>
      </w:pPr>
      <w:r>
        <w:rPr>
          <w:rFonts w:ascii="Amiri" w:hAnsi="Amiri" w:eastAsia="Amiri" w:cs="Amiri"/>
          <w:color w:val="111111"/>
          <w:sz w:val="28"/>
          <w:sz w:val="28"/>
          <w:szCs w:val="28"/>
          <w:rtl w:val="true"/>
          <w:lang w:bidi="ar-SA"/>
        </w:rPr>
        <w:t xml:space="preserve">ما هو المراد من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فإنّا نسمع كثيراً انّ الذاهبين إلى ثبوتها 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الفقيه مطلقةٌ؛ أو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الّتي ثابتةٌ للفقيه هي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عنوا من كون ولايته مطلقةً؟</w:t>
      </w:r>
      <w:r>
        <w:rPr>
          <w:rFonts w:eastAsia="Amiri" w:cs="Amiri" w:ascii="Amiri" w:hAnsi="Amiri"/>
          <w:color w:val="111111"/>
          <w:sz w:val="28"/>
          <w:szCs w:val="28"/>
          <w:rtl w:val="true"/>
          <w:lang w:bidi="ar-SA"/>
        </w:rPr>
        <w:t>.</w:t>
      </w:r>
    </w:p>
    <w:p>
      <w:pPr>
        <w:pStyle w:val="Heading5"/>
        <w:numPr>
          <w:ilvl w:val="4"/>
          <w:numId w:val="1"/>
        </w:numPr>
        <w:rPr/>
      </w:pPr>
      <w:bookmarkStart w:id="1246" w:name="__RefHeading___Toc13100596_1280447820"/>
      <w:bookmarkStart w:id="1247" w:name="_Toc504"/>
      <w:bookmarkEnd w:id="1246"/>
      <w:r>
        <w:rPr>
          <w:rtl w:val="true"/>
        </w:rPr>
        <w:t>و الجواب</w:t>
      </w:r>
      <w:bookmarkEnd w:id="1247"/>
    </w:p>
    <w:p>
      <w:pPr>
        <w:pStyle w:val="Heading6"/>
        <w:numPr>
          <w:ilvl w:val="5"/>
          <w:numId w:val="1"/>
        </w:numPr>
        <w:rPr/>
      </w:pPr>
      <w:bookmarkStart w:id="1248" w:name="__RefHeading___Toc13100598_1280447820"/>
      <w:bookmarkStart w:id="1249" w:name="_Toc505"/>
      <w:bookmarkEnd w:id="1248"/>
      <w:r>
        <w:rPr>
          <w:rtl w:val="true"/>
        </w:rPr>
        <w:t>اشارة</w:t>
      </w:r>
      <w:bookmarkEnd w:id="1249"/>
    </w:p>
    <w:p>
      <w:pPr>
        <w:pStyle w:val="BookText"/>
        <w:rPr/>
      </w:pPr>
      <w:r>
        <w:rPr>
          <w:rFonts w:ascii="Amiri" w:hAnsi="Amiri" w:eastAsia="Amiri" w:cs="Amiri"/>
          <w:color w:val="111111"/>
          <w:sz w:val="28"/>
          <w:sz w:val="28"/>
          <w:szCs w:val="28"/>
          <w:rtl w:val="true"/>
          <w:lang w:bidi="ar-SA"/>
        </w:rPr>
        <w:t>عن هذا السؤال يتمّ بالنظر إلى نكاتٍ خمسٍ</w:t>
      </w:r>
      <w:r>
        <w:rPr>
          <w:rFonts w:eastAsia="Amiri" w:cs="Amiri" w:ascii="Amiri" w:hAnsi="Amiri"/>
          <w:color w:val="111111"/>
          <w:sz w:val="28"/>
          <w:szCs w:val="28"/>
          <w:rtl w:val="true"/>
          <w:lang w:bidi="ar-SA"/>
        </w:rPr>
        <w:t>:</w:t>
      </w:r>
    </w:p>
    <w:p>
      <w:pPr>
        <w:pStyle w:val="Heading6"/>
        <w:numPr>
          <w:ilvl w:val="5"/>
          <w:numId w:val="1"/>
        </w:numPr>
        <w:rPr/>
      </w:pPr>
      <w:bookmarkStart w:id="1250" w:name="__RefHeading___Toc13100600_1280447820"/>
      <w:bookmarkStart w:id="1251" w:name="_Toc506"/>
      <w:bookmarkEnd w:id="1250"/>
      <w:r>
        <w:rPr>
          <w:rtl w:val="true"/>
        </w:rPr>
        <w:t>النكتة الأولى</w:t>
      </w:r>
      <w:r>
        <w:rPr>
          <w:rtl w:val="true"/>
        </w:rPr>
        <w:t>:</w:t>
      </w:r>
      <w:bookmarkEnd w:id="1251"/>
    </w:p>
    <w:p>
      <w:pPr>
        <w:pStyle w:val="BookText"/>
        <w:rPr/>
      </w:pPr>
      <w:r>
        <w:rPr>
          <w:rFonts w:ascii="Amiri" w:hAnsi="Amiri" w:eastAsia="Amiri" w:cs="Amiri"/>
          <w:color w:val="111111"/>
          <w:sz w:val="28"/>
          <w:sz w:val="28"/>
          <w:szCs w:val="28"/>
          <w:rtl w:val="true"/>
          <w:lang w:bidi="ar-SA"/>
        </w:rPr>
        <w:t>مضى تفصيل الكلام حول تفويض المعصوم ما له من الولاية على التشريع و القضاء و الحكم إلى الفقيه الجامع لشرائط الافتاء، فللفقيه أن يبيّن الأحكام على سبيل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لم يستطع من الاجابة عمّا يُسأل منه لم يُعدّ فقيهاً، و ليس له أن يتصدّر لمنصب 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المتدرّب في علمي الفقه و أصوله يستطيع أن يستخرج و يبيّن أجوبة المسائل من الأدلّة التفصيليّة الّتي بحث عنها الفقهاء في مسفوراتهم، إذ لاريب في أنّ الأمارات و الأصول العمليّة تكفي مهمّة الاستنباط إن لم يكن الفقيه قاطعاً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كون ولايته على تبيين الأحكام مطلقةً هو استطاعته للنهوض بمهمّة استنباط ما يُقبل إليه من المسائل المستحدثة</w:t>
      </w:r>
      <w:r>
        <w:rPr>
          <w:rFonts w:eastAsia="Amiri" w:cs="Amiri" w:ascii="Amiri" w:hAnsi="Amiri"/>
          <w:color w:val="111111"/>
          <w:sz w:val="28"/>
          <w:szCs w:val="28"/>
          <w:rtl w:val="true"/>
          <w:lang w:bidi="ar-SA"/>
        </w:rPr>
        <w:t>.</w:t>
      </w:r>
    </w:p>
    <w:p>
      <w:pPr>
        <w:pStyle w:val="Heading6"/>
        <w:numPr>
          <w:ilvl w:val="5"/>
          <w:numId w:val="1"/>
        </w:numPr>
        <w:rPr/>
      </w:pPr>
      <w:bookmarkStart w:id="1252" w:name="__RefHeading___Toc13100602_1280447820"/>
      <w:bookmarkStart w:id="1253" w:name="_Toc507"/>
      <w:bookmarkEnd w:id="1252"/>
      <w:r>
        <w:rPr>
          <w:rtl w:val="true"/>
        </w:rPr>
        <w:t>النكتة الثّانية</w:t>
      </w:r>
      <w:r>
        <w:rPr>
          <w:rtl w:val="true"/>
        </w:rPr>
        <w:t>:</w:t>
      </w:r>
      <w:bookmarkEnd w:id="1253"/>
    </w:p>
    <w:p>
      <w:pPr>
        <w:pStyle w:val="BookText"/>
        <w:rPr/>
      </w:pPr>
      <w:r>
        <w:rPr>
          <w:rFonts w:ascii="Amiri" w:hAnsi="Amiri" w:eastAsia="Amiri" w:cs="Amiri"/>
          <w:color w:val="111111"/>
          <w:sz w:val="28"/>
          <w:sz w:val="28"/>
          <w:szCs w:val="28"/>
          <w:rtl w:val="true"/>
          <w:lang w:bidi="ar-SA"/>
        </w:rPr>
        <w:t>أمّا بالنسبة إلى منصب القضاء، فيجب أن يكون ذاملكةٍ مطلقةٍ فيما يرجع إلى أمر القضاء و فصل الخصومات بحيث لم يعجز عن استنباط الحكم في ما يرجع إليه من الدعاوي و لو في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فلوعجز القاضي عن فصل 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موردٍ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لايُعدّ قاضياً و لايحقّ له أن يغصب هذا المنصب الرفيع</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من المتّفق عليه بين فقهاء مدرسة أهل البيت عليهم السلام المتقدّمين منهم و المتأخّرين، </w:t>
      </w:r>
      <w:bookmarkStart w:id="1254" w:name="pg18987_180015"/>
    </w:p>
    <w:p>
      <w:pPr>
        <w:pStyle w:val="BookText"/>
        <w:rPr/>
      </w:pPr>
      <w:bookmarkEnd w:id="1254"/>
      <w:r>
        <w:rPr>
          <w:rFonts w:ascii="Amiri" w:hAnsi="Amiri" w:eastAsia="Amiri" w:cs="Amiri"/>
          <w:color w:val="111111"/>
          <w:sz w:val="28"/>
          <w:sz w:val="28"/>
          <w:szCs w:val="28"/>
          <w:rtl w:val="true"/>
          <w:lang w:bidi="ar-SA"/>
        </w:rPr>
        <w:t xml:space="preserve">حيث نصّوا على أنّ القاضي لايجوز أن يكون متجزّياً في الإجتهاد، بل عليه أن يكون ذاملكة الاستنباط في جميع 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الطهارة إلى أبواب الديات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 مولانا الصادق عليه السلام في المقبولة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في حلالنا و حرامنا و عرف أحكامنا</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 من المبرهَن عليه في فنّ أصول الفقه ثبوت الاستغراق في المصدر و صيغة الجمع إذا أضيفا إلى ما يليهما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ثبوت الإطلاق في منصب القضاء كون الفقيه بحيث لم يعجز عن فصل الخصومات</w:t>
      </w:r>
      <w:r>
        <w:rPr>
          <w:rFonts w:eastAsia="Amiri" w:cs="Amiri" w:ascii="Amiri" w:hAnsi="Amiri"/>
          <w:color w:val="111111"/>
          <w:sz w:val="28"/>
          <w:szCs w:val="28"/>
          <w:rtl w:val="true"/>
          <w:lang w:bidi="ar-SA"/>
        </w:rPr>
        <w:t>.</w:t>
      </w:r>
    </w:p>
    <w:p>
      <w:pPr>
        <w:pStyle w:val="Heading6"/>
        <w:numPr>
          <w:ilvl w:val="5"/>
          <w:numId w:val="1"/>
        </w:numPr>
        <w:rPr/>
      </w:pPr>
      <w:bookmarkStart w:id="1255" w:name="__RefHeading___Toc13100604_1280447820"/>
      <w:bookmarkStart w:id="1256" w:name="_Toc508"/>
      <w:bookmarkEnd w:id="1255"/>
      <w:r>
        <w:rPr>
          <w:rtl w:val="true"/>
        </w:rPr>
        <w:t>النكتة الثّالثة</w:t>
      </w:r>
      <w:r>
        <w:rPr>
          <w:rtl w:val="true"/>
        </w:rPr>
        <w:t>:</w:t>
      </w:r>
      <w:bookmarkEnd w:id="1256"/>
    </w:p>
    <w:p>
      <w:pPr>
        <w:pStyle w:val="BookText"/>
        <w:rPr/>
      </w:pPr>
      <w:r>
        <w:rPr>
          <w:rFonts w:ascii="Amiri" w:hAnsi="Amiri" w:eastAsia="Amiri" w:cs="Amiri"/>
          <w:color w:val="111111"/>
          <w:sz w:val="28"/>
          <w:sz w:val="28"/>
          <w:szCs w:val="28"/>
          <w:rtl w:val="true"/>
          <w:lang w:bidi="ar-SA"/>
        </w:rPr>
        <w:t>أمّا ثبوت الإطلاق في الحكم فمعناه أن يكون مقتدراً على إجراء الأحكام بحيث لم يعجز عنه، إذ لو لم يستطع منه لم يشمله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فيها إلى رواة حديثنا فإنّهم حجّتي عليكم و أنا حجّة اللّه</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يجب في الخليفة أن يكون على وزان المستخلَف منه، و المعصوم لايعجز عن شيءٍ ممّا يرجع إليه، فيجب أن يكون الوالي الّذي قد استخلف منه عليه السلام في شؤونه غير عاجزٍ عن القيام بما يرجع إليه من فصل المشاكل الجماعيّة و الصعوبات الحكوميّة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لايذهب عليك انّ كلّ ما هو ثابتٌ للمعصوم من الفضائل و المكارم ثابتٌ للفقيه الوليّ أيضاً، فإنّ هذا من الأوهام الواهية الّتي زيادةً على حكم العقل ببطلانها قد انعقد الإجماع على خلافها، إذ للمستخلَف منه ما لايحوم حوله وهم الخليفة؛ فورد فيهم عليهم السلام في الزيارة الجامعة الكبيرة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يا أهل بيت النبوّة و موضع الرسالة و مختلف الملائكة و مهبط </w:t>
      </w:r>
      <w:bookmarkStart w:id="1257" w:name="pg18987_180016"/>
    </w:p>
    <w:p>
      <w:pPr>
        <w:pStyle w:val="BookText"/>
        <w:rPr/>
      </w:pPr>
      <w:bookmarkEnd w:id="1257"/>
      <w:r>
        <w:rPr>
          <w:rFonts w:ascii="Amiri" w:hAnsi="Amiri" w:eastAsia="Amiri" w:cs="Amiri"/>
          <w:color w:val="111111"/>
          <w:sz w:val="28"/>
          <w:sz w:val="28"/>
          <w:szCs w:val="28"/>
          <w:rtl w:val="true"/>
          <w:lang w:bidi="ar-SA"/>
        </w:rPr>
        <w:t>الوحي و معدن الرحمة و خزّان العلم</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و أين الفقيه من هذا المقام السامي و الرتبة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من وجوب كون المستخلِف على وزان المستخلَف منه أن يكون قادراً على تدبير الأمور متمكّناً من إجراء ما هو الأصلح 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w:t>
      </w:r>
    </w:p>
    <w:p>
      <w:pPr>
        <w:pStyle w:val="Heading6"/>
        <w:numPr>
          <w:ilvl w:val="5"/>
          <w:numId w:val="1"/>
        </w:numPr>
        <w:rPr/>
      </w:pPr>
      <w:bookmarkStart w:id="1258" w:name="__RefHeading___Toc13100606_1280447820"/>
      <w:bookmarkStart w:id="1259" w:name="_Toc509"/>
      <w:bookmarkEnd w:id="1258"/>
      <w:r>
        <w:rPr>
          <w:rtl w:val="true"/>
        </w:rPr>
        <w:t>النكتة الرّابعة</w:t>
      </w:r>
      <w:r>
        <w:rPr>
          <w:rtl w:val="true"/>
        </w:rPr>
        <w:t>:</w:t>
      </w:r>
      <w:bookmarkEnd w:id="1259"/>
    </w:p>
    <w:p>
      <w:pPr>
        <w:pStyle w:val="BookText"/>
        <w:rPr/>
      </w:pPr>
      <w:r>
        <w:rPr>
          <w:rFonts w:ascii="Amiri" w:hAnsi="Amiri" w:eastAsia="Amiri" w:cs="Amiri"/>
          <w:color w:val="111111"/>
          <w:sz w:val="28"/>
          <w:sz w:val="28"/>
          <w:szCs w:val="28"/>
          <w:rtl w:val="true"/>
          <w:lang w:bidi="ar-SA"/>
        </w:rPr>
        <w:t xml:space="preserve">مضى تفصيل الكلام في أنّ الوليّ في مستوىً دون مستوى القانون بعد أن صار الدُّستور منجّزاً واجب الطاعة، و عليه أن يخضع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من كلّ أحدٍ حسنٌ و إنّه منك أحسن لمكانك منّا</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قلنا هناك انّ الدُّستور لايصير منجّزاً إلّاإذا قرّر عليه الفقيه الوليّ بما له من الإختصاص في الفقه و مباديه و المعرفة بمواقع الأمور الحكوميّة</w:t>
      </w:r>
      <w:r>
        <w:rPr>
          <w:rFonts w:eastAsia="Amiri" w:cs="Amiri" w:ascii="Amiri" w:hAnsi="Amiri"/>
          <w:color w:val="111111"/>
          <w:sz w:val="28"/>
          <w:szCs w:val="28"/>
          <w:rtl w:val="true"/>
          <w:lang w:bidi="ar-SA"/>
        </w:rPr>
        <w:t>.</w:t>
      </w:r>
    </w:p>
    <w:p>
      <w:pPr>
        <w:pStyle w:val="Heading6"/>
        <w:numPr>
          <w:ilvl w:val="5"/>
          <w:numId w:val="1"/>
        </w:numPr>
        <w:rPr/>
      </w:pPr>
      <w:bookmarkStart w:id="1260" w:name="__RefHeading___Toc13100608_1280447820"/>
      <w:bookmarkStart w:id="1261" w:name="_Toc510"/>
      <w:bookmarkEnd w:id="1260"/>
      <w:r>
        <w:rPr>
          <w:rtl w:val="true"/>
        </w:rPr>
        <w:t>النكتة الخامسة</w:t>
      </w:r>
      <w:r>
        <w:rPr>
          <w:rtl w:val="true"/>
        </w:rPr>
        <w:t>:</w:t>
      </w:r>
      <w:bookmarkEnd w:id="1261"/>
    </w:p>
    <w:p>
      <w:pPr>
        <w:pStyle w:val="BookText"/>
        <w:rPr/>
      </w:pPr>
      <w:r>
        <w:rPr>
          <w:rFonts w:ascii="Amiri" w:hAnsi="Amiri" w:eastAsia="Amiri" w:cs="Amiri"/>
          <w:color w:val="111111"/>
          <w:sz w:val="28"/>
          <w:sz w:val="28"/>
          <w:szCs w:val="28"/>
          <w:rtl w:val="true"/>
          <w:lang w:bidi="ar-SA"/>
        </w:rPr>
        <w:t>أمّا في الفراغات القانونيّة الّتي يحتاج الحكم فيها إلى قانونٍ و ناموسٍ لئلّا يؤدّي أمر المجتمع إلى الاضطراب و لاتفشل الدولة فيها، فعلى الفقيه الوليّ أن يحكم بما يؤدّي إليه نظره كحكمٍ أوّليٍّ لو كان الفراغ في المسائل المستحدثة، و كحكمٍ ثانويٍّ لو لم يف القانون بما تحتاج إليه الدولة لتدبير أمر الملك في موردٍ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القانون في المضائق الإجتماعيّة يُعدّ من وظائفه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أن يكون متهيّئاً و مستعدّاً للقيام بهذه الوظيفة 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تفصيل الكلام في الاجابة عن السؤال الرّابع حول وجوب الخضوع على الناس قبال قوله و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ثبوت الولاية المطلقة للفقيه الوليّ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كونه بحيث يقتدر على تبيين الأحكام؛ </w:t>
      </w:r>
    </w:p>
    <w:p>
      <w:pPr>
        <w:pStyle w:val="BookText"/>
        <w:rPr/>
      </w:pPr>
      <w:r>
        <w:rPr>
          <w:rFonts w:ascii="IRNazanin" w:hAnsi="IRNazanin" w:eastAsia="IRNazanin"/>
          <w:color w:val="111111"/>
          <w:sz w:val="28"/>
          <w:sz w:val="28"/>
          <w:szCs w:val="28"/>
          <w:rtl w:val="true"/>
          <w:lang w:bidi="fa-IR"/>
        </w:rPr>
        <w:t>و فصل الخصومات؛</w:t>
      </w:r>
    </w:p>
    <w:p>
      <w:pPr>
        <w:pStyle w:val="BookText"/>
        <w:rPr/>
      </w:pPr>
      <w:r>
        <w:rPr>
          <w:rFonts w:ascii="Amiri" w:hAnsi="Amiri" w:eastAsia="Amiri" w:cs="Amiri"/>
          <w:color w:val="111111"/>
          <w:sz w:val="28"/>
          <w:sz w:val="28"/>
          <w:szCs w:val="28"/>
          <w:rtl w:val="true"/>
          <w:lang w:bidi="ar-SA"/>
        </w:rPr>
        <w:t>و القيام بإجراء الأحكام؛</w:t>
      </w:r>
    </w:p>
    <w:p>
      <w:pPr>
        <w:pStyle w:val="BookText"/>
        <w:rPr/>
      </w:pPr>
      <w:r>
        <w:rPr>
          <w:rFonts w:ascii="Amiri" w:hAnsi="Amiri" w:eastAsia="Amiri" w:cs="Amiri"/>
          <w:color w:val="111111"/>
          <w:sz w:val="28"/>
          <w:sz w:val="28"/>
          <w:szCs w:val="28"/>
          <w:rtl w:val="true"/>
          <w:lang w:bidi="ar-SA"/>
        </w:rPr>
        <w:t>ثمّ كونه محكوماً بالقوانين كغيره من آحاد الناس؛</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كونه متهيّئاً لأن يجيب عن مستحدثات المسائل الحكوميّة و يستعدّ لأن يسدّ الفراغات القانونيّة بأحكامه الأوّليّة و الثانويّة لئلّا يؤدّي أمر الحكم و المجتمع إلى الاضطراب و الفشل</w:t>
      </w:r>
      <w:r>
        <w:rPr>
          <w:rFonts w:eastAsia="Amiri" w:cs="Amiri" w:ascii="Amiri" w:hAnsi="Amiri"/>
          <w:color w:val="111111"/>
          <w:sz w:val="28"/>
          <w:szCs w:val="28"/>
          <w:rtl w:val="true"/>
          <w:lang w:bidi="ar-SA"/>
        </w:rPr>
        <w:t xml:space="preserve">. </w:t>
      </w:r>
      <w:bookmarkStart w:id="1262" w:name="pg18987_180018"/>
    </w:p>
    <w:p>
      <w:pPr>
        <w:pStyle w:val="Heading4"/>
        <w:numPr>
          <w:ilvl w:val="3"/>
          <w:numId w:val="1"/>
        </w:numPr>
        <w:rPr/>
      </w:pPr>
      <w:bookmarkStart w:id="1263" w:name="__RefHeading___Toc13100610_1280447820"/>
      <w:bookmarkStart w:id="1264" w:name="_Toc511"/>
      <w:bookmarkEnd w:id="1262"/>
      <w:bookmarkEnd w:id="1263"/>
      <w:r>
        <w:rPr>
          <w:rtl w:val="true"/>
        </w:rPr>
        <w:t>السؤال العاشرمَن هو الّذى يعيّن خيارات الولىّ و مسئوليّاتها؟</w:t>
      </w:r>
      <w:bookmarkEnd w:id="1264"/>
    </w:p>
    <w:p>
      <w:pPr>
        <w:pStyle w:val="Heading5"/>
        <w:numPr>
          <w:ilvl w:val="4"/>
          <w:numId w:val="1"/>
        </w:numPr>
        <w:rPr/>
      </w:pPr>
      <w:bookmarkStart w:id="1265" w:name="__RefHeading___Toc13100612_1280447820"/>
      <w:bookmarkStart w:id="1266" w:name="_Toc512"/>
      <w:bookmarkEnd w:id="1265"/>
      <w:r>
        <w:rPr>
          <w:rtl w:val="true"/>
        </w:rPr>
        <w:t>اشارة</w:t>
      </w:r>
      <w:bookmarkEnd w:id="1266"/>
    </w:p>
    <w:p>
      <w:pPr>
        <w:pStyle w:val="BookText"/>
        <w:rPr/>
      </w:pP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للفقيه الوليّ هو مطلق التصرّف و التفويض فيما يرجع إليه من أمر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مضى تفصيل هذا الكلام و تفسيره في السؤال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من هو الّذي يعيّن خياراته و سعة تصرّفاته؟ أ على الناس أن يعيّنوها؟ أم على الدُّستور؟ أم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على نفسه أن يعيّنها؟</w:t>
      </w:r>
      <w:r>
        <w:rPr>
          <w:rFonts w:eastAsia="Amiri" w:cs="Amiri" w:ascii="Amiri" w:hAnsi="Amiri"/>
          <w:color w:val="111111"/>
          <w:sz w:val="28"/>
          <w:szCs w:val="28"/>
          <w:rtl w:val="true"/>
          <w:lang w:bidi="ar-SA"/>
        </w:rPr>
        <w:t>.</w:t>
      </w:r>
    </w:p>
    <w:p>
      <w:pPr>
        <w:pStyle w:val="Heading5"/>
        <w:numPr>
          <w:ilvl w:val="4"/>
          <w:numId w:val="1"/>
        </w:numPr>
        <w:rPr/>
      </w:pPr>
      <w:bookmarkStart w:id="1267" w:name="__RefHeading___Toc13100614_1280447820"/>
      <w:bookmarkStart w:id="1268" w:name="_Toc513"/>
      <w:bookmarkEnd w:id="1267"/>
      <w:r>
        <w:rPr>
          <w:rtl w:val="true"/>
        </w:rPr>
        <w:t>و الجواب</w:t>
      </w:r>
      <w:bookmarkEnd w:id="1268"/>
    </w:p>
    <w:p>
      <w:pPr>
        <w:pStyle w:val="BookText"/>
        <w:rPr/>
      </w:pPr>
      <w:r>
        <w:rPr>
          <w:rFonts w:ascii="Amiri" w:hAnsi="Amiri" w:eastAsia="Amiri" w:cs="Amiri"/>
          <w:color w:val="111111"/>
          <w:sz w:val="28"/>
          <w:sz w:val="28"/>
          <w:szCs w:val="28"/>
          <w:rtl w:val="true"/>
          <w:lang w:bidi="ar-SA"/>
        </w:rPr>
        <w:t xml:space="preserve">عن هذا السؤال يظهر بالتأمّل فيما مضى من هذه الرسالة في بيان ثبوت أصل الولاية له، و قلنا هناك انّها مفوَّضةٌ إليه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منصوبٌ لهذا المنصب لامختارٌ له؛ فعلى من نصبه أن يعيّن سعة خياراته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قلنا انّ هذا المسند قد ورثه من النبيّ صلى الله عليه و آله و 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 لافرق بينه صلى الله عليه و آله و بين المعصومين عليهم السلام من آله بإجماع الشيعة الإماميّة، فإنّهم أيضاً أولى بالمؤمنين من أنفسهم؛ فالوليّ أيضاً أولى بهم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تفسير الكلام و تعيين المراد منه بما لم يكن لنافيها عنه تعييرٌ علينا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يؤيّده العقل، ففي جميع الأطروحات السياسيّة و أقسام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استبداديّاً كان، أو جمهوريّاً، أو نيابيّاً، أو مَلِكِيّاً، أو غيرها، كان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الخيار المطلق للوليّ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بخاصّةٍ في المضائق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من لوازم الحكم، و لاحكم إلّا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لَامُؤْمِنَةٍ إِذَا قَضَى اللَّهُ وَ رَسُولُهُ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641"/>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لَايُؤْمِنُونَ حَتَّى يُحَكِّمُوكَ فِيَما شَجَرَ بَيْنَهُمْ ثُمَّ لَايَجِدُوا فِي أَنْفُسِهِمْ حَرَجاً مِمَّا قَضَيْتَ وَ يُسَلِّمُوا تَسْلِيماً</w:t>
      </w:r>
      <w:r>
        <w:rPr>
          <w:rFonts w:eastAsia="Amiri" w:cs="Amiri" w:ascii="Amiri" w:hAnsi="Amiri"/>
          <w:color w:val="111111"/>
          <w:sz w:val="28"/>
          <w:szCs w:val="28"/>
          <w:rtl w:val="true"/>
          <w:lang w:bidi="ar-SA"/>
        </w:rPr>
        <w:t>»</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رأي لمن لايُطاع</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فظهر بما قلنا أن ليس لأحدٍ أن يعيّن سعة اختيار الوالي إلّامَن فوّض إليه مسند الولاية، و ليس هو إلّااللّه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العقل يؤيّد ما نصّ عليه الكتاب و السنّة من سعة اختياره، و يقرّر عليه، إذ الإنسان بحاجةٍ ماسّةٍ إلى المجتمع، و لامجتمع إلّابالدولة، و لا دولة إلّابالتفويض التامّ؛ و هذا من المتّفق عليه بين جميع الأطروحات و النظريّات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مضت الإشارة مراراً إلى اشتراط العدالة في الوليّ لئلّا تؤدّي سعة اختياره إلى العَسْف و الدكتاتوريّة</w:t>
      </w:r>
      <w:r>
        <w:rPr>
          <w:rFonts w:eastAsia="Amiri" w:cs="Amiri" w:ascii="Amiri" w:hAnsi="Amiri"/>
          <w:color w:val="111111"/>
          <w:sz w:val="28"/>
          <w:szCs w:val="28"/>
          <w:rtl w:val="true"/>
          <w:lang w:bidi="ar-SA"/>
        </w:rPr>
        <w:t xml:space="preserve">. </w:t>
      </w:r>
      <w:bookmarkStart w:id="1269" w:name="pg18987_180020"/>
    </w:p>
    <w:p>
      <w:pPr>
        <w:pStyle w:val="Heading4"/>
        <w:numPr>
          <w:ilvl w:val="3"/>
          <w:numId w:val="1"/>
        </w:numPr>
        <w:rPr/>
      </w:pPr>
      <w:bookmarkStart w:id="1270" w:name="__RefHeading___Toc13100616_1280447820"/>
      <w:bookmarkStart w:id="1271" w:name="_Toc514"/>
      <w:bookmarkEnd w:id="1269"/>
      <w:bookmarkEnd w:id="1270"/>
      <w:r>
        <w:rPr>
          <w:rtl w:val="true"/>
        </w:rPr>
        <w:t>السؤال الحادي عشرهل يمكن تقييد ولاية الفقيه لمدّةٍ معلومة؟</w:t>
      </w:r>
      <w:bookmarkEnd w:id="1271"/>
    </w:p>
    <w:p>
      <w:pPr>
        <w:pStyle w:val="Heading5"/>
        <w:numPr>
          <w:ilvl w:val="4"/>
          <w:numId w:val="1"/>
        </w:numPr>
        <w:rPr/>
      </w:pPr>
      <w:bookmarkStart w:id="1272" w:name="__RefHeading___Toc13100618_1280447820"/>
      <w:bookmarkStart w:id="1273" w:name="_Toc515"/>
      <w:bookmarkEnd w:id="1272"/>
      <w:r>
        <w:rPr>
          <w:rtl w:val="true"/>
        </w:rPr>
        <w:t>اشارة</w:t>
      </w:r>
      <w:bookmarkEnd w:id="1273"/>
    </w:p>
    <w:p>
      <w:pPr>
        <w:pStyle w:val="BookText"/>
        <w:rPr/>
      </w:pPr>
      <w:r>
        <w:rPr>
          <w:rFonts w:ascii="Amiri" w:hAnsi="Amiri" w:eastAsia="Amiri" w:cs="Amiri"/>
          <w:color w:val="111111"/>
          <w:sz w:val="28"/>
          <w:sz w:val="28"/>
          <w:szCs w:val="28"/>
          <w:rtl w:val="true"/>
          <w:lang w:bidi="ar-SA"/>
        </w:rPr>
        <w:t xml:space="preserve">أ لايحسن التقييد زمنيّاً في ولاية الوليّ بحيث يُشترط فيها تفويضها إليه لمدّةٍ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كخمس سنوات على سبيل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نظراً إلى احتمالاتٍ يقرّر عليها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كصيرورته شيخاً هَرِماً غير قادرٍ على تدبير المُلك، أو ظهور من هو أصلح منه بهذا المنصب، أو تأدية أمره إلى الدكتاتوريّة،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احتمالاتٌ قائمةٌ في المقام، فيحسن عند العقل تقييد ولايته ببرهةٍ خاصّةٍ من الزمن حذراً عنها</w:t>
      </w:r>
      <w:r>
        <w:rPr>
          <w:rFonts w:eastAsia="Amiri" w:cs="Amiri" w:ascii="Amiri" w:hAnsi="Amiri"/>
          <w:color w:val="111111"/>
          <w:sz w:val="28"/>
          <w:szCs w:val="28"/>
          <w:rtl w:val="true"/>
          <w:lang w:bidi="ar-SA"/>
        </w:rPr>
        <w:t>.</w:t>
      </w:r>
    </w:p>
    <w:p>
      <w:pPr>
        <w:pStyle w:val="Heading5"/>
        <w:numPr>
          <w:ilvl w:val="4"/>
          <w:numId w:val="1"/>
        </w:numPr>
        <w:rPr/>
      </w:pPr>
      <w:bookmarkStart w:id="1274" w:name="__RefHeading___Toc13100620_1280447820"/>
      <w:bookmarkStart w:id="1275" w:name="_Toc516"/>
      <w:bookmarkEnd w:id="1274"/>
      <w:r>
        <w:rPr>
          <w:rtl w:val="true"/>
        </w:rPr>
        <w:t>و الجواب</w:t>
      </w:r>
      <w:bookmarkEnd w:id="1275"/>
    </w:p>
    <w:p>
      <w:pPr>
        <w:pStyle w:val="Heading6"/>
        <w:numPr>
          <w:ilvl w:val="5"/>
          <w:numId w:val="1"/>
        </w:numPr>
        <w:rPr/>
      </w:pPr>
      <w:bookmarkStart w:id="1276" w:name="__RefHeading___Toc13100622_1280447820"/>
      <w:bookmarkStart w:id="1277" w:name="_Toc517"/>
      <w:bookmarkEnd w:id="1276"/>
      <w:r>
        <w:rPr>
          <w:rtl w:val="true"/>
        </w:rPr>
        <w:t>اشارة</w:t>
      </w:r>
      <w:bookmarkEnd w:id="1277"/>
    </w:p>
    <w:p>
      <w:pPr>
        <w:pStyle w:val="BookText"/>
        <w:rPr/>
      </w:pPr>
      <w:r>
        <w:rPr>
          <w:rFonts w:ascii="Amiri" w:hAnsi="Amiri" w:eastAsia="Amiri" w:cs="Amiri"/>
          <w:color w:val="111111"/>
          <w:sz w:val="28"/>
          <w:sz w:val="28"/>
          <w:szCs w:val="28"/>
          <w:rtl w:val="true"/>
          <w:lang w:bidi="ar-SA"/>
        </w:rPr>
        <w:t>عن هذا السؤال قد مضى فيما سبق من هذه الأسؤلة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هيهنا نعيده في غاية الاختصار حذراً عن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يتمّ باستلفات نظر السائل إلى أربع نكاتٍ</w:t>
      </w:r>
      <w:r>
        <w:rPr>
          <w:rFonts w:eastAsia="Amiri" w:cs="Amiri" w:ascii="Amiri" w:hAnsi="Amiri"/>
          <w:color w:val="111111"/>
          <w:sz w:val="28"/>
          <w:szCs w:val="28"/>
          <w:rtl w:val="true"/>
          <w:lang w:bidi="ar-SA"/>
        </w:rPr>
        <w:t>:</w:t>
      </w:r>
    </w:p>
    <w:p>
      <w:pPr>
        <w:pStyle w:val="Heading6"/>
        <w:numPr>
          <w:ilvl w:val="5"/>
          <w:numId w:val="1"/>
        </w:numPr>
        <w:rPr/>
      </w:pPr>
      <w:bookmarkStart w:id="1278" w:name="__RefHeading___Toc13100624_1280447820"/>
      <w:bookmarkStart w:id="1279" w:name="_Toc518"/>
      <w:bookmarkEnd w:id="1278"/>
      <w:r>
        <w:rPr>
          <w:rtl w:val="true"/>
        </w:rPr>
        <w:t>النكتة الأولى</w:t>
      </w:r>
      <w:r>
        <w:rPr>
          <w:rtl w:val="true"/>
        </w:rPr>
        <w:t>:</w:t>
      </w:r>
      <w:bookmarkEnd w:id="1279"/>
    </w:p>
    <w:p>
      <w:pPr>
        <w:pStyle w:val="BookText"/>
        <w:rPr/>
      </w:pPr>
      <w:r>
        <w:rPr>
          <w:rFonts w:ascii="Amiri" w:hAnsi="Amiri" w:eastAsia="Amiri" w:cs="Amiri"/>
          <w:color w:val="111111"/>
          <w:sz w:val="28"/>
          <w:sz w:val="28"/>
          <w:szCs w:val="28"/>
          <w:rtl w:val="true"/>
          <w:lang w:bidi="ar-SA"/>
        </w:rPr>
        <w:t xml:space="preserve">أشرنا فيما سبق مراراً إلى أنّ مسند الولاية لايصحّ للفقيه و هو لايصلح له إلّاإذا حاز اثنى عشر شرطاً، منها الفقاهة و ملكة الاستنباط، و منها التحرّز التامّ عن الآثام بحيث يصدق عليه انّه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ممّا ذكرناه في محلّه، و قد مضى تفصيل الكلام فيها </w:t>
      </w:r>
      <w:r>
        <w:rPr>
          <w:rFonts w:eastAsia="Amiri" w:cs="Amiri" w:ascii="Amiri" w:hAnsi="Amiri"/>
          <w:color w:val="111111"/>
          <w:sz w:val="28"/>
          <w:szCs w:val="28"/>
          <w:rtl w:val="true"/>
          <w:lang w:bidi="ar-SA"/>
        </w:rPr>
        <w:t>-.</w:t>
      </w:r>
    </w:p>
    <w:p>
      <w:pPr>
        <w:pStyle w:val="Heading6"/>
        <w:numPr>
          <w:ilvl w:val="5"/>
          <w:numId w:val="1"/>
        </w:numPr>
        <w:rPr/>
      </w:pPr>
      <w:bookmarkStart w:id="1280" w:name="__RefHeading___Toc13100626_1280447820"/>
      <w:bookmarkStart w:id="1281" w:name="_Toc519"/>
      <w:bookmarkEnd w:id="1280"/>
      <w:r>
        <w:rPr>
          <w:rtl w:val="true"/>
        </w:rPr>
        <w:t>النكتة الثّانية</w:t>
      </w:r>
      <w:r>
        <w:rPr>
          <w:rtl w:val="true"/>
        </w:rPr>
        <w:t>:</w:t>
      </w:r>
      <w:bookmarkEnd w:id="1281"/>
    </w:p>
    <w:p>
      <w:pPr>
        <w:pStyle w:val="BookText"/>
        <w:rPr/>
      </w:pPr>
      <w:r>
        <w:rPr>
          <w:rFonts w:ascii="Amiri" w:hAnsi="Amiri" w:eastAsia="Amiri" w:cs="Amiri"/>
          <w:color w:val="111111"/>
          <w:sz w:val="28"/>
          <w:sz w:val="28"/>
          <w:szCs w:val="28"/>
          <w:rtl w:val="true"/>
          <w:lang w:bidi="ar-SA"/>
        </w:rPr>
        <w:t>قلنا هناك أن لاولاية لأحدٍ على أحدٍ إلّالمن اتّصف بهذه الشروط، و ليس اتّصاف الوالي بها شرطاً في حدوث الولاية له فقط، بل و في 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فلواتّصف بها أوّلاً ثمّ تلبّس بما يضادّها فلاولاية له؛ و بعبارةٍ أخرى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هذه الشرائط و بقاؤها فيه شرطٌ في استدامة الولاية له</w:t>
      </w:r>
      <w:r>
        <w:rPr>
          <w:rFonts w:eastAsia="Amiri" w:cs="Amiri" w:ascii="Amiri" w:hAnsi="Amiri"/>
          <w:color w:val="111111"/>
          <w:sz w:val="28"/>
          <w:szCs w:val="28"/>
          <w:rtl w:val="true"/>
          <w:lang w:bidi="ar-SA"/>
        </w:rPr>
        <w:t>.</w:t>
      </w:r>
    </w:p>
    <w:p>
      <w:pPr>
        <w:pStyle w:val="Heading6"/>
        <w:numPr>
          <w:ilvl w:val="5"/>
          <w:numId w:val="1"/>
        </w:numPr>
        <w:rPr/>
      </w:pPr>
      <w:bookmarkStart w:id="1282" w:name="__RefHeading___Toc13100628_1280447820"/>
      <w:bookmarkStart w:id="1283" w:name="_Toc520"/>
      <w:bookmarkEnd w:id="1282"/>
      <w:r>
        <w:rPr>
          <w:rtl w:val="true"/>
        </w:rPr>
        <w:t>النكتة الثّالثة</w:t>
      </w:r>
      <w:r>
        <w:rPr>
          <w:rtl w:val="true"/>
        </w:rPr>
        <w:t>:</w:t>
      </w:r>
      <w:bookmarkEnd w:id="1283"/>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بهاتين النكتتين ظهر انّ السائل قد غفل عن مبنانا في هذه المسألة </w:t>
      </w:r>
      <w:bookmarkStart w:id="1284" w:name="pg18987_180021"/>
    </w:p>
    <w:p>
      <w:pPr>
        <w:pStyle w:val="BookText"/>
        <w:rPr/>
      </w:pPr>
      <w:bookmarkEnd w:id="1284"/>
      <w:r>
        <w:rPr>
          <w:rFonts w:ascii="Amiri" w:hAnsi="Amiri" w:eastAsia="Amiri" w:cs="Amiri"/>
          <w:color w:val="111111"/>
          <w:sz w:val="28"/>
          <w:sz w:val="28"/>
          <w:szCs w:val="28"/>
          <w:rtl w:val="true"/>
          <w:lang w:bidi="ar-SA"/>
        </w:rPr>
        <w:t>الهامّة، إذ الوليّ وليٌّ ما لم يكن هَرِماً عاجزاً عن الاستنباط و النظر في الأدلّة، أمّا إذا عجز عن الاستنباط أو القيام بأمر الملك أو ظهر في المجتمع من هو أصلح منه بهذا المسند فلانحكم بدوام الولاية له، بل يسقط من هذا المنصب بفقد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فمذهبنا في ثبوت الولاية له لايؤدّي إلى ما استشهد السائل بالعقل لصحّته، و لافرق بين الفقيه الوليّ و الفقيه المرجِع في هذا الأمر</w:t>
      </w:r>
      <w:r>
        <w:rPr>
          <w:rFonts w:eastAsia="Amiri" w:cs="Amiri" w:ascii="Amiri" w:hAnsi="Amiri"/>
          <w:color w:val="111111"/>
          <w:sz w:val="28"/>
          <w:szCs w:val="28"/>
          <w:rtl w:val="true"/>
          <w:lang w:bidi="ar-SA"/>
        </w:rPr>
        <w:t>.</w:t>
      </w:r>
    </w:p>
    <w:p>
      <w:pPr>
        <w:pStyle w:val="Heading6"/>
        <w:numPr>
          <w:ilvl w:val="5"/>
          <w:numId w:val="1"/>
        </w:numPr>
        <w:rPr/>
      </w:pPr>
      <w:bookmarkStart w:id="1285" w:name="__RefHeading___Toc13100630_1280447820"/>
      <w:bookmarkStart w:id="1286" w:name="_Toc521"/>
      <w:bookmarkEnd w:id="1285"/>
      <w:r>
        <w:rPr>
          <w:rtl w:val="true"/>
        </w:rPr>
        <w:t>النكتة الرّابعة</w:t>
      </w:r>
      <w:r>
        <w:rPr>
          <w:rtl w:val="true"/>
        </w:rPr>
        <w:t>:</w:t>
      </w:r>
      <w:bookmarkEnd w:id="1286"/>
    </w:p>
    <w:p>
      <w:pPr>
        <w:pStyle w:val="BookText"/>
        <w:rPr/>
      </w:pPr>
      <w:r>
        <w:rPr>
          <w:rFonts w:ascii="Amiri" w:hAnsi="Amiri" w:eastAsia="Amiri" w:cs="Amiri"/>
          <w:color w:val="111111"/>
          <w:sz w:val="28"/>
          <w:sz w:val="28"/>
          <w:szCs w:val="28"/>
          <w:rtl w:val="true"/>
          <w:lang w:bidi="ar-SA"/>
        </w:rPr>
        <w:t>أمّا إذا لم يكن الوليّ فاقداً هذه الشرائط بل كان صالحاً لأن يترأّس على المجتمع فما هو الوجه في تقييد ولايته بزمنٍ دون زمنٍ؟، إذ المجرّب الخبير الّذي كثرت مزاولته لعملٍ خيرٌ ممّن لاخبرة و لاتجربة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فلودار الأمر بين استدامة الحكم لفقيهٍ مجرّبٍ و بين حدوثه لمن لاتجربة له يحكم العقل بحسن استدامته للمجرّب الخبير؛ و عليه استقرّت سيرة العقلاء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ما أشرنا إليه مراراً عديدةً من أنّ الولاية مفوّضةٌ إليه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نفسها و سعتها و جميع ما يرجع إليها، و منه ثبوتها له مادام يتّصف بشرائطها، إذ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حجّتي عليكم و أنا حجّة اللّه</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ليس مقيّداً بزمنٍ دون زمنٍ، بل للثاني إيماءٌ إلى استقراره على منصب الحكم دوماً كما انّ الحجّة عليه السلام حجّةٌ طيلة حياته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فبما قلنا ظهر أن لاحسن في تقييد ولاية الوالي زمنيّاً و تحديدها ببرهةٍ خاصّةٍ دون برهةٍ أخرى</w:t>
      </w:r>
      <w:r>
        <w:rPr>
          <w:rFonts w:eastAsia="Amiri" w:cs="Amiri" w:ascii="Amiri" w:hAnsi="Amiri"/>
          <w:color w:val="111111"/>
          <w:sz w:val="28"/>
          <w:szCs w:val="28"/>
          <w:rtl w:val="true"/>
          <w:lang w:bidi="ar-SA"/>
        </w:rPr>
        <w:t xml:space="preserve">. </w:t>
      </w:r>
      <w:bookmarkStart w:id="1287" w:name="pg18987_180022"/>
    </w:p>
    <w:p>
      <w:pPr>
        <w:pStyle w:val="Heading4"/>
        <w:numPr>
          <w:ilvl w:val="3"/>
          <w:numId w:val="1"/>
        </w:numPr>
        <w:rPr/>
      </w:pPr>
      <w:bookmarkStart w:id="1288" w:name="__RefHeading___Toc13100632_1280447820"/>
      <w:bookmarkStart w:id="1289" w:name="_Toc522"/>
      <w:bookmarkEnd w:id="1287"/>
      <w:bookmarkEnd w:id="1288"/>
      <w:r>
        <w:rPr>
          <w:rtl w:val="true"/>
        </w:rPr>
        <w:t>السؤال الثّاني عشرما هو معنى الإلتزام القلبىّ و العملىّ بولاية الفقيه؟</w:t>
      </w:r>
      <w:bookmarkEnd w:id="1289"/>
    </w:p>
    <w:p>
      <w:pPr>
        <w:pStyle w:val="Heading5"/>
        <w:numPr>
          <w:ilvl w:val="4"/>
          <w:numId w:val="1"/>
        </w:numPr>
        <w:rPr/>
      </w:pPr>
      <w:bookmarkStart w:id="1290" w:name="__RefHeading___Toc13100634_1280447820"/>
      <w:bookmarkStart w:id="1291" w:name="_Toc523"/>
      <w:bookmarkEnd w:id="1290"/>
      <w:r>
        <w:rPr>
          <w:rtl w:val="true"/>
        </w:rPr>
        <w:t>اشارة</w:t>
      </w:r>
      <w:bookmarkEnd w:id="1291"/>
    </w:p>
    <w:p>
      <w:pPr>
        <w:pStyle w:val="BookText"/>
        <w:rPr/>
      </w:pPr>
      <w:r>
        <w:rPr>
          <w:rFonts w:ascii="Amiri" w:hAnsi="Amiri" w:eastAsia="Amiri" w:cs="Amiri"/>
          <w:color w:val="111111"/>
          <w:sz w:val="28"/>
          <w:sz w:val="28"/>
          <w:szCs w:val="28"/>
          <w:rtl w:val="true"/>
          <w:lang w:bidi="ar-SA"/>
        </w:rPr>
        <w:t>ما هو المراد من الالتزام و العِقد القلبيّ و العمليّ الّذي يُشترط في الوكلاء و المديرين و الرؤساء؟ و هل يجب على كلّ أحدٍ أن يلتزم بأطروحة ثبوت الولاية للفقيه قلباً و عملاً؟</w:t>
      </w:r>
      <w:r>
        <w:rPr>
          <w:rFonts w:eastAsia="Amiri" w:cs="Amiri" w:ascii="Amiri" w:hAnsi="Amiri"/>
          <w:color w:val="111111"/>
          <w:sz w:val="28"/>
          <w:szCs w:val="28"/>
          <w:rtl w:val="true"/>
          <w:lang w:bidi="ar-SA"/>
        </w:rPr>
        <w:t>.</w:t>
      </w:r>
    </w:p>
    <w:p>
      <w:pPr>
        <w:pStyle w:val="Heading5"/>
        <w:numPr>
          <w:ilvl w:val="4"/>
          <w:numId w:val="1"/>
        </w:numPr>
        <w:rPr/>
      </w:pPr>
      <w:bookmarkStart w:id="1292" w:name="__RefHeading___Toc13100636_1280447820"/>
      <w:bookmarkStart w:id="1293" w:name="_Toc524"/>
      <w:bookmarkEnd w:id="1292"/>
      <w:r>
        <w:rPr>
          <w:rtl w:val="true"/>
        </w:rPr>
        <w:t>و الجواب</w:t>
      </w:r>
      <w:r>
        <w:rPr>
          <w:rtl w:val="true"/>
        </w:rPr>
        <w:t>:</w:t>
      </w:r>
      <w:bookmarkEnd w:id="1293"/>
    </w:p>
    <w:p>
      <w:pPr>
        <w:pStyle w:val="Heading6"/>
        <w:numPr>
          <w:ilvl w:val="5"/>
          <w:numId w:val="1"/>
        </w:numPr>
        <w:rPr/>
      </w:pPr>
      <w:bookmarkStart w:id="1294" w:name="__RefHeading___Toc13100638_1280447820"/>
      <w:bookmarkStart w:id="1295" w:name="_Toc525"/>
      <w:bookmarkEnd w:id="1294"/>
      <w:r>
        <w:rPr>
          <w:rtl w:val="true"/>
        </w:rPr>
        <w:t>اشارة</w:t>
      </w:r>
      <w:bookmarkEnd w:id="1295"/>
    </w:p>
    <w:p>
      <w:pPr>
        <w:pStyle w:val="BookText"/>
        <w:rPr/>
      </w:pPr>
      <w:r>
        <w:rPr>
          <w:rFonts w:ascii="Amiri" w:hAnsi="Amiri" w:eastAsia="Amiri" w:cs="Amiri"/>
          <w:color w:val="111111"/>
          <w:sz w:val="28"/>
          <w:sz w:val="28"/>
          <w:szCs w:val="28"/>
          <w:rtl w:val="true"/>
          <w:lang w:bidi="ar-SA"/>
        </w:rPr>
        <w:t xml:space="preserve">أمّا الالتزام القلبيّ فمعناه أن يقبل المرء انّ للشريعة حكماً و دولةً في زمن الغيبة، و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الولاية إلى الفقيه كرئيسٍ على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لافرق في قبوله إيّاه بين أن يكون مستنداً إلى الأدلّة الفقهيّة و بين أن يكون عن تقليدٍ من غير تحقيقٍ تامٍّ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فاقرار المرء في باله بأنّ الفقيه العادل المدبّر هو الّذي يصلح للقيام بأمر الحكم يكفي في ثبوت الالتزام له قلباً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الالتزام العمليّ فمعناه المشي في السيرة الجماعيّة و الأعمال اليوميّة على ما يقتضيه اعتقاده و رأيه في ثبوتها له؛ و قد أشار الصادق عليه السلام إلى هذين المعنيين حين سُئل عن معنى الإيمان،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هو الاقرار باللسان و عقدٌ في القلب و عملٌ بالأركان</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للحديث الشريف دلالةٌ واضحةٌ على أنّه يجب على المسلم أن يكون ملتزماً بالشريعة في ناحيتي الاعتقاد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عن ثاني السؤالين فيتمّ بالنظر إلى هاتين النكتتين</w:t>
      </w:r>
      <w:r>
        <w:rPr>
          <w:rFonts w:eastAsia="Amiri" w:cs="Amiri" w:ascii="Amiri" w:hAnsi="Amiri"/>
          <w:color w:val="111111"/>
          <w:sz w:val="28"/>
          <w:szCs w:val="28"/>
          <w:rtl w:val="true"/>
          <w:lang w:bidi="ar-SA"/>
        </w:rPr>
        <w:t>:</w:t>
      </w:r>
    </w:p>
    <w:p>
      <w:pPr>
        <w:pStyle w:val="Heading6"/>
        <w:numPr>
          <w:ilvl w:val="5"/>
          <w:numId w:val="1"/>
        </w:numPr>
        <w:rPr/>
      </w:pPr>
      <w:bookmarkStart w:id="1296" w:name="__RefHeading___Toc13100640_1280447820"/>
      <w:bookmarkStart w:id="1297" w:name="_Toc526"/>
      <w:bookmarkEnd w:id="1296"/>
      <w:r>
        <w:rPr>
          <w:rtl w:val="true"/>
        </w:rPr>
        <w:t>النكتة الأولى</w:t>
      </w:r>
      <w:r>
        <w:rPr>
          <w:rtl w:val="true"/>
        </w:rPr>
        <w:t>:</w:t>
      </w:r>
      <w:bookmarkEnd w:id="1297"/>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الإلتزام بهذه النظريّة في ناحيتي العلم و العمل ليس من ضروريّات الشريعة و أصولها، بل هو من المسائل الفقهيّة و إن كان من أهمّها بالنظر إلى ما له من الدور </w:t>
      </w:r>
      <w:bookmarkStart w:id="1298" w:name="pg18987_180023"/>
    </w:p>
    <w:p>
      <w:pPr>
        <w:pStyle w:val="BookText"/>
        <w:rPr/>
      </w:pPr>
      <w:bookmarkEnd w:id="1298"/>
      <w:r>
        <w:rPr>
          <w:rFonts w:ascii="Amiri" w:hAnsi="Amiri" w:eastAsia="Amiri" w:cs="Amiri"/>
          <w:color w:val="111111"/>
          <w:sz w:val="28"/>
          <w:sz w:val="28"/>
          <w:szCs w:val="28"/>
          <w:rtl w:val="true"/>
          <w:lang w:bidi="ar-SA"/>
        </w:rPr>
        <w:t>الهامّ في سير المجتمع إلى ما هو اللائق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أنكره عن اجتهادٍ أو من غير أن يكون مستنبطاً فيه محقّقاً لاشيء و لا لؤم عليه؛ هذا بالنسبة إلى آحاد الناس</w:t>
      </w:r>
      <w:r>
        <w:rPr>
          <w:rFonts w:eastAsia="Amiri" w:cs="Amiri" w:ascii="Amiri" w:hAnsi="Amiri"/>
          <w:color w:val="111111"/>
          <w:sz w:val="28"/>
          <w:szCs w:val="28"/>
          <w:rtl w:val="true"/>
          <w:lang w:bidi="ar-SA"/>
        </w:rPr>
        <w:t>.</w:t>
      </w:r>
    </w:p>
    <w:p>
      <w:pPr>
        <w:pStyle w:val="Heading6"/>
        <w:numPr>
          <w:ilvl w:val="5"/>
          <w:numId w:val="1"/>
        </w:numPr>
        <w:rPr/>
      </w:pPr>
      <w:bookmarkStart w:id="1299" w:name="__RefHeading___Toc13100642_1280447820"/>
      <w:bookmarkStart w:id="1300" w:name="_Toc527"/>
      <w:bookmarkEnd w:id="1299"/>
      <w:r>
        <w:rPr>
          <w:rtl w:val="true"/>
        </w:rPr>
        <w:t>النكتة الثّانية</w:t>
      </w:r>
      <w:r>
        <w:rPr>
          <w:rtl w:val="true"/>
        </w:rPr>
        <w:t>:</w:t>
      </w:r>
      <w:bookmarkEnd w:id="1300"/>
    </w:p>
    <w:p>
      <w:pPr>
        <w:pStyle w:val="BookText"/>
        <w:rPr/>
      </w:pPr>
      <w:r>
        <w:rPr>
          <w:rFonts w:ascii="Amiri" w:hAnsi="Amiri" w:eastAsia="Amiri" w:cs="Amiri"/>
          <w:color w:val="111111"/>
          <w:sz w:val="28"/>
          <w:sz w:val="28"/>
          <w:szCs w:val="28"/>
          <w:rtl w:val="true"/>
          <w:lang w:bidi="ar-SA"/>
        </w:rPr>
        <w:t>أمّا بالنسبة إلى العمّال و الوسائط فللمسألة صورةٌ أخرى يحكم العقل بصحّتها، و هو وجوب التزام العمّال و الحكّام بأطروحة ثبوت الولاية للفقيه في ناحيتي القلب و العمل، إذ مضت الإشارة إلى أن الوسائط في الدولة الإسلاميّة أعضاد الوالي، و لامعنى لأن يكون العَضْد مخالفاً مضادّاً لمن قام بمعاونته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هذا لاينتهي إلّابظهور الهرج و الاضطراب في أمر الحكم، بل يختلّ النظام و يضعف بحيث لايمكن له أن يقوم بما فُرض عليه من واجباته العديدة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جرت عليها سيرة العقلاء أيضاً، إذ النظر في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دولةٍ قاهرةٍ كبيرةٍ إلى دولة شيخ البلد أو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لنا انّ سيرة العقلاء استقرّت على تفويض المناصب إلى من وافق الحكم في أصوله و دُستوره في ناحيتي الإعتقاد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أمرٌ واضحٌ، إذ السرّ في تشكيل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الإنسان مدنيّاً بالطبع محتاجاً إلى المجتمع، و لاينتظم أمر المجتمع إلّابالحكم، و لايصلح للحكم إلّامن لامضادّة بينه و بين دُستور الدولة و 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قلنا انّ الالتزام بما نذهب إليه من ثبوتها له لايجب على آحاد الناس، لا في ناحية العقد القلبيّ و لا في ناحية الالتزام العلميّ؛ أمّا بالنسبة إلى الوسائط و العمّال فلاشكّ في لزومه عليهم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الأسؤلة الّتي وُجّهت نحو هذا المبنى القويم ليكون أشدّ انجلاءً ممّا كان عليه؛ و بتمامه فرغنا من البحث عن مسألة إثبات الولاية للفقيه؛ و بيان ما يدلّ عليه من الأدلّة الأربعة؛ و ما استشكلوا به أو يمكن أن يُستشكل به عليه</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 علينا أن نتكلّم في توابع المسألة و ما يرتبط بها من منابع الوليّ الماليّة؛ و أَهم وظائفها و مسئوليّاتها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المجلّد الثّانى و المجلّد الثّالث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و صلَّى اللّٰه على محمّدٍ و آله الطّاهرين و سلّم تسليماً كثيراً؛ و حسبنا اللّٰه و نعم الوكيل، نعم المولىٰ و نعم النصير</w:t>
      </w:r>
      <w:r>
        <w:rPr>
          <w:rFonts w:eastAsia="Amiri" w:cs="Amiri" w:ascii="Amiri" w:hAnsi="Amiri"/>
          <w:color w:val="111111"/>
          <w:sz w:val="28"/>
          <w:szCs w:val="28"/>
          <w:rtl w:val="true"/>
          <w:lang w:bidi="ar-SA"/>
        </w:rPr>
        <w:t xml:space="preserve">. </w:t>
      </w:r>
      <w:bookmarkStart w:id="1301" w:name="pg18987_180025"/>
    </w:p>
    <w:p>
      <w:pPr>
        <w:pStyle w:val="Heading2"/>
        <w:numPr>
          <w:ilvl w:val="1"/>
          <w:numId w:val="1"/>
        </w:numPr>
        <w:rPr/>
      </w:pPr>
      <w:bookmarkStart w:id="1302" w:name="__RefHeading___Toc13100644_1280447820"/>
      <w:bookmarkStart w:id="1303" w:name="_Toc528"/>
      <w:bookmarkEnd w:id="1301"/>
      <w:bookmarkEnd w:id="1302"/>
      <w:r>
        <w:rPr>
          <w:rtl w:val="true"/>
        </w:rPr>
        <w:t>الفهرس التفصيلى</w:t>
      </w:r>
      <w:bookmarkEnd w:id="1303"/>
    </w:p>
    <w:p>
      <w:pPr>
        <w:pStyle w:val="BookText"/>
        <w:rPr/>
      </w:pPr>
      <w:r>
        <w:rPr>
          <w:rFonts w:ascii="Amiri" w:hAnsi="Amiri" w:eastAsia="Amiri" w:cs="Amiri"/>
          <w:color w:val="111111"/>
          <w:sz w:val="28"/>
          <w:sz w:val="28"/>
          <w:szCs w:val="28"/>
          <w:rtl w:val="true"/>
          <w:lang w:bidi="ar-SA"/>
        </w:rPr>
        <w:t>الصورة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2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25" o:detectmouseclick="t"/>
                <v:stroke color="#3465a4" joinstyle="round" endcap="flat"/>
                <w10:wrap type="none"/>
              </v:shape>
            </w:pict>
          </mc:Fallback>
        </mc:AlternateConten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2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31"/>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4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3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37"/>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4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4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43"/>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4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4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49"/>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4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5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55"/>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4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5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61"/>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4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6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67"/>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4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7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73"/>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4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7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79"/>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4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8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85"/>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48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حكمت و حكومت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الإشراقيّة، و الاصطلاح من الشيخ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العلّامة العماديّ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تنكير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للتفخيم و الرمز إلى أنّه علمٌ غير معهودٍ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أبي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و تدبّر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و قريبٌ منه ما يوجد 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كنزالدقائق و بحرالغرائب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جَاعِلُكَ لِلنَّاسِ إِمَاماً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مقتدىً يقتدي بك الناس و يتّبعونك في أقوالك و أفعالك، فالإمام هو الّذي يقتدي و يأتّم به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بالجملة فالإمام هادٍ يهدي بأمرٍ ملكوتيٍّ يصاحبه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فالإمامة بحسب الباطن نحو ولايةٍ للناس في أعمالهم، و هدايتها إيصالها إيّاهم إلى المطلوب بأمر اللّه دون مجرّد إرائة الطريق الّذي هو شأن النبيّ و الرسول و كلّ مؤمنٍ يهدي إلى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بالنصح و الموعظة الحسنة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مرويّةٌ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طبعاته مختلفةٌ، و لم أعثر عليها في مصادرنا الروائيّة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إشارةٌ إلى قوله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ألّلهمّ صلّ على محمّدٍ و آله مظاهر جمالك و جلالك و خزائن أسرار كتابك الّذي تجلّى فيه الأحديّة بجميع أسمائك حتّى المستأثر منها الّذي لايعمله غيرك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الإمام الخمينيّ رحمه الله السياسيّة الإلهيّة، التقدمة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فسّر العلّامة الطباطبائيّ رحمه الله القضاء في ثاني الآيتين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التصرّف في شأنٍ من شؤون الناس بالولاية الّتي جعلها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كما عن الرازيّ في تفسير تلك الآية أيضاً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لمؤمنٍ و لامؤمنةٍ أن يكون له اختيارٌ عند حكم اللّه و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الراغب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القضاء فصل الأمر، قولاً كان أو فعلاً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تكفّل شيخ الباحثين العلّامة ميرحامد حسين الهنديّ رحمه الله مؤونة التحقيق حول هذاالحديث الشريف و اثبات تواترة في جزءٍ من موسوعته العظيمة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فجزاه اللّه خير جزاء المحسنين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العلّامة الحلّيّ في بيان وجوب نصب الإمام على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يجب على الرعيّة و هو مساعدته و النصرة له و قبول أوامره و امتثال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الظاهر انّها نزلت حينما أراد النبيّ صلى الله عليه و آله أن يزوّج زينب لزيد بن حارثة، أو يزوّج أمّكلثوم بنت عقبة بن أبي معيط له، و تطليق زيدٍ إيّاها لم يكن بأمرٍ من النبيّ صلى الله عليه و آله؛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أبي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الشيخ رحمه الله قال في تفسير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قَضَى اللَّهُ وَ رَسُولُهُ أَمْراً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بمعنى الزاماًو حكماً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الحجّة، باب فرض طاعة الأئمّة،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قسطٌ من كراماته و خوارق عاداته رحمه الله جُمع في رسالةٍ كبيرةٍ في مجلّدين باهتمام ولده، و قدسمّاها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 از بى نشانها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بعض مكاتبيه و أقواله، و هو حريٌّ بالعناية من قبل طلّاب العلم و روّاد المعرفة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قلنا ظهر ما في كلام الفخر من الخطأ حيث قال في تفسيرالكريمة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أهل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الإمام هيهنا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غرائب القرآن و رغائب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شيخنا الأستاذ، و لم اهتد إلى 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بالغ الفخر في تفسير الكريمة في تفنية عقائد الشيعة و الردّ على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الآية تدلّ على إمامة أميرالمؤمنين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قال في كلامه الأخير في تفسير الآية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وليّكم اللّه، فجعلت الولاية للّه على طريق الأصالة ثمّ نظم في سلك اثباتها له اثباتها لرسول اللّه و المؤمنين على سبيل التبع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أوليائكم اللّه و رسوله و الّذين آمنوا، لم يكن في الكلام أصلٌ و تبعٌ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منّا انّ هذه القطعة هي من قطعات الدعاء المسمّاة بالعديلة، و هي مرويّةٌ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أعثر عليها في مصادرنا الروائيّة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33401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موضعٍ في آثار المحقّق و العلّامة و صاحب الجواهر يوجد فيه الحديث</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القضاء و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الاجتهاد و التقليد،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33202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الكشّيّ في جملتهم،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الاتّفاق نظرٌ، إذ الأصل في دعوى الإجماع هو الكشّيّ، ثمّ اختلف في المراد من عبارته حتّى حُكي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الإجماع لايقتضي الحكم بوثاقتهم فضلاً عمّن سواهم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 هذا الموضوع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الخاقاني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الشيخ الأعظم الأنصاريّ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ثبوت الإذن للفقهاء في القضاء ممّا لاشكّ فيه ولايبعد وصوله إلى حدّ ضروريّ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القضاء و الشهادات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المطبوع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الشيخ الأعظم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بعض أعاظم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العلّامة الآية الحجّة السيّد أحمد الخوانساريّ رحمه الله خالف فيه و ذهب إلى عدم ثبوتها لهم، فانّه رحمه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إقامة الحاكم حدود اللّه فبالنسبة إلى المنصوب بالخصوص من قبل الإمام و النبيّ صلى الله عليه و آله فلاكلام في جوازه و لزومها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في عصر الغيبة فمحلّ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بعد أن سرد الأدلّة الّتي يُستدلّ بها على وجوب إقامة الفقيه الحدود في زمن الغيبة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يمكن أن يقال بعد تسلّم كون المتصدّر لاقامة الحدود من نصبه المعصوم عليه السلام كالمنصوبين في عصر رسول اللّه صلى الله عليه و آله و أميرالمؤمنين عليه السلام في عصر سلطنته و خلافته لابدّ من اقامة الدليل على نصب الفقهاء، و مجرّد لزوم اجراء الحدود في كلّ عصرٍ و زمانٍ لايثبت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مارواه الكلينيّ رحمه الله عن عليّ بن إبراهيم عن محمّد بن عيسىٰ عن يونس عن يزيد بن خليفة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عمر بن حنظلة أتانا عنك بوقتٍ، فقال أبوعبداللّه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لايكذب علينا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حاشية القهبائيّ على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استعلم الشيخ الأستاذ كونه أحمد بن محمّد بن عيسىٰ الأشعريّ القميّ، و ذلك بقرينة الراوي عنه و هو محمّد بن عليّ بن محبوب؛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كان لايروي أوّلاً عن ابن محبوب ثمّ رجع و روى عنه، و ما روى قطّ عن ابن المغيرة و لا عن حسن بن خرزاذ؛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يجب التثبّت في جميع رواياته، لأنّ اسمه يُعدّ من مواضع القلب، فيروى عنه حديثٌ مع انّه من مرويّات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ثاني الشهيدين رحمه الله في توضيح الحديث المقلوب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حديثٌ ورد بطريقٍ فيروى بغيره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يقع سهواً كحديثٍ يرويه محمّد بن أحمد بن عيسى عن أحمد بن محمّد بن عيسى، و كثيراً مّا يتّفق ذلك في أسناد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الرعاية لحال 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33083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الإغلاق ألجأ المحقّق السبزواريّ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إلى القول بكفاية التجزّي في اجتهاد القاضيّ؛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الإجماع نظرٌ ظاهرٌ،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لاريب في عدم الملازمة بين ثبوت أيّ قسمٍ من أقسام الولاية لأحدٍ و بين ثبوته لغيره، كما قال المحقّق ثاني النراقيّين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القول بثبوت الولاية للفقيه متضمّناً لثبوت ولاية الغير، سيّما بعد كونه خير خلق اللّه بعد النبيّين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جواز تولّيه و ثبوت ولايته يقيناً و الباقون مشكوكٌ فيهم، تنفى ولايتهم و جواز تصرّفهم النافذ بالأصل المقطوع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طلب الإمام أو نائبه الخاصّ أو العامّ الزكاة فلم يجبه و دفعها هو بنفسه فهل يجزيء أم لا؟ قولان أصحّهما انّه لا يجزيء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المطبوع في تراث الشيخ الأعظم،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الظاهر انّ استظهار الشيخ الأستاذ لايوافق مبنى الشيخ الأعظم رحمه الله في المسألة، فانّه ذهب إلى هذا القول لأنّه يرى انّ الأمر بدفع الزكاة إلى الإمام أو نائبه الخاصّ أو العامّ لو طلبها يقتضي النهي عن دفعها إلى المستحقّ و عدم إيصالها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لتفصيل رأي الشيخ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التبريزيّة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بعضٍ من المعاصرين أيضاً، منهم سماحة الحجّة الآية الشيخ صافي الگلپايگاني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 حكومت يا ولايت فقها در عصر غيبت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حكومت إسلامى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الظاهر انّه لو ثبتت الولاية بمعنى وجوب الطاعة و الانقياد للفقيه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مضت الإشارة إليه في الصفحة الماضية، و رأينا انّ الشيخ الأستاذ قائلٌ بثبوتها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فلاكثير جدوىٰ في هذا المبحث، إذ لايخفىٰ انّ رئاسة المجتمع من مناصب مَن له مرتبة وجوب الانقياد و الطاعة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بقية العبارة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لقبض ذلك من شيعته ليضعه مواضعه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المذكور في التعليقة الآتية؛ فتأمّل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 الحاوي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أهتد إلى مراد الشيخ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قريبٌ منها جدّاً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تتمّة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ما أخرجه الدليل من إجماعٍ أو نصٍّ أو 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المذكور في التعليقة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و لاحظ كلامه فانّه لايخلو عن فوائد جمّة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أقبح قول بعضهم في شأن هذا الفقيه الكبير الجامع،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حكمت و حكومت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المطبوع في تراث الشيخ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القضاء و الشهادات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المطبوع في تراث الشيخ الأعظم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المطبوع في تراث الشيخ الأعظم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تنبيه الأمّة و تنزيه 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البدر الزّاهر فى صلوة الجمعة و المسافر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أيضاً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33794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طبعةٍ محقّقةٍ منه، و نقله عنه المحدّث النوريّ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حول رأي المحقّق الخوئيّ في هذا الموضوع انظر أيضاً إلى 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 فقيه از ديدگاه شيخ انصارى و آية اللّه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انديشۀ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لقائلٍ أن يعود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لوكان التوقيع عند الشيخ الكلينيّ رحمه الله بهذه المثابة من الصحّة و التوثيق فلماذا لم يروه في الكافي؟، إذ الطبرسيّ رحمه الله نقله عنه في الاحتجاج و لكن الكلينيّ نفسه مارواه في جامعه؛ و هذا جديرٌ بالتأمّل و الدقّة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ولاية الأمر في عصر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الاجتهاد و التقليد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لم أعثر على القاعدة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للحجّة الآية الميرزا سيّد حسن الموسويّ البجنورديّ،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الحجّة الآية الشيخ مكارم الشيرازيّ، و ما طبع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الحّجة الآية الشيخ فاضل اللنكرانيّ،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محمّد كاظم المصطفويّ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لشرذمةٍ قليلةٍ كالمحقّق البحرانيّ،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انّها منقولةٌ بالمعنىٰ</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أهتد إلى مراد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الشيخ صاحب الجواهر رحمه الله تعرّض لحكم الجهاد مع المنصوب من قِبل الإمام عليه السلام و لكن لم يستند فيه إلى قاعدة الحسبة؛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هذا الكلام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القضاء و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في ذلك إلى 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 حكومت يا ولايت فقها در عصر غيبت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لسماحة العلّامة الآية الشيخ صافي الگلپايگاني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حكومت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المتّفق عليه، و من مليح العبارات في هذا المضمار قول المعلّم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ليس من المنصرح المستبين لدىٰ المتبصّر انّ الإنسان الّذي هو نسخة نظام الكلّ و فذلكة طبقات العوالم من سنخين بحسب العالمين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سنخ بحسب عالم الطبع و هو هيكله الجسدانيّ و بدنه الهيولانيّ، و سنخ بحسب عالم القدس و هو جوهره العاقل الّذي هو نفسه الناطقة المجرّدة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الرضاعيّة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المطبوع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 المحقّقين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قلنا ظهر ما في كلام ولد بعض أكابر الدهر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دين اسلام نيز حاكم فقط خدا بود و همۀ مردم با هم مساوى خلق شده و هيج كس را بر كسى برترى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چنين طرز فكرى جا براى قائد و پيشوا و سلطان وجود نداشت، ولى هنگاميكه با استفاده از يك كلمۀ اولى الامر كه يك بار در توجيه يك حادثۀ اجتماعى بيان شده بود، اطاعت از شاه و رهبر و حاكم را به صورت امرى واجب و عقيدتى جعل كردند دوران بسيار كوتاه دموكراسى اوّليۀ اسلام به سرعت سرآمد و خلافت سلطنتى و سپس سلطنت جانشين آن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ايده آل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زردشت، مزديسنا و حكومت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أَ تَجعَلُ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بأنّهم إنّما فهموا وقوع الإفساد و سفك الدماء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و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جَاعِلٌ فِي الْأَرضِ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حيث انّ الموجود الأرضيّ بما انّه مادّيٌّ مركّبٌ من القوى الغضبيّة و الشهويّة، و الدار دار التزاحم محدودة الجهات وافرة المزاحمات، مركّباتها في معرض الانحلال و انتظاماتها و اصلاحاتها في مظنّة الفساد و مصبّ البطلان، لاتتمّ الحياة فيها إلّابالحياة النوعيّة و لايكمل البقاء فيها إلّابالاجتماع و التعاون، فلاتخلو من الفساد و سفك 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ففهموا من هناك انّ الخلافة المرادة لاتقع في الأرض إلّابكثرةٍ من الأفراد و نظامٍ اجتماعيٍّ بينهم يفضي بالأخرة إلى الفساد و السفك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لايخلو عن شيءٍ، اذ العلّامة الطباطبائيّ رحمه الله عدّ الاجتماع من لوازم حياة الإنسان؛ و الدولة و إن كانت من لوازم الاجتماع و لكن العلّامة رحمه الله لم يتعرّض لها في كلامه هذا؛ فتأمّل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الرئيس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لم يكن الإنسان بحيث يستقلّ وحده بأمر نفسه إلّابمشاركة آخر من بني جنسه و بمعارضةٍ و معاوضةٍ تجريان بينهما يفرغ كلّ واحدٍ منهما لصاحبه عن مهمٍّ لوتولّاه بنفسه لازدحم على الواحد كثيرٌ و كان ممّا يتعسّر إن أمكن، وجب أن يكون بين الناس معاملةٌ و عدلٌ يحفظه شرعٌ يفرضه شارعٌ متميّزٌ باستحقاق الطاعة لاختصاصه بآياتٍ تدلّ على أنّها من عند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وجب أن يكون للمحسن و المسيء جزاءٌ عند القدير الخبير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فوجب معرفة الُمجازي و الشارع و مع المعرفة سببٌ حافظٌ للمعرفة، ففرضت عليهم العبادة المذكّرة للمعبود و كرّرت عليهم ليستحفظ التذكير بالتكرير حتّى استمرّت الدعوة إلى العدل المقيم لحياة النوع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الإشارات و التنبيهات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الطوسيّ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 لايستقلّ وحده بأمور معاشه، لأنّه يحتاج إلى غذاءٍ و لباسٍ و مسكنٍ و سلاحٍ لنفسه و لمن يعوله من أولاده الصغار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كلّها صناعيّةٌ لايمكن أن يرتّبها صانعٌ واحدٌ إلّافي مدّةٍ لايمكن أن يعيش تلك المدّة فاقداً إيّاها أو يتعسّر إن أمكن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لكنّها تتيّسر لجماعةٍ يتعاونون و يتشاركون في تحصيلها يفرغ كلّ واحدٍ منهم لصاحبه عن بعض ذلك، فيتمّ بمعارضة، و هي أن يعمل كلّ واحدٍ مثل ما يعمله الآخر و معاوضةٍ و هي أن يعطي كلّ واحدٍ صاحبه من عمله بازاء ما يأخذه منه من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فإذن الإنسان بالطبع محتاجٌ في تعيّشه إلى اجتماعٍ مؤدٍّ إلى صلاح حاله؛ و هو المراد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مدنيٌّ بالطبع، و التمدّن في اصطلاحهم هو هذا الاجتماع، فهذه 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اجتماع الناس على التعاون لاينتظم إلّاإذا كان بينهم معاملةٌ و عدلٌ، لأنّ كلّ واحدٍ يشتهي ما يحتاج إليه و يغضب على من يزاحمه في ذلك و تدعوه شهوته و غضبه إلى الجور على غيره، فيقع من ذلك الهرج و يختلّ أمر الإجتماع، أمّا إذا كان معاملةٌ و عدلٌ متّفقٌ عليهما لم يكن كذلك، فإذن لابدّ من 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فإذن لابدّ من شارعٍ هو نبيٌّ ذو معجزةٍ، و هذه قاعدةٌ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جميع ذلك مقدّرٌ في العناية الأولى لاحتياج الخلق إليه، فهو موجودٌ في جميع الأوقات و الأزمنة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التوضيح دفعٌ لما أورده الإمام الرازيّ على هذا المبنى القويم،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أيضاً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الظاهر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مرّتين في أصحاب سيّدنا عليّ بن موسى الرضا عليه السلام حيث 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إبراهيم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5250</w:t>
      </w:r>
      <w:r>
        <w:rPr>
          <w:rFonts w:ascii="IRNazanin" w:hAnsi="IRNazanin" w:eastAsia="IRNazanin"/>
          <w:b w:val="false"/>
          <w:b w:val="false"/>
          <w:bCs w:val="false"/>
          <w:i w:val="false"/>
          <w:i w:val="false"/>
          <w:iCs w:val="false"/>
          <w:color w:val="333333"/>
          <w:sz w:val="20"/>
          <w:sz w:val="20"/>
          <w:szCs w:val="20"/>
          <w:rtl w:val="true"/>
        </w:rPr>
        <w:t xml:space="preserve">، ثمّ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الدليل على اتّحاده مع المذكور في السند قول المحقّق الأردبيليّ الغرويّ الحائريّ رحمه الله حيث قال بعد أن ذكر اسمه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إبراهيم بن هاشم عن أبيه عن الحسن بن إبراهيم في الكافي كتاب التوحيد، و مرّةً أخرى في أوّل 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الثّاني هو نفس الحديث الّذي نحن بصدده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المامقانيّ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ظاهره كونه إماميّاً إلّاأنّ حاله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 النجاشيّ رحمه الله حيث قال في ترجمة محمّد بن أحمد بن يحيى الأشعريّ القمّيّصاحب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الحكمة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ثقةً في الحديث إلّاأنّ أصحابنا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يروي عن الضعفاء و يعتمد المراسيل و لايبالي عمّن أخذ، و ما عليه في نفسه مطعنٌ في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محمّد بن الحسن بن الوليد يستثني من رواية محمّد بن أحمد بن يحيى مارواه 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عدّ من لم يعتمد ابن الوليد عليه و لم يذكر فيهم حسن بن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ابوالعبّاس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أصاب شيخنا أبوجعفر محمّد بن الحسن بن الوليد في ذلك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تبعه أبوجعفر بن بابويه على ذلك 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الحسن بن إبراهيم من 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إشارةٌ إلى عدم ذكره في مصادر علم الرجال المتقدّمة، أمّا المتأخّرون من الرجاليّين فذكروه،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6228</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المستدركات على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7455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هيهنا ملحوظةٌ،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كلام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يتألّف من مقدّمتين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أهتد إلى مراد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المحقّق الخوئي رحمه الله ذكره تارةً باسم العبّاس بن عمر الفقيميّ، و تارةً أخرى باسم العبّاس بن عمرو، و تارةً ثالثةً باسم العبّاس بن عمرو الفقيميّ، و لم ينصّ على تصحيحه أو توثيقه في هذه الموارد؛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الأرقام </w:t>
      </w:r>
      <w:r>
        <w:rPr>
          <w:rFonts w:eastAsia="IRNazanin" w:cs="IRNazanin"/>
          <w:b w:val="false"/>
          <w:bCs w:val="false"/>
          <w:i w:val="false"/>
          <w:iCs w:val="false"/>
          <w:color w:val="333333"/>
          <w:sz w:val="20"/>
          <w:szCs w:val="20"/>
        </w:rPr>
        <w:t>6189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ولايت فقيه به مفهوم انشائى به معناى اين است كه بايد مردم از بين فقيهان بصيرترين و لايق ترين فرد را انتخاب كنند و ولايت و حاكميّت را به وى بدهند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ولايت فقيه يا حكومت صالحان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 الأنف في شرح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اللفظة في كلام العرب كثيراً بمعنى الحكم و الحكومة؛ قال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لِحَيٍّ حِلَالٍ يَعصِمُ النَّاسَ أَمرُهُمْ إِذَا طَرَقَتْ إِحدَى اللَّيَالِي بِمُعظَمِ</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تؤيّد قول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قول المعتزلة لا قول الإماميّة، قال 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الفصل دالٌّ بصريحه على كون الاختيار طريقاً إلى الإمامة، كما يذكره المتكلّمون، لأنّه احتجّ على معاوية ببيعة أهل الحلّ و العقد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دراسات في ولاية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 أمر السقيفة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الكريم و روايات المدرستين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الأخير المذكور في التعليقة السالفة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 قول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ابن أبي الحديد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الإماميّة فتحمل هذا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نظريه زمامدارگمارى توده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علي اكبر الرشاد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 توضيح هذا القسم من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المعتبر في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لصدر المتألّهين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الشواهد الربوبيّة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 توضيح هذا القسم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الباغنويّ على المحاكمات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هذا الكلام نظرٌ واضحٌ، إذ الدولة العباسيّة و الأمويّة و أشباهها كانت أشبه بالدولة التغليبيّة من الدولة الاختياريّة، كما سلف من كلام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مبتدء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أجناس الحكومة و الدولة و أنواعها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تكرّرت هذه الكريمة عشر مرّات في القرآن الكريم، فانظر على سبيل المثال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إشارةٌ إلى قول السيّد العلّامة الطباطبائيّ رحمه الله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نظريّة التوحيد الّتي يبني عليها القرآن الشريف بنيان معارفه لمّا كانت تثبت حقيقة التأثير في الوجود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 لا شريك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بالجملة لمّا كان التأثير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الحكم الّذي هو نوعٌ من التأثير و الجعل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كان لغيره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لكان له أن يعقّب حكمه و يعارض مشيّته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أهتد إلى قولٍ منه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هذا الرأي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 و النهي في هذا الباب مولويٌّ من قبل الآمر و الناهي و لوكانا سافلين، فلايكفي فيهما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أمرك بالصلاة أو نهاك عن شرب الخمر إلّاأن يحصل المطلوب منهما، بل لابدّ و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مثلاً أو لاتشرب الخمر و نحوهما ممّا يفيد الأمر و النهي من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و النهي عن المنكر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حكمت و حكومت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الإمام الخمينيّ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الولاية من الأمور الوضعيّة الاعتباريّة العقلائيّة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بين الرأيين فرقٌ لطيفٌ، فتأمّل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بالنسبة إلى خاتميّة نبيّنا صلى الله عليه و آله و خاتميّة القرآن معاً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الإبانة عن أصول الديانة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ليُجتنب عن الخلط بين المناظر، و يجب التثبّت في هذا المبحث فانّه من مزالّ الأقدام؛ فانظر على سبيل المثال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فربه تر از ايدئولوژى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ما بين يديّ من دواوين اللغوييّن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يحصل شيئان فصاعداً حصولاً ليس بينهما ما ليس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حقيقته تولّي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الوالي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الأشياء جميعها و المتصرّف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الصفي بوريّ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 وَلْياً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تباعدنا بعد 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ممّا يليك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يقاربك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تبعه من غير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منه و 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 الثّاني بعد الأوّل من غير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التفسيرالكبير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نفس المصدر و المجلّد و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قوله هذا في ما طبع من آثاره؛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رشحات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 المعارف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سوّى الفيوميّ بين الكسر و الفتح في اللفظة،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الولاية 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الفرق بين صورتي اللفظة فيظهر من كلمات بعضهم؛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بالنظر إلى المادّة و مشتقّاتها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نفس لفظة الولاية فوردت فيه في اثنتين و أربعين مورداً، و في جميع الموارد استعملت بمعنى الحكم و السلطة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 هذا المضمار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المبدأ والمعاد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لصدرالمتألّهين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 المتعالية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القوشجي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التجريد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21439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21939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21925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9588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كون الوكالة عن بعض المعصومين عليهم السلام من أمارات التوثيق خلافٌ، فذهب الأكثر إلى أنّها من أمارته، و نفاها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لتفصيل المقال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التعليقة على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نصٍّ من الحكماء في هذا المضمار، و إن كان ممّا لاريب فيه</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اللافت للنظر هيهنا ما رواه النيشابوريّ عن ابن عبّاس و الحسن و مجاهد و الضحّاك انّهم قالوا في تقسير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أُولِي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انّهم العلماء الّذين يفتون بالأحكام الشرعيّة و يعلّمون الناس دينهم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غرائب القرآن و رغائب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لتفصيل هذه الروايات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كريمتان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كريمات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فعلوا بابن يقطين و أضرابه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اسماعيل عن اسماعيل بن مرار عن بعض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لمّا قدم أبوإبراهيم موسى بن جعفر عليه السلام العراق قال عليّ بن 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ترى حالي و ما أنا فيه؟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انّ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أولياء مع أولياء الظلمة ليدفع بهم عن أوليائه، و أنت منهم يا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كريمات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الإجماع قد نُقل في كثيرٍ من مسفورات الفقهاء، ففي البلغة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حكاية الإجماع على ذلك فوق حدّ الاحصاء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للطوسيّ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أمّاالكلينيّ رحمه الله فلم يروه في جامعه، و لكنّه هو في سند الشيخين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33424</w:t>
      </w:r>
      <w:r>
        <w:rPr>
          <w:rFonts w:ascii="IRNazanin" w:hAnsi="IRNazanin" w:eastAsia="IRNazanin"/>
          <w:b w:val="false"/>
          <w:b w:val="false"/>
          <w:bCs w:val="false"/>
          <w:i w:val="false"/>
          <w:i w:val="false"/>
          <w:iCs w:val="false"/>
          <w:color w:val="333333"/>
          <w:sz w:val="20"/>
          <w:sz w:val="20"/>
          <w:szCs w:val="20"/>
          <w:rtl w:val="true"/>
        </w:rPr>
        <w:t>، و مضت الإشارة إلى تفصيل أسانيده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طريقٍ لها يشتمل على المفيد رحمه الله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الشيخ رحمه الله رواها عن جماعةٍ عن جعفر بن محمّد بن قولويه و أبي غالب الزراريّ عن محمّد بن يعقوب؛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الفقيه الهمدانيّ رحمه الله في محكيّ كلامه من كتاب الزكاة من مصباحه بعد ذكر إبراهيم بن هاشم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يُناقش في توصيف حديثه بالصحّة حيث انّ أهل الرجال لم ينصّوا بتوثيقه، و هذا ممّا لاينبغي الالتفات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أقف لأحدٍ من أصحابنا على قولٍ في القدح فيه، و لا على تعديله بالتنصيص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كما عن بعض الأكابر من المعاصرين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النمازيّ الشاهروديّ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كثيرٌ من روايات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أكثر من ألف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منقولةٌ عنه بواسطة ابنه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الإمام الخوئيّ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 إبراهيم بن هاشم في أسناد كثيرٍ من الروايات تبلغ ستّة الآف و أربعمأة و أربعة عشر مورداً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لايوجد في الرواة مثله في كثرة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إليه و تأمّل فيه؛ فانّ كلامه رحمه الله حول الحديث صريحٌ في عدم اعتماده عليه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و انّ محالّ نقل الحديث متفرّقةٌ فذكر في خلال ما يقرب من مأتي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للمحقّق الكمبانيّ رحمه الله نظرٌ في هذا القول؛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كثيرٍ من المصادر 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سيّدنا الرضا رحمه الله،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الصراطالمستقيم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بصائرالدرجات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انّ الناس يغدون على ثلاثةٍ عالمٍ و متعلّمٍ و غثاءٍ، و انّ الأئمّة من آل محمّدٍ هم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الباب أحاديث خمسة في جميعها روي عن الصادق عليه السلام انّه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فنحن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4790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للتفصيل حول أصحاب الإجماع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عوائدالأيّام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عمر بن حنظلة لم ينصّ الأصحاب فيه بجرحٍ و لاتعديلٍ، لكن أمره عندي سهلٌ لأنّي حقّقت توثيقه من محلٍّ آخر و إن كانوا قد أهملوه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الرعاية لحال 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عمر بن حنظلة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و الصفحات في هذه الطبعة غير مرقّمةٍ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يذهب إلى توثيقه، بل عدّه من الممدوحين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8986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توثيقٍ له فيه، بل ذكره المامقانيّ رحمه الله من غير أن يحكم بتوثيقه أو تضعيفه؛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8723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تكملة 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المحقّق العلّامة السيّد مصطفى الخمينيّ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دلالتها على ولاية الفقيه بالمعنى المقصود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دلالتها على ولاية الفقيه تحت عنوان جواز تصدّيه للحكومة الإسلاميّة و تشكيل الحكومات الجزئيّة و الكلّيّة فهو عندي غير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رسالة ولاية الفقيه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رحمه الله بعد أن ذكر المقبولة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انّ الظاهر من الروايات المتقدّمة نفوذ حكم الفقيه في جميع خصوصيّات الأحكام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المتبادر عرفاً من لفظ الحاكم هو المتسّلط على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يؤيّده العدول عن لفظ الحاكم إلى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القضاء و الشهادات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القضاء و الشهادات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للشيخ الأنصاريّ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33083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33083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كما عن العلّامة آية اللّه العظمى الخوئيّ رحمه الله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لامجال للاستدلال على ذلك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نكرةٌ يصدق على العلم ببعض المسائل أيضاً؛ و ذلك لما قدّمناه من أنّ تنكير تلك اللفظة إنّما هو من جهة عدم تمكّن البشر من الاحاطة بجميع علومهم و قضاياهم عليهم السلام، فانّ الإنسان مهما بلغ من العلم و الفقاهة لم يعرف إلّاشيئاً من علومهم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الاجتهاد والتقليد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كان أصل الوقف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لتفصيل الكلام حوله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الممطورة هم الواقفيّة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لقّبوا بذلك لأنّهم لكثرة ضررهم على الشيعة و افتنانهم بهم كانوا كالكلاب الّتي أصابها المطر و ابتلّت و مشت بين الناس، فلامحالة يتنجّس الناس بها، فكذلك هؤلاء في اختلالهم بالإماميّة و افتنانهم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7980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الشَّيخ فلم أعثر على الحديث بين مسفوراته، و لا على سندٍ له يشتمل عليه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الحائريّ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 بكونه موثّقاً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يؤيّده رواية صفوان و ابن أبي عمير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الموجود في رجاله يخالف ما في المتن جملةً و تفصيلاً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أبي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الوقف أشدّ الخلق عداوةً للوليّ من بعد أبي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ثوقيقه فيه؛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القول منه رحمه الله في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لرواياته فيه و حكم بصحّتها إذا لم يكن هناك ما يخالفها و لم تكن مخالفةً لما تعمل به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 ما رووه ليس هناك ما يخالفه و لايُعرف من الطائفة العمل بخلافه وجب أيضاً العمل به إذا كان متحرّجاً في روايته موثوقاً في أمانته و إن كان مخطئاً في أصل الإعتقاد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لأجل ما قلناه عملت الطائفة بأخبار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عوائدالأيّام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كلامٍ له في هذا المضمار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للصدوق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مضت الإشارة آنفاً إلى بعض مصادره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الرعاية لحال 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قال الكشّي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أبومحمّد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أبوالبختريّ من أكذب البريّة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من رماه بالغلوّ؛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ثمّ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توثيق المفيد رحمه الله إيّاه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رجال ابن الغضائريّ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أحاديث كلّها لايوثق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انّ الشيخ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أدام اللّه عزّه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العبارة عن بعض المصادر الرجاليّة، و ما فيه يوافق المنقول في المتن؛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الخاقانيّ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مضت الإشارة إلى ما يتعلّق بهذا الجواب؛ فراجعه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المحقّق آية اللّه العظمى الخوئيّ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الوراثة إنّما تكون في أمورٍ قابلةٍ للانتقال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نحرز كون الولاية من قبيل ما تقبل التوريث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الولاية خارجةٌ عن حدودها تخصّصاً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ينسب الحديث في مصدرين الأوّلين إلى مولانا الرضا عليه السلام، بل الظاهر انّه من كلام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المحقّق المجلسيّ رحمه الله فنسبه إليه؛ فلاحظ و تأمّل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ما بين يديّ من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السند بتمامه، و في 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ذكرالسنة الّتي سمعها فيها عن شيخه أيضاً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الحائريّ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حسّنه خالي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لرواية الشيخ الصدوق عنه، و قد أكثر من الرواية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ترجمةٍ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الموحّد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يونس بن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انّ كلام الشيخ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أطال اللّه بقاءه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إلى ابن قتيبة، لا إلى ابن عبدوس، إلّاأن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تصحيح طريق ابن قتيبة يرجع إلى تصحيح مشايخ طريقه، و منهم ابن عبدوس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عبدالواحد في هذا الكتاب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ترجمةٍ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فيه أيضاً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تعداد ألفاظ التعديل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شيخٌ جليلٌ صالح الحديث مشكورٌ خيّرٌ فاضلٌ؛ اتّفق هذا الوصف لجماعةٍ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قتيبة القتيبيّ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الرعاية لحال 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8505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19954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33086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33794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34187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21939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21677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ورودها فيه؛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33799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مصادرنا الروائيّة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الصحيح، حيث لم أجد الحديث في المصادر الروائيّة بعد الفحص البالغ</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الآتية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هذه الصورة من الرواية فيه، و المذكور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علماء أمّتي كأنبياء بني إسرائيل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فيه بنصّه، و المنقول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أفتخر يوم القيامة بعلماء أمّتي على سائر الأنبياء قبلي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عليه في غيره، و هو من حديث أبي هريرة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الأولى من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العلماء حكّامٌ على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توجد فيه فقط؛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الغرر و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21471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النائينيّ رحمه الله بعد أن نقل جملةً من الآيات و الأحاديث المستشهد بها لثبوت الولاية للفقيه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لايخفى عدم دلالة شيءٍ من المذكورات على أزيد من اثبات وظيفة تبليغ الأحكام إلى الناس، و انّ أقوالهم حجّةٌ في مقام التبليغ و يجب على الناس متابعتهم فيما يبلّغونه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كونهم كأنبياء بني إسرائيل ليس دليلاً على اثبات الولاية العامّة لهم إلّابتخيّل عموم التشبيه، و لكنّه مدفوعٌ بأنّه لم يُعلم من أنبياء بني إسرائيل كونهم بما انّهم الأنبياء ولاة على الناس، بل الظاهر المستفاد من الرجوع إلى سيرهم عدم تصدّي أكثرهم إلّالتبليغ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جملةٌ منهم عليهم السلام ملوكاً مثل موسى و داود و سليمان و كانوا متصدّين لوظائف الولاة، لكن لا بما هم أنبياء بل بما هم 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المكاسب و البيع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تقريرات المحقّق النائينيّ بقلم العلّامة الآمليّ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لتفصيل الكلام حول تصحيح رواياته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أشرنا إلى ما فيه في الهامش، فراجعه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المحقّق النائينيّ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مثل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مجاري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ذيله لايدلّ على أزيد من اثبات منصب التبليغ لهم في بيان الأحكام من الحلال و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المكاسب و البيع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تقريرات المحقّق النائينيّ بقلم العلّامة الآمليّ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عدم تماميّة كلامه رحمه الله؛ و ذلك بالنظر إلى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 تفسير النائينيّ رحمه الله للحديث لايشمل عليه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قوله هذا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القضاء والشهادات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إلى الإمام العسكريّ عليه السلام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العابد على العابد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ليس الحديث فيه مرسلاً و إن كان ضعيفاً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للمحقّق الخوئيّ رحمه الله نظرٌ في دلالتها على المطلوب؛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الاجتهاد و 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19969</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لم أعثر عليه في غيره</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الغريب انّني لم أعثر على قوله عليه السلام في هذه المصادر؛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البرهان و الصافي فلم أعثر عليه فيهما،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 لم أعثر عليه في غيره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كما هو المشهور،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ضبطه المحقّق التستريّ رحمه الله،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الغريب ضبط اللفظة في الطبعة الجديدة من الكتاب بما يوافق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الجديدة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19964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الظاهر انّه أوقد النار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للتحقيق حوله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الباب سمّاه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حكم الخروج بالسيف قبل قيام القائم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الترافع في زمن الغيبة حكم الاستفتاء، فيجب المرافعة إلى الأعلم على القول بوجوب تقليده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اعترف صاحب المفاتيح مدّعياً لنفي الخلاف ظاهراً بين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الاجتهاد و 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قائلٌ بالتفصيل في صور المسألة الشتيتة، و لايقبل تقدّم قول المفضول على الفاضل في الأحكام؛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ستّ رسائل قد طبعت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الفشاركيّة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توجد فيها رسالةٌ في الإجتهاد و التقليد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نصّ على عدم 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الأعلميّة فيما أمره راجعٌ إلى المجتهد إلّافي التقليد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 الحكم و رئاسة المجتمع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الأحوط في القاضي أن يكون أعلم من في ذلك البلد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أيٍّ لايعتبر الأعلميّة في الحاكم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جميع الحواشي مطبوعةٌ في ذيل المسألة، و هي في مرأى الباحثين و منظرهم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العراقيّ رحمه الله على العروة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الاجتهاد و التقليد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للسيّد الخوئيّ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19964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عليها في هذه المصادر، 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19950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10866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و مضت آنفاً الاشارة إلى محلّها فيه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فينبغي أن لايكون الخليفة على الأمّة إلّاأعلمهم بكتاب اللّه و سنّة 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هذا الكتاب، و لم يوجد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طبعت في أربعة مجلّدات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الأمينيّ رحمه الله المصدر الّذي أخذ عنه هذا الحديث</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لها طرقٌ عال؛ 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العدالة عبارةٌ عن ملكةٍ نفسانيةٍ تبعث على ملازمة التقوى و المروءة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العدالة عبارةٌ عن صفةٍ نفسانيّةٍ توجب التقوى و المروءة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النورالمبين في شرح التحرير و 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الأولى أن يقال في تعريفها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عبارةٌ عن كون الرجال مبالياً بدينه بحيث يبعثه تديّنه في العادة على فعل الواجبات و ترك المحرّمات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34032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فالعدالة المطلقة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الاستقامة العمليّة كما يقتضيه معناها اللغويّ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المتحصّل انّ العدالة ليست لها حقيقةٌ شرعيّةٌ و انّما استعملت في الكتاب و الأخبار بمعناها اللغويّ،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الاستقامة و عدم الاعوجاج و الانحراف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ظهر انّ العدالة ليست من الأوصاف النفسانيّة و إنّما هي صفةٌ عمليّةٌ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الاجتهاد و 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للباقلانيّ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حول من قيل بورود الآية في شأنه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بلعام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10773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10775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بينها و بين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العدالة تشير إلى ملكة التخلّي عن الرذائل، و الطهارة الروحيّة تشير إلى التحلّي بالفضائل؛ فمرتبة الثّاني أعلى و أرفع من الأوّل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الشرائط القوّة القدسيّة و الملكة القويّة، و هو أصل الشرائط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الفائدة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يشترط في المجتهد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لايكون مقبلاً على الدنيا و طالباً لها مكبّاً عليها مجدّاً في تحصيلها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أن يكون المرجِع للتقليد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غير مكبٍّ على الدنيا و لاحريصاً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تحريرالوسيلة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الحديديّ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كلام بعض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ما يخرج من رؤوس الصدّيقين حبّ الرئاسة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تحريرالوسيلة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عليها فيه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القضاء و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القلم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المجنون حتّى يفيق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الحديديّ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للصدوق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للنعمانيّ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15508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لم أعثر عليه في غيره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الحديديّ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الحديديّ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لتفصيل الكلام حول مذاهب مفسّري العامّة حول هذه الكريمة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ثمّ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عن البلاذريّ و اليعقوبيّ؛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لتفصيل أخباره صلى الله عليه و آله في وقعة فتح مكّة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السيرة النبويّة لابن هشام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Pr>
        <w:t>7825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25341</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14705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كريمتان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للعمومات و معلوميّة كون الرجال هم الأصل في الشهادة، بل لم أتحقّق فيه خلافاً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 الأوّل منه؛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10825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16660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النهج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أطراف الحديث النبويّ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الأولى من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يذلّهم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أمّا الحديث بتمامه فلم أعثر عليه في المجامع الروائيّة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يظهر من نصّ كلامه رحمه الله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اشتراط الذكورة فذلك ظاهرٌ فيما لم يجزللمرأة فيه أمرٌ، و أمّا في غير ذلك فلانعلم له دليلاً واضحاً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هو المشهور، فلوكان إجماعاً فلابحث و إلّافالمنع بالكلّيّة محلّ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يوجد في المصادر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المجمع عليه لاريب فيه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عداد صفات الأنبياء السلبيّة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كلّما ينفرّ عنه من دناءة الآباء و عهر الأمّهات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جماعة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نصٍّ لهما فيهما؛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الطوسيّ على الإشارات و التنبيهات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مع تغييرٍ يسيرٍ بين ما في المتن و بين ما في جميع المصادر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سمّاه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طبقات الأنبياء و الرسل و الأئمّة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الإجماع في كلامه رحمه الله، بل له في هذه المسألة ترديدٌ؛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 في بيان شرائط الاجتهاد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لايكون معوّج السليقة، فانّه آفةٌ للحاسّة الباطنة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الفوائدالحائريّة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 هذا المضمار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فتاوى ابن الجنيد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يوجد فيها كثيرٌ من المسائل قد خالف فيها القوم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اللآلئ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التحنّك صار في هذا الزمان لباس الشهرة؛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فينبغي أن يكون محرّماً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التحنّك سنّةٌ مطلقاً، إلّاانّه قد ترك اليوم بحيث صار من لباس الشهرة المنهيّ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المفتاح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يركب الحمار العاري و يردف خلفه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في مضانّه، كباب احتجاجات الصادق عليه السلام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لاتُقبل شهادة السائل في كفّه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ذلك يؤذن بمهانة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شرايع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الفقيه النجفيّ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بلاخلافٍ أجده فيه، بل يمكن تحصيل الإجماع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انظر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الشهادات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لآية اللّه العظمى الكلبايكاني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25001</w:t>
      </w:r>
      <w:r>
        <w:rPr>
          <w:rFonts w:ascii="IRNazanin" w:hAnsi="IRNazanin" w:eastAsia="IRNazanin"/>
          <w:b w:val="false"/>
          <w:b w:val="false"/>
          <w:bCs w:val="false"/>
          <w:i w:val="false"/>
          <w:i w:val="false"/>
          <w:iCs w:val="false"/>
          <w:color w:val="333333"/>
          <w:sz w:val="20"/>
          <w:sz w:val="20"/>
          <w:szCs w:val="20"/>
          <w:rtl w:val="true"/>
        </w:rPr>
        <w:t xml:space="preserve">؛ و قريبٌ منه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الحديديّ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غررالحكم و دررالكلم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Pr>
        <w:t>7858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غررالحكم و دررالكلم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Pr>
        <w:t>8013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غررالحكم و دررالكلم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Pr>
        <w:t>8039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غررالحكم و دررالكلم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Pr>
        <w:t>8036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غررالحكم و دررالكلم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Pr>
        <w:t>8037</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اضطهد الكرام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غررالحكم و دررالكلم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Pr>
        <w:t>8038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و 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تولّي الأراذل و الأحداث الدولَ دليل انحلالها و ادبارها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غررالحكم و دررالكلم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Pr>
        <w:t>7925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غررالحكم و دررالكلم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Pr>
        <w:t>7828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ثاني الشهيدين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لومات الإمام الأصل هل ينعزل القضاة أم لا؟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ينعزلون مطلقاً، لأنّهم نوّابه و ولايتهم فرعٌ على ولايته، فإذا زال الأصل تبعه الفرع؛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لاينعزلون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الأظهر هو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يقدح هذا في ولاية الفقيه حال الغيبة، فانّ الإمام الّذي جعله قاضياً و حاكماً قد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إلّاانّ الأصحاب مطبقون على استمرار تلك التولية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المجلّد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زندگانى و شخصيّت شيخ 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 هذا الشأن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مطالع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 المتعالية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الكريمة في القرآن الكريم ثمان مرّات؛ فانظر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قريبٌ منه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المكاسب المحرّمه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لآية اللّه العظمى الشيخ محمد على الاراكى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المحاضرات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منتقى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لهذه الروايات الدالّة على طرح ما يخالف الكتاب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21484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20005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النهج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على سبيل المثال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 في الفقه الإسلاميّ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للسيّد العلّامة الحجّة السيّد كاظم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الحقّ و الحكم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للعلّامة الشيخ هادي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النهج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image" Target="media/image6.jpeg"/><Relationship Id="rId17" Type="http://schemas.openxmlformats.org/officeDocument/2006/relationships/image" Target="media/image6.jpeg"/><Relationship Id="rId18" Type="http://schemas.openxmlformats.org/officeDocument/2006/relationships/footer" Target="footer5.xml"/><Relationship Id="rId19" Type="http://schemas.openxmlformats.org/officeDocument/2006/relationships/image" Target="media/image7.jpeg"/><Relationship Id="rId20" Type="http://schemas.openxmlformats.org/officeDocument/2006/relationships/image" Target="media/image7.jpeg"/><Relationship Id="rId21" Type="http://schemas.openxmlformats.org/officeDocument/2006/relationships/footer" Target="footer6.xml"/><Relationship Id="rId22" Type="http://schemas.openxmlformats.org/officeDocument/2006/relationships/image" Target="media/image8.jpeg"/><Relationship Id="rId23" Type="http://schemas.openxmlformats.org/officeDocument/2006/relationships/image" Target="media/image8.jpeg"/><Relationship Id="rId24" Type="http://schemas.openxmlformats.org/officeDocument/2006/relationships/footer" Target="footer7.xml"/><Relationship Id="rId25" Type="http://schemas.openxmlformats.org/officeDocument/2006/relationships/image" Target="media/image9.jpeg"/><Relationship Id="rId26" Type="http://schemas.openxmlformats.org/officeDocument/2006/relationships/image" Target="media/image9.jpeg"/><Relationship Id="rId27" Type="http://schemas.openxmlformats.org/officeDocument/2006/relationships/footer" Target="footer8.xml"/><Relationship Id="rId28" Type="http://schemas.openxmlformats.org/officeDocument/2006/relationships/footer" Target="footer9.xml"/><Relationship Id="rId29" Type="http://schemas.openxmlformats.org/officeDocument/2006/relationships/footer" Target="footer10.xml"/><Relationship Id="rId30" Type="http://schemas.openxmlformats.org/officeDocument/2006/relationships/footer" Target="footer11.xml"/><Relationship Id="rId31" Type="http://schemas.openxmlformats.org/officeDocument/2006/relationships/footer" Target="footer12.xml"/><Relationship Id="rId32" Type="http://schemas.openxmlformats.org/officeDocument/2006/relationships/footer" Target="footer13.xml"/><Relationship Id="rId33" Type="http://schemas.openxmlformats.org/officeDocument/2006/relationships/footer" Target="footer14.xml"/><Relationship Id="rId34" Type="http://schemas.openxmlformats.org/officeDocument/2006/relationships/footer" Target="footer15.xml"/><Relationship Id="rId35" Type="http://schemas.openxmlformats.org/officeDocument/2006/relationships/footer" Target="footer16.xml"/><Relationship Id="rId36" Type="http://schemas.openxmlformats.org/officeDocument/2006/relationships/image" Target="media/image10.jpeg"/><Relationship Id="rId37" Type="http://schemas.openxmlformats.org/officeDocument/2006/relationships/image" Target="media/image10.jpeg"/><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footer" Target="footer24.xml"/><Relationship Id="rId46" Type="http://schemas.openxmlformats.org/officeDocument/2006/relationships/footer" Target="footer25.xml"/><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footer" Target="footer28.xml"/><Relationship Id="rId50" Type="http://schemas.openxmlformats.org/officeDocument/2006/relationships/footer" Target="footer29.xml"/><Relationship Id="rId51" Type="http://schemas.openxmlformats.org/officeDocument/2006/relationships/footer" Target="footer30.xml"/><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footer" Target="footer33.xml"/><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footer" Target="footer173.xml"/><Relationship Id="rId195" Type="http://schemas.openxmlformats.org/officeDocument/2006/relationships/footer" Target="footer174.xml"/><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footer" Target="footer177.xml"/><Relationship Id="rId199" Type="http://schemas.openxmlformats.org/officeDocument/2006/relationships/footer" Target="footer178.xml"/><Relationship Id="rId200" Type="http://schemas.openxmlformats.org/officeDocument/2006/relationships/footer" Target="footer179.xml"/><Relationship Id="rId201" Type="http://schemas.openxmlformats.org/officeDocument/2006/relationships/footer" Target="footer180.xml"/><Relationship Id="rId202" Type="http://schemas.openxmlformats.org/officeDocument/2006/relationships/footer" Target="footer181.xml"/><Relationship Id="rId203" Type="http://schemas.openxmlformats.org/officeDocument/2006/relationships/footer" Target="footer182.xml"/><Relationship Id="rId204" Type="http://schemas.openxmlformats.org/officeDocument/2006/relationships/footer" Target="footer183.xml"/><Relationship Id="rId205" Type="http://schemas.openxmlformats.org/officeDocument/2006/relationships/footer" Target="footer184.xml"/><Relationship Id="rId206" Type="http://schemas.openxmlformats.org/officeDocument/2006/relationships/footer" Target="footer185.xml"/><Relationship Id="rId207" Type="http://schemas.openxmlformats.org/officeDocument/2006/relationships/footer" Target="footer186.xml"/><Relationship Id="rId208" Type="http://schemas.openxmlformats.org/officeDocument/2006/relationships/footer" Target="footer187.xml"/><Relationship Id="rId209" Type="http://schemas.openxmlformats.org/officeDocument/2006/relationships/footer" Target="footer188.xml"/><Relationship Id="rId210" Type="http://schemas.openxmlformats.org/officeDocument/2006/relationships/footer" Target="footer189.xml"/><Relationship Id="rId211" Type="http://schemas.openxmlformats.org/officeDocument/2006/relationships/footer" Target="footer190.xml"/><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footer" Target="footer194.xml"/><Relationship Id="rId216" Type="http://schemas.openxmlformats.org/officeDocument/2006/relationships/footer" Target="footer195.xml"/><Relationship Id="rId217" Type="http://schemas.openxmlformats.org/officeDocument/2006/relationships/footer" Target="footer196.xml"/><Relationship Id="rId218" Type="http://schemas.openxmlformats.org/officeDocument/2006/relationships/footer" Target="footer197.xml"/><Relationship Id="rId219" Type="http://schemas.openxmlformats.org/officeDocument/2006/relationships/footer" Target="footer198.xml"/><Relationship Id="rId220" Type="http://schemas.openxmlformats.org/officeDocument/2006/relationships/footer" Target="footer199.xml"/><Relationship Id="rId221" Type="http://schemas.openxmlformats.org/officeDocument/2006/relationships/footer" Target="footer200.xml"/><Relationship Id="rId222" Type="http://schemas.openxmlformats.org/officeDocument/2006/relationships/footer" Target="footer201.xml"/><Relationship Id="rId223" Type="http://schemas.openxmlformats.org/officeDocument/2006/relationships/footer" Target="footer202.xml"/><Relationship Id="rId224" Type="http://schemas.openxmlformats.org/officeDocument/2006/relationships/footer" Target="footer203.xml"/><Relationship Id="rId225" Type="http://schemas.openxmlformats.org/officeDocument/2006/relationships/footer" Target="footer204.xml"/><Relationship Id="rId226" Type="http://schemas.openxmlformats.org/officeDocument/2006/relationships/footer" Target="footer205.xml"/><Relationship Id="rId227" Type="http://schemas.openxmlformats.org/officeDocument/2006/relationships/footer" Target="footer206.xml"/><Relationship Id="rId228" Type="http://schemas.openxmlformats.org/officeDocument/2006/relationships/footer" Target="footer207.xml"/><Relationship Id="rId229" Type="http://schemas.openxmlformats.org/officeDocument/2006/relationships/footer" Target="footer208.xml"/><Relationship Id="rId230" Type="http://schemas.openxmlformats.org/officeDocument/2006/relationships/footer" Target="footer209.xml"/><Relationship Id="rId231" Type="http://schemas.openxmlformats.org/officeDocument/2006/relationships/footer" Target="footer210.xml"/><Relationship Id="rId232" Type="http://schemas.openxmlformats.org/officeDocument/2006/relationships/footer" Target="footer211.xml"/><Relationship Id="rId233" Type="http://schemas.openxmlformats.org/officeDocument/2006/relationships/footer" Target="footer212.xml"/><Relationship Id="rId234" Type="http://schemas.openxmlformats.org/officeDocument/2006/relationships/footer" Target="footer213.xml"/><Relationship Id="rId235" Type="http://schemas.openxmlformats.org/officeDocument/2006/relationships/footer" Target="footer214.xml"/><Relationship Id="rId236" Type="http://schemas.openxmlformats.org/officeDocument/2006/relationships/footer" Target="footer215.xml"/><Relationship Id="rId237" Type="http://schemas.openxmlformats.org/officeDocument/2006/relationships/footer" Target="footer216.xml"/><Relationship Id="rId238" Type="http://schemas.openxmlformats.org/officeDocument/2006/relationships/footer" Target="footer217.xml"/><Relationship Id="rId239" Type="http://schemas.openxmlformats.org/officeDocument/2006/relationships/footer" Target="footer218.xml"/><Relationship Id="rId240" Type="http://schemas.openxmlformats.org/officeDocument/2006/relationships/footer" Target="footer219.xml"/><Relationship Id="rId241" Type="http://schemas.openxmlformats.org/officeDocument/2006/relationships/footer" Target="footer220.xml"/><Relationship Id="rId242" Type="http://schemas.openxmlformats.org/officeDocument/2006/relationships/footer" Target="footer221.xml"/><Relationship Id="rId243" Type="http://schemas.openxmlformats.org/officeDocument/2006/relationships/footer" Target="footer222.xml"/><Relationship Id="rId244" Type="http://schemas.openxmlformats.org/officeDocument/2006/relationships/footer" Target="footer223.xml"/><Relationship Id="rId245" Type="http://schemas.openxmlformats.org/officeDocument/2006/relationships/footer" Target="footer224.xml"/><Relationship Id="rId246" Type="http://schemas.openxmlformats.org/officeDocument/2006/relationships/footer" Target="footer225.xml"/><Relationship Id="rId247" Type="http://schemas.openxmlformats.org/officeDocument/2006/relationships/footer" Target="footer226.xml"/><Relationship Id="rId248" Type="http://schemas.openxmlformats.org/officeDocument/2006/relationships/footer" Target="footer227.xml"/><Relationship Id="rId249" Type="http://schemas.openxmlformats.org/officeDocument/2006/relationships/footer" Target="footer228.xml"/><Relationship Id="rId250" Type="http://schemas.openxmlformats.org/officeDocument/2006/relationships/footer" Target="footer229.xml"/><Relationship Id="rId251" Type="http://schemas.openxmlformats.org/officeDocument/2006/relationships/footer" Target="footer230.xml"/><Relationship Id="rId252" Type="http://schemas.openxmlformats.org/officeDocument/2006/relationships/footer" Target="footer231.xml"/><Relationship Id="rId253" Type="http://schemas.openxmlformats.org/officeDocument/2006/relationships/footer" Target="footer232.xml"/><Relationship Id="rId254" Type="http://schemas.openxmlformats.org/officeDocument/2006/relationships/footer" Target="footer233.xml"/><Relationship Id="rId255" Type="http://schemas.openxmlformats.org/officeDocument/2006/relationships/footer" Target="footer234.xml"/><Relationship Id="rId256" Type="http://schemas.openxmlformats.org/officeDocument/2006/relationships/footer" Target="footer235.xml"/><Relationship Id="rId257" Type="http://schemas.openxmlformats.org/officeDocument/2006/relationships/footer" Target="footer236.xml"/><Relationship Id="rId258" Type="http://schemas.openxmlformats.org/officeDocument/2006/relationships/footer" Target="footer237.xml"/><Relationship Id="rId259" Type="http://schemas.openxmlformats.org/officeDocument/2006/relationships/footer" Target="footer238.xml"/><Relationship Id="rId260" Type="http://schemas.openxmlformats.org/officeDocument/2006/relationships/footer" Target="footer239.xml"/><Relationship Id="rId261" Type="http://schemas.openxmlformats.org/officeDocument/2006/relationships/footer" Target="footer240.xml"/><Relationship Id="rId262" Type="http://schemas.openxmlformats.org/officeDocument/2006/relationships/footer" Target="footer241.xml"/><Relationship Id="rId263" Type="http://schemas.openxmlformats.org/officeDocument/2006/relationships/footer" Target="footer242.xml"/><Relationship Id="rId264" Type="http://schemas.openxmlformats.org/officeDocument/2006/relationships/footer" Target="footer243.xml"/><Relationship Id="rId265" Type="http://schemas.openxmlformats.org/officeDocument/2006/relationships/footer" Target="footer244.xml"/><Relationship Id="rId266" Type="http://schemas.openxmlformats.org/officeDocument/2006/relationships/footer" Target="footer245.xml"/><Relationship Id="rId267" Type="http://schemas.openxmlformats.org/officeDocument/2006/relationships/footer" Target="footer246.xml"/><Relationship Id="rId268" Type="http://schemas.openxmlformats.org/officeDocument/2006/relationships/footer" Target="footer247.xml"/><Relationship Id="rId269" Type="http://schemas.openxmlformats.org/officeDocument/2006/relationships/footer" Target="footer248.xml"/><Relationship Id="rId270" Type="http://schemas.openxmlformats.org/officeDocument/2006/relationships/footer" Target="footer249.xml"/><Relationship Id="rId271" Type="http://schemas.openxmlformats.org/officeDocument/2006/relationships/footer" Target="footer250.xml"/><Relationship Id="rId272" Type="http://schemas.openxmlformats.org/officeDocument/2006/relationships/footer" Target="footer251.xml"/><Relationship Id="rId273" Type="http://schemas.openxmlformats.org/officeDocument/2006/relationships/footer" Target="footer252.xml"/><Relationship Id="rId274" Type="http://schemas.openxmlformats.org/officeDocument/2006/relationships/footer" Target="footer253.xml"/><Relationship Id="rId275" Type="http://schemas.openxmlformats.org/officeDocument/2006/relationships/footer" Target="footer254.xml"/><Relationship Id="rId276" Type="http://schemas.openxmlformats.org/officeDocument/2006/relationships/footer" Target="footer255.xml"/><Relationship Id="rId277" Type="http://schemas.openxmlformats.org/officeDocument/2006/relationships/footer" Target="footer256.xml"/><Relationship Id="rId278" Type="http://schemas.openxmlformats.org/officeDocument/2006/relationships/footer" Target="footer257.xml"/><Relationship Id="rId279" Type="http://schemas.openxmlformats.org/officeDocument/2006/relationships/footer" Target="footer258.xml"/><Relationship Id="rId280" Type="http://schemas.openxmlformats.org/officeDocument/2006/relationships/footer" Target="footer259.xml"/><Relationship Id="rId281" Type="http://schemas.openxmlformats.org/officeDocument/2006/relationships/footer" Target="footer260.xml"/><Relationship Id="rId282" Type="http://schemas.openxmlformats.org/officeDocument/2006/relationships/footer" Target="footer261.xml"/><Relationship Id="rId283" Type="http://schemas.openxmlformats.org/officeDocument/2006/relationships/footer" Target="footer262.xml"/><Relationship Id="rId284" Type="http://schemas.openxmlformats.org/officeDocument/2006/relationships/footer" Target="footer263.xml"/><Relationship Id="rId285" Type="http://schemas.openxmlformats.org/officeDocument/2006/relationships/footer" Target="footer264.xml"/><Relationship Id="rId286" Type="http://schemas.openxmlformats.org/officeDocument/2006/relationships/footer" Target="footer265.xml"/><Relationship Id="rId287" Type="http://schemas.openxmlformats.org/officeDocument/2006/relationships/footer" Target="footer266.xml"/><Relationship Id="rId288" Type="http://schemas.openxmlformats.org/officeDocument/2006/relationships/footer" Target="footer267.xml"/><Relationship Id="rId289" Type="http://schemas.openxmlformats.org/officeDocument/2006/relationships/footer" Target="footer268.xml"/><Relationship Id="rId290" Type="http://schemas.openxmlformats.org/officeDocument/2006/relationships/footer" Target="footer269.xml"/><Relationship Id="rId291" Type="http://schemas.openxmlformats.org/officeDocument/2006/relationships/footer" Target="footer270.xml"/><Relationship Id="rId292" Type="http://schemas.openxmlformats.org/officeDocument/2006/relationships/footer" Target="footer271.xml"/><Relationship Id="rId293" Type="http://schemas.openxmlformats.org/officeDocument/2006/relationships/footer" Target="footer272.xml"/><Relationship Id="rId294" Type="http://schemas.openxmlformats.org/officeDocument/2006/relationships/footer" Target="footer273.xml"/><Relationship Id="rId295" Type="http://schemas.openxmlformats.org/officeDocument/2006/relationships/footer" Target="footer274.xml"/><Relationship Id="rId296" Type="http://schemas.openxmlformats.org/officeDocument/2006/relationships/footer" Target="footer275.xml"/><Relationship Id="rId297" Type="http://schemas.openxmlformats.org/officeDocument/2006/relationships/footer" Target="footer276.xml"/><Relationship Id="rId298" Type="http://schemas.openxmlformats.org/officeDocument/2006/relationships/footer" Target="footer277.xml"/><Relationship Id="rId299" Type="http://schemas.openxmlformats.org/officeDocument/2006/relationships/footer" Target="footer278.xml"/><Relationship Id="rId300" Type="http://schemas.openxmlformats.org/officeDocument/2006/relationships/footer" Target="footer279.xml"/><Relationship Id="rId301" Type="http://schemas.openxmlformats.org/officeDocument/2006/relationships/footer" Target="footer280.xml"/><Relationship Id="rId302" Type="http://schemas.openxmlformats.org/officeDocument/2006/relationships/footer" Target="footer281.xml"/><Relationship Id="rId303" Type="http://schemas.openxmlformats.org/officeDocument/2006/relationships/footer" Target="footer282.xml"/><Relationship Id="rId304" Type="http://schemas.openxmlformats.org/officeDocument/2006/relationships/footer" Target="footer283.xml"/><Relationship Id="rId305" Type="http://schemas.openxmlformats.org/officeDocument/2006/relationships/footer" Target="footer284.xml"/><Relationship Id="rId306" Type="http://schemas.openxmlformats.org/officeDocument/2006/relationships/footer" Target="footer285.xml"/><Relationship Id="rId307" Type="http://schemas.openxmlformats.org/officeDocument/2006/relationships/footer" Target="footer286.xml"/><Relationship Id="rId308" Type="http://schemas.openxmlformats.org/officeDocument/2006/relationships/footer" Target="footer287.xml"/><Relationship Id="rId309" Type="http://schemas.openxmlformats.org/officeDocument/2006/relationships/footer" Target="footer288.xml"/><Relationship Id="rId310" Type="http://schemas.openxmlformats.org/officeDocument/2006/relationships/footer" Target="footer289.xml"/><Relationship Id="rId311" Type="http://schemas.openxmlformats.org/officeDocument/2006/relationships/footer" Target="footer290.xml"/><Relationship Id="rId312" Type="http://schemas.openxmlformats.org/officeDocument/2006/relationships/footer" Target="footer291.xml"/><Relationship Id="rId313" Type="http://schemas.openxmlformats.org/officeDocument/2006/relationships/footer" Target="footer292.xml"/><Relationship Id="rId314" Type="http://schemas.openxmlformats.org/officeDocument/2006/relationships/footer" Target="footer293.xml"/><Relationship Id="rId315" Type="http://schemas.openxmlformats.org/officeDocument/2006/relationships/footer" Target="footer294.xml"/><Relationship Id="rId316" Type="http://schemas.openxmlformats.org/officeDocument/2006/relationships/footer" Target="footer295.xml"/><Relationship Id="rId317" Type="http://schemas.openxmlformats.org/officeDocument/2006/relationships/footer" Target="footer296.xml"/><Relationship Id="rId318" Type="http://schemas.openxmlformats.org/officeDocument/2006/relationships/footer" Target="footer297.xml"/><Relationship Id="rId319" Type="http://schemas.openxmlformats.org/officeDocument/2006/relationships/footer" Target="footer298.xml"/><Relationship Id="rId320" Type="http://schemas.openxmlformats.org/officeDocument/2006/relationships/footer" Target="footer299.xml"/><Relationship Id="rId321" Type="http://schemas.openxmlformats.org/officeDocument/2006/relationships/footer" Target="footer300.xml"/><Relationship Id="rId322" Type="http://schemas.openxmlformats.org/officeDocument/2006/relationships/footer" Target="footer301.xml"/><Relationship Id="rId323" Type="http://schemas.openxmlformats.org/officeDocument/2006/relationships/footer" Target="footer302.xml"/><Relationship Id="rId324" Type="http://schemas.openxmlformats.org/officeDocument/2006/relationships/footer" Target="footer303.xml"/><Relationship Id="rId325" Type="http://schemas.openxmlformats.org/officeDocument/2006/relationships/footer" Target="footer304.xml"/><Relationship Id="rId326" Type="http://schemas.openxmlformats.org/officeDocument/2006/relationships/footer" Target="footer305.xml"/><Relationship Id="rId327" Type="http://schemas.openxmlformats.org/officeDocument/2006/relationships/footer" Target="footer306.xml"/><Relationship Id="rId328" Type="http://schemas.openxmlformats.org/officeDocument/2006/relationships/footer" Target="footer307.xml"/><Relationship Id="rId329" Type="http://schemas.openxmlformats.org/officeDocument/2006/relationships/footer" Target="footer308.xml"/><Relationship Id="rId330" Type="http://schemas.openxmlformats.org/officeDocument/2006/relationships/footer" Target="footer309.xml"/><Relationship Id="rId331" Type="http://schemas.openxmlformats.org/officeDocument/2006/relationships/footer" Target="footer310.xml"/><Relationship Id="rId332" Type="http://schemas.openxmlformats.org/officeDocument/2006/relationships/footer" Target="footer311.xml"/><Relationship Id="rId333" Type="http://schemas.openxmlformats.org/officeDocument/2006/relationships/footer" Target="footer312.xml"/><Relationship Id="rId334" Type="http://schemas.openxmlformats.org/officeDocument/2006/relationships/footer" Target="footer313.xml"/><Relationship Id="rId335" Type="http://schemas.openxmlformats.org/officeDocument/2006/relationships/footer" Target="footer314.xml"/><Relationship Id="rId336" Type="http://schemas.openxmlformats.org/officeDocument/2006/relationships/footer" Target="footer315.xml"/><Relationship Id="rId337" Type="http://schemas.openxmlformats.org/officeDocument/2006/relationships/footer" Target="footer316.xml"/><Relationship Id="rId338" Type="http://schemas.openxmlformats.org/officeDocument/2006/relationships/footer" Target="footer317.xml"/><Relationship Id="rId339" Type="http://schemas.openxmlformats.org/officeDocument/2006/relationships/footer" Target="footer318.xml"/><Relationship Id="rId340" Type="http://schemas.openxmlformats.org/officeDocument/2006/relationships/footer" Target="footer319.xml"/><Relationship Id="rId341" Type="http://schemas.openxmlformats.org/officeDocument/2006/relationships/footer" Target="footer320.xml"/><Relationship Id="rId342" Type="http://schemas.openxmlformats.org/officeDocument/2006/relationships/footer" Target="footer321.xml"/><Relationship Id="rId343" Type="http://schemas.openxmlformats.org/officeDocument/2006/relationships/footer" Target="footer322.xml"/><Relationship Id="rId344" Type="http://schemas.openxmlformats.org/officeDocument/2006/relationships/footer" Target="footer323.xml"/><Relationship Id="rId345" Type="http://schemas.openxmlformats.org/officeDocument/2006/relationships/footer" Target="footer324.xml"/><Relationship Id="rId346" Type="http://schemas.openxmlformats.org/officeDocument/2006/relationships/footer" Target="footer325.xml"/><Relationship Id="rId347" Type="http://schemas.openxmlformats.org/officeDocument/2006/relationships/footer" Target="footer326.xml"/><Relationship Id="rId348" Type="http://schemas.openxmlformats.org/officeDocument/2006/relationships/footer" Target="footer327.xml"/><Relationship Id="rId349" Type="http://schemas.openxmlformats.org/officeDocument/2006/relationships/footer" Target="footer328.xml"/><Relationship Id="rId350" Type="http://schemas.openxmlformats.org/officeDocument/2006/relationships/footer" Target="footer329.xml"/><Relationship Id="rId351" Type="http://schemas.openxmlformats.org/officeDocument/2006/relationships/footer" Target="footer330.xml"/><Relationship Id="rId352" Type="http://schemas.openxmlformats.org/officeDocument/2006/relationships/footer" Target="footer331.xml"/><Relationship Id="rId353" Type="http://schemas.openxmlformats.org/officeDocument/2006/relationships/footer" Target="footer332.xml"/><Relationship Id="rId354" Type="http://schemas.openxmlformats.org/officeDocument/2006/relationships/footer" Target="footer333.xml"/><Relationship Id="rId355" Type="http://schemas.openxmlformats.org/officeDocument/2006/relationships/footer" Target="footer334.xml"/><Relationship Id="rId356" Type="http://schemas.openxmlformats.org/officeDocument/2006/relationships/footer" Target="footer335.xml"/><Relationship Id="rId357" Type="http://schemas.openxmlformats.org/officeDocument/2006/relationships/footer" Target="footer336.xml"/><Relationship Id="rId358" Type="http://schemas.openxmlformats.org/officeDocument/2006/relationships/footer" Target="footer337.xml"/><Relationship Id="rId359" Type="http://schemas.openxmlformats.org/officeDocument/2006/relationships/footer" Target="footer338.xml"/><Relationship Id="rId360" Type="http://schemas.openxmlformats.org/officeDocument/2006/relationships/footer" Target="footer339.xml"/><Relationship Id="rId361" Type="http://schemas.openxmlformats.org/officeDocument/2006/relationships/footer" Target="footer340.xml"/><Relationship Id="rId362" Type="http://schemas.openxmlformats.org/officeDocument/2006/relationships/footer" Target="footer341.xml"/><Relationship Id="rId363" Type="http://schemas.openxmlformats.org/officeDocument/2006/relationships/footer" Target="footer342.xml"/><Relationship Id="rId364" Type="http://schemas.openxmlformats.org/officeDocument/2006/relationships/footer" Target="footer343.xml"/><Relationship Id="rId365" Type="http://schemas.openxmlformats.org/officeDocument/2006/relationships/footer" Target="footer344.xml"/><Relationship Id="rId366" Type="http://schemas.openxmlformats.org/officeDocument/2006/relationships/footer" Target="footer345.xml"/><Relationship Id="rId367" Type="http://schemas.openxmlformats.org/officeDocument/2006/relationships/footer" Target="footer346.xml"/><Relationship Id="rId368" Type="http://schemas.openxmlformats.org/officeDocument/2006/relationships/footer" Target="footer347.xml"/><Relationship Id="rId369" Type="http://schemas.openxmlformats.org/officeDocument/2006/relationships/footer" Target="footer348.xml"/><Relationship Id="rId370" Type="http://schemas.openxmlformats.org/officeDocument/2006/relationships/footer" Target="footer349.xml"/><Relationship Id="rId371" Type="http://schemas.openxmlformats.org/officeDocument/2006/relationships/footer" Target="footer350.xml"/><Relationship Id="rId372" Type="http://schemas.openxmlformats.org/officeDocument/2006/relationships/footer" Target="footer351.xml"/><Relationship Id="rId373" Type="http://schemas.openxmlformats.org/officeDocument/2006/relationships/footer" Target="footer352.xml"/><Relationship Id="rId374" Type="http://schemas.openxmlformats.org/officeDocument/2006/relationships/footer" Target="footer353.xml"/><Relationship Id="rId375" Type="http://schemas.openxmlformats.org/officeDocument/2006/relationships/footer" Target="footer354.xml"/><Relationship Id="rId376" Type="http://schemas.openxmlformats.org/officeDocument/2006/relationships/footer" Target="footer355.xml"/><Relationship Id="rId377" Type="http://schemas.openxmlformats.org/officeDocument/2006/relationships/footer" Target="footer356.xml"/><Relationship Id="rId378" Type="http://schemas.openxmlformats.org/officeDocument/2006/relationships/footer" Target="footer357.xml"/><Relationship Id="rId379" Type="http://schemas.openxmlformats.org/officeDocument/2006/relationships/footer" Target="footer358.xml"/><Relationship Id="rId380" Type="http://schemas.openxmlformats.org/officeDocument/2006/relationships/footer" Target="footer359.xml"/><Relationship Id="rId381" Type="http://schemas.openxmlformats.org/officeDocument/2006/relationships/footer" Target="footer360.xml"/><Relationship Id="rId382" Type="http://schemas.openxmlformats.org/officeDocument/2006/relationships/footer" Target="footer361.xml"/><Relationship Id="rId383" Type="http://schemas.openxmlformats.org/officeDocument/2006/relationships/footer" Target="footer362.xml"/><Relationship Id="rId384" Type="http://schemas.openxmlformats.org/officeDocument/2006/relationships/footer" Target="footer363.xml"/><Relationship Id="rId385" Type="http://schemas.openxmlformats.org/officeDocument/2006/relationships/footer" Target="footer364.xml"/><Relationship Id="rId386" Type="http://schemas.openxmlformats.org/officeDocument/2006/relationships/footer" Target="footer365.xml"/><Relationship Id="rId387" Type="http://schemas.openxmlformats.org/officeDocument/2006/relationships/footer" Target="footer366.xml"/><Relationship Id="rId388" Type="http://schemas.openxmlformats.org/officeDocument/2006/relationships/footer" Target="footer367.xml"/><Relationship Id="rId389" Type="http://schemas.openxmlformats.org/officeDocument/2006/relationships/footer" Target="footer368.xml"/><Relationship Id="rId390" Type="http://schemas.openxmlformats.org/officeDocument/2006/relationships/footer" Target="footer369.xml"/><Relationship Id="rId391" Type="http://schemas.openxmlformats.org/officeDocument/2006/relationships/footer" Target="footer370.xml"/><Relationship Id="rId392" Type="http://schemas.openxmlformats.org/officeDocument/2006/relationships/footer" Target="footer371.xml"/><Relationship Id="rId393" Type="http://schemas.openxmlformats.org/officeDocument/2006/relationships/footer" Target="footer372.xml"/><Relationship Id="rId394" Type="http://schemas.openxmlformats.org/officeDocument/2006/relationships/footer" Target="footer373.xml"/><Relationship Id="rId395" Type="http://schemas.openxmlformats.org/officeDocument/2006/relationships/footer" Target="footer374.xml"/><Relationship Id="rId396" Type="http://schemas.openxmlformats.org/officeDocument/2006/relationships/footer" Target="footer375.xml"/><Relationship Id="rId397" Type="http://schemas.openxmlformats.org/officeDocument/2006/relationships/footer" Target="footer376.xml"/><Relationship Id="rId398" Type="http://schemas.openxmlformats.org/officeDocument/2006/relationships/footer" Target="footer377.xml"/><Relationship Id="rId399" Type="http://schemas.openxmlformats.org/officeDocument/2006/relationships/footer" Target="footer378.xml"/><Relationship Id="rId400" Type="http://schemas.openxmlformats.org/officeDocument/2006/relationships/footer" Target="footer379.xml"/><Relationship Id="rId401" Type="http://schemas.openxmlformats.org/officeDocument/2006/relationships/footer" Target="footer380.xml"/><Relationship Id="rId402" Type="http://schemas.openxmlformats.org/officeDocument/2006/relationships/footer" Target="footer381.xml"/><Relationship Id="rId403" Type="http://schemas.openxmlformats.org/officeDocument/2006/relationships/footer" Target="footer382.xml"/><Relationship Id="rId404" Type="http://schemas.openxmlformats.org/officeDocument/2006/relationships/footer" Target="footer383.xml"/><Relationship Id="rId405" Type="http://schemas.openxmlformats.org/officeDocument/2006/relationships/footer" Target="footer384.xml"/><Relationship Id="rId406" Type="http://schemas.openxmlformats.org/officeDocument/2006/relationships/footer" Target="footer385.xml"/><Relationship Id="rId407" Type="http://schemas.openxmlformats.org/officeDocument/2006/relationships/footer" Target="footer386.xml"/><Relationship Id="rId408" Type="http://schemas.openxmlformats.org/officeDocument/2006/relationships/footer" Target="footer387.xml"/><Relationship Id="rId409" Type="http://schemas.openxmlformats.org/officeDocument/2006/relationships/footer" Target="footer388.xml"/><Relationship Id="rId410" Type="http://schemas.openxmlformats.org/officeDocument/2006/relationships/footer" Target="footer389.xml"/><Relationship Id="rId411" Type="http://schemas.openxmlformats.org/officeDocument/2006/relationships/footer" Target="footer390.xml"/><Relationship Id="rId412" Type="http://schemas.openxmlformats.org/officeDocument/2006/relationships/footer" Target="footer391.xml"/><Relationship Id="rId413" Type="http://schemas.openxmlformats.org/officeDocument/2006/relationships/footer" Target="footer392.xml"/><Relationship Id="rId414" Type="http://schemas.openxmlformats.org/officeDocument/2006/relationships/footer" Target="footer393.xml"/><Relationship Id="rId415" Type="http://schemas.openxmlformats.org/officeDocument/2006/relationships/footer" Target="footer394.xml"/><Relationship Id="rId416" Type="http://schemas.openxmlformats.org/officeDocument/2006/relationships/footer" Target="footer395.xml"/><Relationship Id="rId417" Type="http://schemas.openxmlformats.org/officeDocument/2006/relationships/footer" Target="footer396.xml"/><Relationship Id="rId418" Type="http://schemas.openxmlformats.org/officeDocument/2006/relationships/footer" Target="footer397.xml"/><Relationship Id="rId419" Type="http://schemas.openxmlformats.org/officeDocument/2006/relationships/footer" Target="footer398.xml"/><Relationship Id="rId420" Type="http://schemas.openxmlformats.org/officeDocument/2006/relationships/footer" Target="footer399.xml"/><Relationship Id="rId421" Type="http://schemas.openxmlformats.org/officeDocument/2006/relationships/footer" Target="footer400.xml"/><Relationship Id="rId422" Type="http://schemas.openxmlformats.org/officeDocument/2006/relationships/footer" Target="footer401.xml"/><Relationship Id="rId423" Type="http://schemas.openxmlformats.org/officeDocument/2006/relationships/footer" Target="footer402.xml"/><Relationship Id="rId424" Type="http://schemas.openxmlformats.org/officeDocument/2006/relationships/image" Target="media/image11.jpeg"/><Relationship Id="rId425" Type="http://schemas.openxmlformats.org/officeDocument/2006/relationships/image" Target="media/image11.jpeg"/><Relationship Id="rId426" Type="http://schemas.openxmlformats.org/officeDocument/2006/relationships/footer" Target="footer403.xml"/><Relationship Id="rId427" Type="http://schemas.openxmlformats.org/officeDocument/2006/relationships/footer" Target="footer404.xml"/><Relationship Id="rId428" Type="http://schemas.openxmlformats.org/officeDocument/2006/relationships/image" Target="media/image12.jpeg"/><Relationship Id="rId429" Type="http://schemas.openxmlformats.org/officeDocument/2006/relationships/image" Target="media/image12.jpeg"/><Relationship Id="rId430" Type="http://schemas.openxmlformats.org/officeDocument/2006/relationships/footer" Target="footer405.xml"/><Relationship Id="rId431" Type="http://schemas.openxmlformats.org/officeDocument/2006/relationships/image" Target="media/image13.jpeg"/><Relationship Id="rId432" Type="http://schemas.openxmlformats.org/officeDocument/2006/relationships/image" Target="media/image13.jpeg"/><Relationship Id="rId433" Type="http://schemas.openxmlformats.org/officeDocument/2006/relationships/footer" Target="footer406.xml"/><Relationship Id="rId434" Type="http://schemas.openxmlformats.org/officeDocument/2006/relationships/image" Target="media/image14.jpeg"/><Relationship Id="rId435" Type="http://schemas.openxmlformats.org/officeDocument/2006/relationships/image" Target="media/image14.jpeg"/><Relationship Id="rId436" Type="http://schemas.openxmlformats.org/officeDocument/2006/relationships/footer" Target="footer407.xml"/><Relationship Id="rId437" Type="http://schemas.openxmlformats.org/officeDocument/2006/relationships/image" Target="media/image15.jpeg"/><Relationship Id="rId438" Type="http://schemas.openxmlformats.org/officeDocument/2006/relationships/image" Target="media/image15.jpeg"/><Relationship Id="rId439" Type="http://schemas.openxmlformats.org/officeDocument/2006/relationships/footer" Target="footer408.xml"/><Relationship Id="rId440" Type="http://schemas.openxmlformats.org/officeDocument/2006/relationships/image" Target="media/image16.jpeg"/><Relationship Id="rId441" Type="http://schemas.openxmlformats.org/officeDocument/2006/relationships/image" Target="media/image16.jpeg"/><Relationship Id="rId442" Type="http://schemas.openxmlformats.org/officeDocument/2006/relationships/footer" Target="footer409.xml"/><Relationship Id="rId443" Type="http://schemas.openxmlformats.org/officeDocument/2006/relationships/image" Target="media/image17.jpeg"/><Relationship Id="rId444" Type="http://schemas.openxmlformats.org/officeDocument/2006/relationships/image" Target="media/image17.jpeg"/><Relationship Id="rId445" Type="http://schemas.openxmlformats.org/officeDocument/2006/relationships/footer" Target="footer410.xml"/><Relationship Id="rId446" Type="http://schemas.openxmlformats.org/officeDocument/2006/relationships/image" Target="media/image18.jpeg"/><Relationship Id="rId447" Type="http://schemas.openxmlformats.org/officeDocument/2006/relationships/image" Target="media/image18.jpeg"/><Relationship Id="rId448" Type="http://schemas.openxmlformats.org/officeDocument/2006/relationships/footer" Target="footer411.xml"/><Relationship Id="rId449" Type="http://schemas.openxmlformats.org/officeDocument/2006/relationships/image" Target="media/image19.jpeg"/><Relationship Id="rId450" Type="http://schemas.openxmlformats.org/officeDocument/2006/relationships/image" Target="media/image19.jpeg"/><Relationship Id="rId451" Type="http://schemas.openxmlformats.org/officeDocument/2006/relationships/footer" Target="footer412.xml"/><Relationship Id="rId452" Type="http://schemas.openxmlformats.org/officeDocument/2006/relationships/image" Target="media/image20.jpeg"/><Relationship Id="rId453" Type="http://schemas.openxmlformats.org/officeDocument/2006/relationships/image" Target="media/image20.jpeg"/><Relationship Id="rId454" Type="http://schemas.openxmlformats.org/officeDocument/2006/relationships/footer" Target="footer413.xml"/><Relationship Id="rId455" Type="http://schemas.openxmlformats.org/officeDocument/2006/relationships/image" Target="media/image21.jpeg"/><Relationship Id="rId456" Type="http://schemas.openxmlformats.org/officeDocument/2006/relationships/image" Target="media/image21.jpeg"/><Relationship Id="rId457" Type="http://schemas.openxmlformats.org/officeDocument/2006/relationships/footer" Target="footer414.xml"/><Relationship Id="rId458" Type="http://schemas.openxmlformats.org/officeDocument/2006/relationships/image" Target="media/image22.jpeg"/><Relationship Id="rId459" Type="http://schemas.openxmlformats.org/officeDocument/2006/relationships/image" Target="media/image22.jpeg"/><Relationship Id="rId460" Type="http://schemas.openxmlformats.org/officeDocument/2006/relationships/footer" Target="footer415.xml"/><Relationship Id="rId461" Type="http://schemas.openxmlformats.org/officeDocument/2006/relationships/image" Target="media/image23.jpeg"/><Relationship Id="rId462" Type="http://schemas.openxmlformats.org/officeDocument/2006/relationships/image" Target="media/image23.jpeg"/><Relationship Id="rId463" Type="http://schemas.openxmlformats.org/officeDocument/2006/relationships/footer" Target="footer416.xml"/><Relationship Id="rId464" Type="http://schemas.openxmlformats.org/officeDocument/2006/relationships/image" Target="media/image24.jpeg"/><Relationship Id="rId465" Type="http://schemas.openxmlformats.org/officeDocument/2006/relationships/image" Target="media/image24.jpeg"/><Relationship Id="rId466" Type="http://schemas.openxmlformats.org/officeDocument/2006/relationships/footer" Target="footer417.xml"/><Relationship Id="rId467" Type="http://schemas.openxmlformats.org/officeDocument/2006/relationships/image" Target="media/image25.jpeg"/><Relationship Id="rId468" Type="http://schemas.openxmlformats.org/officeDocument/2006/relationships/image" Target="media/image25.jpeg"/><Relationship Id="rId469" Type="http://schemas.openxmlformats.org/officeDocument/2006/relationships/footer" Target="footer418.xml"/><Relationship Id="rId470" Type="http://schemas.openxmlformats.org/officeDocument/2006/relationships/image" Target="media/image26.jpeg"/><Relationship Id="rId471" Type="http://schemas.openxmlformats.org/officeDocument/2006/relationships/image" Target="media/image26.jpeg"/><Relationship Id="rId472" Type="http://schemas.openxmlformats.org/officeDocument/2006/relationships/footer" Target="footer419.xml"/><Relationship Id="rId473" Type="http://schemas.openxmlformats.org/officeDocument/2006/relationships/image" Target="media/image27.jpeg"/><Relationship Id="rId474" Type="http://schemas.openxmlformats.org/officeDocument/2006/relationships/image" Target="media/image27.jpeg"/><Relationship Id="rId475" Type="http://schemas.openxmlformats.org/officeDocument/2006/relationships/footer" Target="footer420.xml"/><Relationship Id="rId476" Type="http://schemas.openxmlformats.org/officeDocument/2006/relationships/image" Target="media/image28.jpeg"/><Relationship Id="rId477" Type="http://schemas.openxmlformats.org/officeDocument/2006/relationships/image" Target="media/image28.jpeg"/><Relationship Id="rId478" Type="http://schemas.openxmlformats.org/officeDocument/2006/relationships/footer" Target="footer421.xml"/><Relationship Id="rId479" Type="http://schemas.openxmlformats.org/officeDocument/2006/relationships/image" Target="media/image29.jpeg"/><Relationship Id="rId480" Type="http://schemas.openxmlformats.org/officeDocument/2006/relationships/image" Target="media/image29.jpeg"/><Relationship Id="rId481" Type="http://schemas.openxmlformats.org/officeDocument/2006/relationships/footer" Target="footer422.xml"/><Relationship Id="rId482" Type="http://schemas.openxmlformats.org/officeDocument/2006/relationships/image" Target="media/image30.jpeg"/><Relationship Id="rId483" Type="http://schemas.openxmlformats.org/officeDocument/2006/relationships/image" Target="media/image30.jpeg"/><Relationship Id="rId484" Type="http://schemas.openxmlformats.org/officeDocument/2006/relationships/footer" Target="footer423.xml"/><Relationship Id="rId485" Type="http://schemas.openxmlformats.org/officeDocument/2006/relationships/image" Target="media/image31.jpeg"/><Relationship Id="rId486" Type="http://schemas.openxmlformats.org/officeDocument/2006/relationships/image" Target="media/image31.jpeg"/><Relationship Id="rId487" Type="http://schemas.openxmlformats.org/officeDocument/2006/relationships/footer" Target="footer424.xml"/><Relationship Id="rId488" Type="http://schemas.openxmlformats.org/officeDocument/2006/relationships/image" Target="media/image2.jpeg"/><Relationship Id="rId489" Type="http://schemas.openxmlformats.org/officeDocument/2006/relationships/image" Target="media/image2.jpeg"/><Relationship Id="rId490" Type="http://schemas.openxmlformats.org/officeDocument/2006/relationships/footer" Target="footer425.xml"/><Relationship Id="rId491" Type="http://schemas.openxmlformats.org/officeDocument/2006/relationships/footnotes" Target="footnotes.xml"/><Relationship Id="rId492" Type="http://schemas.openxmlformats.org/officeDocument/2006/relationships/numbering" Target="numbering.xml"/><Relationship Id="rId493" Type="http://schemas.openxmlformats.org/officeDocument/2006/relationships/fontTable" Target="fontTable.xml"/><Relationship Id="rId494" Type="http://schemas.openxmlformats.org/officeDocument/2006/relationships/settings" Target="settings.xml"/><Relationship Id="rId4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438</Pages>
  <Words>36509</Words>
  <Characters>152738</Characters>
  <CharactersWithSpaces>187868</CharactersWithSpaces>
  <Paragraphs>1591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2026-08-25T17:28:14Z</dcterms:created>
  <dc:creator>ghaemiyeh.com</dc:creator>
  <dc:description/>
  <dc:language>en-US</dc:language>
  <cp:lastModifiedBy/>
  <dcterms:modified xsi:type="dcterms:W3CDTF">2026-08-25T20:58:30Z</dcterms:modified>
  <cp:revision>1</cp:revision>
  <dc:subject/>
  <dc:title>فقه الولایة و الحکومة الإسلامیة جلد 1</dc:title>
</cp:coreProperties>
</file>

<file path=docProps/custom.xml><?xml version="1.0" encoding="utf-8"?>
<Properties xmlns="http://schemas.openxmlformats.org/officeDocument/2006/custom-properties" xmlns:vt="http://schemas.openxmlformats.org/officeDocument/2006/docPropsVTypes"/>
</file>