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الإلهیات علی هدی الکتاب و السنة و العقل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21968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421970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421972_1280447820">
            <w:r>
              <w:rPr>
                <w:webHidden/>
                <w:rStyle w:val="IndexLink"/>
                <w:rtl w:val="true"/>
              </w:rPr>
              <w:t>الفصل التاسع الإمامة و الخلافة</w:t>
            </w:r>
            <w:r>
              <w:rPr>
                <w:rStyle w:val="IndexLink"/>
                <w:rtl w:val="true"/>
              </w:rPr>
              <w:tab/>
            </w:r>
            <w:r>
              <w:rPr>
                <w:rStyle w:val="IndexLink"/>
              </w:rPr>
              <w:t>19</w:t>
            </w:r>
          </w:hyperlink>
        </w:p>
        <w:p>
          <w:pPr>
            <w:pStyle w:val="Contents3"/>
            <w:tabs>
              <w:tab w:val="clear" w:pos="8459"/>
              <w:tab w:val="right" w:pos="9026" w:leader="dot"/>
            </w:tabs>
            <w:rPr/>
          </w:pPr>
          <w:hyperlink w:anchor="__RefHeading___Toc6421974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421976_1280447820">
            <w:r>
              <w:rPr>
                <w:webHidden/>
                <w:rStyle w:val="IndexLink"/>
                <w:rtl w:val="true"/>
              </w:rPr>
              <w:t>الأمر الأول في تعريف الإمامة</w:t>
            </w:r>
            <w:r>
              <w:rPr>
                <w:rStyle w:val="IndexLink"/>
                <w:rtl w:val="true"/>
              </w:rPr>
              <w:tab/>
            </w:r>
            <w:r>
              <w:rPr>
                <w:rStyle w:val="IndexLink"/>
              </w:rPr>
              <w:t>20</w:t>
            </w:r>
          </w:hyperlink>
        </w:p>
        <w:p>
          <w:pPr>
            <w:pStyle w:val="Contents3"/>
            <w:tabs>
              <w:tab w:val="clear" w:pos="8459"/>
              <w:tab w:val="right" w:pos="9026" w:leader="dot"/>
            </w:tabs>
            <w:rPr/>
          </w:pPr>
          <w:hyperlink w:anchor="__RefHeading___Toc6421978_1280447820">
            <w:r>
              <w:rPr>
                <w:webHidden/>
                <w:rStyle w:val="IndexLink"/>
                <w:rtl w:val="true"/>
              </w:rPr>
              <w:t>الأمر الثاني هل الإمامة من الأصول أو الفروع؟</w:t>
            </w:r>
            <w:r>
              <w:rPr>
                <w:rStyle w:val="IndexLink"/>
                <w:rtl w:val="true"/>
              </w:rPr>
              <w:tab/>
            </w:r>
            <w:r>
              <w:rPr>
                <w:rStyle w:val="IndexLink"/>
              </w:rPr>
              <w:t>21</w:t>
            </w:r>
          </w:hyperlink>
        </w:p>
        <w:p>
          <w:pPr>
            <w:pStyle w:val="Contents3"/>
            <w:tabs>
              <w:tab w:val="clear" w:pos="8459"/>
              <w:tab w:val="right" w:pos="9026" w:leader="dot"/>
            </w:tabs>
            <w:rPr/>
          </w:pPr>
          <w:hyperlink w:anchor="__RefHeading___Toc6421980_1280447820">
            <w:r>
              <w:rPr>
                <w:webHidden/>
                <w:rStyle w:val="IndexLink"/>
                <w:rtl w:val="true"/>
              </w:rPr>
              <w:t>الأمر الثالث ماهية الإمامة عند أهل السنّة</w:t>
            </w:r>
            <w:r>
              <w:rPr>
                <w:rStyle w:val="IndexLink"/>
                <w:rtl w:val="true"/>
              </w:rPr>
              <w:tab/>
            </w:r>
            <w:r>
              <w:rPr>
                <w:rStyle w:val="IndexLink"/>
              </w:rPr>
              <w:t>25</w:t>
            </w:r>
          </w:hyperlink>
        </w:p>
        <w:p>
          <w:pPr>
            <w:pStyle w:val="Contents3"/>
            <w:tabs>
              <w:tab w:val="clear" w:pos="8459"/>
              <w:tab w:val="right" w:pos="9026" w:leader="dot"/>
            </w:tabs>
            <w:rPr/>
          </w:pPr>
          <w:hyperlink w:anchor="__RefHeading___Toc6421982_1280447820">
            <w:r>
              <w:rPr>
                <w:webHidden/>
                <w:rStyle w:val="IndexLink"/>
                <w:rtl w:val="true"/>
              </w:rPr>
              <w:t>الأمر الرابع مؤهلات الإمام عند أهل السنّة</w:t>
            </w:r>
            <w:r>
              <w:rPr>
                <w:rStyle w:val="IndexLink"/>
                <w:rtl w:val="true"/>
              </w:rPr>
              <w:tab/>
            </w:r>
            <w:r>
              <w:rPr>
                <w:rStyle w:val="IndexLink"/>
              </w:rPr>
              <w:t>28</w:t>
            </w:r>
          </w:hyperlink>
        </w:p>
        <w:p>
          <w:pPr>
            <w:pStyle w:val="Contents4"/>
            <w:tabs>
              <w:tab w:val="clear" w:pos="8176"/>
              <w:tab w:val="right" w:pos="9026" w:leader="dot"/>
            </w:tabs>
            <w:rPr/>
          </w:pPr>
          <w:hyperlink w:anchor="__RefHeading___Toc6421984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6421986_1280447820">
            <w:r>
              <w:rPr>
                <w:webHidden/>
                <w:rStyle w:val="IndexLink"/>
                <w:rtl w:val="true"/>
              </w:rPr>
              <w:t>و يلاحظ على هذه الشروط</w:t>
            </w:r>
            <w:r>
              <w:rPr>
                <w:rStyle w:val="IndexLink"/>
                <w:rtl w:val="true"/>
              </w:rPr>
              <w:tab/>
            </w:r>
            <w:r>
              <w:rPr>
                <w:rStyle w:val="IndexLink"/>
              </w:rPr>
              <w:t>30</w:t>
            </w:r>
          </w:hyperlink>
        </w:p>
        <w:p>
          <w:pPr>
            <w:pStyle w:val="Contents3"/>
            <w:tabs>
              <w:tab w:val="clear" w:pos="8459"/>
              <w:tab w:val="right" w:pos="9026" w:leader="dot"/>
            </w:tabs>
            <w:rPr/>
          </w:pPr>
          <w:hyperlink w:anchor="__RefHeading___Toc6421988_1280447820">
            <w:r>
              <w:rPr>
                <w:webHidden/>
                <w:rStyle w:val="IndexLink"/>
                <w:rtl w:val="true"/>
              </w:rPr>
              <w:t>الأمر الخامس بما ذا تنعقد الإمامة عند أهل السنّة؟</w:t>
            </w:r>
            <w:r>
              <w:rPr>
                <w:rStyle w:val="IndexLink"/>
                <w:rtl w:val="true"/>
              </w:rPr>
              <w:tab/>
            </w:r>
            <w:r>
              <w:rPr>
                <w:rStyle w:val="IndexLink"/>
              </w:rPr>
              <w:t>32</w:t>
            </w:r>
          </w:hyperlink>
        </w:p>
        <w:p>
          <w:pPr>
            <w:pStyle w:val="Contents4"/>
            <w:tabs>
              <w:tab w:val="clear" w:pos="8176"/>
              <w:tab w:val="right" w:pos="9026" w:leader="dot"/>
            </w:tabs>
            <w:rPr/>
          </w:pPr>
          <w:hyperlink w:anchor="__RefHeading___Toc6421990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421992_1280447820">
            <w:r>
              <w:rPr>
                <w:webHidden/>
                <w:rStyle w:val="IndexLink"/>
                <w:rtl w:val="true"/>
              </w:rPr>
              <w:t>يلاحظ على هذه الأقوال و النظريات</w:t>
            </w:r>
            <w:r>
              <w:rPr>
                <w:rStyle w:val="IndexLink"/>
                <w:rtl w:val="true"/>
              </w:rPr>
              <w:tab/>
            </w:r>
            <w:r>
              <w:rPr>
                <w:rStyle w:val="IndexLink"/>
              </w:rPr>
              <w:t>35</w:t>
            </w:r>
          </w:hyperlink>
        </w:p>
        <w:p>
          <w:pPr>
            <w:pStyle w:val="Contents3"/>
            <w:tabs>
              <w:tab w:val="clear" w:pos="8459"/>
              <w:tab w:val="right" w:pos="9026" w:leader="dot"/>
            </w:tabs>
            <w:rPr/>
          </w:pPr>
          <w:hyperlink w:anchor="__RefHeading___Toc6421994_1280447820">
            <w:r>
              <w:rPr>
                <w:webHidden/>
                <w:rStyle w:val="IndexLink"/>
                <w:rtl w:val="true"/>
              </w:rPr>
              <w:t>الأمر السادس الإمامة عند الشيعة الإمامية</w:t>
            </w:r>
            <w:r>
              <w:rPr>
                <w:rStyle w:val="IndexLink"/>
                <w:rtl w:val="true"/>
              </w:rPr>
              <w:tab/>
            </w:r>
            <w:r>
              <w:rPr>
                <w:rStyle w:val="IndexLink"/>
              </w:rPr>
              <w:t>38</w:t>
            </w:r>
          </w:hyperlink>
        </w:p>
        <w:p>
          <w:pPr>
            <w:pStyle w:val="Contents4"/>
            <w:tabs>
              <w:tab w:val="clear" w:pos="8176"/>
              <w:tab w:val="right" w:pos="9026" w:leader="dot"/>
            </w:tabs>
            <w:rPr/>
          </w:pPr>
          <w:hyperlink w:anchor="__RefHeading___Toc6421996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6421998_1280447820">
            <w:r>
              <w:rPr>
                <w:webHidden/>
                <w:rStyle w:val="IndexLink"/>
                <w:rtl w:val="true"/>
              </w:rPr>
              <w:t>هل كانت الأمّة مؤهلة لسدّ تلك الفراغات؟</w:t>
            </w:r>
            <w:r>
              <w:rPr>
                <w:rStyle w:val="IndexLink"/>
                <w:rtl w:val="true"/>
              </w:rPr>
              <w:tab/>
            </w:r>
            <w:r>
              <w:rPr>
                <w:rStyle w:val="IndexLink"/>
              </w:rPr>
              <w:t>41</w:t>
            </w:r>
          </w:hyperlink>
        </w:p>
        <w:p>
          <w:pPr>
            <w:pStyle w:val="Contents4"/>
            <w:tabs>
              <w:tab w:val="clear" w:pos="8176"/>
              <w:tab w:val="right" w:pos="9026" w:leader="dot"/>
            </w:tabs>
            <w:rPr/>
          </w:pPr>
          <w:hyperlink w:anchor="__RefHeading___Toc6422000_1280447820">
            <w:r>
              <w:rPr>
                <w:webHidden/>
                <w:rStyle w:val="IndexLink"/>
                <w:rtl w:val="true"/>
              </w:rPr>
              <w:t>الإشكال الأول</w:t>
            </w:r>
            <w:r>
              <w:rPr>
                <w:rStyle w:val="IndexLink"/>
                <w:rtl w:val="true"/>
              </w:rPr>
              <w:tab/>
            </w:r>
            <w:r>
              <w:rPr>
                <w:rStyle w:val="IndexLink"/>
              </w:rPr>
              <w:t>50</w:t>
            </w:r>
          </w:hyperlink>
        </w:p>
        <w:p>
          <w:pPr>
            <w:pStyle w:val="Contents5"/>
            <w:tabs>
              <w:tab w:val="clear" w:pos="7892"/>
              <w:tab w:val="right" w:pos="9026" w:leader="dot"/>
            </w:tabs>
            <w:rPr/>
          </w:pPr>
          <w:hyperlink w:anchor="__RefHeading___Toc6422002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422004_1280447820">
            <w:r>
              <w:rPr>
                <w:webHidden/>
                <w:rStyle w:val="IndexLink"/>
                <w:rtl w:val="true"/>
              </w:rPr>
              <w:t>الجواب</w:t>
            </w:r>
            <w:r>
              <w:rPr>
                <w:rStyle w:val="IndexLink"/>
                <w:rtl w:val="true"/>
              </w:rPr>
              <w:tab/>
            </w:r>
            <w:r>
              <w:rPr>
                <w:rStyle w:val="IndexLink"/>
              </w:rPr>
              <w:t>51</w:t>
            </w:r>
          </w:hyperlink>
        </w:p>
        <w:p>
          <w:pPr>
            <w:pStyle w:val="Contents4"/>
            <w:tabs>
              <w:tab w:val="clear" w:pos="8176"/>
              <w:tab w:val="right" w:pos="9026" w:leader="dot"/>
            </w:tabs>
            <w:rPr/>
          </w:pPr>
          <w:hyperlink w:anchor="__RefHeading___Toc6422006_1280447820">
            <w:r>
              <w:rPr>
                <w:webHidden/>
                <w:rStyle w:val="IndexLink"/>
                <w:rtl w:val="true"/>
              </w:rPr>
              <w:t>الإشكال الثاني</w:t>
            </w:r>
            <w:r>
              <w:rPr>
                <w:rStyle w:val="IndexLink"/>
                <w:rtl w:val="true"/>
              </w:rPr>
              <w:tab/>
            </w:r>
            <w:r>
              <w:rPr>
                <w:rStyle w:val="IndexLink"/>
              </w:rPr>
              <w:t>53</w:t>
            </w:r>
          </w:hyperlink>
        </w:p>
        <w:p>
          <w:pPr>
            <w:pStyle w:val="Contents5"/>
            <w:tabs>
              <w:tab w:val="clear" w:pos="7892"/>
              <w:tab w:val="right" w:pos="9026" w:leader="dot"/>
            </w:tabs>
            <w:rPr/>
          </w:pPr>
          <w:hyperlink w:anchor="__RefHeading___Toc6422008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422010_1280447820">
            <w:r>
              <w:rPr>
                <w:webHidden/>
                <w:rStyle w:val="IndexLink"/>
                <w:rtl w:val="true"/>
              </w:rPr>
              <w:t>الجواب</w:t>
            </w:r>
            <w:r>
              <w:rPr>
                <w:rStyle w:val="IndexLink"/>
                <w:rtl w:val="true"/>
              </w:rPr>
              <w:tab/>
            </w:r>
            <w:r>
              <w:rPr>
                <w:rStyle w:val="IndexLink"/>
              </w:rPr>
              <w:t>53</w:t>
            </w:r>
          </w:hyperlink>
        </w:p>
        <w:p>
          <w:pPr>
            <w:pStyle w:val="Contents3"/>
            <w:tabs>
              <w:tab w:val="clear" w:pos="8459"/>
              <w:tab w:val="right" w:pos="9026" w:leader="dot"/>
            </w:tabs>
            <w:rPr/>
          </w:pPr>
          <w:hyperlink w:anchor="__RefHeading___Toc6422012_1280447820">
            <w:r>
              <w:rPr>
                <w:webHidden/>
                <w:rStyle w:val="IndexLink"/>
                <w:rtl w:val="true"/>
              </w:rPr>
              <w:t>الأمر السابع المصالح العامة، و صيغة الحكومة بعد النبي</w:t>
            </w:r>
            <w:r>
              <w:rPr>
                <w:rStyle w:val="IndexLink"/>
                <w:rtl w:val="true"/>
              </w:rPr>
              <w:tab/>
            </w:r>
            <w:r>
              <w:rPr>
                <w:rStyle w:val="IndexLink"/>
              </w:rPr>
              <w:t>58</w:t>
            </w:r>
          </w:hyperlink>
        </w:p>
        <w:p>
          <w:pPr>
            <w:pStyle w:val="Contents4"/>
            <w:tabs>
              <w:tab w:val="clear" w:pos="8176"/>
              <w:tab w:val="right" w:pos="9026" w:leader="dot"/>
            </w:tabs>
            <w:rPr/>
          </w:pPr>
          <w:hyperlink w:anchor="__RefHeading___Toc6422014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6422016_1280447820">
            <w:r>
              <w:rPr>
                <w:webHidden/>
                <w:rStyle w:val="IndexLink"/>
                <w:rtl w:val="true"/>
              </w:rPr>
              <w:t>الأول</w:t>
            </w:r>
            <w:r>
              <w:rPr>
                <w:rStyle w:val="IndexLink"/>
                <w:rtl w:val="true"/>
              </w:rPr>
              <w:t xml:space="preserve">: </w:t>
            </w:r>
            <w:r>
              <w:rPr>
                <w:rStyle w:val="IndexLink"/>
                <w:rtl w:val="true"/>
              </w:rPr>
              <w:t>الأمة الإسلامية و الخطر الثلاثي</w:t>
            </w:r>
            <w:r>
              <w:rPr>
                <w:rStyle w:val="IndexLink"/>
                <w:rtl w:val="true"/>
              </w:rPr>
              <w:tab/>
            </w:r>
            <w:r>
              <w:rPr>
                <w:rStyle w:val="IndexLink"/>
              </w:rPr>
              <w:t>58</w:t>
            </w:r>
          </w:hyperlink>
        </w:p>
        <w:p>
          <w:pPr>
            <w:pStyle w:val="Contents4"/>
            <w:tabs>
              <w:tab w:val="clear" w:pos="8176"/>
              <w:tab w:val="right" w:pos="9026" w:leader="dot"/>
            </w:tabs>
            <w:rPr/>
          </w:pPr>
          <w:hyperlink w:anchor="__RefHeading___Toc6422018_1280447820">
            <w:r>
              <w:rPr>
                <w:webHidden/>
                <w:rStyle w:val="IndexLink"/>
                <w:rtl w:val="true"/>
              </w:rPr>
              <w:t xml:space="preserve">الثاني </w:t>
            </w:r>
            <w:r>
              <w:rPr>
                <w:rStyle w:val="IndexLink"/>
                <w:rtl w:val="true"/>
              </w:rPr>
              <w:t xml:space="preserve">- </w:t>
            </w:r>
            <w:r>
              <w:rPr>
                <w:rStyle w:val="IndexLink"/>
                <w:rtl w:val="true"/>
              </w:rPr>
              <w:t>الحياة القبلية تمنع من الاتفاق على قائد</w:t>
            </w:r>
            <w:r>
              <w:rPr>
                <w:rStyle w:val="IndexLink"/>
                <w:rtl w:val="true"/>
              </w:rPr>
              <w:tab/>
            </w:r>
            <w:r>
              <w:rPr>
                <w:rStyle w:val="IndexLink"/>
              </w:rPr>
              <w:t>61</w:t>
            </w:r>
          </w:hyperlink>
        </w:p>
        <w:p>
          <w:pPr>
            <w:pStyle w:val="Contents4"/>
            <w:tabs>
              <w:tab w:val="clear" w:pos="8176"/>
              <w:tab w:val="right" w:pos="9026" w:leader="dot"/>
            </w:tabs>
            <w:rPr/>
          </w:pPr>
          <w:hyperlink w:anchor="__RefHeading___Toc6422020_1280447820">
            <w:r>
              <w:rPr>
                <w:webHidden/>
                <w:rStyle w:val="IndexLink"/>
                <w:rtl w:val="true"/>
              </w:rPr>
              <w:t xml:space="preserve">الثالث </w:t>
            </w:r>
            <w:r>
              <w:rPr>
                <w:rStyle w:val="IndexLink"/>
                <w:rtl w:val="true"/>
              </w:rPr>
              <w:t xml:space="preserve">- </w:t>
            </w:r>
            <w:r>
              <w:rPr>
                <w:rStyle w:val="IndexLink"/>
                <w:rtl w:val="true"/>
              </w:rPr>
              <w:t>الصحابة و مدى الوعي الديني</w:t>
            </w:r>
            <w:r>
              <w:rPr>
                <w:rStyle w:val="IndexLink"/>
                <w:rtl w:val="true"/>
              </w:rPr>
              <w:tab/>
            </w:r>
            <w:r>
              <w:rPr>
                <w:rStyle w:val="IndexLink"/>
              </w:rPr>
              <w:t>64</w:t>
            </w:r>
          </w:hyperlink>
        </w:p>
        <w:p>
          <w:pPr>
            <w:pStyle w:val="Contents3"/>
            <w:tabs>
              <w:tab w:val="clear" w:pos="8459"/>
              <w:tab w:val="right" w:pos="9026" w:leader="dot"/>
            </w:tabs>
            <w:rPr/>
          </w:pPr>
          <w:hyperlink w:anchor="__RefHeading___Toc6422022_1280447820">
            <w:r>
              <w:rPr>
                <w:webHidden/>
                <w:rStyle w:val="IndexLink"/>
                <w:rtl w:val="true"/>
              </w:rPr>
              <w:t>الأمر الثامن هل الشورى أساس الحكم و الخلافة؟</w:t>
            </w:r>
            <w:r>
              <w:rPr>
                <w:rStyle w:val="IndexLink"/>
                <w:rtl w:val="true"/>
              </w:rPr>
              <w:tab/>
            </w:r>
            <w:r>
              <w:rPr>
                <w:rStyle w:val="IndexLink"/>
              </w:rPr>
              <w:t>68</w:t>
            </w:r>
          </w:hyperlink>
        </w:p>
        <w:p>
          <w:pPr>
            <w:pStyle w:val="Contents4"/>
            <w:tabs>
              <w:tab w:val="clear" w:pos="8176"/>
              <w:tab w:val="right" w:pos="9026" w:leader="dot"/>
            </w:tabs>
            <w:rPr/>
          </w:pPr>
          <w:hyperlink w:anchor="__RefHeading___Toc6422024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422026_1280447820">
            <w:r>
              <w:rPr>
                <w:webHidden/>
                <w:rStyle w:val="IndexLink"/>
                <w:rtl w:val="true"/>
              </w:rPr>
              <w:t>استدلوا بآيتين</w:t>
            </w:r>
            <w:r>
              <w:rPr>
                <w:rStyle w:val="IndexLink"/>
                <w:rtl w:val="true"/>
              </w:rPr>
              <w:t>:</w:t>
              <w:tab/>
            </w:r>
            <w:r>
              <w:rPr>
                <w:rStyle w:val="IndexLink"/>
              </w:rPr>
              <w:t>69</w:t>
            </w:r>
          </w:hyperlink>
        </w:p>
        <w:p>
          <w:pPr>
            <w:pStyle w:val="Contents5"/>
            <w:tabs>
              <w:tab w:val="clear" w:pos="7892"/>
              <w:tab w:val="right" w:pos="9026" w:leader="dot"/>
            </w:tabs>
            <w:rPr/>
          </w:pPr>
          <w:hyperlink w:anchor="__RefHeading___Toc6422028_1280447820">
            <w:r>
              <w:rPr>
                <w:webHidden/>
                <w:rStyle w:val="IndexLink"/>
                <w:rtl w:val="true"/>
              </w:rPr>
              <w:t>الآية الأولى</w:t>
            </w:r>
            <w:r>
              <w:rPr>
                <w:rStyle w:val="IndexLink"/>
                <w:rtl w:val="true"/>
              </w:rPr>
              <w:t>:</w:t>
              <w:tab/>
            </w:r>
            <w:r>
              <w:rPr>
                <w:rStyle w:val="IndexLink"/>
              </w:rPr>
              <w:t>69</w:t>
            </w:r>
          </w:hyperlink>
        </w:p>
        <w:p>
          <w:pPr>
            <w:pStyle w:val="Contents5"/>
            <w:tabs>
              <w:tab w:val="clear" w:pos="7892"/>
              <w:tab w:val="right" w:pos="9026" w:leader="dot"/>
            </w:tabs>
            <w:rPr/>
          </w:pPr>
          <w:hyperlink w:anchor="__RefHeading___Toc6422030_1280447820">
            <w:r>
              <w:rPr>
                <w:webHidden/>
                <w:rStyle w:val="IndexLink"/>
                <w:rtl w:val="true"/>
              </w:rPr>
              <w:t>الآية الثانية</w:t>
            </w:r>
            <w:r>
              <w:rPr>
                <w:rStyle w:val="IndexLink"/>
                <w:rtl w:val="true"/>
              </w:rPr>
              <w:t>:</w:t>
              <w:tab/>
            </w:r>
            <w:r>
              <w:rPr>
                <w:rStyle w:val="IndexLink"/>
              </w:rPr>
              <w:t>70</w:t>
            </w:r>
          </w:hyperlink>
        </w:p>
        <w:p>
          <w:pPr>
            <w:pStyle w:val="Contents5"/>
            <w:tabs>
              <w:tab w:val="clear" w:pos="7892"/>
              <w:tab w:val="right" w:pos="9026" w:leader="dot"/>
            </w:tabs>
            <w:rPr/>
          </w:pPr>
          <w:hyperlink w:anchor="__RefHeading___Toc6422032_1280447820">
            <w:r>
              <w:rPr>
                <w:webHidden/>
                <w:rStyle w:val="IndexLink"/>
                <w:rtl w:val="true"/>
              </w:rPr>
              <w:t>إجابة عن سؤال</w:t>
            </w:r>
            <w:r>
              <w:rPr>
                <w:rStyle w:val="IndexLink"/>
                <w:rtl w:val="true"/>
              </w:rPr>
              <w:tab/>
            </w:r>
            <w:r>
              <w:rPr>
                <w:rStyle w:val="IndexLink"/>
              </w:rPr>
              <w:t>71</w:t>
            </w:r>
          </w:hyperlink>
        </w:p>
        <w:p>
          <w:pPr>
            <w:pStyle w:val="Contents4"/>
            <w:tabs>
              <w:tab w:val="clear" w:pos="8176"/>
              <w:tab w:val="right" w:pos="9026" w:leader="dot"/>
            </w:tabs>
            <w:rPr/>
          </w:pPr>
          <w:hyperlink w:anchor="__RefHeading___Toc6422034_1280447820">
            <w:r>
              <w:rPr>
                <w:webHidden/>
                <w:rStyle w:val="IndexLink"/>
                <w:rtl w:val="true"/>
              </w:rPr>
              <w:t>أسئلة حول مبدئية الشورى</w:t>
            </w:r>
            <w:r>
              <w:rPr>
                <w:rStyle w:val="IndexLink"/>
                <w:rtl w:val="true"/>
              </w:rPr>
              <w:tab/>
            </w:r>
            <w:r>
              <w:rPr>
                <w:rStyle w:val="IndexLink"/>
              </w:rPr>
              <w:t>72</w:t>
            </w:r>
          </w:hyperlink>
        </w:p>
        <w:p>
          <w:pPr>
            <w:pStyle w:val="Contents3"/>
            <w:tabs>
              <w:tab w:val="clear" w:pos="8459"/>
              <w:tab w:val="right" w:pos="9026" w:leader="dot"/>
            </w:tabs>
            <w:rPr/>
          </w:pPr>
          <w:hyperlink w:anchor="__RefHeading___Toc6422036_1280447820">
            <w:r>
              <w:rPr>
                <w:webHidden/>
                <w:rStyle w:val="IndexLink"/>
                <w:rtl w:val="true"/>
              </w:rPr>
              <w:t>الأمر التاسع هل البيعة أساس الحكم؟</w:t>
            </w:r>
            <w:r>
              <w:rPr>
                <w:rStyle w:val="IndexLink"/>
                <w:rtl w:val="true"/>
              </w:rPr>
              <w:tab/>
            </w:r>
            <w:r>
              <w:rPr>
                <w:rStyle w:val="IndexLink"/>
              </w:rPr>
              <w:t>74</w:t>
            </w:r>
          </w:hyperlink>
        </w:p>
        <w:p>
          <w:pPr>
            <w:pStyle w:val="Contents4"/>
            <w:tabs>
              <w:tab w:val="clear" w:pos="8176"/>
              <w:tab w:val="right" w:pos="9026" w:leader="dot"/>
            </w:tabs>
            <w:rPr/>
          </w:pPr>
          <w:hyperlink w:anchor="__RefHeading___Toc6422038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422040_1280447820">
            <w:r>
              <w:rPr>
                <w:webHidden/>
                <w:rStyle w:val="IndexLink"/>
                <w:rtl w:val="true"/>
              </w:rPr>
              <w:t>البيعة قبل الإسلام و بعده</w:t>
            </w:r>
            <w:r>
              <w:rPr>
                <w:rStyle w:val="IndexLink"/>
                <w:rtl w:val="true"/>
              </w:rPr>
              <w:tab/>
            </w:r>
            <w:r>
              <w:rPr>
                <w:rStyle w:val="IndexLink"/>
              </w:rPr>
              <w:t>74</w:t>
            </w:r>
          </w:hyperlink>
        </w:p>
        <w:p>
          <w:pPr>
            <w:pStyle w:val="Contents3"/>
            <w:tabs>
              <w:tab w:val="clear" w:pos="8459"/>
              <w:tab w:val="right" w:pos="9026" w:leader="dot"/>
            </w:tabs>
            <w:rPr/>
          </w:pPr>
          <w:hyperlink w:anchor="__RefHeading___Toc6422042_1280447820">
            <w:r>
              <w:rPr>
                <w:webHidden/>
                <w:rStyle w:val="IndexLink"/>
                <w:rtl w:val="true"/>
              </w:rPr>
              <w:t>الأمر العاشر تصوّر النبي الأكرم للقيادة بعده</w:t>
            </w:r>
            <w:r>
              <w:rPr>
                <w:rStyle w:val="IndexLink"/>
                <w:rtl w:val="true"/>
              </w:rPr>
              <w:tab/>
            </w:r>
            <w:r>
              <w:rPr>
                <w:rStyle w:val="IndexLink"/>
              </w:rPr>
              <w:t>78</w:t>
            </w:r>
          </w:hyperlink>
        </w:p>
        <w:p>
          <w:pPr>
            <w:pStyle w:val="Contents3"/>
            <w:tabs>
              <w:tab w:val="clear" w:pos="8459"/>
              <w:tab w:val="right" w:pos="9026" w:leader="dot"/>
            </w:tabs>
            <w:rPr/>
          </w:pPr>
          <w:hyperlink w:anchor="__RefHeading___Toc6422044_1280447820">
            <w:r>
              <w:rPr>
                <w:webHidden/>
                <w:rStyle w:val="IndexLink"/>
                <w:rtl w:val="true"/>
              </w:rPr>
              <w:t>الأمر الحادي عشر تصوّر الصحابة للخلافة بعد النبي</w:t>
            </w:r>
            <w:r>
              <w:rPr>
                <w:rStyle w:val="IndexLink"/>
                <w:rtl w:val="true"/>
              </w:rPr>
              <w:tab/>
            </w:r>
            <w:r>
              <w:rPr>
                <w:rStyle w:val="IndexLink"/>
              </w:rPr>
              <w:t>80</w:t>
            </w:r>
          </w:hyperlink>
        </w:p>
        <w:p>
          <w:pPr>
            <w:pStyle w:val="Contents3"/>
            <w:tabs>
              <w:tab w:val="clear" w:pos="8459"/>
              <w:tab w:val="right" w:pos="9026" w:leader="dot"/>
            </w:tabs>
            <w:rPr/>
          </w:pPr>
          <w:hyperlink w:anchor="__RefHeading___Toc6422046_1280447820">
            <w:r>
              <w:rPr>
                <w:webHidden/>
                <w:rStyle w:val="IndexLink"/>
                <w:rtl w:val="true"/>
              </w:rPr>
              <w:t>الأمر الثاني عشر صيغة القيادة في الشرائع السابقة</w:t>
            </w:r>
            <w:r>
              <w:rPr>
                <w:rStyle w:val="IndexLink"/>
                <w:rtl w:val="true"/>
              </w:rPr>
              <w:tab/>
            </w:r>
            <w:r>
              <w:rPr>
                <w:rStyle w:val="IndexLink"/>
              </w:rPr>
              <w:t>83</w:t>
            </w:r>
          </w:hyperlink>
        </w:p>
        <w:p>
          <w:pPr>
            <w:pStyle w:val="Contents4"/>
            <w:tabs>
              <w:tab w:val="clear" w:pos="8176"/>
              <w:tab w:val="right" w:pos="9026" w:leader="dot"/>
            </w:tabs>
            <w:rPr/>
          </w:pPr>
          <w:hyperlink w:anchor="__RefHeading___Toc6422048_1280447820">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6422050_1280447820">
            <w:r>
              <w:rPr>
                <w:webHidden/>
                <w:rStyle w:val="IndexLink"/>
                <w:rtl w:val="true"/>
              </w:rPr>
              <w:t>البحث الأول</w:t>
            </w:r>
            <w:r>
              <w:rPr>
                <w:rStyle w:val="IndexLink"/>
                <w:rtl w:val="true"/>
              </w:rPr>
              <w:t xml:space="preserve">: </w:t>
            </w:r>
            <w:r>
              <w:rPr>
                <w:rStyle w:val="IndexLink"/>
                <w:rtl w:val="true"/>
              </w:rPr>
              <w:t>السنّة النبوية و تنصيب علي للإمامة</w:t>
            </w:r>
            <w:r>
              <w:rPr>
                <w:rStyle w:val="IndexLink"/>
                <w:rtl w:val="true"/>
              </w:rPr>
              <w:tab/>
            </w:r>
            <w:r>
              <w:rPr>
                <w:rStyle w:val="IndexLink"/>
              </w:rPr>
              <w:t>88</w:t>
            </w:r>
          </w:hyperlink>
        </w:p>
        <w:p>
          <w:pPr>
            <w:pStyle w:val="Contents5"/>
            <w:tabs>
              <w:tab w:val="clear" w:pos="7892"/>
              <w:tab w:val="right" w:pos="9026" w:leader="dot"/>
            </w:tabs>
            <w:rPr/>
          </w:pPr>
          <w:hyperlink w:anchor="__RefHeading___Toc6422052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6422054_1280447820">
            <w:r>
              <w:rPr>
                <w:webHidden/>
                <w:rStyle w:val="IndexLink"/>
                <w:rtl w:val="true"/>
              </w:rPr>
              <w:t xml:space="preserve">أ </w:t>
            </w:r>
            <w:r>
              <w:rPr>
                <w:rStyle w:val="IndexLink"/>
                <w:rtl w:val="true"/>
              </w:rPr>
              <w:t xml:space="preserve">- </w:t>
            </w:r>
            <w:r>
              <w:rPr>
                <w:rStyle w:val="IndexLink"/>
                <w:rtl w:val="true"/>
              </w:rPr>
              <w:t>حديث بدء الدعوة</w:t>
            </w:r>
            <w:r>
              <w:rPr>
                <w:rStyle w:val="IndexLink"/>
                <w:rtl w:val="true"/>
              </w:rPr>
              <w:tab/>
            </w:r>
            <w:r>
              <w:rPr>
                <w:rStyle w:val="IndexLink"/>
              </w:rPr>
              <w:t>88</w:t>
            </w:r>
          </w:hyperlink>
        </w:p>
        <w:p>
          <w:pPr>
            <w:pStyle w:val="Contents6"/>
            <w:tabs>
              <w:tab w:val="clear" w:pos="7609"/>
              <w:tab w:val="right" w:pos="9026" w:leader="dot"/>
            </w:tabs>
            <w:rPr/>
          </w:pPr>
          <w:hyperlink w:anchor="__RefHeading___Toc6422056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6422058_1280447820">
            <w:r>
              <w:rPr>
                <w:webHidden/>
                <w:rStyle w:val="IndexLink"/>
                <w:rtl w:val="true"/>
              </w:rPr>
              <w:t>كتمان الحقائق</w:t>
            </w:r>
            <w:r>
              <w:rPr>
                <w:rStyle w:val="IndexLink"/>
                <w:rtl w:val="true"/>
              </w:rPr>
              <w:tab/>
            </w:r>
            <w:r>
              <w:rPr>
                <w:rStyle w:val="IndexLink"/>
              </w:rPr>
              <w:t>90</w:t>
            </w:r>
          </w:hyperlink>
        </w:p>
        <w:p>
          <w:pPr>
            <w:pStyle w:val="Contents5"/>
            <w:tabs>
              <w:tab w:val="clear" w:pos="7892"/>
              <w:tab w:val="right" w:pos="9026" w:leader="dot"/>
            </w:tabs>
            <w:rPr/>
          </w:pPr>
          <w:hyperlink w:anchor="__RefHeading___Toc6422060_1280447820">
            <w:r>
              <w:rPr>
                <w:webHidden/>
                <w:rStyle w:val="IndexLink"/>
                <w:rtl w:val="true"/>
              </w:rPr>
              <w:t xml:space="preserve">ب </w:t>
            </w:r>
            <w:r>
              <w:rPr>
                <w:rStyle w:val="IndexLink"/>
                <w:rtl w:val="true"/>
              </w:rPr>
              <w:t xml:space="preserve">- </w:t>
            </w:r>
            <w:r>
              <w:rPr>
                <w:rStyle w:val="IndexLink"/>
                <w:rtl w:val="true"/>
              </w:rPr>
              <w:t>حديث المنزلة</w:t>
            </w:r>
            <w:r>
              <w:rPr>
                <w:rStyle w:val="IndexLink"/>
                <w:rtl w:val="true"/>
              </w:rPr>
              <w:tab/>
            </w:r>
            <w:r>
              <w:rPr>
                <w:rStyle w:val="IndexLink"/>
              </w:rPr>
              <w:t>91</w:t>
            </w:r>
          </w:hyperlink>
        </w:p>
        <w:p>
          <w:pPr>
            <w:pStyle w:val="Contents5"/>
            <w:tabs>
              <w:tab w:val="clear" w:pos="7892"/>
              <w:tab w:val="right" w:pos="9026" w:leader="dot"/>
            </w:tabs>
            <w:rPr/>
          </w:pPr>
          <w:hyperlink w:anchor="__RefHeading___Toc6422062_1280447820">
            <w:r>
              <w:rPr>
                <w:webHidden/>
                <w:rStyle w:val="IndexLink"/>
                <w:rtl w:val="true"/>
              </w:rPr>
              <w:t xml:space="preserve">ج </w:t>
            </w:r>
            <w:r>
              <w:rPr>
                <w:rStyle w:val="IndexLink"/>
                <w:rtl w:val="true"/>
              </w:rPr>
              <w:t xml:space="preserve">- </w:t>
            </w:r>
            <w:r>
              <w:rPr>
                <w:rStyle w:val="IndexLink"/>
                <w:rtl w:val="true"/>
              </w:rPr>
              <w:t xml:space="preserve">حديث </w:t>
            </w:r>
            <w:r>
              <w:rPr>
                <w:rStyle w:val="IndexLink"/>
                <w:rtl w:val="true"/>
              </w:rPr>
              <w:t>«</w:t>
            </w:r>
            <w:r>
              <w:rPr>
                <w:rStyle w:val="IndexLink"/>
                <w:rtl w:val="true"/>
              </w:rPr>
              <w:t>الغدير</w:t>
            </w:r>
            <w:r>
              <w:rPr>
                <w:rStyle w:val="IndexLink"/>
                <w:rtl w:val="true"/>
              </w:rPr>
              <w:t>»</w:t>
              <w:tab/>
            </w:r>
            <w:r>
              <w:rPr>
                <w:rStyle w:val="IndexLink"/>
              </w:rPr>
              <w:t>94</w:t>
            </w:r>
          </w:hyperlink>
        </w:p>
        <w:p>
          <w:pPr>
            <w:pStyle w:val="Contents6"/>
            <w:tabs>
              <w:tab w:val="clear" w:pos="7609"/>
              <w:tab w:val="right" w:pos="9026" w:leader="dot"/>
            </w:tabs>
            <w:rPr/>
          </w:pPr>
          <w:hyperlink w:anchor="__RefHeading___Toc6422064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6422066_1280447820">
            <w:r>
              <w:rPr>
                <w:webHidden/>
                <w:rStyle w:val="IndexLink"/>
                <w:rtl w:val="true"/>
              </w:rPr>
              <w:t>و الاحتجاج به على إمامة عليّ عليه السلام يتحقق ببيان الأمور التالية</w:t>
            </w:r>
            <w:r>
              <w:rPr>
                <w:rStyle w:val="IndexLink"/>
                <w:rtl w:val="true"/>
              </w:rPr>
              <w:t>:</w:t>
              <w:tab/>
            </w:r>
            <w:r>
              <w:rPr>
                <w:rStyle w:val="IndexLink"/>
              </w:rPr>
              <w:t>97</w:t>
            </w:r>
          </w:hyperlink>
        </w:p>
        <w:p>
          <w:pPr>
            <w:pStyle w:val="Contents6"/>
            <w:tabs>
              <w:tab w:val="clear" w:pos="7609"/>
              <w:tab w:val="right" w:pos="9026" w:leader="dot"/>
            </w:tabs>
            <w:rPr/>
          </w:pPr>
          <w:hyperlink w:anchor="__RefHeading___Toc6422068_1280447820">
            <w:r>
              <w:rPr>
                <w:webHidden/>
                <w:rStyle w:val="IndexLink"/>
                <w:rtl w:val="true"/>
              </w:rPr>
              <w:t>الأمر الأول</w:t>
            </w:r>
            <w:r>
              <w:rPr>
                <w:rStyle w:val="IndexLink"/>
                <w:rtl w:val="true"/>
              </w:rPr>
              <w:t xml:space="preserve">: </w:t>
            </w:r>
            <w:r>
              <w:rPr>
                <w:rStyle w:val="IndexLink"/>
                <w:rtl w:val="true"/>
              </w:rPr>
              <w:t>البلاغ الرسمي للولاية</w:t>
            </w:r>
            <w:r>
              <w:rPr>
                <w:rStyle w:val="IndexLink"/>
                <w:rtl w:val="true"/>
              </w:rPr>
              <w:tab/>
            </w:r>
            <w:r>
              <w:rPr>
                <w:rStyle w:val="IndexLink"/>
              </w:rPr>
              <w:t>97</w:t>
            </w:r>
          </w:hyperlink>
        </w:p>
        <w:p>
          <w:pPr>
            <w:pStyle w:val="Contents6"/>
            <w:tabs>
              <w:tab w:val="clear" w:pos="7609"/>
              <w:tab w:val="right" w:pos="9026" w:leader="dot"/>
            </w:tabs>
            <w:rPr/>
          </w:pPr>
          <w:hyperlink w:anchor="__RefHeading___Toc6422070_1280447820">
            <w:r>
              <w:rPr>
                <w:webHidden/>
                <w:rStyle w:val="IndexLink"/>
                <w:rtl w:val="true"/>
              </w:rPr>
              <w:t>الأمر الثاني</w:t>
            </w:r>
            <w:r>
              <w:rPr>
                <w:rStyle w:val="IndexLink"/>
                <w:rtl w:val="true"/>
              </w:rPr>
              <w:t xml:space="preserve">: </w:t>
            </w:r>
            <w:r>
              <w:rPr>
                <w:rStyle w:val="IndexLink"/>
                <w:rtl w:val="true"/>
              </w:rPr>
              <w:t>سند الحديث و تواتره</w:t>
            </w:r>
            <w:r>
              <w:rPr>
                <w:rStyle w:val="IndexLink"/>
                <w:rtl w:val="true"/>
              </w:rPr>
              <w:tab/>
            </w:r>
            <w:r>
              <w:rPr>
                <w:rStyle w:val="IndexLink"/>
              </w:rPr>
              <w:t>98</w:t>
            </w:r>
          </w:hyperlink>
        </w:p>
        <w:p>
          <w:pPr>
            <w:pStyle w:val="Contents6"/>
            <w:tabs>
              <w:tab w:val="clear" w:pos="7609"/>
              <w:tab w:val="right" w:pos="9026" w:leader="dot"/>
            </w:tabs>
            <w:rPr/>
          </w:pPr>
          <w:hyperlink w:anchor="__RefHeading___Toc6422072_1280447820">
            <w:r>
              <w:rPr>
                <w:webHidden/>
                <w:rStyle w:val="IndexLink"/>
                <w:rtl w:val="true"/>
              </w:rPr>
              <w:t xml:space="preserve">الأمر الثالث </w:t>
            </w:r>
            <w:r>
              <w:rPr>
                <w:rStyle w:val="IndexLink"/>
                <w:rtl w:val="true"/>
              </w:rPr>
              <w:t xml:space="preserve">- </w:t>
            </w:r>
            <w:r>
              <w:rPr>
                <w:rStyle w:val="IndexLink"/>
                <w:rtl w:val="true"/>
              </w:rPr>
              <w:t>دلالة الحديث</w:t>
            </w:r>
            <w:r>
              <w:rPr>
                <w:rStyle w:val="IndexLink"/>
                <w:rtl w:val="true"/>
              </w:rPr>
              <w:tab/>
            </w:r>
            <w:r>
              <w:rPr>
                <w:rStyle w:val="IndexLink"/>
              </w:rPr>
              <w:t>100</w:t>
            </w:r>
          </w:hyperlink>
        </w:p>
        <w:p>
          <w:pPr>
            <w:pStyle w:val="Contents6"/>
            <w:tabs>
              <w:tab w:val="clear" w:pos="7609"/>
              <w:tab w:val="right" w:pos="9026" w:leader="dot"/>
            </w:tabs>
            <w:rPr/>
          </w:pPr>
          <w:hyperlink w:anchor="__RefHeading___Toc6422074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6422076_1280447820">
            <w:r>
              <w:rPr>
                <w:webHidden/>
                <w:rStyle w:val="IndexLink"/>
                <w:rtl w:val="true"/>
              </w:rPr>
              <w:t xml:space="preserve">الطريق الأول </w:t>
            </w:r>
            <w:r>
              <w:rPr>
                <w:rStyle w:val="IndexLink"/>
                <w:rtl w:val="true"/>
              </w:rPr>
              <w:t xml:space="preserve">- </w:t>
            </w:r>
            <w:r>
              <w:rPr>
                <w:rStyle w:val="IndexLink"/>
                <w:rtl w:val="true"/>
              </w:rPr>
              <w:t>الدلالة بالوضع اللغوي</w:t>
            </w:r>
            <w:r>
              <w:rPr>
                <w:rStyle w:val="IndexLink"/>
                <w:rtl w:val="true"/>
              </w:rPr>
              <w:tab/>
            </w:r>
            <w:r>
              <w:rPr>
                <w:rStyle w:val="IndexLink"/>
              </w:rPr>
              <w:t>100</w:t>
            </w:r>
          </w:hyperlink>
        </w:p>
        <w:p>
          <w:pPr>
            <w:pStyle w:val="Contents6"/>
            <w:tabs>
              <w:tab w:val="clear" w:pos="7609"/>
              <w:tab w:val="right" w:pos="9026" w:leader="dot"/>
            </w:tabs>
            <w:rPr/>
          </w:pPr>
          <w:hyperlink w:anchor="__RefHeading___Toc6422078_1280447820">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6422080_1280447820">
            <w:r>
              <w:rPr>
                <w:webHidden/>
                <w:rStyle w:val="IndexLink"/>
                <w:rtl w:val="true"/>
              </w:rPr>
              <w:t>ليس للمولى إلاّ معنى واحد</w:t>
            </w:r>
            <w:r>
              <w:rPr>
                <w:rStyle w:val="IndexLink"/>
                <w:rtl w:val="true"/>
              </w:rPr>
              <w:tab/>
            </w:r>
            <w:r>
              <w:rPr>
                <w:rStyle w:val="IndexLink"/>
              </w:rPr>
              <w:t>104</w:t>
            </w:r>
          </w:hyperlink>
        </w:p>
        <w:p>
          <w:pPr>
            <w:pStyle w:val="Contents6"/>
            <w:tabs>
              <w:tab w:val="clear" w:pos="7609"/>
              <w:tab w:val="right" w:pos="9026" w:leader="dot"/>
            </w:tabs>
            <w:rPr/>
          </w:pPr>
          <w:hyperlink w:anchor="__RefHeading___Toc6422082_1280447820">
            <w:r>
              <w:rPr>
                <w:webHidden/>
                <w:rStyle w:val="IndexLink"/>
                <w:rtl w:val="true"/>
              </w:rPr>
              <w:t xml:space="preserve">الطريق الثاني </w:t>
            </w:r>
            <w:r>
              <w:rPr>
                <w:rStyle w:val="IndexLink"/>
                <w:rtl w:val="true"/>
              </w:rPr>
              <w:t xml:space="preserve">- </w:t>
            </w:r>
            <w:r>
              <w:rPr>
                <w:rStyle w:val="IndexLink"/>
                <w:rtl w:val="true"/>
              </w:rPr>
              <w:t>الدلالة بالقرائن</w:t>
            </w:r>
            <w:r>
              <w:rPr>
                <w:rStyle w:val="IndexLink"/>
                <w:rtl w:val="true"/>
              </w:rPr>
              <w:tab/>
            </w:r>
            <w:r>
              <w:rPr>
                <w:rStyle w:val="IndexLink"/>
              </w:rPr>
              <w:t>106</w:t>
            </w:r>
          </w:hyperlink>
        </w:p>
        <w:p>
          <w:pPr>
            <w:pStyle w:val="Contents6"/>
            <w:tabs>
              <w:tab w:val="clear" w:pos="7609"/>
              <w:tab w:val="right" w:pos="9026" w:leader="dot"/>
            </w:tabs>
            <w:rPr/>
          </w:pPr>
          <w:hyperlink w:anchor="__RefHeading___Toc6422084_1280447820">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6422086_1280447820">
            <w:r>
              <w:rPr>
                <w:webHidden/>
                <w:rStyle w:val="IndexLink"/>
                <w:rtl w:val="true"/>
              </w:rPr>
              <w:t>حديث الغدير و رجالات الأدب</w:t>
            </w:r>
            <w:r>
              <w:rPr>
                <w:rStyle w:val="IndexLink"/>
                <w:rtl w:val="true"/>
              </w:rPr>
              <w:tab/>
            </w:r>
            <w:r>
              <w:rPr>
                <w:rStyle w:val="IndexLink"/>
              </w:rPr>
              <w:t>110</w:t>
            </w:r>
          </w:hyperlink>
        </w:p>
        <w:p>
          <w:pPr>
            <w:pStyle w:val="Contents6"/>
            <w:tabs>
              <w:tab w:val="clear" w:pos="7609"/>
              <w:tab w:val="right" w:pos="9026" w:leader="dot"/>
            </w:tabs>
            <w:rPr/>
          </w:pPr>
          <w:hyperlink w:anchor="__RefHeading___Toc6422088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6422090_1280447820">
            <w:r>
              <w:rPr>
                <w:webHidden/>
                <w:rStyle w:val="IndexLink"/>
                <w:rtl w:val="true"/>
              </w:rPr>
              <w:t>السؤال الأول</w:t>
            </w:r>
            <w:r>
              <w:rPr>
                <w:rStyle w:val="IndexLink"/>
                <w:rtl w:val="true"/>
              </w:rPr>
              <w:t xml:space="preserve">: </w:t>
            </w:r>
            <w:r>
              <w:rPr>
                <w:rStyle w:val="IndexLink"/>
                <w:rtl w:val="true"/>
              </w:rPr>
              <w:t>لما ذا أعرض الصحابة عن مدلول حديث الغدير؟</w:t>
            </w:r>
            <w:r>
              <w:rPr>
                <w:rStyle w:val="IndexLink"/>
                <w:rtl w:val="true"/>
              </w:rPr>
              <w:tab/>
            </w:r>
            <w:r>
              <w:rPr>
                <w:rStyle w:val="IndexLink"/>
              </w:rPr>
              <w:t>111</w:t>
            </w:r>
          </w:hyperlink>
        </w:p>
        <w:p>
          <w:pPr>
            <w:pStyle w:val="Contents6"/>
            <w:tabs>
              <w:tab w:val="clear" w:pos="7609"/>
              <w:tab w:val="right" w:pos="9026" w:leader="dot"/>
            </w:tabs>
            <w:rPr/>
          </w:pPr>
          <w:hyperlink w:anchor="__RefHeading___Toc6422092_128044782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6422094_1280447820">
            <w:r>
              <w:rPr>
                <w:webHidden/>
                <w:rStyle w:val="IndexLink"/>
                <w:rtl w:val="true"/>
              </w:rPr>
              <w:t>و الجواب</w:t>
            </w:r>
            <w:r>
              <w:rPr>
                <w:rStyle w:val="IndexLink"/>
                <w:rtl w:val="true"/>
              </w:rPr>
              <w:t>:</w:t>
              <w:tab/>
            </w:r>
            <w:r>
              <w:rPr>
                <w:rStyle w:val="IndexLink"/>
              </w:rPr>
              <w:t>111</w:t>
            </w:r>
          </w:hyperlink>
        </w:p>
        <w:p>
          <w:pPr>
            <w:pStyle w:val="Contents6"/>
            <w:tabs>
              <w:tab w:val="clear" w:pos="7609"/>
              <w:tab w:val="right" w:pos="9026" w:leader="dot"/>
            </w:tabs>
            <w:rPr/>
          </w:pPr>
          <w:hyperlink w:anchor="__RefHeading___Toc6422096_1280447820">
            <w:r>
              <w:rPr>
                <w:webHidden/>
                <w:rStyle w:val="IndexLink"/>
              </w:rPr>
              <w:t>1</w:t>
            </w:r>
            <w:r>
              <w:rPr>
                <w:rStyle w:val="IndexLink"/>
                <w:rtl w:val="true"/>
              </w:rPr>
              <w:t xml:space="preserve"> - </w:t>
            </w:r>
            <w:r>
              <w:rPr>
                <w:rStyle w:val="IndexLink"/>
                <w:rtl w:val="true"/>
              </w:rPr>
              <w:t>رزية يوم الخميس</w:t>
            </w:r>
            <w:r>
              <w:rPr>
                <w:rStyle w:val="IndexLink"/>
                <w:rtl w:val="true"/>
              </w:rPr>
              <w:tab/>
            </w:r>
            <w:r>
              <w:rPr>
                <w:rStyle w:val="IndexLink"/>
              </w:rPr>
              <w:t>111</w:t>
            </w:r>
          </w:hyperlink>
        </w:p>
        <w:p>
          <w:pPr>
            <w:pStyle w:val="Contents6"/>
            <w:tabs>
              <w:tab w:val="clear" w:pos="7609"/>
              <w:tab w:val="right" w:pos="9026" w:leader="dot"/>
            </w:tabs>
            <w:rPr/>
          </w:pPr>
          <w:hyperlink w:anchor="__RefHeading___Toc6422098_1280447820">
            <w:r>
              <w:rPr>
                <w:webHidden/>
                <w:rStyle w:val="IndexLink"/>
              </w:rPr>
              <w:t>2</w:t>
            </w:r>
            <w:r>
              <w:rPr>
                <w:rStyle w:val="IndexLink"/>
                <w:rtl w:val="true"/>
              </w:rPr>
              <w:t xml:space="preserve"> - </w:t>
            </w:r>
            <w:r>
              <w:rPr>
                <w:rStyle w:val="IndexLink"/>
                <w:rtl w:val="true"/>
              </w:rPr>
              <w:t>سرية أسامة</w:t>
            </w:r>
            <w:r>
              <w:rPr>
                <w:rStyle w:val="IndexLink"/>
                <w:rtl w:val="true"/>
              </w:rPr>
              <w:tab/>
            </w:r>
            <w:r>
              <w:rPr>
                <w:rStyle w:val="IndexLink"/>
              </w:rPr>
              <w:t>112</w:t>
            </w:r>
          </w:hyperlink>
        </w:p>
        <w:p>
          <w:pPr>
            <w:pStyle w:val="Contents6"/>
            <w:tabs>
              <w:tab w:val="clear" w:pos="7609"/>
              <w:tab w:val="right" w:pos="9026" w:leader="dot"/>
            </w:tabs>
            <w:rPr/>
          </w:pPr>
          <w:hyperlink w:anchor="__RefHeading___Toc6422100_1280447820">
            <w:r>
              <w:rPr>
                <w:webHidden/>
                <w:rStyle w:val="IndexLink"/>
              </w:rPr>
              <w:t>3</w:t>
            </w:r>
            <w:r>
              <w:rPr>
                <w:rStyle w:val="IndexLink"/>
                <w:rtl w:val="true"/>
              </w:rPr>
              <w:t xml:space="preserve"> - </w:t>
            </w:r>
            <w:r>
              <w:rPr>
                <w:rStyle w:val="IndexLink"/>
                <w:rtl w:val="true"/>
              </w:rPr>
              <w:t>صلح الحديبيّة و اعتراض القوم</w:t>
            </w:r>
            <w:r>
              <w:rPr>
                <w:rStyle w:val="IndexLink"/>
                <w:rtl w:val="true"/>
              </w:rPr>
              <w:tab/>
            </w:r>
            <w:r>
              <w:rPr>
                <w:rStyle w:val="IndexLink"/>
              </w:rPr>
              <w:t>113</w:t>
            </w:r>
          </w:hyperlink>
        </w:p>
        <w:p>
          <w:pPr>
            <w:pStyle w:val="Contents6"/>
            <w:tabs>
              <w:tab w:val="clear" w:pos="7609"/>
              <w:tab w:val="right" w:pos="9026" w:leader="dot"/>
            </w:tabs>
            <w:rPr/>
          </w:pPr>
          <w:hyperlink w:anchor="__RefHeading___Toc6422102_1280447820">
            <w:r>
              <w:rPr>
                <w:webHidden/>
                <w:rStyle w:val="IndexLink"/>
                <w:rtl w:val="true"/>
              </w:rPr>
              <w:t>السؤال الثاني</w:t>
            </w:r>
            <w:r>
              <w:rPr>
                <w:rStyle w:val="IndexLink"/>
                <w:rtl w:val="true"/>
              </w:rPr>
              <w:t xml:space="preserve">: </w:t>
            </w:r>
            <w:r>
              <w:rPr>
                <w:rStyle w:val="IndexLink"/>
                <w:rtl w:val="true"/>
              </w:rPr>
              <w:t>ما فائدة البحث عن إمامة عليّ في هذه الأزمان؟</w:t>
            </w:r>
            <w:r>
              <w:rPr>
                <w:rStyle w:val="IndexLink"/>
                <w:rtl w:val="true"/>
              </w:rPr>
              <w:tab/>
            </w:r>
            <w:r>
              <w:rPr>
                <w:rStyle w:val="IndexLink"/>
              </w:rPr>
              <w:t>115</w:t>
            </w:r>
          </w:hyperlink>
        </w:p>
        <w:p>
          <w:pPr>
            <w:pStyle w:val="Contents6"/>
            <w:tabs>
              <w:tab w:val="clear" w:pos="7609"/>
              <w:tab w:val="right" w:pos="9026" w:leader="dot"/>
            </w:tabs>
            <w:rPr/>
          </w:pPr>
          <w:hyperlink w:anchor="__RefHeading___Toc6422104_1280447820">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6422106_1280447820">
            <w:r>
              <w:rPr>
                <w:webHidden/>
                <w:rStyle w:val="IndexLink"/>
                <w:rtl w:val="true"/>
              </w:rPr>
              <w:t>و الجواب</w:t>
            </w:r>
            <w:r>
              <w:rPr>
                <w:rStyle w:val="IndexLink"/>
                <w:rtl w:val="true"/>
              </w:rPr>
              <w:tab/>
            </w:r>
            <w:r>
              <w:rPr>
                <w:rStyle w:val="IndexLink"/>
              </w:rPr>
              <w:t>115</w:t>
            </w:r>
          </w:hyperlink>
        </w:p>
        <w:p>
          <w:pPr>
            <w:pStyle w:val="Contents6"/>
            <w:tabs>
              <w:tab w:val="clear" w:pos="7609"/>
              <w:tab w:val="right" w:pos="9026" w:leader="dot"/>
            </w:tabs>
            <w:rPr/>
          </w:pPr>
          <w:hyperlink w:anchor="__RefHeading___Toc6422108_1280447820">
            <w:r>
              <w:rPr>
                <w:webHidden/>
                <w:rStyle w:val="IndexLink"/>
              </w:rPr>
              <w:t>1</w:t>
            </w:r>
            <w:r>
              <w:rPr>
                <w:rStyle w:val="IndexLink"/>
                <w:rtl w:val="true"/>
              </w:rPr>
              <w:t xml:space="preserve"> - </w:t>
            </w:r>
            <w:r>
              <w:rPr>
                <w:rStyle w:val="IndexLink"/>
                <w:rtl w:val="true"/>
              </w:rPr>
              <w:t>حديث الثّقلين</w:t>
            </w:r>
            <w:r>
              <w:rPr>
                <w:rStyle w:val="IndexLink"/>
                <w:rtl w:val="true"/>
              </w:rPr>
              <w:tab/>
            </w:r>
            <w:r>
              <w:rPr>
                <w:rStyle w:val="IndexLink"/>
              </w:rPr>
              <w:t>117</w:t>
            </w:r>
          </w:hyperlink>
        </w:p>
        <w:p>
          <w:pPr>
            <w:pStyle w:val="Contents6"/>
            <w:tabs>
              <w:tab w:val="clear" w:pos="7609"/>
              <w:tab w:val="right" w:pos="9026" w:leader="dot"/>
            </w:tabs>
            <w:rPr/>
          </w:pPr>
          <w:hyperlink w:anchor="__RefHeading___Toc6422110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6422112_1280447820">
            <w:r>
              <w:rPr>
                <w:webHidden/>
                <w:rStyle w:val="IndexLink"/>
                <w:rtl w:val="true"/>
              </w:rPr>
              <w:t>من هم العترة و أهل البيت؟</w:t>
            </w:r>
            <w:r>
              <w:rPr>
                <w:rStyle w:val="IndexLink"/>
                <w:rtl w:val="true"/>
              </w:rPr>
              <w:tab/>
            </w:r>
            <w:r>
              <w:rPr>
                <w:rStyle w:val="IndexLink"/>
              </w:rPr>
              <w:t>118</w:t>
            </w:r>
          </w:hyperlink>
        </w:p>
        <w:p>
          <w:pPr>
            <w:pStyle w:val="Contents6"/>
            <w:tabs>
              <w:tab w:val="clear" w:pos="7609"/>
              <w:tab w:val="right" w:pos="9026" w:leader="dot"/>
            </w:tabs>
            <w:rPr/>
          </w:pPr>
          <w:hyperlink w:anchor="__RefHeading___Toc6422114_1280447820">
            <w:r>
              <w:rPr>
                <w:webHidden/>
                <w:rStyle w:val="IndexLink"/>
              </w:rPr>
              <w:t>2</w:t>
            </w:r>
            <w:r>
              <w:rPr>
                <w:rStyle w:val="IndexLink"/>
                <w:rtl w:val="true"/>
              </w:rPr>
              <w:t xml:space="preserve"> - </w:t>
            </w:r>
            <w:r>
              <w:rPr>
                <w:rStyle w:val="IndexLink"/>
                <w:rtl w:val="true"/>
              </w:rPr>
              <w:t>حديث السفينة</w:t>
            </w:r>
            <w:r>
              <w:rPr>
                <w:rStyle w:val="IndexLink"/>
                <w:rtl w:val="true"/>
              </w:rPr>
              <w:tab/>
            </w:r>
            <w:r>
              <w:rPr>
                <w:rStyle w:val="IndexLink"/>
              </w:rPr>
              <w:t>120</w:t>
            </w:r>
          </w:hyperlink>
        </w:p>
        <w:p>
          <w:pPr>
            <w:pStyle w:val="Contents4"/>
            <w:tabs>
              <w:tab w:val="clear" w:pos="8176"/>
              <w:tab w:val="right" w:pos="9026" w:leader="dot"/>
            </w:tabs>
            <w:rPr/>
          </w:pPr>
          <w:hyperlink w:anchor="__RefHeading___Toc6422116_1280447820">
            <w:r>
              <w:rPr>
                <w:webHidden/>
                <w:rStyle w:val="IndexLink"/>
                <w:rtl w:val="true"/>
              </w:rPr>
              <w:t>البحث الثاني السنّة النبوية و الأئمة الاثنا عشر</w:t>
            </w:r>
            <w:r>
              <w:rPr>
                <w:rStyle w:val="IndexLink"/>
                <w:rtl w:val="true"/>
              </w:rPr>
              <w:tab/>
            </w:r>
            <w:r>
              <w:rPr>
                <w:rStyle w:val="IndexLink"/>
              </w:rPr>
              <w:t>121</w:t>
            </w:r>
          </w:hyperlink>
        </w:p>
        <w:p>
          <w:pPr>
            <w:pStyle w:val="Contents5"/>
            <w:tabs>
              <w:tab w:val="clear" w:pos="7892"/>
              <w:tab w:val="right" w:pos="9026" w:leader="dot"/>
            </w:tabs>
            <w:rPr/>
          </w:pPr>
          <w:hyperlink w:anchor="__RefHeading___Toc6422118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6422120_1280447820">
            <w:r>
              <w:rPr>
                <w:webHidden/>
                <w:rStyle w:val="IndexLink"/>
              </w:rPr>
              <w:t>1</w:t>
            </w:r>
            <w:r>
              <w:rPr>
                <w:rStyle w:val="IndexLink"/>
                <w:rtl w:val="true"/>
              </w:rPr>
              <w:t xml:space="preserve"> - </w:t>
            </w:r>
            <w:r>
              <w:rPr>
                <w:rStyle w:val="IndexLink"/>
                <w:rtl w:val="true"/>
              </w:rPr>
              <w:t>كلهم من قريش</w:t>
            </w:r>
            <w:r>
              <w:rPr>
                <w:rStyle w:val="IndexLink"/>
                <w:rtl w:val="true"/>
              </w:rPr>
              <w:tab/>
            </w:r>
            <w:r>
              <w:rPr>
                <w:rStyle w:val="IndexLink"/>
              </w:rPr>
              <w:t>121</w:t>
            </w:r>
          </w:hyperlink>
        </w:p>
        <w:p>
          <w:pPr>
            <w:pStyle w:val="Contents5"/>
            <w:tabs>
              <w:tab w:val="clear" w:pos="7892"/>
              <w:tab w:val="right" w:pos="9026" w:leader="dot"/>
            </w:tabs>
            <w:rPr/>
          </w:pPr>
          <w:hyperlink w:anchor="__RefHeading___Toc6422122_1280447820">
            <w:r>
              <w:rPr>
                <w:webHidden/>
                <w:rStyle w:val="IndexLink"/>
              </w:rPr>
              <w:t>2</w:t>
            </w:r>
            <w:r>
              <w:rPr>
                <w:rStyle w:val="IndexLink"/>
                <w:rtl w:val="true"/>
              </w:rPr>
              <w:t xml:space="preserve"> - </w:t>
            </w:r>
            <w:r>
              <w:rPr>
                <w:rStyle w:val="IndexLink"/>
                <w:rtl w:val="true"/>
              </w:rPr>
              <w:t>لا يزال الإسلام عزيزا</w:t>
            </w:r>
            <w:r>
              <w:rPr>
                <w:rStyle w:val="IndexLink"/>
                <w:rtl w:val="true"/>
              </w:rPr>
              <w:tab/>
            </w:r>
            <w:r>
              <w:rPr>
                <w:rStyle w:val="IndexLink"/>
              </w:rPr>
              <w:t>121</w:t>
            </w:r>
          </w:hyperlink>
        </w:p>
        <w:p>
          <w:pPr>
            <w:pStyle w:val="Contents5"/>
            <w:tabs>
              <w:tab w:val="clear" w:pos="7892"/>
              <w:tab w:val="right" w:pos="9026" w:leader="dot"/>
            </w:tabs>
            <w:rPr/>
          </w:pPr>
          <w:hyperlink w:anchor="__RefHeading___Toc6422124_1280447820">
            <w:r>
              <w:rPr>
                <w:webHidden/>
                <w:rStyle w:val="IndexLink"/>
              </w:rPr>
              <w:t>3</w:t>
            </w:r>
            <w:r>
              <w:rPr>
                <w:rStyle w:val="IndexLink"/>
                <w:rtl w:val="true"/>
              </w:rPr>
              <w:t xml:space="preserve"> - </w:t>
            </w:r>
            <w:r>
              <w:rPr>
                <w:rStyle w:val="IndexLink"/>
                <w:rtl w:val="true"/>
              </w:rPr>
              <w:t>لا يزال الدين عزيزا منيعا</w:t>
            </w:r>
            <w:r>
              <w:rPr>
                <w:rStyle w:val="IndexLink"/>
                <w:rtl w:val="true"/>
              </w:rPr>
              <w:tab/>
            </w:r>
            <w:r>
              <w:rPr>
                <w:rStyle w:val="IndexLink"/>
              </w:rPr>
              <w:t>122</w:t>
            </w:r>
          </w:hyperlink>
        </w:p>
        <w:p>
          <w:pPr>
            <w:pStyle w:val="Contents5"/>
            <w:tabs>
              <w:tab w:val="clear" w:pos="7892"/>
              <w:tab w:val="right" w:pos="9026" w:leader="dot"/>
            </w:tabs>
            <w:rPr/>
          </w:pPr>
          <w:hyperlink w:anchor="__RefHeading___Toc6422126_1280447820">
            <w:r>
              <w:rPr>
                <w:webHidden/>
                <w:rStyle w:val="IndexLink"/>
              </w:rPr>
              <w:t>4</w:t>
            </w:r>
            <w:r>
              <w:rPr>
                <w:rStyle w:val="IndexLink"/>
                <w:rtl w:val="true"/>
              </w:rPr>
              <w:t xml:space="preserve"> - </w:t>
            </w:r>
            <w:r>
              <w:rPr>
                <w:rStyle w:val="IndexLink"/>
                <w:rtl w:val="true"/>
              </w:rPr>
              <w:t>لا يزال الدين قائما</w:t>
            </w:r>
            <w:r>
              <w:rPr>
                <w:rStyle w:val="IndexLink"/>
                <w:rtl w:val="true"/>
              </w:rPr>
              <w:tab/>
            </w:r>
            <w:r>
              <w:rPr>
                <w:rStyle w:val="IndexLink"/>
              </w:rPr>
              <w:t>122</w:t>
            </w:r>
          </w:hyperlink>
        </w:p>
        <w:p>
          <w:pPr>
            <w:pStyle w:val="Contents5"/>
            <w:tabs>
              <w:tab w:val="clear" w:pos="7892"/>
              <w:tab w:val="right" w:pos="9026" w:leader="dot"/>
            </w:tabs>
            <w:rPr/>
          </w:pPr>
          <w:hyperlink w:anchor="__RefHeading___Toc6422128_1280447820">
            <w:r>
              <w:rPr>
                <w:webHidden/>
                <w:rStyle w:val="IndexLink"/>
              </w:rPr>
              <w:t>5</w:t>
            </w:r>
            <w:r>
              <w:rPr>
                <w:rStyle w:val="IndexLink"/>
                <w:rtl w:val="true"/>
              </w:rPr>
              <w:t xml:space="preserve"> - </w:t>
            </w:r>
            <w:r>
              <w:rPr>
                <w:rStyle w:val="IndexLink"/>
                <w:rtl w:val="true"/>
              </w:rPr>
              <w:t>لا يزال الدين ظاهرا</w:t>
            </w:r>
            <w:r>
              <w:rPr>
                <w:rStyle w:val="IndexLink"/>
                <w:rtl w:val="true"/>
              </w:rPr>
              <w:tab/>
            </w:r>
            <w:r>
              <w:rPr>
                <w:rStyle w:val="IndexLink"/>
              </w:rPr>
              <w:t>122</w:t>
            </w:r>
          </w:hyperlink>
        </w:p>
        <w:p>
          <w:pPr>
            <w:pStyle w:val="Contents5"/>
            <w:tabs>
              <w:tab w:val="clear" w:pos="7892"/>
              <w:tab w:val="right" w:pos="9026" w:leader="dot"/>
            </w:tabs>
            <w:rPr/>
          </w:pPr>
          <w:hyperlink w:anchor="__RefHeading___Toc6422130_1280447820">
            <w:r>
              <w:rPr>
                <w:webHidden/>
                <w:rStyle w:val="IndexLink"/>
              </w:rPr>
              <w:t>6</w:t>
            </w:r>
            <w:r>
              <w:rPr>
                <w:rStyle w:val="IndexLink"/>
                <w:rtl w:val="true"/>
              </w:rPr>
              <w:t xml:space="preserve"> - </w:t>
            </w:r>
            <w:r>
              <w:rPr>
                <w:rStyle w:val="IndexLink"/>
                <w:rtl w:val="true"/>
              </w:rPr>
              <w:t>لا يزال هذا الأمر صالحا</w:t>
            </w:r>
            <w:r>
              <w:rPr>
                <w:rStyle w:val="IndexLink"/>
                <w:rtl w:val="true"/>
              </w:rPr>
              <w:tab/>
            </w:r>
            <w:r>
              <w:rPr>
                <w:rStyle w:val="IndexLink"/>
              </w:rPr>
              <w:t>123</w:t>
            </w:r>
          </w:hyperlink>
        </w:p>
        <w:p>
          <w:pPr>
            <w:pStyle w:val="Contents5"/>
            <w:tabs>
              <w:tab w:val="clear" w:pos="7892"/>
              <w:tab w:val="right" w:pos="9026" w:leader="dot"/>
            </w:tabs>
            <w:rPr/>
          </w:pPr>
          <w:hyperlink w:anchor="__RefHeading___Toc6422132_1280447820">
            <w:r>
              <w:rPr>
                <w:webHidden/>
                <w:rStyle w:val="IndexLink"/>
              </w:rPr>
              <w:t>7</w:t>
            </w:r>
            <w:r>
              <w:rPr>
                <w:rStyle w:val="IndexLink"/>
                <w:rtl w:val="true"/>
              </w:rPr>
              <w:t xml:space="preserve"> - </w:t>
            </w:r>
            <w:r>
              <w:rPr>
                <w:rStyle w:val="IndexLink"/>
                <w:rtl w:val="true"/>
              </w:rPr>
              <w:t>لا يزال الناس بخير</w:t>
            </w:r>
            <w:r>
              <w:rPr>
                <w:rStyle w:val="IndexLink"/>
                <w:rtl w:val="true"/>
              </w:rPr>
              <w:tab/>
            </w:r>
            <w:r>
              <w:rPr>
                <w:rStyle w:val="IndexLink"/>
              </w:rPr>
              <w:t>123</w:t>
            </w:r>
          </w:hyperlink>
        </w:p>
        <w:p>
          <w:pPr>
            <w:pStyle w:val="Contents4"/>
            <w:tabs>
              <w:tab w:val="clear" w:pos="8176"/>
              <w:tab w:val="right" w:pos="9026" w:leader="dot"/>
            </w:tabs>
            <w:rPr/>
          </w:pPr>
          <w:hyperlink w:anchor="__RefHeading___Toc6422134_1280447820">
            <w:r>
              <w:rPr>
                <w:webHidden/>
                <w:rStyle w:val="IndexLink"/>
                <w:rtl w:val="true"/>
              </w:rPr>
              <w:t>البحث الثالث عصمة الإمام في القرآن</w:t>
            </w:r>
            <w:r>
              <w:rPr>
                <w:rStyle w:val="IndexLink"/>
                <w:rtl w:val="true"/>
              </w:rPr>
              <w:tab/>
            </w:r>
            <w:r>
              <w:rPr>
                <w:rStyle w:val="IndexLink"/>
              </w:rPr>
              <w:t>128</w:t>
            </w:r>
          </w:hyperlink>
        </w:p>
        <w:p>
          <w:pPr>
            <w:pStyle w:val="Contents5"/>
            <w:tabs>
              <w:tab w:val="clear" w:pos="7892"/>
              <w:tab w:val="right" w:pos="9026" w:leader="dot"/>
            </w:tabs>
            <w:rPr/>
          </w:pPr>
          <w:hyperlink w:anchor="__RefHeading___Toc6422136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422138_1280447820">
            <w:r>
              <w:rPr>
                <w:webHidden/>
                <w:rStyle w:val="IndexLink"/>
              </w:rPr>
              <w:t>1</w:t>
            </w:r>
            <w:r>
              <w:rPr>
                <w:rStyle w:val="IndexLink"/>
                <w:rtl w:val="true"/>
              </w:rPr>
              <w:t xml:space="preserve"> - </w:t>
            </w:r>
            <w:r>
              <w:rPr>
                <w:rStyle w:val="IndexLink"/>
                <w:rtl w:val="true"/>
              </w:rPr>
              <w:t>الإمامة استمرار لوظائف الرسالة</w:t>
            </w:r>
            <w:r>
              <w:rPr>
                <w:rStyle w:val="IndexLink"/>
                <w:rtl w:val="true"/>
              </w:rPr>
              <w:tab/>
            </w:r>
            <w:r>
              <w:rPr>
                <w:rStyle w:val="IndexLink"/>
              </w:rPr>
              <w:t>128</w:t>
            </w:r>
          </w:hyperlink>
        </w:p>
        <w:p>
          <w:pPr>
            <w:pStyle w:val="Contents5"/>
            <w:tabs>
              <w:tab w:val="clear" w:pos="7892"/>
              <w:tab w:val="right" w:pos="9026" w:leader="dot"/>
            </w:tabs>
            <w:rPr/>
          </w:pPr>
          <w:hyperlink w:anchor="__RefHeading___Toc6422140_1280447820">
            <w:r>
              <w:rPr>
                <w:webHidden/>
                <w:rStyle w:val="IndexLink"/>
              </w:rPr>
              <w:t>2</w:t>
            </w:r>
            <w:r>
              <w:rPr>
                <w:rStyle w:val="IndexLink"/>
                <w:rtl w:val="true"/>
              </w:rPr>
              <w:t xml:space="preserve"> - </w:t>
            </w:r>
            <w:r>
              <w:rPr>
                <w:rStyle w:val="IndexLink"/>
                <w:rtl w:val="true"/>
              </w:rPr>
              <w:t>آية ابتلاء إبراهيم</w:t>
            </w:r>
            <w:r>
              <w:rPr>
                <w:rStyle w:val="IndexLink"/>
                <w:rtl w:val="true"/>
              </w:rPr>
              <w:tab/>
            </w:r>
            <w:r>
              <w:rPr>
                <w:rStyle w:val="IndexLink"/>
              </w:rPr>
              <w:t>129</w:t>
            </w:r>
          </w:hyperlink>
        </w:p>
        <w:p>
          <w:pPr>
            <w:pStyle w:val="Contents6"/>
            <w:tabs>
              <w:tab w:val="clear" w:pos="7609"/>
              <w:tab w:val="right" w:pos="9026" w:leader="dot"/>
            </w:tabs>
            <w:rPr/>
          </w:pPr>
          <w:hyperlink w:anchor="__RefHeading___Toc6422142_1280447820">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6422144_1280447820">
            <w:r>
              <w:rPr>
                <w:webHidden/>
                <w:rStyle w:val="IndexLink"/>
                <w:rtl w:val="true"/>
              </w:rPr>
              <w:t xml:space="preserve">الأول </w:t>
            </w:r>
            <w:r>
              <w:rPr>
                <w:rStyle w:val="IndexLink"/>
                <w:rtl w:val="true"/>
              </w:rPr>
              <w:t xml:space="preserve">- </w:t>
            </w:r>
            <w:r>
              <w:rPr>
                <w:rStyle w:val="IndexLink"/>
                <w:rtl w:val="true"/>
              </w:rPr>
              <w:t>ما هو المراد من الإمامة في الآية؟</w:t>
            </w:r>
            <w:r>
              <w:rPr>
                <w:rStyle w:val="IndexLink"/>
                <w:rtl w:val="true"/>
              </w:rPr>
              <w:tab/>
            </w:r>
            <w:r>
              <w:rPr>
                <w:rStyle w:val="IndexLink"/>
              </w:rPr>
              <w:t>130</w:t>
            </w:r>
          </w:hyperlink>
        </w:p>
        <w:p>
          <w:pPr>
            <w:pStyle w:val="Contents6"/>
            <w:tabs>
              <w:tab w:val="clear" w:pos="7609"/>
              <w:tab w:val="right" w:pos="9026" w:leader="dot"/>
            </w:tabs>
            <w:rPr/>
          </w:pPr>
          <w:hyperlink w:anchor="__RefHeading___Toc6422146_1280447820">
            <w:r>
              <w:rPr>
                <w:webHidden/>
                <w:rStyle w:val="IndexLink"/>
                <w:rtl w:val="true"/>
              </w:rPr>
              <w:t xml:space="preserve">الثاني </w:t>
            </w:r>
            <w:r>
              <w:rPr>
                <w:rStyle w:val="IndexLink"/>
                <w:rtl w:val="true"/>
              </w:rPr>
              <w:t xml:space="preserve">- </w:t>
            </w:r>
            <w:r>
              <w:rPr>
                <w:rStyle w:val="IndexLink"/>
                <w:rtl w:val="true"/>
              </w:rPr>
              <w:t>ما هو المراد من الظالمين</w:t>
            </w:r>
            <w:r>
              <w:rPr>
                <w:rStyle w:val="IndexLink"/>
                <w:rtl w:val="true"/>
              </w:rPr>
              <w:tab/>
            </w:r>
            <w:r>
              <w:rPr>
                <w:rStyle w:val="IndexLink"/>
              </w:rPr>
              <w:t>133</w:t>
            </w:r>
          </w:hyperlink>
        </w:p>
        <w:p>
          <w:pPr>
            <w:pStyle w:val="Contents6"/>
            <w:tabs>
              <w:tab w:val="clear" w:pos="7609"/>
              <w:tab w:val="right" w:pos="9026" w:leader="dot"/>
            </w:tabs>
            <w:rPr/>
          </w:pPr>
          <w:hyperlink w:anchor="__RefHeading___Toc6422148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6422150_1280447820">
            <w:r>
              <w:rPr>
                <w:webHidden/>
                <w:rStyle w:val="IndexLink"/>
                <w:rtl w:val="true"/>
              </w:rPr>
              <w:t>الجمع المحلّى باللام العموم</w:t>
            </w:r>
            <w:r>
              <w:rPr>
                <w:rStyle w:val="IndexLink"/>
                <w:rtl w:val="true"/>
              </w:rPr>
              <w:tab/>
            </w:r>
            <w:r>
              <w:rPr>
                <w:rStyle w:val="IndexLink"/>
              </w:rPr>
              <w:t>134</w:t>
            </w:r>
          </w:hyperlink>
        </w:p>
        <w:p>
          <w:pPr>
            <w:pStyle w:val="Contents6"/>
            <w:tabs>
              <w:tab w:val="clear" w:pos="7609"/>
              <w:tab w:val="right" w:pos="9026" w:leader="dot"/>
            </w:tabs>
            <w:rPr/>
          </w:pPr>
          <w:hyperlink w:anchor="__RefHeading___Toc6422152_1280447820">
            <w:r>
              <w:rPr>
                <w:webHidden/>
                <w:rStyle w:val="IndexLink"/>
                <w:rtl w:val="true"/>
              </w:rPr>
              <w:t>سؤال و جوابه</w:t>
            </w:r>
            <w:r>
              <w:rPr>
                <w:rStyle w:val="IndexLink"/>
                <w:rtl w:val="true"/>
              </w:rPr>
              <w:tab/>
            </w:r>
            <w:r>
              <w:rPr>
                <w:rStyle w:val="IndexLink"/>
              </w:rPr>
              <w:t>134</w:t>
            </w:r>
          </w:hyperlink>
        </w:p>
        <w:p>
          <w:pPr>
            <w:pStyle w:val="Contents5"/>
            <w:tabs>
              <w:tab w:val="clear" w:pos="7892"/>
              <w:tab w:val="right" w:pos="9026" w:leader="dot"/>
            </w:tabs>
            <w:rPr/>
          </w:pPr>
          <w:hyperlink w:anchor="__RefHeading___Toc6422154_1280447820">
            <w:r>
              <w:rPr>
                <w:webHidden/>
                <w:rStyle w:val="IndexLink"/>
              </w:rPr>
              <w:t>3</w:t>
            </w:r>
            <w:r>
              <w:rPr>
                <w:rStyle w:val="IndexLink"/>
                <w:rtl w:val="true"/>
              </w:rPr>
              <w:t xml:space="preserve"> - </w:t>
            </w:r>
            <w:r>
              <w:rPr>
                <w:rStyle w:val="IndexLink"/>
                <w:rtl w:val="true"/>
              </w:rPr>
              <w:t xml:space="preserve">آية التطهير و عصمة أهل البيت </w:t>
            </w:r>
            <w:r>
              <w:rPr>
                <w:rStyle w:val="IndexLink"/>
                <w:rtl w:val="true"/>
              </w:rPr>
              <w:t>(</w:t>
            </w:r>
            <w:r>
              <w:rPr>
                <w:rStyle w:val="IndexLink"/>
                <w:rtl w:val="true"/>
              </w:rPr>
              <w:t>ع</w:t>
            </w:r>
            <w:r>
              <w:rPr>
                <w:rStyle w:val="IndexLink"/>
                <w:rtl w:val="true"/>
              </w:rPr>
              <w:t>)</w:t>
              <w:tab/>
            </w:r>
            <w:r>
              <w:rPr>
                <w:rStyle w:val="IndexLink"/>
              </w:rPr>
              <w:t>137</w:t>
            </w:r>
          </w:hyperlink>
        </w:p>
        <w:p>
          <w:pPr>
            <w:pStyle w:val="Contents6"/>
            <w:tabs>
              <w:tab w:val="clear" w:pos="7609"/>
              <w:tab w:val="right" w:pos="9026" w:leader="dot"/>
            </w:tabs>
            <w:rPr/>
          </w:pPr>
          <w:hyperlink w:anchor="__RefHeading___Toc6422156_1280447820">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6422158_1280447820">
            <w:r>
              <w:rPr>
                <w:webHidden/>
                <w:rStyle w:val="IndexLink"/>
                <w:rtl w:val="true"/>
              </w:rPr>
              <w:t>الإرادة تكوينية لا تشريعية</w:t>
            </w:r>
            <w:r>
              <w:rPr>
                <w:rStyle w:val="IndexLink"/>
                <w:rtl w:val="true"/>
              </w:rPr>
              <w:tab/>
            </w:r>
            <w:r>
              <w:rPr>
                <w:rStyle w:val="IndexLink"/>
              </w:rPr>
              <w:t>138</w:t>
            </w:r>
          </w:hyperlink>
        </w:p>
        <w:p>
          <w:pPr>
            <w:pStyle w:val="Contents4"/>
            <w:tabs>
              <w:tab w:val="clear" w:pos="8176"/>
              <w:tab w:val="right" w:pos="9026" w:leader="dot"/>
            </w:tabs>
            <w:rPr/>
          </w:pPr>
          <w:hyperlink w:anchor="__RefHeading___Toc6422160_1280447820">
            <w:r>
              <w:rPr>
                <w:webHidden/>
                <w:rStyle w:val="IndexLink"/>
                <w:rtl w:val="true"/>
              </w:rPr>
              <w:t>البحث الرابع الإمام المنتظر في الكتاب و السنّة</w:t>
            </w:r>
            <w:r>
              <w:rPr>
                <w:rStyle w:val="IndexLink"/>
                <w:rtl w:val="true"/>
              </w:rPr>
              <w:tab/>
            </w:r>
            <w:r>
              <w:rPr>
                <w:rStyle w:val="IndexLink"/>
              </w:rPr>
              <w:t>143</w:t>
            </w:r>
          </w:hyperlink>
        </w:p>
        <w:p>
          <w:pPr>
            <w:pStyle w:val="Contents5"/>
            <w:tabs>
              <w:tab w:val="clear" w:pos="7892"/>
              <w:tab w:val="right" w:pos="9026" w:leader="dot"/>
            </w:tabs>
            <w:rPr/>
          </w:pPr>
          <w:hyperlink w:anchor="__RefHeading___Toc6422162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6422164_1280447820">
            <w:r>
              <w:rPr>
                <w:webHidden/>
                <w:rStyle w:val="IndexLink"/>
                <w:rtl w:val="true"/>
              </w:rPr>
              <w:t>أسئلة مهمة حول المهدي عجل اللّه تعالى فرجه</w:t>
            </w:r>
            <w:r>
              <w:rPr>
                <w:rStyle w:val="IndexLink"/>
                <w:rtl w:val="true"/>
              </w:rPr>
              <w:tab/>
            </w:r>
            <w:r>
              <w:rPr>
                <w:rStyle w:val="IndexLink"/>
              </w:rPr>
              <w:t>153</w:t>
            </w:r>
          </w:hyperlink>
        </w:p>
        <w:p>
          <w:pPr>
            <w:pStyle w:val="Contents6"/>
            <w:tabs>
              <w:tab w:val="clear" w:pos="7609"/>
              <w:tab w:val="right" w:pos="9026" w:leader="dot"/>
            </w:tabs>
            <w:rPr/>
          </w:pPr>
          <w:hyperlink w:anchor="__RefHeading___Toc6422166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6422168_1280447820">
            <w:r>
              <w:rPr>
                <w:webHidden/>
                <w:rStyle w:val="IndexLink"/>
                <w:rtl w:val="true"/>
              </w:rPr>
              <w:t>السؤال الأول كيف يكون إماما و هو غائب؟ و ما فائدته؟</w:t>
            </w:r>
            <w:r>
              <w:rPr>
                <w:rStyle w:val="IndexLink"/>
                <w:rtl w:val="true"/>
              </w:rPr>
              <w:tab/>
            </w:r>
            <w:r>
              <w:rPr>
                <w:rStyle w:val="IndexLink"/>
              </w:rPr>
              <w:t>154</w:t>
            </w:r>
          </w:hyperlink>
        </w:p>
        <w:p>
          <w:pPr>
            <w:pStyle w:val="Contents6"/>
            <w:tabs>
              <w:tab w:val="clear" w:pos="7609"/>
              <w:tab w:val="right" w:pos="9026" w:leader="dot"/>
            </w:tabs>
            <w:rPr/>
          </w:pPr>
          <w:hyperlink w:anchor="__RefHeading___Toc6422170_1280447820">
            <w:r>
              <w:rPr>
                <w:webHidden/>
                <w:rStyle w:val="IndexLink"/>
                <w:rtl w:val="true"/>
              </w:rPr>
              <w:t>السؤال الثاني لما ذا غاب المهدي عليه السلام؟</w:t>
            </w:r>
            <w:r>
              <w:rPr>
                <w:rStyle w:val="IndexLink"/>
                <w:rtl w:val="true"/>
              </w:rPr>
              <w:tab/>
            </w:r>
            <w:r>
              <w:rPr>
                <w:rStyle w:val="IndexLink"/>
              </w:rPr>
              <w:t>158</w:t>
            </w:r>
          </w:hyperlink>
        </w:p>
        <w:p>
          <w:pPr>
            <w:pStyle w:val="Contents6"/>
            <w:tabs>
              <w:tab w:val="clear" w:pos="7609"/>
              <w:tab w:val="right" w:pos="9026" w:leader="dot"/>
            </w:tabs>
            <w:rPr/>
          </w:pPr>
          <w:hyperlink w:anchor="__RefHeading___Toc6422172_1280447820">
            <w:r>
              <w:rPr>
                <w:webHidden/>
                <w:rStyle w:val="IndexLink"/>
                <w:rtl w:val="true"/>
              </w:rPr>
              <w:t>السؤال الثالث الإمام المهدي و طول عمره</w:t>
            </w:r>
            <w:r>
              <w:rPr>
                <w:rStyle w:val="IndexLink"/>
                <w:rtl w:val="true"/>
              </w:rPr>
              <w:tab/>
            </w:r>
            <w:r>
              <w:rPr>
                <w:rStyle w:val="IndexLink"/>
              </w:rPr>
              <w:t>160</w:t>
            </w:r>
          </w:hyperlink>
        </w:p>
        <w:p>
          <w:pPr>
            <w:pStyle w:val="Contents6"/>
            <w:tabs>
              <w:tab w:val="clear" w:pos="7609"/>
              <w:tab w:val="right" w:pos="9026" w:leader="dot"/>
            </w:tabs>
            <w:rPr/>
          </w:pPr>
          <w:hyperlink w:anchor="__RefHeading___Toc6422174_1280447820">
            <w:r>
              <w:rPr>
                <w:webHidden/>
                <w:rStyle w:val="IndexLink"/>
                <w:rtl w:val="true"/>
              </w:rPr>
              <w:t>السؤال الرابع علائم ظهوره، ما هي؟</w:t>
            </w:r>
            <w:r>
              <w:rPr>
                <w:rStyle w:val="IndexLink"/>
                <w:rtl w:val="true"/>
              </w:rPr>
              <w:tab/>
            </w:r>
            <w:r>
              <w:rPr>
                <w:rStyle w:val="IndexLink"/>
              </w:rPr>
              <w:t>163</w:t>
            </w:r>
          </w:hyperlink>
        </w:p>
        <w:p>
          <w:pPr>
            <w:pStyle w:val="Contents2"/>
            <w:tabs>
              <w:tab w:val="clear" w:pos="8743"/>
              <w:tab w:val="right" w:pos="9026" w:leader="dot"/>
            </w:tabs>
            <w:rPr/>
          </w:pPr>
          <w:hyperlink w:anchor="__RefHeading___Toc6422176_1280447820">
            <w:r>
              <w:rPr>
                <w:webHidden/>
                <w:rStyle w:val="IndexLink"/>
                <w:rtl w:val="true"/>
              </w:rPr>
              <w:t>الفصل العاشر المعاد</w:t>
            </w:r>
            <w:r>
              <w:rPr>
                <w:rStyle w:val="IndexLink"/>
                <w:rtl w:val="true"/>
              </w:rPr>
              <w:tab/>
            </w:r>
            <w:r>
              <w:rPr>
                <w:rStyle w:val="IndexLink"/>
              </w:rPr>
              <w:t>169</w:t>
            </w:r>
          </w:hyperlink>
        </w:p>
        <w:p>
          <w:pPr>
            <w:pStyle w:val="Contents3"/>
            <w:tabs>
              <w:tab w:val="clear" w:pos="8459"/>
              <w:tab w:val="right" w:pos="9026" w:leader="dot"/>
            </w:tabs>
            <w:rPr/>
          </w:pPr>
          <w:hyperlink w:anchor="__RefHeading___Toc6422178_12804478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422180_1280447820">
            <w:r>
              <w:rPr>
                <w:webHidden/>
                <w:rStyle w:val="IndexLink"/>
                <w:rtl w:val="true"/>
              </w:rPr>
              <w:t>مباحث المعاد</w:t>
            </w:r>
            <w:r>
              <w:rPr>
                <w:rStyle w:val="IndexLink"/>
                <w:rtl w:val="true"/>
              </w:rPr>
              <w:tab/>
            </w:r>
            <w:r>
              <w:rPr>
                <w:rStyle w:val="IndexLink"/>
              </w:rPr>
              <w:t>170</w:t>
            </w:r>
          </w:hyperlink>
        </w:p>
        <w:p>
          <w:pPr>
            <w:pStyle w:val="Contents4"/>
            <w:tabs>
              <w:tab w:val="clear" w:pos="8176"/>
              <w:tab w:val="right" w:pos="9026" w:leader="dot"/>
            </w:tabs>
            <w:rPr/>
          </w:pPr>
          <w:hyperlink w:anchor="__RefHeading___Toc6422182_1280447820">
            <w:r>
              <w:rPr>
                <w:webHidden/>
                <w:rStyle w:val="IndexLink"/>
                <w:rtl w:val="true"/>
              </w:rPr>
              <w:t>(</w:t>
            </w:r>
            <w:r>
              <w:rPr>
                <w:rStyle w:val="IndexLink"/>
              </w:rPr>
              <w:t>1</w:t>
            </w:r>
            <w:r>
              <w:rPr>
                <w:rStyle w:val="IndexLink"/>
                <w:rtl w:val="true"/>
              </w:rPr>
              <w:t>) «</w:t>
            </w:r>
            <w:r>
              <w:rPr>
                <w:rStyle w:val="IndexLink"/>
                <w:rtl w:val="true"/>
              </w:rPr>
              <w:t>المعاد</w:t>
            </w:r>
            <w:r>
              <w:rPr>
                <w:rStyle w:val="IndexLink"/>
                <w:rtl w:val="true"/>
              </w:rPr>
              <w:t xml:space="preserve">» </w:t>
            </w:r>
            <w:r>
              <w:rPr>
                <w:rStyle w:val="IndexLink"/>
                <w:rtl w:val="true"/>
              </w:rPr>
              <w:t>في الملل و الشرائع السابقة</w:t>
            </w:r>
            <w:r>
              <w:rPr>
                <w:rStyle w:val="IndexLink"/>
                <w:rtl w:val="true"/>
              </w:rPr>
              <w:tab/>
            </w:r>
            <w:r>
              <w:rPr>
                <w:rStyle w:val="IndexLink"/>
              </w:rPr>
              <w:t>170</w:t>
            </w:r>
          </w:hyperlink>
        </w:p>
        <w:p>
          <w:pPr>
            <w:pStyle w:val="Contents5"/>
            <w:tabs>
              <w:tab w:val="clear" w:pos="7892"/>
              <w:tab w:val="right" w:pos="9026" w:leader="dot"/>
            </w:tabs>
            <w:rPr/>
          </w:pPr>
          <w:hyperlink w:anchor="__RefHeading___Toc6422184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6422186_1280447820">
            <w:r>
              <w:rPr>
                <w:webHidden/>
                <w:rStyle w:val="IndexLink"/>
                <w:rtl w:val="true"/>
              </w:rPr>
              <w:t>المعاد في العهد القديم</w:t>
            </w:r>
            <w:r>
              <w:rPr>
                <w:rStyle w:val="IndexLink"/>
                <w:rtl w:val="true"/>
              </w:rPr>
              <w:tab/>
            </w:r>
            <w:r>
              <w:rPr>
                <w:rStyle w:val="IndexLink"/>
              </w:rPr>
              <w:t>172</w:t>
            </w:r>
          </w:hyperlink>
        </w:p>
        <w:p>
          <w:pPr>
            <w:pStyle w:val="Contents5"/>
            <w:tabs>
              <w:tab w:val="clear" w:pos="7892"/>
              <w:tab w:val="right" w:pos="9026" w:leader="dot"/>
            </w:tabs>
            <w:rPr/>
          </w:pPr>
          <w:hyperlink w:anchor="__RefHeading___Toc6422188_1280447820">
            <w:r>
              <w:rPr>
                <w:webHidden/>
                <w:rStyle w:val="IndexLink"/>
                <w:rtl w:val="true"/>
              </w:rPr>
              <w:t>المعاد في العهد الجديد</w:t>
            </w:r>
            <w:r>
              <w:rPr>
                <w:rStyle w:val="IndexLink"/>
                <w:rtl w:val="true"/>
              </w:rPr>
              <w:tab/>
            </w:r>
            <w:r>
              <w:rPr>
                <w:rStyle w:val="IndexLink"/>
              </w:rPr>
              <w:t>172</w:t>
            </w:r>
          </w:hyperlink>
        </w:p>
        <w:p>
          <w:pPr>
            <w:pStyle w:val="Contents5"/>
            <w:tabs>
              <w:tab w:val="clear" w:pos="7892"/>
              <w:tab w:val="right" w:pos="9026" w:leader="dot"/>
            </w:tabs>
            <w:rPr/>
          </w:pPr>
          <w:hyperlink w:anchor="__RefHeading___Toc6422190_1280447820">
            <w:r>
              <w:rPr>
                <w:webHidden/>
                <w:rStyle w:val="IndexLink"/>
                <w:rtl w:val="true"/>
              </w:rPr>
              <w:t>القرآن و المعاد في الشرائع السماوية</w:t>
            </w:r>
            <w:r>
              <w:rPr>
                <w:rStyle w:val="IndexLink"/>
                <w:rtl w:val="true"/>
              </w:rPr>
              <w:tab/>
            </w:r>
            <w:r>
              <w:rPr>
                <w:rStyle w:val="IndexLink"/>
              </w:rPr>
              <w:t>174</w:t>
            </w:r>
          </w:hyperlink>
        </w:p>
        <w:p>
          <w:pPr>
            <w:pStyle w:val="Contents5"/>
            <w:tabs>
              <w:tab w:val="clear" w:pos="7892"/>
              <w:tab w:val="right" w:pos="9026" w:leader="dot"/>
            </w:tabs>
            <w:rPr/>
          </w:pPr>
          <w:hyperlink w:anchor="__RefHeading___Toc6422192_1280447820">
            <w:r>
              <w:rPr>
                <w:webHidden/>
                <w:rStyle w:val="IndexLink"/>
                <w:rtl w:val="true"/>
              </w:rPr>
              <w:t>المعاد في القرآن</w:t>
            </w:r>
            <w:r>
              <w:rPr>
                <w:rStyle w:val="IndexLink"/>
                <w:rtl w:val="true"/>
              </w:rPr>
              <w:tab/>
            </w:r>
            <w:r>
              <w:rPr>
                <w:rStyle w:val="IndexLink"/>
              </w:rPr>
              <w:t>177</w:t>
            </w:r>
          </w:hyperlink>
        </w:p>
        <w:p>
          <w:pPr>
            <w:pStyle w:val="Contents5"/>
            <w:tabs>
              <w:tab w:val="clear" w:pos="7892"/>
              <w:tab w:val="right" w:pos="9026" w:leader="dot"/>
            </w:tabs>
            <w:rPr/>
          </w:pPr>
          <w:hyperlink w:anchor="__RefHeading___Toc6422194_1280447820">
            <w:r>
              <w:rPr>
                <w:webHidden/>
                <w:rStyle w:val="IndexLink"/>
                <w:rtl w:val="true"/>
              </w:rPr>
              <w:t>أسماء المعاد في القرآن</w:t>
            </w:r>
            <w:r>
              <w:rPr>
                <w:rStyle w:val="IndexLink"/>
                <w:rtl w:val="true"/>
              </w:rPr>
              <w:tab/>
            </w:r>
            <w:r>
              <w:rPr>
                <w:rStyle w:val="IndexLink"/>
              </w:rPr>
              <w:t>178</w:t>
            </w:r>
          </w:hyperlink>
        </w:p>
        <w:p>
          <w:pPr>
            <w:pStyle w:val="Contents4"/>
            <w:tabs>
              <w:tab w:val="clear" w:pos="8176"/>
              <w:tab w:val="right" w:pos="9026" w:leader="dot"/>
            </w:tabs>
            <w:rPr/>
          </w:pPr>
          <w:hyperlink w:anchor="__RefHeading___Toc6422196_1280447820">
            <w:r>
              <w:rPr>
                <w:webHidden/>
                <w:rStyle w:val="IndexLink"/>
                <w:rtl w:val="true"/>
              </w:rPr>
              <w:t>(</w:t>
            </w:r>
            <w:r>
              <w:rPr>
                <w:rStyle w:val="IndexLink"/>
              </w:rPr>
              <w:t>2</w:t>
            </w:r>
            <w:r>
              <w:rPr>
                <w:rStyle w:val="IndexLink"/>
                <w:rtl w:val="true"/>
              </w:rPr>
              <w:t xml:space="preserve">) </w:t>
            </w:r>
            <w:r>
              <w:rPr>
                <w:rStyle w:val="IndexLink"/>
                <w:rtl w:val="true"/>
              </w:rPr>
              <w:t>أدلة وجوب المعاد و ضرورته</w:t>
            </w:r>
            <w:r>
              <w:rPr>
                <w:rStyle w:val="IndexLink"/>
                <w:rtl w:val="true"/>
              </w:rPr>
              <w:tab/>
            </w:r>
            <w:r>
              <w:rPr>
                <w:rStyle w:val="IndexLink"/>
              </w:rPr>
              <w:t>179</w:t>
            </w:r>
          </w:hyperlink>
        </w:p>
        <w:p>
          <w:pPr>
            <w:pStyle w:val="Contents5"/>
            <w:tabs>
              <w:tab w:val="clear" w:pos="7892"/>
              <w:tab w:val="right" w:pos="9026" w:leader="dot"/>
            </w:tabs>
            <w:rPr/>
          </w:pPr>
          <w:hyperlink w:anchor="__RefHeading___Toc6422198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6422200_1280447820">
            <w:r>
              <w:rPr>
                <w:webHidden/>
                <w:rStyle w:val="IndexLink"/>
                <w:rtl w:val="true"/>
              </w:rPr>
              <w:t xml:space="preserve">الدليل الأول </w:t>
            </w:r>
            <w:r>
              <w:rPr>
                <w:rStyle w:val="IndexLink"/>
                <w:rtl w:val="true"/>
              </w:rPr>
              <w:t xml:space="preserve">- </w:t>
            </w:r>
            <w:r>
              <w:rPr>
                <w:rStyle w:val="IndexLink"/>
                <w:rtl w:val="true"/>
              </w:rPr>
              <w:t>صيانة الخلقة عن العبث</w:t>
            </w:r>
            <w:r>
              <w:rPr>
                <w:rStyle w:val="IndexLink"/>
                <w:rtl w:val="true"/>
              </w:rPr>
              <w:tab/>
            </w:r>
            <w:r>
              <w:rPr>
                <w:rStyle w:val="IndexLink"/>
              </w:rPr>
              <w:t>179</w:t>
            </w:r>
          </w:hyperlink>
        </w:p>
        <w:p>
          <w:pPr>
            <w:pStyle w:val="Contents6"/>
            <w:tabs>
              <w:tab w:val="clear" w:pos="7609"/>
              <w:tab w:val="right" w:pos="9026" w:leader="dot"/>
            </w:tabs>
            <w:rPr/>
          </w:pPr>
          <w:hyperlink w:anchor="__RefHeading___Toc6422202_128044782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422204_1280447820">
            <w:r>
              <w:rPr>
                <w:webHidden/>
                <w:rStyle w:val="IndexLink"/>
              </w:rPr>
              <w:t>1</w:t>
            </w:r>
            <w:r>
              <w:rPr>
                <w:rStyle w:val="IndexLink"/>
                <w:rtl w:val="true"/>
              </w:rPr>
              <w:t xml:space="preserve"> - </w:t>
            </w:r>
            <w:r>
              <w:rPr>
                <w:rStyle w:val="IndexLink"/>
                <w:rtl w:val="true"/>
              </w:rPr>
              <w:t>المعاد غاية الخلقة</w:t>
            </w:r>
            <w:r>
              <w:rPr>
                <w:rStyle w:val="IndexLink"/>
                <w:rtl w:val="true"/>
              </w:rPr>
              <w:tab/>
            </w:r>
            <w:r>
              <w:rPr>
                <w:rStyle w:val="IndexLink"/>
              </w:rPr>
              <w:t>180</w:t>
            </w:r>
          </w:hyperlink>
        </w:p>
        <w:p>
          <w:pPr>
            <w:pStyle w:val="Contents6"/>
            <w:tabs>
              <w:tab w:val="clear" w:pos="7609"/>
              <w:tab w:val="right" w:pos="9026" w:leader="dot"/>
            </w:tabs>
            <w:rPr/>
          </w:pPr>
          <w:hyperlink w:anchor="__RefHeading___Toc6422206_1280447820">
            <w:r>
              <w:rPr>
                <w:webHidden/>
                <w:rStyle w:val="IndexLink"/>
              </w:rPr>
              <w:t>2</w:t>
            </w:r>
            <w:r>
              <w:rPr>
                <w:rStyle w:val="IndexLink"/>
                <w:rtl w:val="true"/>
              </w:rPr>
              <w:t xml:space="preserve"> - </w:t>
            </w:r>
            <w:r>
              <w:rPr>
                <w:rStyle w:val="IndexLink"/>
                <w:rtl w:val="true"/>
              </w:rPr>
              <w:t>المعاد و الحق المطلق</w:t>
            </w:r>
            <w:r>
              <w:rPr>
                <w:rStyle w:val="IndexLink"/>
                <w:rtl w:val="true"/>
              </w:rPr>
              <w:tab/>
            </w:r>
            <w:r>
              <w:rPr>
                <w:rStyle w:val="IndexLink"/>
              </w:rPr>
              <w:t>180</w:t>
            </w:r>
          </w:hyperlink>
        </w:p>
        <w:p>
          <w:pPr>
            <w:pStyle w:val="Contents6"/>
            <w:tabs>
              <w:tab w:val="clear" w:pos="7609"/>
              <w:tab w:val="right" w:pos="9026" w:leader="dot"/>
            </w:tabs>
            <w:rPr/>
          </w:pPr>
          <w:hyperlink w:anchor="__RefHeading___Toc6422208_1280447820">
            <w:r>
              <w:rPr>
                <w:webHidden/>
                <w:rStyle w:val="IndexLink"/>
              </w:rPr>
              <w:t>3</w:t>
            </w:r>
            <w:r>
              <w:rPr>
                <w:rStyle w:val="IndexLink"/>
                <w:rtl w:val="true"/>
              </w:rPr>
              <w:t xml:space="preserve"> - </w:t>
            </w:r>
            <w:r>
              <w:rPr>
                <w:rStyle w:val="IndexLink"/>
                <w:rtl w:val="true"/>
              </w:rPr>
              <w:t>المعاد و النظم البديع</w:t>
            </w:r>
            <w:r>
              <w:rPr>
                <w:rStyle w:val="IndexLink"/>
                <w:rtl w:val="true"/>
              </w:rPr>
              <w:tab/>
            </w:r>
            <w:r>
              <w:rPr>
                <w:rStyle w:val="IndexLink"/>
              </w:rPr>
              <w:t>181</w:t>
            </w:r>
          </w:hyperlink>
        </w:p>
        <w:p>
          <w:pPr>
            <w:pStyle w:val="Contents5"/>
            <w:tabs>
              <w:tab w:val="clear" w:pos="7892"/>
              <w:tab w:val="right" w:pos="9026" w:leader="dot"/>
            </w:tabs>
            <w:rPr/>
          </w:pPr>
          <w:hyperlink w:anchor="__RefHeading___Toc6422210_1280447820">
            <w:r>
              <w:rPr>
                <w:webHidden/>
                <w:rStyle w:val="IndexLink"/>
                <w:rtl w:val="true"/>
              </w:rPr>
              <w:t xml:space="preserve">الدليل الثاني </w:t>
            </w:r>
            <w:r>
              <w:rPr>
                <w:rStyle w:val="IndexLink"/>
                <w:rtl w:val="true"/>
              </w:rPr>
              <w:t xml:space="preserve">- </w:t>
            </w:r>
            <w:r>
              <w:rPr>
                <w:rStyle w:val="IndexLink"/>
                <w:rtl w:val="true"/>
              </w:rPr>
              <w:t>المعاد مقتضى العدل الإلهي</w:t>
            </w:r>
            <w:r>
              <w:rPr>
                <w:rStyle w:val="IndexLink"/>
                <w:rtl w:val="true"/>
              </w:rPr>
              <w:tab/>
            </w:r>
            <w:r>
              <w:rPr>
                <w:rStyle w:val="IndexLink"/>
              </w:rPr>
              <w:t>182</w:t>
            </w:r>
          </w:hyperlink>
        </w:p>
        <w:p>
          <w:pPr>
            <w:pStyle w:val="Contents5"/>
            <w:tabs>
              <w:tab w:val="clear" w:pos="7892"/>
              <w:tab w:val="right" w:pos="9026" w:leader="dot"/>
            </w:tabs>
            <w:rPr/>
          </w:pPr>
          <w:hyperlink w:anchor="__RefHeading___Toc6422212_1280447820">
            <w:r>
              <w:rPr>
                <w:webHidden/>
                <w:rStyle w:val="IndexLink"/>
                <w:rtl w:val="true"/>
              </w:rPr>
              <w:t>الدليل الثالث</w:t>
            </w:r>
            <w:r>
              <w:rPr>
                <w:rStyle w:val="IndexLink"/>
                <w:rtl w:val="true"/>
              </w:rPr>
              <w:t xml:space="preserve">: </w:t>
            </w:r>
            <w:r>
              <w:rPr>
                <w:rStyle w:val="IndexLink"/>
                <w:rtl w:val="true"/>
              </w:rPr>
              <w:t>المعاد مجلى لتحقق وعده و وعيده</w:t>
            </w:r>
            <w:r>
              <w:rPr>
                <w:rStyle w:val="IndexLink"/>
                <w:rtl w:val="true"/>
              </w:rPr>
              <w:tab/>
            </w:r>
            <w:r>
              <w:rPr>
                <w:rStyle w:val="IndexLink"/>
              </w:rPr>
              <w:t>185</w:t>
            </w:r>
          </w:hyperlink>
        </w:p>
        <w:p>
          <w:pPr>
            <w:pStyle w:val="Contents5"/>
            <w:tabs>
              <w:tab w:val="clear" w:pos="7892"/>
              <w:tab w:val="right" w:pos="9026" w:leader="dot"/>
            </w:tabs>
            <w:rPr/>
          </w:pPr>
          <w:hyperlink w:anchor="__RefHeading___Toc6422214_1280447820">
            <w:r>
              <w:rPr>
                <w:webHidden/>
                <w:rStyle w:val="IndexLink"/>
                <w:rtl w:val="true"/>
              </w:rPr>
              <w:t>الدليل الرابع</w:t>
            </w:r>
            <w:r>
              <w:rPr>
                <w:rStyle w:val="IndexLink"/>
                <w:rtl w:val="true"/>
              </w:rPr>
              <w:t xml:space="preserve">: </w:t>
            </w:r>
            <w:r>
              <w:rPr>
                <w:rStyle w:val="IndexLink"/>
                <w:rtl w:val="true"/>
              </w:rPr>
              <w:t>المعاد مجلى لرحمته سبحانه</w:t>
            </w:r>
            <w:r>
              <w:rPr>
                <w:rStyle w:val="IndexLink"/>
                <w:rtl w:val="true"/>
              </w:rPr>
              <w:tab/>
            </w:r>
            <w:r>
              <w:rPr>
                <w:rStyle w:val="IndexLink"/>
              </w:rPr>
              <w:t>187</w:t>
            </w:r>
          </w:hyperlink>
        </w:p>
        <w:p>
          <w:pPr>
            <w:pStyle w:val="Contents5"/>
            <w:tabs>
              <w:tab w:val="clear" w:pos="7892"/>
              <w:tab w:val="right" w:pos="9026" w:leader="dot"/>
            </w:tabs>
            <w:rPr/>
          </w:pPr>
          <w:hyperlink w:anchor="__RefHeading___Toc6422216_1280447820">
            <w:r>
              <w:rPr>
                <w:webHidden/>
                <w:rStyle w:val="IndexLink"/>
                <w:rtl w:val="true"/>
              </w:rPr>
              <w:t>الدليل الخامس</w:t>
            </w:r>
            <w:r>
              <w:rPr>
                <w:rStyle w:val="IndexLink"/>
                <w:rtl w:val="true"/>
              </w:rPr>
              <w:t xml:space="preserve">: </w:t>
            </w:r>
            <w:r>
              <w:rPr>
                <w:rStyle w:val="IndexLink"/>
                <w:rtl w:val="true"/>
              </w:rPr>
              <w:t>المعاد خاتمة المطاف في تكامل الإنسان</w:t>
            </w:r>
            <w:r>
              <w:rPr>
                <w:rStyle w:val="IndexLink"/>
                <w:rtl w:val="true"/>
              </w:rPr>
              <w:tab/>
            </w:r>
            <w:r>
              <w:rPr>
                <w:rStyle w:val="IndexLink"/>
              </w:rPr>
              <w:t>188</w:t>
            </w:r>
          </w:hyperlink>
        </w:p>
        <w:p>
          <w:pPr>
            <w:pStyle w:val="Contents5"/>
            <w:tabs>
              <w:tab w:val="clear" w:pos="7892"/>
              <w:tab w:val="right" w:pos="9026" w:leader="dot"/>
            </w:tabs>
            <w:rPr/>
          </w:pPr>
          <w:hyperlink w:anchor="__RefHeading___Toc6422218_1280447820">
            <w:r>
              <w:rPr>
                <w:webHidden/>
                <w:rStyle w:val="IndexLink"/>
                <w:rtl w:val="true"/>
              </w:rPr>
              <w:t xml:space="preserve">الدليل السادس </w:t>
            </w:r>
            <w:r>
              <w:rPr>
                <w:rStyle w:val="IndexLink"/>
                <w:rtl w:val="true"/>
              </w:rPr>
              <w:t xml:space="preserve">- </w:t>
            </w:r>
            <w:r>
              <w:rPr>
                <w:rStyle w:val="IndexLink"/>
                <w:rtl w:val="true"/>
              </w:rPr>
              <w:t>المعاد مقتضى الربوبية</w:t>
            </w:r>
            <w:r>
              <w:rPr>
                <w:rStyle w:val="IndexLink"/>
                <w:rtl w:val="true"/>
              </w:rPr>
              <w:tab/>
            </w:r>
            <w:r>
              <w:rPr>
                <w:rStyle w:val="IndexLink"/>
              </w:rPr>
              <w:t>190</w:t>
            </w:r>
          </w:hyperlink>
        </w:p>
        <w:p>
          <w:pPr>
            <w:pStyle w:val="Contents4"/>
            <w:tabs>
              <w:tab w:val="clear" w:pos="8176"/>
              <w:tab w:val="right" w:pos="9026" w:leader="dot"/>
            </w:tabs>
            <w:rPr/>
          </w:pPr>
          <w:hyperlink w:anchor="__RefHeading___Toc6422220_1280447820">
            <w:r>
              <w:rPr>
                <w:webHidden/>
                <w:rStyle w:val="IndexLink"/>
                <w:rtl w:val="true"/>
              </w:rPr>
              <w:t>(</w:t>
            </w:r>
            <w:r>
              <w:rPr>
                <w:rStyle w:val="IndexLink"/>
              </w:rPr>
              <w:t>3</w:t>
            </w:r>
            <w:r>
              <w:rPr>
                <w:rStyle w:val="IndexLink"/>
                <w:rtl w:val="true"/>
              </w:rPr>
              <w:t xml:space="preserve">) </w:t>
            </w:r>
            <w:r>
              <w:rPr>
                <w:rStyle w:val="IndexLink"/>
                <w:rtl w:val="true"/>
              </w:rPr>
              <w:t>بواعث إنكار المعاد و شبهات المنكرين</w:t>
            </w:r>
            <w:r>
              <w:rPr>
                <w:rStyle w:val="IndexLink"/>
                <w:rtl w:val="true"/>
              </w:rPr>
              <w:tab/>
            </w:r>
            <w:r>
              <w:rPr>
                <w:rStyle w:val="IndexLink"/>
              </w:rPr>
              <w:t>192</w:t>
            </w:r>
          </w:hyperlink>
        </w:p>
        <w:p>
          <w:pPr>
            <w:pStyle w:val="Contents5"/>
            <w:tabs>
              <w:tab w:val="clear" w:pos="7892"/>
              <w:tab w:val="right" w:pos="9026" w:leader="dot"/>
            </w:tabs>
            <w:rPr/>
          </w:pPr>
          <w:hyperlink w:anchor="__RefHeading___Toc6422222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422224_1280447820">
            <w:r>
              <w:rPr>
                <w:webHidden/>
                <w:rStyle w:val="IndexLink"/>
                <w:rtl w:val="true"/>
              </w:rPr>
              <w:t>بواعث إنكار المعاد</w:t>
            </w:r>
            <w:r>
              <w:rPr>
                <w:rStyle w:val="IndexLink"/>
                <w:rtl w:val="true"/>
              </w:rPr>
              <w:tab/>
            </w:r>
            <w:r>
              <w:rPr>
                <w:rStyle w:val="IndexLink"/>
              </w:rPr>
              <w:t>192</w:t>
            </w:r>
          </w:hyperlink>
        </w:p>
        <w:p>
          <w:pPr>
            <w:pStyle w:val="Contents6"/>
            <w:tabs>
              <w:tab w:val="clear" w:pos="7609"/>
              <w:tab w:val="right" w:pos="9026" w:leader="dot"/>
            </w:tabs>
            <w:rPr/>
          </w:pPr>
          <w:hyperlink w:anchor="__RefHeading___Toc6422226_1280447820">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6422228_1280447820">
            <w:r>
              <w:rPr>
                <w:webHidden/>
                <w:rStyle w:val="IndexLink"/>
                <w:rtl w:val="true"/>
              </w:rPr>
              <w:t xml:space="preserve">الباعث الأول </w:t>
            </w:r>
            <w:r>
              <w:rPr>
                <w:rStyle w:val="IndexLink"/>
                <w:rtl w:val="true"/>
              </w:rPr>
              <w:t xml:space="preserve">- </w:t>
            </w:r>
            <w:r>
              <w:rPr>
                <w:rStyle w:val="IndexLink"/>
                <w:rtl w:val="true"/>
              </w:rPr>
              <w:t>التحلل من القيود و الحدود</w:t>
            </w:r>
            <w:r>
              <w:rPr>
                <w:rStyle w:val="IndexLink"/>
                <w:rtl w:val="true"/>
              </w:rPr>
              <w:tab/>
            </w:r>
            <w:r>
              <w:rPr>
                <w:rStyle w:val="IndexLink"/>
              </w:rPr>
              <w:t>193</w:t>
            </w:r>
          </w:hyperlink>
        </w:p>
        <w:p>
          <w:pPr>
            <w:pStyle w:val="Contents6"/>
            <w:tabs>
              <w:tab w:val="clear" w:pos="7609"/>
              <w:tab w:val="right" w:pos="9026" w:leader="dot"/>
            </w:tabs>
            <w:rPr/>
          </w:pPr>
          <w:hyperlink w:anchor="__RefHeading___Toc6422230_1280447820">
            <w:r>
              <w:rPr>
                <w:webHidden/>
                <w:rStyle w:val="IndexLink"/>
                <w:rtl w:val="true"/>
              </w:rPr>
              <w:t xml:space="preserve">الباعث الثاني </w:t>
            </w:r>
            <w:r>
              <w:rPr>
                <w:rStyle w:val="IndexLink"/>
                <w:rtl w:val="true"/>
              </w:rPr>
              <w:t xml:space="preserve">- </w:t>
            </w:r>
            <w:r>
              <w:rPr>
                <w:rStyle w:val="IndexLink"/>
                <w:rtl w:val="true"/>
              </w:rPr>
              <w:t>صيانة السلطة</w:t>
            </w:r>
            <w:r>
              <w:rPr>
                <w:rStyle w:val="IndexLink"/>
                <w:rtl w:val="true"/>
              </w:rPr>
              <w:tab/>
            </w:r>
            <w:r>
              <w:rPr>
                <w:rStyle w:val="IndexLink"/>
              </w:rPr>
              <w:t>193</w:t>
            </w:r>
          </w:hyperlink>
        </w:p>
        <w:p>
          <w:pPr>
            <w:pStyle w:val="Contents6"/>
            <w:tabs>
              <w:tab w:val="clear" w:pos="7609"/>
              <w:tab w:val="right" w:pos="9026" w:leader="dot"/>
            </w:tabs>
            <w:rPr/>
          </w:pPr>
          <w:hyperlink w:anchor="__RefHeading___Toc6422232_1280447820">
            <w:r>
              <w:rPr>
                <w:webHidden/>
                <w:rStyle w:val="IndexLink"/>
                <w:rtl w:val="true"/>
              </w:rPr>
              <w:t xml:space="preserve">الباعث الثالث </w:t>
            </w:r>
            <w:r>
              <w:rPr>
                <w:rStyle w:val="IndexLink"/>
                <w:rtl w:val="true"/>
              </w:rPr>
              <w:t xml:space="preserve">- </w:t>
            </w:r>
            <w:r>
              <w:rPr>
                <w:rStyle w:val="IndexLink"/>
                <w:rtl w:val="true"/>
              </w:rPr>
              <w:t>التكذيب بالحق</w:t>
            </w:r>
            <w:r>
              <w:rPr>
                <w:rStyle w:val="IndexLink"/>
                <w:rtl w:val="true"/>
              </w:rPr>
              <w:tab/>
            </w:r>
            <w:r>
              <w:rPr>
                <w:rStyle w:val="IndexLink"/>
              </w:rPr>
              <w:t>194</w:t>
            </w:r>
          </w:hyperlink>
        </w:p>
        <w:p>
          <w:pPr>
            <w:pStyle w:val="Contents5"/>
            <w:tabs>
              <w:tab w:val="clear" w:pos="7892"/>
              <w:tab w:val="right" w:pos="9026" w:leader="dot"/>
            </w:tabs>
            <w:rPr/>
          </w:pPr>
          <w:hyperlink w:anchor="__RefHeading___Toc6422234_1280447820">
            <w:r>
              <w:rPr>
                <w:webHidden/>
                <w:rStyle w:val="IndexLink"/>
                <w:rtl w:val="true"/>
              </w:rPr>
              <w:t>شبهات المنكرين للمعاد</w:t>
            </w:r>
            <w:r>
              <w:rPr>
                <w:rStyle w:val="IndexLink"/>
                <w:rtl w:val="true"/>
              </w:rPr>
              <w:tab/>
            </w:r>
            <w:r>
              <w:rPr>
                <w:rStyle w:val="IndexLink"/>
              </w:rPr>
              <w:t>195</w:t>
            </w:r>
          </w:hyperlink>
        </w:p>
        <w:p>
          <w:pPr>
            <w:pStyle w:val="Contents6"/>
            <w:tabs>
              <w:tab w:val="clear" w:pos="7609"/>
              <w:tab w:val="right" w:pos="9026" w:leader="dot"/>
            </w:tabs>
            <w:rPr/>
          </w:pPr>
          <w:hyperlink w:anchor="__RefHeading___Toc6422236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6422238_1280447820">
            <w:r>
              <w:rPr>
                <w:webHidden/>
                <w:rStyle w:val="IndexLink"/>
              </w:rPr>
              <w:t>1</w:t>
            </w:r>
            <w:r>
              <w:rPr>
                <w:rStyle w:val="IndexLink"/>
                <w:rtl w:val="true"/>
              </w:rPr>
              <w:t xml:space="preserve"> - </w:t>
            </w:r>
            <w:r>
              <w:rPr>
                <w:rStyle w:val="IndexLink"/>
                <w:rtl w:val="true"/>
              </w:rPr>
              <w:t>لا دليل على المعاد</w:t>
            </w:r>
            <w:r>
              <w:rPr>
                <w:rStyle w:val="IndexLink"/>
                <w:rtl w:val="true"/>
              </w:rPr>
              <w:tab/>
            </w:r>
            <w:r>
              <w:rPr>
                <w:rStyle w:val="IndexLink"/>
              </w:rPr>
              <w:t>195</w:t>
            </w:r>
          </w:hyperlink>
        </w:p>
        <w:p>
          <w:pPr>
            <w:pStyle w:val="Contents6"/>
            <w:tabs>
              <w:tab w:val="clear" w:pos="7609"/>
              <w:tab w:val="right" w:pos="9026" w:leader="dot"/>
            </w:tabs>
            <w:rPr/>
          </w:pPr>
          <w:hyperlink w:anchor="__RefHeading___Toc6422240_1280447820">
            <w:r>
              <w:rPr>
                <w:webHidden/>
                <w:rStyle w:val="IndexLink"/>
              </w:rPr>
              <w:t>2</w:t>
            </w:r>
            <w:r>
              <w:rPr>
                <w:rStyle w:val="IndexLink"/>
                <w:rtl w:val="true"/>
              </w:rPr>
              <w:t xml:space="preserve"> - </w:t>
            </w:r>
            <w:r>
              <w:rPr>
                <w:rStyle w:val="IndexLink"/>
                <w:rtl w:val="true"/>
              </w:rPr>
              <w:t>المعاد من أساطير الأولين</w:t>
            </w:r>
            <w:r>
              <w:rPr>
                <w:rStyle w:val="IndexLink"/>
                <w:rtl w:val="true"/>
              </w:rPr>
              <w:tab/>
            </w:r>
            <w:r>
              <w:rPr>
                <w:rStyle w:val="IndexLink"/>
              </w:rPr>
              <w:t>196</w:t>
            </w:r>
          </w:hyperlink>
        </w:p>
        <w:p>
          <w:pPr>
            <w:pStyle w:val="Contents6"/>
            <w:tabs>
              <w:tab w:val="clear" w:pos="7609"/>
              <w:tab w:val="right" w:pos="9026" w:leader="dot"/>
            </w:tabs>
            <w:rPr/>
          </w:pPr>
          <w:hyperlink w:anchor="__RefHeading___Toc6422242_1280447820">
            <w:r>
              <w:rPr>
                <w:webHidden/>
                <w:rStyle w:val="IndexLink"/>
              </w:rPr>
              <w:t>3</w:t>
            </w:r>
            <w:r>
              <w:rPr>
                <w:rStyle w:val="IndexLink"/>
                <w:rtl w:val="true"/>
              </w:rPr>
              <w:t xml:space="preserve"> - </w:t>
            </w:r>
            <w:r>
              <w:rPr>
                <w:rStyle w:val="IndexLink"/>
                <w:rtl w:val="true"/>
              </w:rPr>
              <w:t>المعاد افتراء على اللّه أو جنون من القول</w:t>
            </w:r>
            <w:r>
              <w:rPr>
                <w:rStyle w:val="IndexLink"/>
                <w:rtl w:val="true"/>
              </w:rPr>
              <w:tab/>
            </w:r>
            <w:r>
              <w:rPr>
                <w:rStyle w:val="IndexLink"/>
              </w:rPr>
              <w:t>196</w:t>
            </w:r>
          </w:hyperlink>
        </w:p>
        <w:p>
          <w:pPr>
            <w:pStyle w:val="Contents6"/>
            <w:tabs>
              <w:tab w:val="clear" w:pos="7609"/>
              <w:tab w:val="right" w:pos="9026" w:leader="dot"/>
            </w:tabs>
            <w:rPr/>
          </w:pPr>
          <w:hyperlink w:anchor="__RefHeading___Toc6422244_1280447820">
            <w:r>
              <w:rPr>
                <w:webHidden/>
                <w:rStyle w:val="IndexLink"/>
              </w:rPr>
              <w:t>4</w:t>
            </w:r>
            <w:r>
              <w:rPr>
                <w:rStyle w:val="IndexLink"/>
                <w:rtl w:val="true"/>
              </w:rPr>
              <w:t xml:space="preserve"> - </w:t>
            </w:r>
            <w:r>
              <w:rPr>
                <w:rStyle w:val="IndexLink"/>
                <w:rtl w:val="true"/>
              </w:rPr>
              <w:t>إعادة الأموات سحر</w:t>
            </w:r>
            <w:r>
              <w:rPr>
                <w:rStyle w:val="IndexLink"/>
                <w:rtl w:val="true"/>
              </w:rPr>
              <w:tab/>
            </w:r>
            <w:r>
              <w:rPr>
                <w:rStyle w:val="IndexLink"/>
              </w:rPr>
              <w:t>196</w:t>
            </w:r>
          </w:hyperlink>
        </w:p>
        <w:p>
          <w:pPr>
            <w:pStyle w:val="Contents6"/>
            <w:tabs>
              <w:tab w:val="clear" w:pos="7609"/>
              <w:tab w:val="right" w:pos="9026" w:leader="dot"/>
            </w:tabs>
            <w:rPr/>
          </w:pPr>
          <w:hyperlink w:anchor="__RefHeading___Toc6422246_1280447820">
            <w:r>
              <w:rPr>
                <w:webHidden/>
                <w:rStyle w:val="IndexLink"/>
              </w:rPr>
              <w:t>5</w:t>
            </w:r>
            <w:r>
              <w:rPr>
                <w:rStyle w:val="IndexLink"/>
                <w:rtl w:val="true"/>
              </w:rPr>
              <w:t xml:space="preserve"> - </w:t>
            </w:r>
            <w:r>
              <w:rPr>
                <w:rStyle w:val="IndexLink"/>
                <w:rtl w:val="true"/>
              </w:rPr>
              <w:t>إذا كان المعاد حقّا فأحيوا آباءنا</w:t>
            </w:r>
            <w:r>
              <w:rPr>
                <w:rStyle w:val="IndexLink"/>
                <w:rtl w:val="true"/>
              </w:rPr>
              <w:tab/>
            </w:r>
            <w:r>
              <w:rPr>
                <w:rStyle w:val="IndexLink"/>
              </w:rPr>
              <w:t>197</w:t>
            </w:r>
          </w:hyperlink>
        </w:p>
        <w:p>
          <w:pPr>
            <w:pStyle w:val="Contents6"/>
            <w:tabs>
              <w:tab w:val="clear" w:pos="7609"/>
              <w:tab w:val="right" w:pos="9026" w:leader="dot"/>
            </w:tabs>
            <w:rPr/>
          </w:pPr>
          <w:hyperlink w:anchor="__RefHeading___Toc6422248_1280447820">
            <w:r>
              <w:rPr>
                <w:webHidden/>
                <w:rStyle w:val="IndexLink"/>
              </w:rPr>
              <w:t>6</w:t>
            </w:r>
            <w:r>
              <w:rPr>
                <w:rStyle w:val="IndexLink"/>
                <w:rtl w:val="true"/>
              </w:rPr>
              <w:t xml:space="preserve"> - </w:t>
            </w:r>
            <w:r>
              <w:rPr>
                <w:rStyle w:val="IndexLink"/>
                <w:rtl w:val="true"/>
              </w:rPr>
              <w:t>حشر الإنسان عسير</w:t>
            </w:r>
            <w:r>
              <w:rPr>
                <w:rStyle w:val="IndexLink"/>
                <w:rtl w:val="true"/>
              </w:rPr>
              <w:tab/>
            </w:r>
            <w:r>
              <w:rPr>
                <w:rStyle w:val="IndexLink"/>
              </w:rPr>
              <w:t>197</w:t>
            </w:r>
          </w:hyperlink>
        </w:p>
        <w:p>
          <w:pPr>
            <w:pStyle w:val="Contents6"/>
            <w:tabs>
              <w:tab w:val="clear" w:pos="7609"/>
              <w:tab w:val="right" w:pos="9026" w:leader="dot"/>
            </w:tabs>
            <w:rPr/>
          </w:pPr>
          <w:hyperlink w:anchor="__RefHeading___Toc6422250_1280447820">
            <w:r>
              <w:rPr>
                <w:webHidden/>
                <w:rStyle w:val="IndexLink"/>
              </w:rPr>
              <w:t>7</w:t>
            </w:r>
            <w:r>
              <w:rPr>
                <w:rStyle w:val="IndexLink"/>
                <w:rtl w:val="true"/>
              </w:rPr>
              <w:t xml:space="preserve"> - </w:t>
            </w:r>
            <w:r>
              <w:rPr>
                <w:rStyle w:val="IndexLink"/>
                <w:rtl w:val="true"/>
              </w:rPr>
              <w:t>إحياء الموتى خارج عن إطار القدرة</w:t>
            </w:r>
            <w:r>
              <w:rPr>
                <w:rStyle w:val="IndexLink"/>
                <w:rtl w:val="true"/>
              </w:rPr>
              <w:tab/>
            </w:r>
            <w:r>
              <w:rPr>
                <w:rStyle w:val="IndexLink"/>
              </w:rPr>
              <w:t>198</w:t>
            </w:r>
          </w:hyperlink>
        </w:p>
        <w:p>
          <w:pPr>
            <w:pStyle w:val="Contents6"/>
            <w:tabs>
              <w:tab w:val="clear" w:pos="7609"/>
              <w:tab w:val="right" w:pos="9026" w:leader="dot"/>
            </w:tabs>
            <w:rPr/>
          </w:pPr>
          <w:hyperlink w:anchor="__RefHeading___Toc6422252_1280447820">
            <w:r>
              <w:rPr>
                <w:webHidden/>
                <w:rStyle w:val="IndexLink"/>
              </w:rPr>
              <w:t>8</w:t>
            </w:r>
            <w:r>
              <w:rPr>
                <w:rStyle w:val="IndexLink"/>
                <w:rtl w:val="true"/>
              </w:rPr>
              <w:t xml:space="preserve"> - </w:t>
            </w:r>
            <w:r>
              <w:rPr>
                <w:rStyle w:val="IndexLink"/>
                <w:rtl w:val="true"/>
              </w:rPr>
              <w:t>التعرف على الأجزاء الرميمة غير ممكن</w:t>
            </w:r>
            <w:r>
              <w:rPr>
                <w:rStyle w:val="IndexLink"/>
                <w:rtl w:val="true"/>
              </w:rPr>
              <w:tab/>
            </w:r>
            <w:r>
              <w:rPr>
                <w:rStyle w:val="IndexLink"/>
              </w:rPr>
              <w:t>198</w:t>
            </w:r>
          </w:hyperlink>
        </w:p>
        <w:p>
          <w:pPr>
            <w:pStyle w:val="Contents6"/>
            <w:tabs>
              <w:tab w:val="clear" w:pos="7609"/>
              <w:tab w:val="right" w:pos="9026" w:leader="dot"/>
            </w:tabs>
            <w:rPr/>
          </w:pPr>
          <w:hyperlink w:anchor="__RefHeading___Toc6422254_1280447820">
            <w:r>
              <w:rPr>
                <w:webHidden/>
                <w:rStyle w:val="IndexLink"/>
              </w:rPr>
              <w:t>9</w:t>
            </w:r>
            <w:r>
              <w:rPr>
                <w:rStyle w:val="IndexLink"/>
                <w:rtl w:val="true"/>
              </w:rPr>
              <w:t xml:space="preserve"> - </w:t>
            </w:r>
            <w:r>
              <w:rPr>
                <w:rStyle w:val="IndexLink"/>
                <w:rtl w:val="true"/>
              </w:rPr>
              <w:t>الموت بطلان للشخصية</w:t>
            </w:r>
            <w:r>
              <w:rPr>
                <w:rStyle w:val="IndexLink"/>
                <w:rtl w:val="true"/>
              </w:rPr>
              <w:tab/>
            </w:r>
            <w:r>
              <w:rPr>
                <w:rStyle w:val="IndexLink"/>
              </w:rPr>
              <w:t>199</w:t>
            </w:r>
          </w:hyperlink>
        </w:p>
        <w:p>
          <w:pPr>
            <w:pStyle w:val="Contents6"/>
            <w:tabs>
              <w:tab w:val="clear" w:pos="7609"/>
              <w:tab w:val="right" w:pos="9026" w:leader="dot"/>
            </w:tabs>
            <w:rPr/>
          </w:pPr>
          <w:hyperlink w:anchor="__RefHeading___Toc6422256_1280447820">
            <w:r>
              <w:rPr>
                <w:webHidden/>
                <w:rStyle w:val="IndexLink"/>
              </w:rPr>
              <w:t>10</w:t>
            </w:r>
            <w:r>
              <w:rPr>
                <w:rStyle w:val="IndexLink"/>
                <w:rtl w:val="true"/>
              </w:rPr>
              <w:t xml:space="preserve"> - </w:t>
            </w:r>
            <w:r>
              <w:rPr>
                <w:rStyle w:val="IndexLink"/>
                <w:rtl w:val="true"/>
              </w:rPr>
              <w:t>فقدان الصلة بين المبتدأ و المعاد</w:t>
            </w:r>
            <w:r>
              <w:rPr>
                <w:rStyle w:val="IndexLink"/>
                <w:rtl w:val="true"/>
              </w:rPr>
              <w:tab/>
            </w:r>
            <w:r>
              <w:rPr>
                <w:rStyle w:val="IndexLink"/>
              </w:rPr>
              <w:t>199</w:t>
            </w:r>
          </w:hyperlink>
        </w:p>
        <w:p>
          <w:pPr>
            <w:pStyle w:val="Contents5"/>
            <w:tabs>
              <w:tab w:val="clear" w:pos="7892"/>
              <w:tab w:val="right" w:pos="9026" w:leader="dot"/>
            </w:tabs>
            <w:rPr/>
          </w:pPr>
          <w:hyperlink w:anchor="__RefHeading___Toc6422258_1280447820">
            <w:r>
              <w:rPr>
                <w:webHidden/>
                <w:rStyle w:val="IndexLink"/>
                <w:rtl w:val="true"/>
              </w:rPr>
              <w:t>الإجابة التفصيلية عن شبهاتهم</w:t>
            </w:r>
            <w:r>
              <w:rPr>
                <w:rStyle w:val="IndexLink"/>
                <w:rtl w:val="true"/>
              </w:rPr>
              <w:tab/>
            </w:r>
            <w:r>
              <w:rPr>
                <w:rStyle w:val="IndexLink"/>
              </w:rPr>
              <w:t>199</w:t>
            </w:r>
          </w:hyperlink>
        </w:p>
        <w:p>
          <w:pPr>
            <w:pStyle w:val="Contents6"/>
            <w:tabs>
              <w:tab w:val="clear" w:pos="7609"/>
              <w:tab w:val="right" w:pos="9026" w:leader="dot"/>
            </w:tabs>
            <w:rPr/>
          </w:pPr>
          <w:hyperlink w:anchor="__RefHeading___Toc6422260_128044782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422262_1280447820">
            <w:r>
              <w:rPr>
                <w:webHidden/>
                <w:rStyle w:val="IndexLink"/>
                <w:rtl w:val="true"/>
              </w:rPr>
              <w:t xml:space="preserve">جواب الشبهة الأولى </w:t>
            </w:r>
            <w:r>
              <w:rPr>
                <w:rStyle w:val="IndexLink"/>
                <w:rtl w:val="true"/>
              </w:rPr>
              <w:t xml:space="preserve">- </w:t>
            </w:r>
            <w:r>
              <w:rPr>
                <w:rStyle w:val="IndexLink"/>
                <w:rtl w:val="true"/>
              </w:rPr>
              <w:t>القدرة المطلقة و إحياء الموتى</w:t>
            </w:r>
            <w:r>
              <w:rPr>
                <w:rStyle w:val="IndexLink"/>
                <w:rtl w:val="true"/>
              </w:rPr>
              <w:tab/>
            </w:r>
            <w:r>
              <w:rPr>
                <w:rStyle w:val="IndexLink"/>
              </w:rPr>
              <w:t>200</w:t>
            </w:r>
          </w:hyperlink>
        </w:p>
        <w:p>
          <w:pPr>
            <w:pStyle w:val="Contents6"/>
            <w:tabs>
              <w:tab w:val="clear" w:pos="7609"/>
              <w:tab w:val="right" w:pos="9026" w:leader="dot"/>
            </w:tabs>
            <w:rPr/>
          </w:pPr>
          <w:hyperlink w:anchor="__RefHeading___Toc6422264_128044782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422266_1280447820">
            <w:r>
              <w:rPr>
                <w:webHidden/>
                <w:rStyle w:val="IndexLink"/>
                <w:rtl w:val="true"/>
              </w:rPr>
              <w:t xml:space="preserve">أ </w:t>
            </w:r>
            <w:r>
              <w:rPr>
                <w:rStyle w:val="IndexLink"/>
                <w:rtl w:val="true"/>
              </w:rPr>
              <w:t xml:space="preserve">- </w:t>
            </w:r>
            <w:r>
              <w:rPr>
                <w:rStyle w:val="IndexLink"/>
                <w:rtl w:val="true"/>
              </w:rPr>
              <w:t>القادر على خلق السموات، قادر على إحياء الموتى</w:t>
            </w:r>
            <w:r>
              <w:rPr>
                <w:rStyle w:val="IndexLink"/>
                <w:rtl w:val="true"/>
              </w:rPr>
              <w:tab/>
            </w:r>
            <w:r>
              <w:rPr>
                <w:rStyle w:val="IndexLink"/>
              </w:rPr>
              <w:t>201</w:t>
            </w:r>
          </w:hyperlink>
        </w:p>
        <w:p>
          <w:pPr>
            <w:pStyle w:val="Contents6"/>
            <w:tabs>
              <w:tab w:val="clear" w:pos="7609"/>
              <w:tab w:val="right" w:pos="9026" w:leader="dot"/>
            </w:tabs>
            <w:rPr/>
          </w:pPr>
          <w:hyperlink w:anchor="__RefHeading___Toc6422268_1280447820">
            <w:r>
              <w:rPr>
                <w:webHidden/>
                <w:rStyle w:val="IndexLink"/>
                <w:rtl w:val="true"/>
              </w:rPr>
              <w:t xml:space="preserve">ب </w:t>
            </w:r>
            <w:r>
              <w:rPr>
                <w:rStyle w:val="IndexLink"/>
                <w:rtl w:val="true"/>
              </w:rPr>
              <w:t xml:space="preserve">- </w:t>
            </w:r>
            <w:r>
              <w:rPr>
                <w:rStyle w:val="IndexLink"/>
                <w:rtl w:val="true"/>
              </w:rPr>
              <w:t>القادر على المبتدأ قادر على المعاد</w:t>
            </w:r>
            <w:r>
              <w:rPr>
                <w:rStyle w:val="IndexLink"/>
                <w:rtl w:val="true"/>
              </w:rPr>
              <w:tab/>
            </w:r>
            <w:r>
              <w:rPr>
                <w:rStyle w:val="IndexLink"/>
              </w:rPr>
              <w:t>201</w:t>
            </w:r>
          </w:hyperlink>
        </w:p>
        <w:p>
          <w:pPr>
            <w:pStyle w:val="Contents6"/>
            <w:tabs>
              <w:tab w:val="clear" w:pos="7609"/>
              <w:tab w:val="right" w:pos="9026" w:leader="dot"/>
            </w:tabs>
            <w:rPr/>
          </w:pPr>
          <w:hyperlink w:anchor="__RefHeading___Toc6422270_1280447820">
            <w:r>
              <w:rPr>
                <w:webHidden/>
                <w:rStyle w:val="IndexLink"/>
                <w:rtl w:val="true"/>
              </w:rPr>
              <w:t xml:space="preserve">ج </w:t>
            </w:r>
            <w:r>
              <w:rPr>
                <w:rStyle w:val="IndexLink"/>
                <w:rtl w:val="true"/>
              </w:rPr>
              <w:t xml:space="preserve">- </w:t>
            </w:r>
            <w:r>
              <w:rPr>
                <w:rStyle w:val="IndexLink"/>
                <w:rtl w:val="true"/>
              </w:rPr>
              <w:t>القادر على إحياء الأرض بعد موتها قادر على إحياء الإنسان بعد موته</w:t>
            </w:r>
            <w:r>
              <w:rPr>
                <w:rStyle w:val="IndexLink"/>
                <w:rtl w:val="true"/>
              </w:rPr>
              <w:tab/>
            </w:r>
            <w:r>
              <w:rPr>
                <w:rStyle w:val="IndexLink"/>
              </w:rPr>
              <w:t>201</w:t>
            </w:r>
          </w:hyperlink>
        </w:p>
        <w:p>
          <w:pPr>
            <w:pStyle w:val="Contents6"/>
            <w:tabs>
              <w:tab w:val="clear" w:pos="7609"/>
              <w:tab w:val="right" w:pos="9026" w:leader="dot"/>
            </w:tabs>
            <w:rPr/>
          </w:pPr>
          <w:hyperlink w:anchor="__RefHeading___Toc6422272_1280447820">
            <w:r>
              <w:rPr>
                <w:webHidden/>
                <w:rStyle w:val="IndexLink"/>
                <w:rtl w:val="true"/>
              </w:rPr>
              <w:t xml:space="preserve">جواب الشبهة الثانية </w:t>
            </w:r>
            <w:r>
              <w:rPr>
                <w:rStyle w:val="IndexLink"/>
                <w:rtl w:val="true"/>
              </w:rPr>
              <w:t xml:space="preserve">- </w:t>
            </w:r>
            <w:r>
              <w:rPr>
                <w:rStyle w:val="IndexLink"/>
                <w:rtl w:val="true"/>
              </w:rPr>
              <w:t>العلم المطلق و التعرف على الأجزاء المندثرة</w:t>
            </w:r>
            <w:r>
              <w:rPr>
                <w:rStyle w:val="IndexLink"/>
                <w:rtl w:val="true"/>
              </w:rPr>
              <w:tab/>
            </w:r>
            <w:r>
              <w:rPr>
                <w:rStyle w:val="IndexLink"/>
              </w:rPr>
              <w:t>202</w:t>
            </w:r>
          </w:hyperlink>
        </w:p>
        <w:p>
          <w:pPr>
            <w:pStyle w:val="Contents6"/>
            <w:tabs>
              <w:tab w:val="clear" w:pos="7609"/>
              <w:tab w:val="right" w:pos="9026" w:leader="dot"/>
            </w:tabs>
            <w:rPr/>
          </w:pPr>
          <w:hyperlink w:anchor="__RefHeading___Toc6422274_1280447820">
            <w:r>
              <w:rPr>
                <w:webHidden/>
                <w:rStyle w:val="IndexLink"/>
                <w:rtl w:val="true"/>
              </w:rPr>
              <w:t xml:space="preserve">جواب الشبهة الثالثة </w:t>
            </w:r>
            <w:r>
              <w:rPr>
                <w:rStyle w:val="IndexLink"/>
                <w:rtl w:val="true"/>
              </w:rPr>
              <w:t xml:space="preserve">- </w:t>
            </w:r>
            <w:r>
              <w:rPr>
                <w:rStyle w:val="IndexLink"/>
                <w:rtl w:val="true"/>
              </w:rPr>
              <w:t>الموت ليس إبطالا للشخصية</w:t>
            </w:r>
            <w:r>
              <w:rPr>
                <w:rStyle w:val="IndexLink"/>
                <w:rtl w:val="true"/>
              </w:rPr>
              <w:tab/>
            </w:r>
            <w:r>
              <w:rPr>
                <w:rStyle w:val="IndexLink"/>
              </w:rPr>
              <w:t>203</w:t>
            </w:r>
          </w:hyperlink>
        </w:p>
        <w:p>
          <w:pPr>
            <w:pStyle w:val="Contents6"/>
            <w:tabs>
              <w:tab w:val="clear" w:pos="7609"/>
              <w:tab w:val="right" w:pos="9026" w:leader="dot"/>
            </w:tabs>
            <w:rPr/>
          </w:pPr>
          <w:hyperlink w:anchor="__RefHeading___Toc6422276_1280447820">
            <w:r>
              <w:rPr>
                <w:webHidden/>
                <w:rStyle w:val="IndexLink"/>
                <w:rtl w:val="true"/>
              </w:rPr>
              <w:t xml:space="preserve">جواب الشبهة الرابعة </w:t>
            </w:r>
            <w:r>
              <w:rPr>
                <w:rStyle w:val="IndexLink"/>
                <w:rtl w:val="true"/>
              </w:rPr>
              <w:t xml:space="preserve">- </w:t>
            </w:r>
            <w:r>
              <w:rPr>
                <w:rStyle w:val="IndexLink"/>
                <w:rtl w:val="true"/>
              </w:rPr>
              <w:t>شخصية المعاد نفس شخصية المبتدأ</w:t>
            </w:r>
            <w:r>
              <w:rPr>
                <w:rStyle w:val="IndexLink"/>
                <w:rtl w:val="true"/>
              </w:rPr>
              <w:tab/>
            </w:r>
            <w:r>
              <w:rPr>
                <w:rStyle w:val="IndexLink"/>
              </w:rPr>
              <w:t>205</w:t>
            </w:r>
          </w:hyperlink>
        </w:p>
        <w:p>
          <w:pPr>
            <w:pStyle w:val="Contents4"/>
            <w:tabs>
              <w:tab w:val="clear" w:pos="8176"/>
              <w:tab w:val="right" w:pos="9026" w:leader="dot"/>
            </w:tabs>
            <w:rPr/>
          </w:pPr>
          <w:hyperlink w:anchor="__RefHeading___Toc6422278_1280447820">
            <w:r>
              <w:rPr>
                <w:webHidden/>
                <w:rStyle w:val="IndexLink"/>
                <w:rtl w:val="true"/>
              </w:rPr>
              <w:t>(</w:t>
            </w:r>
            <w:r>
              <w:rPr>
                <w:rStyle w:val="IndexLink"/>
              </w:rPr>
              <w:t>4</w:t>
            </w:r>
            <w:r>
              <w:rPr>
                <w:rStyle w:val="IndexLink"/>
                <w:rtl w:val="true"/>
              </w:rPr>
              <w:t xml:space="preserve">) </w:t>
            </w:r>
            <w:r>
              <w:rPr>
                <w:rStyle w:val="IndexLink"/>
                <w:rtl w:val="true"/>
              </w:rPr>
              <w:t>تجرد الروح الإنسانية</w:t>
            </w:r>
            <w:r>
              <w:rPr>
                <w:rStyle w:val="IndexLink"/>
                <w:rtl w:val="true"/>
              </w:rPr>
              <w:tab/>
            </w:r>
            <w:r>
              <w:rPr>
                <w:rStyle w:val="IndexLink"/>
              </w:rPr>
              <w:t>207</w:t>
            </w:r>
          </w:hyperlink>
        </w:p>
        <w:p>
          <w:pPr>
            <w:pStyle w:val="Contents5"/>
            <w:tabs>
              <w:tab w:val="clear" w:pos="7892"/>
              <w:tab w:val="right" w:pos="9026" w:leader="dot"/>
            </w:tabs>
            <w:rPr/>
          </w:pPr>
          <w:hyperlink w:anchor="__RefHeading___Toc642228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6422282_1280447820">
            <w:r>
              <w:rPr>
                <w:webHidden/>
                <w:rStyle w:val="IndexLink"/>
              </w:rPr>
              <w:t>1</w:t>
            </w:r>
            <w:r>
              <w:rPr>
                <w:rStyle w:val="IndexLink"/>
                <w:rtl w:val="true"/>
              </w:rPr>
              <w:t xml:space="preserve"> - </w:t>
            </w:r>
            <w:r>
              <w:rPr>
                <w:rStyle w:val="IndexLink"/>
                <w:rtl w:val="true"/>
              </w:rPr>
              <w:t>البراهين العقلية على تجرد الروح</w:t>
            </w:r>
            <w:r>
              <w:rPr>
                <w:rStyle w:val="IndexLink"/>
                <w:rtl w:val="true"/>
              </w:rPr>
              <w:tab/>
            </w:r>
            <w:r>
              <w:rPr>
                <w:rStyle w:val="IndexLink"/>
              </w:rPr>
              <w:t>207</w:t>
            </w:r>
          </w:hyperlink>
        </w:p>
        <w:p>
          <w:pPr>
            <w:pStyle w:val="Contents6"/>
            <w:tabs>
              <w:tab w:val="clear" w:pos="7609"/>
              <w:tab w:val="right" w:pos="9026" w:leader="dot"/>
            </w:tabs>
            <w:rPr/>
          </w:pPr>
          <w:hyperlink w:anchor="__RefHeading___Toc6422284_1280447820">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6422286_1280447820">
            <w:r>
              <w:rPr>
                <w:webHidden/>
                <w:rStyle w:val="IndexLink"/>
                <w:rtl w:val="true"/>
              </w:rPr>
              <w:t xml:space="preserve">البرهان الأول </w:t>
            </w:r>
            <w:r>
              <w:rPr>
                <w:rStyle w:val="IndexLink"/>
                <w:rtl w:val="true"/>
              </w:rPr>
              <w:t xml:space="preserve">- </w:t>
            </w:r>
            <w:r>
              <w:rPr>
                <w:rStyle w:val="IndexLink"/>
                <w:rtl w:val="true"/>
              </w:rPr>
              <w:t>ثبات الشخصية الإنسانية في دوامة التغيّرات الجسدية</w:t>
            </w:r>
            <w:r>
              <w:rPr>
                <w:rStyle w:val="IndexLink"/>
                <w:rtl w:val="true"/>
              </w:rPr>
              <w:tab/>
            </w:r>
            <w:r>
              <w:rPr>
                <w:rStyle w:val="IndexLink"/>
              </w:rPr>
              <w:t>207</w:t>
            </w:r>
          </w:hyperlink>
        </w:p>
        <w:p>
          <w:pPr>
            <w:pStyle w:val="Contents6"/>
            <w:tabs>
              <w:tab w:val="clear" w:pos="7609"/>
              <w:tab w:val="right" w:pos="9026" w:leader="dot"/>
            </w:tabs>
            <w:rPr/>
          </w:pPr>
          <w:hyperlink w:anchor="__RefHeading___Toc6422288_1280447820">
            <w:r>
              <w:rPr>
                <w:webHidden/>
                <w:rStyle w:val="IndexLink"/>
                <w:rtl w:val="true"/>
              </w:rPr>
              <w:t xml:space="preserve">البرهان الثاني </w:t>
            </w:r>
            <w:r>
              <w:rPr>
                <w:rStyle w:val="IndexLink"/>
                <w:rtl w:val="true"/>
              </w:rPr>
              <w:t xml:space="preserve">- </w:t>
            </w:r>
            <w:r>
              <w:rPr>
                <w:rStyle w:val="IndexLink"/>
                <w:rtl w:val="true"/>
              </w:rPr>
              <w:t>علم الإنسان بنفسه مع الغفلة عن بدنه</w:t>
            </w:r>
            <w:r>
              <w:rPr>
                <w:rStyle w:val="IndexLink"/>
                <w:rtl w:val="true"/>
              </w:rPr>
              <w:tab/>
            </w:r>
            <w:r>
              <w:rPr>
                <w:rStyle w:val="IndexLink"/>
              </w:rPr>
              <w:t>209</w:t>
            </w:r>
          </w:hyperlink>
        </w:p>
        <w:p>
          <w:pPr>
            <w:pStyle w:val="Contents6"/>
            <w:tabs>
              <w:tab w:val="clear" w:pos="7609"/>
              <w:tab w:val="right" w:pos="9026" w:leader="dot"/>
            </w:tabs>
            <w:rPr/>
          </w:pPr>
          <w:hyperlink w:anchor="__RefHeading___Toc6422290_1280447820">
            <w:r>
              <w:rPr>
                <w:webHidden/>
                <w:rStyle w:val="IndexLink"/>
                <w:rtl w:val="true"/>
              </w:rPr>
              <w:t xml:space="preserve">البرهان الثالث </w:t>
            </w:r>
            <w:r>
              <w:rPr>
                <w:rStyle w:val="IndexLink"/>
                <w:rtl w:val="true"/>
              </w:rPr>
              <w:t xml:space="preserve">- </w:t>
            </w:r>
            <w:r>
              <w:rPr>
                <w:rStyle w:val="IndexLink"/>
                <w:rtl w:val="true"/>
              </w:rPr>
              <w:t>عدم الانقسام آية التجرّد</w:t>
            </w:r>
            <w:r>
              <w:rPr>
                <w:rStyle w:val="IndexLink"/>
                <w:rtl w:val="true"/>
              </w:rPr>
              <w:tab/>
            </w:r>
            <w:r>
              <w:rPr>
                <w:rStyle w:val="IndexLink"/>
              </w:rPr>
              <w:t>209</w:t>
            </w:r>
          </w:hyperlink>
        </w:p>
        <w:p>
          <w:pPr>
            <w:pStyle w:val="Contents5"/>
            <w:tabs>
              <w:tab w:val="clear" w:pos="7892"/>
              <w:tab w:val="right" w:pos="9026" w:leader="dot"/>
            </w:tabs>
            <w:rPr/>
          </w:pPr>
          <w:hyperlink w:anchor="__RefHeading___Toc6422292_1280447820">
            <w:r>
              <w:rPr>
                <w:webHidden/>
                <w:rStyle w:val="IndexLink"/>
              </w:rPr>
              <w:t>2</w:t>
            </w:r>
            <w:r>
              <w:rPr>
                <w:rStyle w:val="IndexLink"/>
                <w:rtl w:val="true"/>
              </w:rPr>
              <w:t xml:space="preserve"> - </w:t>
            </w:r>
            <w:r>
              <w:rPr>
                <w:rStyle w:val="IndexLink"/>
                <w:rtl w:val="true"/>
              </w:rPr>
              <w:t>القرآن و تجرّد النفس و خلودها</w:t>
            </w:r>
            <w:r>
              <w:rPr>
                <w:rStyle w:val="IndexLink"/>
                <w:rtl w:val="true"/>
              </w:rPr>
              <w:tab/>
            </w:r>
            <w:r>
              <w:rPr>
                <w:rStyle w:val="IndexLink"/>
              </w:rPr>
              <w:t>211</w:t>
            </w:r>
          </w:hyperlink>
        </w:p>
        <w:p>
          <w:pPr>
            <w:pStyle w:val="Contents6"/>
            <w:tabs>
              <w:tab w:val="clear" w:pos="7609"/>
              <w:tab w:val="right" w:pos="9026" w:leader="dot"/>
            </w:tabs>
            <w:rPr/>
          </w:pPr>
          <w:hyperlink w:anchor="__RefHeading___Toc6422294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6422296_1280447820">
            <w:r>
              <w:rPr>
                <w:webHidden/>
                <w:rStyle w:val="IndexLink"/>
                <w:rtl w:val="true"/>
              </w:rPr>
              <w:t>القسم الأول من الآيات</w:t>
            </w:r>
            <w:r>
              <w:rPr>
                <w:rStyle w:val="IndexLink"/>
                <w:rtl w:val="true"/>
              </w:rPr>
              <w:tab/>
            </w:r>
            <w:r>
              <w:rPr>
                <w:rStyle w:val="IndexLink"/>
              </w:rPr>
              <w:t>211</w:t>
            </w:r>
          </w:hyperlink>
        </w:p>
        <w:p>
          <w:pPr>
            <w:pStyle w:val="Contents6"/>
            <w:tabs>
              <w:tab w:val="clear" w:pos="7609"/>
              <w:tab w:val="right" w:pos="9026" w:leader="dot"/>
            </w:tabs>
            <w:rPr/>
          </w:pPr>
          <w:hyperlink w:anchor="__RefHeading___Toc6422298_1280447820">
            <w:r>
              <w:rPr>
                <w:webHidden/>
                <w:rStyle w:val="IndexLink"/>
                <w:rtl w:val="true"/>
              </w:rPr>
              <w:t>القسم الثاني من الآيات</w:t>
            </w:r>
            <w:r>
              <w:rPr>
                <w:rStyle w:val="IndexLink"/>
                <w:rtl w:val="true"/>
              </w:rPr>
              <w:tab/>
            </w:r>
            <w:r>
              <w:rPr>
                <w:rStyle w:val="IndexLink"/>
              </w:rPr>
              <w:t>215</w:t>
            </w:r>
          </w:hyperlink>
        </w:p>
        <w:p>
          <w:pPr>
            <w:pStyle w:val="Contents4"/>
            <w:tabs>
              <w:tab w:val="clear" w:pos="8176"/>
              <w:tab w:val="right" w:pos="9026" w:leader="dot"/>
            </w:tabs>
            <w:rPr/>
          </w:pPr>
          <w:hyperlink w:anchor="__RefHeading___Toc6422300_1280447820">
            <w:r>
              <w:rPr>
                <w:webHidden/>
                <w:rStyle w:val="IndexLink"/>
                <w:rtl w:val="true"/>
              </w:rPr>
              <w:t>(</w:t>
            </w:r>
            <w:r>
              <w:rPr>
                <w:rStyle w:val="IndexLink"/>
              </w:rPr>
              <w:t>5</w:t>
            </w:r>
            <w:r>
              <w:rPr>
                <w:rStyle w:val="IndexLink"/>
                <w:rtl w:val="true"/>
              </w:rPr>
              <w:t xml:space="preserve">) </w:t>
            </w:r>
            <w:r>
              <w:rPr>
                <w:rStyle w:val="IndexLink"/>
                <w:rtl w:val="true"/>
              </w:rPr>
              <w:t>نماذج من إحياء الموتى في الشرائع السابقة</w:t>
            </w:r>
            <w:r>
              <w:rPr>
                <w:rStyle w:val="IndexLink"/>
                <w:rtl w:val="true"/>
              </w:rPr>
              <w:tab/>
            </w:r>
            <w:r>
              <w:rPr>
                <w:rStyle w:val="IndexLink"/>
              </w:rPr>
              <w:t>218</w:t>
            </w:r>
          </w:hyperlink>
        </w:p>
        <w:p>
          <w:pPr>
            <w:pStyle w:val="Contents5"/>
            <w:tabs>
              <w:tab w:val="clear" w:pos="7892"/>
              <w:tab w:val="right" w:pos="9026" w:leader="dot"/>
            </w:tabs>
            <w:rPr/>
          </w:pPr>
          <w:hyperlink w:anchor="__RefHeading___Toc6422302_1280447820">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6422304_1280447820">
            <w:r>
              <w:rPr>
                <w:webHidden/>
                <w:rStyle w:val="IndexLink"/>
              </w:rPr>
              <w:t>1</w:t>
            </w:r>
            <w:r>
              <w:rPr>
                <w:rStyle w:val="IndexLink"/>
                <w:rtl w:val="true"/>
              </w:rPr>
              <w:t xml:space="preserve"> - </w:t>
            </w:r>
            <w:r>
              <w:rPr>
                <w:rStyle w:val="IndexLink"/>
                <w:rtl w:val="true"/>
              </w:rPr>
              <w:t>إبراهيم و إحياء الموتى</w:t>
            </w:r>
            <w:r>
              <w:rPr>
                <w:rStyle w:val="IndexLink"/>
                <w:rtl w:val="true"/>
              </w:rPr>
              <w:tab/>
            </w:r>
            <w:r>
              <w:rPr>
                <w:rStyle w:val="IndexLink"/>
              </w:rPr>
              <w:t>219</w:t>
            </w:r>
          </w:hyperlink>
        </w:p>
        <w:p>
          <w:pPr>
            <w:pStyle w:val="Contents5"/>
            <w:tabs>
              <w:tab w:val="clear" w:pos="7892"/>
              <w:tab w:val="right" w:pos="9026" w:leader="dot"/>
            </w:tabs>
            <w:rPr/>
          </w:pPr>
          <w:hyperlink w:anchor="__RefHeading___Toc6422306_1280447820">
            <w:r>
              <w:rPr>
                <w:webHidden/>
                <w:rStyle w:val="IndexLink"/>
              </w:rPr>
              <w:t>2</w:t>
            </w:r>
            <w:r>
              <w:rPr>
                <w:rStyle w:val="IndexLink"/>
                <w:rtl w:val="true"/>
              </w:rPr>
              <w:t xml:space="preserve"> - </w:t>
            </w:r>
            <w:r>
              <w:rPr>
                <w:rStyle w:val="IndexLink"/>
                <w:rtl w:val="true"/>
              </w:rPr>
              <w:t>إحياء عزير</w:t>
            </w:r>
            <w:r>
              <w:rPr>
                <w:rStyle w:val="IndexLink"/>
                <w:rtl w:val="true"/>
              </w:rPr>
              <w:tab/>
            </w:r>
            <w:r>
              <w:rPr>
                <w:rStyle w:val="IndexLink"/>
              </w:rPr>
              <w:t>223</w:t>
            </w:r>
          </w:hyperlink>
        </w:p>
        <w:p>
          <w:pPr>
            <w:pStyle w:val="Contents5"/>
            <w:tabs>
              <w:tab w:val="clear" w:pos="7892"/>
              <w:tab w:val="right" w:pos="9026" w:leader="dot"/>
            </w:tabs>
            <w:rPr/>
          </w:pPr>
          <w:hyperlink w:anchor="__RefHeading___Toc6422308_1280447820">
            <w:r>
              <w:rPr>
                <w:webHidden/>
                <w:rStyle w:val="IndexLink"/>
              </w:rPr>
              <w:t>3</w:t>
            </w:r>
            <w:r>
              <w:rPr>
                <w:rStyle w:val="IndexLink"/>
                <w:rtl w:val="true"/>
              </w:rPr>
              <w:t xml:space="preserve"> - </w:t>
            </w:r>
            <w:r>
              <w:rPr>
                <w:rStyle w:val="IndexLink"/>
                <w:rtl w:val="true"/>
              </w:rPr>
              <w:t>إحياء قوم من بني إسرائيل</w:t>
            </w:r>
            <w:r>
              <w:rPr>
                <w:rStyle w:val="IndexLink"/>
                <w:rtl w:val="true"/>
              </w:rPr>
              <w:tab/>
            </w:r>
            <w:r>
              <w:rPr>
                <w:rStyle w:val="IndexLink"/>
              </w:rPr>
              <w:t>224</w:t>
            </w:r>
          </w:hyperlink>
        </w:p>
        <w:p>
          <w:pPr>
            <w:pStyle w:val="Contents5"/>
            <w:tabs>
              <w:tab w:val="clear" w:pos="7892"/>
              <w:tab w:val="right" w:pos="9026" w:leader="dot"/>
            </w:tabs>
            <w:rPr/>
          </w:pPr>
          <w:hyperlink w:anchor="__RefHeading___Toc6422310_1280447820">
            <w:r>
              <w:rPr>
                <w:webHidden/>
                <w:rStyle w:val="IndexLink"/>
              </w:rPr>
              <w:t>4</w:t>
            </w:r>
            <w:r>
              <w:rPr>
                <w:rStyle w:val="IndexLink"/>
                <w:rtl w:val="true"/>
              </w:rPr>
              <w:t xml:space="preserve"> - </w:t>
            </w:r>
            <w:r>
              <w:rPr>
                <w:rStyle w:val="IndexLink"/>
                <w:rtl w:val="true"/>
              </w:rPr>
              <w:t>إحياء قتيل بني إسرائيل</w:t>
            </w:r>
            <w:r>
              <w:rPr>
                <w:rStyle w:val="IndexLink"/>
                <w:rtl w:val="true"/>
              </w:rPr>
              <w:tab/>
            </w:r>
            <w:r>
              <w:rPr>
                <w:rStyle w:val="IndexLink"/>
              </w:rPr>
              <w:t>226</w:t>
            </w:r>
          </w:hyperlink>
        </w:p>
        <w:p>
          <w:pPr>
            <w:pStyle w:val="Contents5"/>
            <w:tabs>
              <w:tab w:val="clear" w:pos="7892"/>
              <w:tab w:val="right" w:pos="9026" w:leader="dot"/>
            </w:tabs>
            <w:rPr/>
          </w:pPr>
          <w:hyperlink w:anchor="__RefHeading___Toc6422312_1280447820">
            <w:r>
              <w:rPr>
                <w:webHidden/>
                <w:rStyle w:val="IndexLink"/>
              </w:rPr>
              <w:t>5</w:t>
            </w:r>
            <w:r>
              <w:rPr>
                <w:rStyle w:val="IndexLink"/>
                <w:rtl w:val="true"/>
              </w:rPr>
              <w:t xml:space="preserve"> - </w:t>
            </w:r>
            <w:r>
              <w:rPr>
                <w:rStyle w:val="IndexLink"/>
                <w:rtl w:val="true"/>
              </w:rPr>
              <w:t>إحياء سبعين رجلا من قوم موسى</w:t>
            </w:r>
            <w:r>
              <w:rPr>
                <w:rStyle w:val="IndexLink"/>
                <w:rtl w:val="true"/>
              </w:rPr>
              <w:tab/>
            </w:r>
            <w:r>
              <w:rPr>
                <w:rStyle w:val="IndexLink"/>
              </w:rPr>
              <w:t>228</w:t>
            </w:r>
          </w:hyperlink>
        </w:p>
        <w:p>
          <w:pPr>
            <w:pStyle w:val="Contents5"/>
            <w:tabs>
              <w:tab w:val="clear" w:pos="7892"/>
              <w:tab w:val="right" w:pos="9026" w:leader="dot"/>
            </w:tabs>
            <w:rPr/>
          </w:pPr>
          <w:hyperlink w:anchor="__RefHeading___Toc6422314_1280447820">
            <w:r>
              <w:rPr>
                <w:webHidden/>
                <w:rStyle w:val="IndexLink"/>
              </w:rPr>
              <w:t>6</w:t>
            </w:r>
            <w:r>
              <w:rPr>
                <w:rStyle w:val="IndexLink"/>
                <w:rtl w:val="true"/>
              </w:rPr>
              <w:t xml:space="preserve"> - </w:t>
            </w:r>
            <w:r>
              <w:rPr>
                <w:rStyle w:val="IndexLink"/>
                <w:rtl w:val="true"/>
              </w:rPr>
              <w:t>المسيح يحيي الموتى</w:t>
            </w:r>
            <w:r>
              <w:rPr>
                <w:rStyle w:val="IndexLink"/>
                <w:rtl w:val="true"/>
              </w:rPr>
              <w:tab/>
            </w:r>
            <w:r>
              <w:rPr>
                <w:rStyle w:val="IndexLink"/>
              </w:rPr>
              <w:t>229</w:t>
            </w:r>
          </w:hyperlink>
        </w:p>
        <w:p>
          <w:pPr>
            <w:pStyle w:val="Contents5"/>
            <w:tabs>
              <w:tab w:val="clear" w:pos="7892"/>
              <w:tab w:val="right" w:pos="9026" w:leader="dot"/>
            </w:tabs>
            <w:rPr/>
          </w:pPr>
          <w:hyperlink w:anchor="__RefHeading___Toc6422316_1280447820">
            <w:r>
              <w:rPr>
                <w:webHidden/>
                <w:rStyle w:val="IndexLink"/>
              </w:rPr>
              <w:t>7</w:t>
            </w:r>
            <w:r>
              <w:rPr>
                <w:rStyle w:val="IndexLink"/>
                <w:rtl w:val="true"/>
              </w:rPr>
              <w:t xml:space="preserve"> - </w:t>
            </w:r>
            <w:r>
              <w:rPr>
                <w:rStyle w:val="IndexLink"/>
                <w:rtl w:val="true"/>
              </w:rPr>
              <w:t>إيقاظ أصحاب الكهف</w:t>
            </w:r>
            <w:r>
              <w:rPr>
                <w:rStyle w:val="IndexLink"/>
                <w:rtl w:val="true"/>
              </w:rPr>
              <w:tab/>
            </w:r>
            <w:r>
              <w:rPr>
                <w:rStyle w:val="IndexLink"/>
              </w:rPr>
              <w:t>230</w:t>
            </w:r>
          </w:hyperlink>
        </w:p>
        <w:p>
          <w:pPr>
            <w:pStyle w:val="Contents4"/>
            <w:tabs>
              <w:tab w:val="clear" w:pos="8176"/>
              <w:tab w:val="right" w:pos="9026" w:leader="dot"/>
            </w:tabs>
            <w:rPr/>
          </w:pPr>
          <w:hyperlink w:anchor="__RefHeading___Toc6422318_1280447820">
            <w:r>
              <w:rPr>
                <w:webHidden/>
                <w:rStyle w:val="IndexLink"/>
                <w:rtl w:val="true"/>
              </w:rPr>
              <w:t>(</w:t>
            </w:r>
            <w:r>
              <w:rPr>
                <w:rStyle w:val="IndexLink"/>
              </w:rPr>
              <w:t>6</w:t>
            </w:r>
            <w:r>
              <w:rPr>
                <w:rStyle w:val="IndexLink"/>
                <w:rtl w:val="true"/>
              </w:rPr>
              <w:t xml:space="preserve">) </w:t>
            </w:r>
            <w:r>
              <w:rPr>
                <w:rStyle w:val="IndexLink"/>
                <w:rtl w:val="true"/>
              </w:rPr>
              <w:t>الموت نافذة إلى حياة جديدة</w:t>
            </w:r>
            <w:r>
              <w:rPr>
                <w:rStyle w:val="IndexLink"/>
                <w:rtl w:val="true"/>
              </w:rPr>
              <w:tab/>
            </w:r>
            <w:r>
              <w:rPr>
                <w:rStyle w:val="IndexLink"/>
              </w:rPr>
              <w:t>232</w:t>
            </w:r>
          </w:hyperlink>
        </w:p>
        <w:p>
          <w:pPr>
            <w:pStyle w:val="Contents5"/>
            <w:tabs>
              <w:tab w:val="clear" w:pos="7892"/>
              <w:tab w:val="right" w:pos="9026" w:leader="dot"/>
            </w:tabs>
            <w:rPr/>
          </w:pPr>
          <w:hyperlink w:anchor="__RefHeading___Toc6422320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422322_1280447820">
            <w:r>
              <w:rPr>
                <w:webHidden/>
                <w:rStyle w:val="IndexLink"/>
                <w:rtl w:val="true"/>
              </w:rPr>
              <w:t xml:space="preserve">الأمر الأول </w:t>
            </w:r>
            <w:r>
              <w:rPr>
                <w:rStyle w:val="IndexLink"/>
                <w:rtl w:val="true"/>
              </w:rPr>
              <w:t>- «</w:t>
            </w:r>
            <w:r>
              <w:rPr>
                <w:rStyle w:val="IndexLink"/>
                <w:rtl w:val="true"/>
              </w:rPr>
              <w:t>الموت</w:t>
            </w:r>
            <w:r>
              <w:rPr>
                <w:rStyle w:val="IndexLink"/>
                <w:rtl w:val="true"/>
              </w:rPr>
              <w:t xml:space="preserve">» </w:t>
            </w:r>
            <w:r>
              <w:rPr>
                <w:rStyle w:val="IndexLink"/>
                <w:rtl w:val="true"/>
              </w:rPr>
              <w:t>في اللغة و القرآن</w:t>
            </w:r>
            <w:r>
              <w:rPr>
                <w:rStyle w:val="IndexLink"/>
                <w:rtl w:val="true"/>
              </w:rPr>
              <w:tab/>
            </w:r>
            <w:r>
              <w:rPr>
                <w:rStyle w:val="IndexLink"/>
              </w:rPr>
              <w:t>233</w:t>
            </w:r>
          </w:hyperlink>
        </w:p>
        <w:p>
          <w:pPr>
            <w:pStyle w:val="Contents5"/>
            <w:tabs>
              <w:tab w:val="clear" w:pos="7892"/>
              <w:tab w:val="right" w:pos="9026" w:leader="dot"/>
            </w:tabs>
            <w:rPr/>
          </w:pPr>
          <w:hyperlink w:anchor="__RefHeading___Toc6422324_1280447820">
            <w:r>
              <w:rPr>
                <w:webHidden/>
                <w:rStyle w:val="IndexLink"/>
                <w:rtl w:val="true"/>
              </w:rPr>
              <w:t xml:space="preserve">الأمر الثاني </w:t>
            </w:r>
            <w:r>
              <w:rPr>
                <w:rStyle w:val="IndexLink"/>
                <w:rtl w:val="true"/>
              </w:rPr>
              <w:t xml:space="preserve">- </w:t>
            </w:r>
            <w:r>
              <w:rPr>
                <w:rStyle w:val="IndexLink"/>
                <w:rtl w:val="true"/>
              </w:rPr>
              <w:t>هل الموت أمر عدمي؟</w:t>
            </w:r>
            <w:r>
              <w:rPr>
                <w:rStyle w:val="IndexLink"/>
                <w:rtl w:val="true"/>
              </w:rPr>
              <w:tab/>
            </w:r>
            <w:r>
              <w:rPr>
                <w:rStyle w:val="IndexLink"/>
              </w:rPr>
              <w:t>234</w:t>
            </w:r>
          </w:hyperlink>
        </w:p>
        <w:p>
          <w:pPr>
            <w:pStyle w:val="Contents5"/>
            <w:tabs>
              <w:tab w:val="clear" w:pos="7892"/>
              <w:tab w:val="right" w:pos="9026" w:leader="dot"/>
            </w:tabs>
            <w:rPr/>
          </w:pPr>
          <w:hyperlink w:anchor="__RefHeading___Toc6422326_1280447820">
            <w:r>
              <w:rPr>
                <w:webHidden/>
                <w:rStyle w:val="IndexLink"/>
                <w:rtl w:val="true"/>
              </w:rPr>
              <w:t xml:space="preserve">الأمر الثالث </w:t>
            </w:r>
            <w:r>
              <w:rPr>
                <w:rStyle w:val="IndexLink"/>
                <w:rtl w:val="true"/>
              </w:rPr>
              <w:t xml:space="preserve">- </w:t>
            </w:r>
            <w:r>
              <w:rPr>
                <w:rStyle w:val="IndexLink"/>
                <w:rtl w:val="true"/>
              </w:rPr>
              <w:t>الموت سنة عامة في الخلق</w:t>
            </w:r>
            <w:r>
              <w:rPr>
                <w:rStyle w:val="IndexLink"/>
                <w:rtl w:val="true"/>
              </w:rPr>
              <w:tab/>
            </w:r>
            <w:r>
              <w:rPr>
                <w:rStyle w:val="IndexLink"/>
              </w:rPr>
              <w:t>235</w:t>
            </w:r>
          </w:hyperlink>
        </w:p>
        <w:p>
          <w:pPr>
            <w:pStyle w:val="Contents5"/>
            <w:tabs>
              <w:tab w:val="clear" w:pos="7892"/>
              <w:tab w:val="right" w:pos="9026" w:leader="dot"/>
            </w:tabs>
            <w:rPr/>
          </w:pPr>
          <w:hyperlink w:anchor="__RefHeading___Toc6422328_1280447820">
            <w:r>
              <w:rPr>
                <w:webHidden/>
                <w:rStyle w:val="IndexLink"/>
                <w:rtl w:val="true"/>
              </w:rPr>
              <w:t xml:space="preserve">الأمر الرابع </w:t>
            </w:r>
            <w:r>
              <w:rPr>
                <w:rStyle w:val="IndexLink"/>
                <w:rtl w:val="true"/>
              </w:rPr>
              <w:t xml:space="preserve">- </w:t>
            </w:r>
            <w:r>
              <w:rPr>
                <w:rStyle w:val="IndexLink"/>
                <w:rtl w:val="true"/>
              </w:rPr>
              <w:t>لما ذا يستوحش الإنسان من الموت؟</w:t>
            </w:r>
            <w:r>
              <w:rPr>
                <w:rStyle w:val="IndexLink"/>
                <w:rtl w:val="true"/>
              </w:rPr>
              <w:tab/>
            </w:r>
            <w:r>
              <w:rPr>
                <w:rStyle w:val="IndexLink"/>
              </w:rPr>
              <w:t>236</w:t>
            </w:r>
          </w:hyperlink>
        </w:p>
        <w:p>
          <w:pPr>
            <w:pStyle w:val="Contents5"/>
            <w:tabs>
              <w:tab w:val="clear" w:pos="7892"/>
              <w:tab w:val="right" w:pos="9026" w:leader="dot"/>
            </w:tabs>
            <w:rPr/>
          </w:pPr>
          <w:hyperlink w:anchor="__RefHeading___Toc6422330_1280447820">
            <w:r>
              <w:rPr>
                <w:webHidden/>
                <w:rStyle w:val="IndexLink"/>
                <w:rtl w:val="true"/>
              </w:rPr>
              <w:t xml:space="preserve">الأمر الخامس </w:t>
            </w:r>
            <w:r>
              <w:rPr>
                <w:rStyle w:val="IndexLink"/>
                <w:rtl w:val="true"/>
              </w:rPr>
              <w:t xml:space="preserve">- </w:t>
            </w:r>
            <w:r>
              <w:rPr>
                <w:rStyle w:val="IndexLink"/>
                <w:rtl w:val="true"/>
              </w:rPr>
              <w:t>الموت و أقسامه</w:t>
            </w:r>
            <w:r>
              <w:rPr>
                <w:rStyle w:val="IndexLink"/>
                <w:rtl w:val="true"/>
              </w:rPr>
              <w:tab/>
            </w:r>
            <w:r>
              <w:rPr>
                <w:rStyle w:val="IndexLink"/>
              </w:rPr>
              <w:t>237</w:t>
            </w:r>
          </w:hyperlink>
        </w:p>
        <w:p>
          <w:pPr>
            <w:pStyle w:val="Contents6"/>
            <w:tabs>
              <w:tab w:val="clear" w:pos="7609"/>
              <w:tab w:val="right" w:pos="9026" w:leader="dot"/>
            </w:tabs>
            <w:rPr/>
          </w:pPr>
          <w:hyperlink w:anchor="__RefHeading___Toc6422332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6422334_1280447820">
            <w:r>
              <w:rPr>
                <w:webHidden/>
                <w:rStyle w:val="IndexLink"/>
                <w:rtl w:val="true"/>
              </w:rPr>
              <w:t xml:space="preserve">أ </w:t>
            </w:r>
            <w:r>
              <w:rPr>
                <w:rStyle w:val="IndexLink"/>
                <w:rtl w:val="true"/>
              </w:rPr>
              <w:t xml:space="preserve">- </w:t>
            </w:r>
            <w:r>
              <w:rPr>
                <w:rStyle w:val="IndexLink"/>
                <w:rtl w:val="true"/>
              </w:rPr>
              <w:t>الموت السهل و الموت العسير</w:t>
            </w:r>
            <w:r>
              <w:rPr>
                <w:rStyle w:val="IndexLink"/>
                <w:rtl w:val="true"/>
              </w:rPr>
              <w:tab/>
            </w:r>
            <w:r>
              <w:rPr>
                <w:rStyle w:val="IndexLink"/>
              </w:rPr>
              <w:t>237</w:t>
            </w:r>
          </w:hyperlink>
        </w:p>
        <w:p>
          <w:pPr>
            <w:pStyle w:val="Contents6"/>
            <w:tabs>
              <w:tab w:val="clear" w:pos="7609"/>
              <w:tab w:val="right" w:pos="9026" w:leader="dot"/>
            </w:tabs>
            <w:rPr/>
          </w:pPr>
          <w:hyperlink w:anchor="__RefHeading___Toc6422336_1280447820">
            <w:r>
              <w:rPr>
                <w:webHidden/>
                <w:rStyle w:val="IndexLink"/>
                <w:rtl w:val="true"/>
              </w:rPr>
              <w:t xml:space="preserve">ب </w:t>
            </w:r>
            <w:r>
              <w:rPr>
                <w:rStyle w:val="IndexLink"/>
                <w:rtl w:val="true"/>
              </w:rPr>
              <w:t xml:space="preserve">- </w:t>
            </w:r>
            <w:r>
              <w:rPr>
                <w:rStyle w:val="IndexLink"/>
                <w:rtl w:val="true"/>
              </w:rPr>
              <w:t>موت البدن و موت القلب</w:t>
            </w:r>
            <w:r>
              <w:rPr>
                <w:rStyle w:val="IndexLink"/>
                <w:rtl w:val="true"/>
              </w:rPr>
              <w:tab/>
            </w:r>
            <w:r>
              <w:rPr>
                <w:rStyle w:val="IndexLink"/>
              </w:rPr>
              <w:t>238</w:t>
            </w:r>
          </w:hyperlink>
        </w:p>
        <w:p>
          <w:pPr>
            <w:pStyle w:val="Contents6"/>
            <w:tabs>
              <w:tab w:val="clear" w:pos="7609"/>
              <w:tab w:val="right" w:pos="9026" w:leader="dot"/>
            </w:tabs>
            <w:rPr/>
          </w:pPr>
          <w:hyperlink w:anchor="__RefHeading___Toc6422338_1280447820">
            <w:r>
              <w:rPr>
                <w:webHidden/>
                <w:rStyle w:val="IndexLink"/>
                <w:rtl w:val="true"/>
              </w:rPr>
              <w:t xml:space="preserve">ج </w:t>
            </w:r>
            <w:r>
              <w:rPr>
                <w:rStyle w:val="IndexLink"/>
                <w:rtl w:val="true"/>
              </w:rPr>
              <w:t xml:space="preserve">- </w:t>
            </w:r>
            <w:r>
              <w:rPr>
                <w:rStyle w:val="IndexLink"/>
                <w:rtl w:val="true"/>
              </w:rPr>
              <w:t>موت الفرد و المجتمع</w:t>
            </w:r>
            <w:r>
              <w:rPr>
                <w:rStyle w:val="IndexLink"/>
                <w:rtl w:val="true"/>
              </w:rPr>
              <w:tab/>
            </w:r>
            <w:r>
              <w:rPr>
                <w:rStyle w:val="IndexLink"/>
              </w:rPr>
              <w:t>239</w:t>
            </w:r>
          </w:hyperlink>
        </w:p>
        <w:p>
          <w:pPr>
            <w:pStyle w:val="Contents6"/>
            <w:tabs>
              <w:tab w:val="clear" w:pos="7609"/>
              <w:tab w:val="right" w:pos="9026" w:leader="dot"/>
            </w:tabs>
            <w:rPr/>
          </w:pPr>
          <w:hyperlink w:anchor="__RefHeading___Toc6422340_1280447820">
            <w:r>
              <w:rPr>
                <w:webHidden/>
                <w:rStyle w:val="IndexLink"/>
                <w:rtl w:val="true"/>
              </w:rPr>
              <w:t xml:space="preserve">د </w:t>
            </w:r>
            <w:r>
              <w:rPr>
                <w:rStyle w:val="IndexLink"/>
                <w:rtl w:val="true"/>
              </w:rPr>
              <w:t xml:space="preserve">- </w:t>
            </w:r>
            <w:r>
              <w:rPr>
                <w:rStyle w:val="IndexLink"/>
                <w:rtl w:val="true"/>
              </w:rPr>
              <w:t>موت العزّ و موت الهوان</w:t>
            </w:r>
            <w:r>
              <w:rPr>
                <w:rStyle w:val="IndexLink"/>
                <w:rtl w:val="true"/>
              </w:rPr>
              <w:tab/>
            </w:r>
            <w:r>
              <w:rPr>
                <w:rStyle w:val="IndexLink"/>
              </w:rPr>
              <w:t>240</w:t>
            </w:r>
          </w:hyperlink>
        </w:p>
        <w:p>
          <w:pPr>
            <w:pStyle w:val="Contents5"/>
            <w:tabs>
              <w:tab w:val="clear" w:pos="7892"/>
              <w:tab w:val="right" w:pos="9026" w:leader="dot"/>
            </w:tabs>
            <w:rPr/>
          </w:pPr>
          <w:hyperlink w:anchor="__RefHeading___Toc6422342_1280447820">
            <w:r>
              <w:rPr>
                <w:webHidden/>
                <w:rStyle w:val="IndexLink"/>
                <w:rtl w:val="true"/>
              </w:rPr>
              <w:t xml:space="preserve">الأمر السادس </w:t>
            </w:r>
            <w:r>
              <w:rPr>
                <w:rStyle w:val="IndexLink"/>
                <w:rtl w:val="true"/>
              </w:rPr>
              <w:t xml:space="preserve">- </w:t>
            </w:r>
            <w:r>
              <w:rPr>
                <w:rStyle w:val="IndexLink"/>
                <w:rtl w:val="true"/>
              </w:rPr>
              <w:t>الموت و الأجل المسمّى</w:t>
            </w:r>
            <w:r>
              <w:rPr>
                <w:rStyle w:val="IndexLink"/>
                <w:rtl w:val="true"/>
              </w:rPr>
              <w:tab/>
            </w:r>
            <w:r>
              <w:rPr>
                <w:rStyle w:val="IndexLink"/>
              </w:rPr>
              <w:t>240</w:t>
            </w:r>
          </w:hyperlink>
        </w:p>
        <w:p>
          <w:pPr>
            <w:pStyle w:val="Contents5"/>
            <w:tabs>
              <w:tab w:val="clear" w:pos="7892"/>
              <w:tab w:val="right" w:pos="9026" w:leader="dot"/>
            </w:tabs>
            <w:rPr/>
          </w:pPr>
          <w:hyperlink w:anchor="__RefHeading___Toc6422344_1280447820">
            <w:r>
              <w:rPr>
                <w:webHidden/>
                <w:rStyle w:val="IndexLink"/>
                <w:rtl w:val="true"/>
              </w:rPr>
              <w:t xml:space="preserve">الأمر السابع </w:t>
            </w:r>
            <w:r>
              <w:rPr>
                <w:rStyle w:val="IndexLink"/>
                <w:rtl w:val="true"/>
              </w:rPr>
              <w:t xml:space="preserve">- </w:t>
            </w:r>
            <w:r>
              <w:rPr>
                <w:rStyle w:val="IndexLink"/>
                <w:rtl w:val="true"/>
              </w:rPr>
              <w:t>الإنابة عند الموت</w:t>
            </w:r>
            <w:r>
              <w:rPr>
                <w:rStyle w:val="IndexLink"/>
                <w:rtl w:val="true"/>
              </w:rPr>
              <w:tab/>
            </w:r>
            <w:r>
              <w:rPr>
                <w:rStyle w:val="IndexLink"/>
              </w:rPr>
              <w:t>241</w:t>
            </w:r>
          </w:hyperlink>
        </w:p>
        <w:p>
          <w:pPr>
            <w:pStyle w:val="Contents5"/>
            <w:tabs>
              <w:tab w:val="clear" w:pos="7892"/>
              <w:tab w:val="right" w:pos="9026" w:leader="dot"/>
            </w:tabs>
            <w:rPr/>
          </w:pPr>
          <w:hyperlink w:anchor="__RefHeading___Toc6422346_1280447820">
            <w:r>
              <w:rPr>
                <w:webHidden/>
                <w:rStyle w:val="IndexLink"/>
                <w:rtl w:val="true"/>
              </w:rPr>
              <w:t xml:space="preserve">الأمر الثامن </w:t>
            </w:r>
            <w:r>
              <w:rPr>
                <w:rStyle w:val="IndexLink"/>
                <w:rtl w:val="true"/>
              </w:rPr>
              <w:t xml:space="preserve">- </w:t>
            </w:r>
            <w:r>
              <w:rPr>
                <w:rStyle w:val="IndexLink"/>
                <w:rtl w:val="true"/>
              </w:rPr>
              <w:t>الوصية عند الموت</w:t>
            </w:r>
            <w:r>
              <w:rPr>
                <w:rStyle w:val="IndexLink"/>
                <w:rtl w:val="true"/>
              </w:rPr>
              <w:tab/>
            </w:r>
            <w:r>
              <w:rPr>
                <w:rStyle w:val="IndexLink"/>
              </w:rPr>
              <w:t>242</w:t>
            </w:r>
          </w:hyperlink>
        </w:p>
        <w:p>
          <w:pPr>
            <w:pStyle w:val="Contents5"/>
            <w:tabs>
              <w:tab w:val="clear" w:pos="7892"/>
              <w:tab w:val="right" w:pos="9026" w:leader="dot"/>
            </w:tabs>
            <w:rPr/>
          </w:pPr>
          <w:hyperlink w:anchor="__RefHeading___Toc6422348_1280447820">
            <w:r>
              <w:rPr>
                <w:webHidden/>
                <w:rStyle w:val="IndexLink"/>
                <w:rtl w:val="true"/>
              </w:rPr>
              <w:t xml:space="preserve">الأمر التاسع </w:t>
            </w:r>
            <w:r>
              <w:rPr>
                <w:rStyle w:val="IndexLink"/>
                <w:rtl w:val="true"/>
              </w:rPr>
              <w:t xml:space="preserve">- </w:t>
            </w:r>
            <w:r>
              <w:rPr>
                <w:rStyle w:val="IndexLink"/>
                <w:rtl w:val="true"/>
              </w:rPr>
              <w:t>جهل الناس بأوان موتهم</w:t>
            </w:r>
            <w:r>
              <w:rPr>
                <w:rStyle w:val="IndexLink"/>
                <w:rtl w:val="true"/>
              </w:rPr>
              <w:tab/>
            </w:r>
            <w:r>
              <w:rPr>
                <w:rStyle w:val="IndexLink"/>
              </w:rPr>
              <w:t>243</w:t>
            </w:r>
          </w:hyperlink>
        </w:p>
        <w:p>
          <w:pPr>
            <w:pStyle w:val="Contents5"/>
            <w:tabs>
              <w:tab w:val="clear" w:pos="7892"/>
              <w:tab w:val="right" w:pos="9026" w:leader="dot"/>
            </w:tabs>
            <w:rPr/>
          </w:pPr>
          <w:hyperlink w:anchor="__RefHeading___Toc6422350_1280447820">
            <w:r>
              <w:rPr>
                <w:webHidden/>
                <w:rStyle w:val="IndexLink"/>
                <w:rtl w:val="true"/>
              </w:rPr>
              <w:t xml:space="preserve">الأمر العاشر </w:t>
            </w:r>
            <w:r>
              <w:rPr>
                <w:rStyle w:val="IndexLink"/>
                <w:rtl w:val="true"/>
              </w:rPr>
              <w:t xml:space="preserve">- </w:t>
            </w:r>
            <w:r>
              <w:rPr>
                <w:rStyle w:val="IndexLink"/>
                <w:rtl w:val="true"/>
              </w:rPr>
              <w:t>الملائكة الموكّلون بقبض الأرواح</w:t>
            </w:r>
            <w:r>
              <w:rPr>
                <w:rStyle w:val="IndexLink"/>
                <w:rtl w:val="true"/>
              </w:rPr>
              <w:tab/>
            </w:r>
            <w:r>
              <w:rPr>
                <w:rStyle w:val="IndexLink"/>
              </w:rPr>
              <w:t>243</w:t>
            </w:r>
          </w:hyperlink>
        </w:p>
        <w:p>
          <w:pPr>
            <w:pStyle w:val="Contents4"/>
            <w:tabs>
              <w:tab w:val="clear" w:pos="8176"/>
              <w:tab w:val="right" w:pos="9026" w:leader="dot"/>
            </w:tabs>
            <w:rPr/>
          </w:pPr>
          <w:hyperlink w:anchor="__RefHeading___Toc6422352_1280447820">
            <w:r>
              <w:rPr>
                <w:webHidden/>
                <w:rStyle w:val="IndexLink"/>
                <w:rtl w:val="true"/>
              </w:rPr>
              <w:t>(</w:t>
            </w:r>
            <w:r>
              <w:rPr>
                <w:rStyle w:val="IndexLink"/>
              </w:rPr>
              <w:t>7</w:t>
            </w:r>
            <w:r>
              <w:rPr>
                <w:rStyle w:val="IndexLink"/>
                <w:rtl w:val="true"/>
              </w:rPr>
              <w:t xml:space="preserve">) </w:t>
            </w:r>
            <w:r>
              <w:rPr>
                <w:rStyle w:val="IndexLink"/>
                <w:rtl w:val="true"/>
              </w:rPr>
              <w:t>الحياة البرزخية</w:t>
            </w:r>
            <w:r>
              <w:rPr>
                <w:rStyle w:val="IndexLink"/>
                <w:rtl w:val="true"/>
              </w:rPr>
              <w:tab/>
            </w:r>
            <w:r>
              <w:rPr>
                <w:rStyle w:val="IndexLink"/>
              </w:rPr>
              <w:t>245</w:t>
            </w:r>
          </w:hyperlink>
        </w:p>
        <w:p>
          <w:pPr>
            <w:pStyle w:val="Contents5"/>
            <w:tabs>
              <w:tab w:val="clear" w:pos="7892"/>
              <w:tab w:val="right" w:pos="9026" w:leader="dot"/>
            </w:tabs>
            <w:rPr/>
          </w:pPr>
          <w:hyperlink w:anchor="__RefHeading___Toc6422354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6422356_1280447820">
            <w:r>
              <w:rPr>
                <w:webHidden/>
                <w:rStyle w:val="IndexLink"/>
                <w:rtl w:val="true"/>
              </w:rPr>
              <w:t>السؤال في القبر و عذابه و نعيمه</w:t>
            </w:r>
            <w:r>
              <w:rPr>
                <w:rStyle w:val="IndexLink"/>
                <w:rtl w:val="true"/>
              </w:rPr>
              <w:tab/>
            </w:r>
            <w:r>
              <w:rPr>
                <w:rStyle w:val="IndexLink"/>
              </w:rPr>
              <w:t>248</w:t>
            </w:r>
          </w:hyperlink>
        </w:p>
        <w:p>
          <w:pPr>
            <w:pStyle w:val="Contents5"/>
            <w:tabs>
              <w:tab w:val="clear" w:pos="7892"/>
              <w:tab w:val="right" w:pos="9026" w:leader="dot"/>
            </w:tabs>
            <w:rPr/>
          </w:pPr>
          <w:hyperlink w:anchor="__RefHeading___Toc6422358_1280447820">
            <w:r>
              <w:rPr>
                <w:webHidden/>
                <w:rStyle w:val="IndexLink"/>
                <w:rtl w:val="true"/>
              </w:rPr>
              <w:t>نفخ الصّور</w:t>
            </w:r>
            <w:r>
              <w:rPr>
                <w:rStyle w:val="IndexLink"/>
                <w:rtl w:val="true"/>
              </w:rPr>
              <w:tab/>
            </w:r>
            <w:r>
              <w:rPr>
                <w:rStyle w:val="IndexLink"/>
              </w:rPr>
              <w:t>251</w:t>
            </w:r>
          </w:hyperlink>
        </w:p>
        <w:p>
          <w:pPr>
            <w:pStyle w:val="Contents4"/>
            <w:tabs>
              <w:tab w:val="clear" w:pos="8176"/>
              <w:tab w:val="right" w:pos="9026" w:leader="dot"/>
            </w:tabs>
            <w:rPr/>
          </w:pPr>
          <w:hyperlink w:anchor="__RefHeading___Toc6422360_1280447820">
            <w:r>
              <w:rPr>
                <w:webHidden/>
                <w:rStyle w:val="IndexLink"/>
                <w:rtl w:val="true"/>
              </w:rPr>
              <w:t>(</w:t>
            </w:r>
            <w:r>
              <w:rPr>
                <w:rStyle w:val="IndexLink"/>
              </w:rPr>
              <w:t>8</w:t>
            </w:r>
            <w:r>
              <w:rPr>
                <w:rStyle w:val="IndexLink"/>
                <w:rtl w:val="true"/>
              </w:rPr>
              <w:t xml:space="preserve">) </w:t>
            </w:r>
            <w:r>
              <w:rPr>
                <w:rStyle w:val="IndexLink"/>
                <w:rtl w:val="true"/>
              </w:rPr>
              <w:t>أشراط الساعة</w:t>
            </w:r>
            <w:r>
              <w:rPr>
                <w:rStyle w:val="IndexLink"/>
                <w:rtl w:val="true"/>
              </w:rPr>
              <w:tab/>
            </w:r>
            <w:r>
              <w:rPr>
                <w:rStyle w:val="IndexLink"/>
              </w:rPr>
              <w:t>253</w:t>
            </w:r>
          </w:hyperlink>
        </w:p>
        <w:p>
          <w:pPr>
            <w:pStyle w:val="Contents5"/>
            <w:tabs>
              <w:tab w:val="clear" w:pos="7892"/>
              <w:tab w:val="right" w:pos="9026" w:leader="dot"/>
            </w:tabs>
            <w:rPr/>
          </w:pPr>
          <w:hyperlink w:anchor="__RefHeading___Toc6422362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6422364_1280447820">
            <w:r>
              <w:rPr>
                <w:webHidden/>
                <w:rStyle w:val="IndexLink"/>
                <w:rtl w:val="true"/>
              </w:rPr>
              <w:t>أشراط الساعة في الكتاب</w:t>
            </w:r>
            <w:r>
              <w:rPr>
                <w:rStyle w:val="IndexLink"/>
                <w:rtl w:val="true"/>
              </w:rPr>
              <w:tab/>
            </w:r>
            <w:r>
              <w:rPr>
                <w:rStyle w:val="IndexLink"/>
              </w:rPr>
              <w:t>254</w:t>
            </w:r>
          </w:hyperlink>
        </w:p>
        <w:p>
          <w:pPr>
            <w:pStyle w:val="Contents6"/>
            <w:tabs>
              <w:tab w:val="clear" w:pos="7609"/>
              <w:tab w:val="right" w:pos="9026" w:leader="dot"/>
            </w:tabs>
            <w:rPr/>
          </w:pPr>
          <w:hyperlink w:anchor="__RefHeading___Toc6422366_128044782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6422368_1280447820">
            <w:r>
              <w:rPr>
                <w:webHidden/>
                <w:rStyle w:val="IndexLink"/>
                <w:rtl w:val="true"/>
              </w:rPr>
              <w:t xml:space="preserve">أ </w:t>
            </w:r>
            <w:r>
              <w:rPr>
                <w:rStyle w:val="IndexLink"/>
                <w:rtl w:val="true"/>
              </w:rPr>
              <w:t xml:space="preserve">- </w:t>
            </w:r>
            <w:r>
              <w:rPr>
                <w:rStyle w:val="IndexLink"/>
                <w:rtl w:val="true"/>
              </w:rPr>
              <w:t>بعثة النبي الأكرم</w:t>
            </w:r>
            <w:r>
              <w:rPr>
                <w:rStyle w:val="IndexLink"/>
                <w:rtl w:val="true"/>
              </w:rPr>
              <w:tab/>
            </w:r>
            <w:r>
              <w:rPr>
                <w:rStyle w:val="IndexLink"/>
              </w:rPr>
              <w:t>254</w:t>
            </w:r>
          </w:hyperlink>
        </w:p>
        <w:p>
          <w:pPr>
            <w:pStyle w:val="Contents6"/>
            <w:tabs>
              <w:tab w:val="clear" w:pos="7609"/>
              <w:tab w:val="right" w:pos="9026" w:leader="dot"/>
            </w:tabs>
            <w:rPr/>
          </w:pPr>
          <w:hyperlink w:anchor="__RefHeading___Toc6422370_1280447820">
            <w:r>
              <w:rPr>
                <w:webHidden/>
                <w:rStyle w:val="IndexLink"/>
                <w:rtl w:val="true"/>
              </w:rPr>
              <w:t xml:space="preserve">ب </w:t>
            </w:r>
            <w:r>
              <w:rPr>
                <w:rStyle w:val="IndexLink"/>
                <w:rtl w:val="true"/>
              </w:rPr>
              <w:t xml:space="preserve">- </w:t>
            </w:r>
            <w:r>
              <w:rPr>
                <w:rStyle w:val="IndexLink"/>
                <w:rtl w:val="true"/>
              </w:rPr>
              <w:t>اندكاك السدّ و خروج يأجوج و مأجوج</w:t>
            </w:r>
            <w:r>
              <w:rPr>
                <w:rStyle w:val="IndexLink"/>
                <w:rtl w:val="true"/>
              </w:rPr>
              <w:tab/>
            </w:r>
            <w:r>
              <w:rPr>
                <w:rStyle w:val="IndexLink"/>
              </w:rPr>
              <w:t>254</w:t>
            </w:r>
          </w:hyperlink>
        </w:p>
        <w:p>
          <w:pPr>
            <w:pStyle w:val="Contents6"/>
            <w:tabs>
              <w:tab w:val="clear" w:pos="7609"/>
              <w:tab w:val="right" w:pos="9026" w:leader="dot"/>
            </w:tabs>
            <w:rPr/>
          </w:pPr>
          <w:hyperlink w:anchor="__RefHeading___Toc6422372_1280447820">
            <w:r>
              <w:rPr>
                <w:webHidden/>
                <w:rStyle w:val="IndexLink"/>
                <w:rtl w:val="true"/>
              </w:rPr>
              <w:t xml:space="preserve">ج </w:t>
            </w:r>
            <w:r>
              <w:rPr>
                <w:rStyle w:val="IndexLink"/>
                <w:rtl w:val="true"/>
              </w:rPr>
              <w:t xml:space="preserve">- </w:t>
            </w:r>
            <w:r>
              <w:rPr>
                <w:rStyle w:val="IndexLink"/>
                <w:rtl w:val="true"/>
              </w:rPr>
              <w:t>إتيان السماء بدخان مبين</w:t>
            </w:r>
            <w:r>
              <w:rPr>
                <w:rStyle w:val="IndexLink"/>
                <w:rtl w:val="true"/>
              </w:rPr>
              <w:tab/>
            </w:r>
            <w:r>
              <w:rPr>
                <w:rStyle w:val="IndexLink"/>
              </w:rPr>
              <w:t>255</w:t>
            </w:r>
          </w:hyperlink>
        </w:p>
        <w:p>
          <w:pPr>
            <w:pStyle w:val="Contents6"/>
            <w:tabs>
              <w:tab w:val="clear" w:pos="7609"/>
              <w:tab w:val="right" w:pos="9026" w:leader="dot"/>
            </w:tabs>
            <w:rPr/>
          </w:pPr>
          <w:hyperlink w:anchor="__RefHeading___Toc6422374_1280447820">
            <w:r>
              <w:rPr>
                <w:webHidden/>
                <w:rStyle w:val="IndexLink"/>
                <w:rtl w:val="true"/>
              </w:rPr>
              <w:t xml:space="preserve">د </w:t>
            </w:r>
            <w:r>
              <w:rPr>
                <w:rStyle w:val="IndexLink"/>
                <w:rtl w:val="true"/>
              </w:rPr>
              <w:t xml:space="preserve">- </w:t>
            </w:r>
            <w:r>
              <w:rPr>
                <w:rStyle w:val="IndexLink"/>
                <w:rtl w:val="true"/>
              </w:rPr>
              <w:t>نزول المسيح</w:t>
            </w:r>
            <w:r>
              <w:rPr>
                <w:rStyle w:val="IndexLink"/>
                <w:rtl w:val="true"/>
              </w:rPr>
              <w:tab/>
            </w:r>
            <w:r>
              <w:rPr>
                <w:rStyle w:val="IndexLink"/>
              </w:rPr>
              <w:t>258</w:t>
            </w:r>
          </w:hyperlink>
        </w:p>
        <w:p>
          <w:pPr>
            <w:pStyle w:val="Contents6"/>
            <w:tabs>
              <w:tab w:val="clear" w:pos="7609"/>
              <w:tab w:val="right" w:pos="9026" w:leader="dot"/>
            </w:tabs>
            <w:rPr/>
          </w:pPr>
          <w:hyperlink w:anchor="__RefHeading___Toc6422376_1280447820">
            <w:r>
              <w:rPr>
                <w:webHidden/>
                <w:rStyle w:val="IndexLink"/>
                <w:rtl w:val="true"/>
              </w:rPr>
              <w:t xml:space="preserve">ه </w:t>
            </w:r>
            <w:r>
              <w:rPr>
                <w:rStyle w:val="IndexLink"/>
                <w:rtl w:val="true"/>
              </w:rPr>
              <w:t xml:space="preserve">- </w:t>
            </w:r>
            <w:r>
              <w:rPr>
                <w:rStyle w:val="IndexLink"/>
                <w:rtl w:val="true"/>
              </w:rPr>
              <w:t>إخراج دابة من الأرض</w:t>
            </w:r>
            <w:r>
              <w:rPr>
                <w:rStyle w:val="IndexLink"/>
                <w:rtl w:val="true"/>
              </w:rPr>
              <w:tab/>
            </w:r>
            <w:r>
              <w:rPr>
                <w:rStyle w:val="IndexLink"/>
              </w:rPr>
              <w:t>259</w:t>
            </w:r>
          </w:hyperlink>
        </w:p>
        <w:p>
          <w:pPr>
            <w:pStyle w:val="Contents6"/>
            <w:tabs>
              <w:tab w:val="clear" w:pos="7609"/>
              <w:tab w:val="right" w:pos="9026" w:leader="dot"/>
            </w:tabs>
            <w:rPr/>
          </w:pPr>
          <w:hyperlink w:anchor="__RefHeading___Toc6422378_1280447820">
            <w:r>
              <w:rPr>
                <w:webHidden/>
                <w:rStyle w:val="IndexLink"/>
                <w:rtl w:val="true"/>
              </w:rPr>
              <w:t xml:space="preserve">و </w:t>
            </w:r>
            <w:r>
              <w:rPr>
                <w:rStyle w:val="IndexLink"/>
                <w:rtl w:val="true"/>
              </w:rPr>
              <w:t xml:space="preserve">- </w:t>
            </w:r>
            <w:r>
              <w:rPr>
                <w:rStyle w:val="IndexLink"/>
                <w:rtl w:val="true"/>
              </w:rPr>
              <w:t>مجيء بعض آيات الربّ تعالى</w:t>
            </w:r>
            <w:r>
              <w:rPr>
                <w:rStyle w:val="IndexLink"/>
                <w:rtl w:val="true"/>
              </w:rPr>
              <w:tab/>
            </w:r>
            <w:r>
              <w:rPr>
                <w:rStyle w:val="IndexLink"/>
              </w:rPr>
              <w:t>262</w:t>
            </w:r>
          </w:hyperlink>
        </w:p>
        <w:p>
          <w:pPr>
            <w:pStyle w:val="Contents4"/>
            <w:tabs>
              <w:tab w:val="clear" w:pos="8176"/>
              <w:tab w:val="right" w:pos="9026" w:leader="dot"/>
            </w:tabs>
            <w:rPr/>
          </w:pPr>
          <w:hyperlink w:anchor="__RefHeading___Toc6422380_1280447820">
            <w:r>
              <w:rPr>
                <w:webHidden/>
                <w:rStyle w:val="IndexLink"/>
                <w:rtl w:val="true"/>
              </w:rPr>
              <w:t>(</w:t>
            </w:r>
            <w:r>
              <w:rPr>
                <w:rStyle w:val="IndexLink"/>
              </w:rPr>
              <w:t>9</w:t>
            </w:r>
            <w:r>
              <w:rPr>
                <w:rStyle w:val="IndexLink"/>
                <w:rtl w:val="true"/>
              </w:rPr>
              <w:t xml:space="preserve">) </w:t>
            </w:r>
            <w:r>
              <w:rPr>
                <w:rStyle w:val="IndexLink"/>
                <w:rtl w:val="true"/>
              </w:rPr>
              <w:t>مشاهد البعث و القيامة</w:t>
            </w:r>
            <w:r>
              <w:rPr>
                <w:rStyle w:val="IndexLink"/>
                <w:rtl w:val="true"/>
              </w:rPr>
              <w:tab/>
            </w:r>
            <w:r>
              <w:rPr>
                <w:rStyle w:val="IndexLink"/>
              </w:rPr>
              <w:t>265</w:t>
            </w:r>
          </w:hyperlink>
        </w:p>
        <w:p>
          <w:pPr>
            <w:pStyle w:val="Contents5"/>
            <w:tabs>
              <w:tab w:val="clear" w:pos="7892"/>
              <w:tab w:val="right" w:pos="9026" w:leader="dot"/>
            </w:tabs>
            <w:rPr/>
          </w:pPr>
          <w:hyperlink w:anchor="__RefHeading___Toc6422382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6422384_1280447820">
            <w:r>
              <w:rPr>
                <w:webHidden/>
                <w:rStyle w:val="IndexLink"/>
              </w:rPr>
              <w:t>1</w:t>
            </w:r>
            <w:r>
              <w:rPr>
                <w:rStyle w:val="IndexLink"/>
                <w:rtl w:val="true"/>
              </w:rPr>
              <w:t xml:space="preserve"> - </w:t>
            </w:r>
            <w:r>
              <w:rPr>
                <w:rStyle w:val="IndexLink"/>
                <w:rtl w:val="true"/>
              </w:rPr>
              <w:t>انهدام النظام</w:t>
            </w:r>
            <w:r>
              <w:rPr>
                <w:rStyle w:val="IndexLink"/>
                <w:rtl w:val="true"/>
              </w:rPr>
              <w:tab/>
            </w:r>
            <w:r>
              <w:rPr>
                <w:rStyle w:val="IndexLink"/>
              </w:rPr>
              <w:t>265</w:t>
            </w:r>
          </w:hyperlink>
        </w:p>
        <w:p>
          <w:pPr>
            <w:pStyle w:val="Contents5"/>
            <w:tabs>
              <w:tab w:val="clear" w:pos="7892"/>
              <w:tab w:val="right" w:pos="9026" w:leader="dot"/>
            </w:tabs>
            <w:rPr/>
          </w:pPr>
          <w:hyperlink w:anchor="__RefHeading___Toc6422386_1280447820">
            <w:r>
              <w:rPr>
                <w:webHidden/>
                <w:rStyle w:val="IndexLink"/>
              </w:rPr>
              <w:t>2</w:t>
            </w:r>
            <w:r>
              <w:rPr>
                <w:rStyle w:val="IndexLink"/>
                <w:rtl w:val="true"/>
              </w:rPr>
              <w:t xml:space="preserve"> - </w:t>
            </w:r>
            <w:r>
              <w:rPr>
                <w:rStyle w:val="IndexLink"/>
                <w:rtl w:val="true"/>
              </w:rPr>
              <w:t>خروج الناس من القبور</w:t>
            </w:r>
            <w:r>
              <w:rPr>
                <w:rStyle w:val="IndexLink"/>
                <w:rtl w:val="true"/>
              </w:rPr>
              <w:tab/>
            </w:r>
            <w:r>
              <w:rPr>
                <w:rStyle w:val="IndexLink"/>
              </w:rPr>
              <w:t>266</w:t>
            </w:r>
          </w:hyperlink>
        </w:p>
        <w:p>
          <w:pPr>
            <w:pStyle w:val="Contents5"/>
            <w:tabs>
              <w:tab w:val="clear" w:pos="7892"/>
              <w:tab w:val="right" w:pos="9026" w:leader="dot"/>
            </w:tabs>
            <w:rPr/>
          </w:pPr>
          <w:hyperlink w:anchor="__RefHeading___Toc6422388_1280447820">
            <w:r>
              <w:rPr>
                <w:webHidden/>
                <w:rStyle w:val="IndexLink"/>
              </w:rPr>
              <w:t>3</w:t>
            </w:r>
            <w:r>
              <w:rPr>
                <w:rStyle w:val="IndexLink"/>
                <w:rtl w:val="true"/>
              </w:rPr>
              <w:t xml:space="preserve"> - </w:t>
            </w:r>
            <w:r>
              <w:rPr>
                <w:rStyle w:val="IndexLink"/>
                <w:rtl w:val="true"/>
              </w:rPr>
              <w:t>إعطاء الكتب</w:t>
            </w:r>
            <w:r>
              <w:rPr>
                <w:rStyle w:val="IndexLink"/>
                <w:rtl w:val="true"/>
              </w:rPr>
              <w:tab/>
            </w:r>
            <w:r>
              <w:rPr>
                <w:rStyle w:val="IndexLink"/>
              </w:rPr>
              <w:t>266</w:t>
            </w:r>
          </w:hyperlink>
        </w:p>
        <w:p>
          <w:pPr>
            <w:pStyle w:val="Contents5"/>
            <w:tabs>
              <w:tab w:val="clear" w:pos="7892"/>
              <w:tab w:val="right" w:pos="9026" w:leader="dot"/>
            </w:tabs>
            <w:rPr/>
          </w:pPr>
          <w:hyperlink w:anchor="__RefHeading___Toc6422390_1280447820">
            <w:r>
              <w:rPr>
                <w:webHidden/>
                <w:rStyle w:val="IndexLink"/>
              </w:rPr>
              <w:t>4</w:t>
            </w:r>
            <w:r>
              <w:rPr>
                <w:rStyle w:val="IndexLink"/>
                <w:rtl w:val="true"/>
              </w:rPr>
              <w:t xml:space="preserve"> - </w:t>
            </w:r>
            <w:r>
              <w:rPr>
                <w:rStyle w:val="IndexLink"/>
                <w:rtl w:val="true"/>
              </w:rPr>
              <w:t>الحساب و الشهود</w:t>
            </w:r>
            <w:r>
              <w:rPr>
                <w:rStyle w:val="IndexLink"/>
                <w:rtl w:val="true"/>
              </w:rPr>
              <w:tab/>
            </w:r>
            <w:r>
              <w:rPr>
                <w:rStyle w:val="IndexLink"/>
              </w:rPr>
              <w:t>267</w:t>
            </w:r>
          </w:hyperlink>
        </w:p>
        <w:p>
          <w:pPr>
            <w:pStyle w:val="Contents6"/>
            <w:tabs>
              <w:tab w:val="clear" w:pos="7609"/>
              <w:tab w:val="right" w:pos="9026" w:leader="dot"/>
            </w:tabs>
            <w:rPr/>
          </w:pPr>
          <w:hyperlink w:anchor="__RefHeading___Toc6422392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422394_1280447820">
            <w:r>
              <w:rPr>
                <w:webHidden/>
                <w:rStyle w:val="IndexLink"/>
                <w:rtl w:val="true"/>
              </w:rPr>
              <w:t xml:space="preserve">الشاهد الأول </w:t>
            </w:r>
            <w:r>
              <w:rPr>
                <w:rStyle w:val="IndexLink"/>
                <w:rtl w:val="true"/>
              </w:rPr>
              <w:t xml:space="preserve">- </w:t>
            </w:r>
            <w:r>
              <w:rPr>
                <w:rStyle w:val="IndexLink"/>
                <w:rtl w:val="true"/>
              </w:rPr>
              <w:t>اللّه سبحانه</w:t>
            </w:r>
            <w:r>
              <w:rPr>
                <w:rStyle w:val="IndexLink"/>
                <w:rtl w:val="true"/>
              </w:rPr>
              <w:tab/>
            </w:r>
            <w:r>
              <w:rPr>
                <w:rStyle w:val="IndexLink"/>
              </w:rPr>
              <w:t>267</w:t>
            </w:r>
          </w:hyperlink>
        </w:p>
        <w:p>
          <w:pPr>
            <w:pStyle w:val="Contents6"/>
            <w:tabs>
              <w:tab w:val="clear" w:pos="7609"/>
              <w:tab w:val="right" w:pos="9026" w:leader="dot"/>
            </w:tabs>
            <w:rPr/>
          </w:pPr>
          <w:hyperlink w:anchor="__RefHeading___Toc6422396_1280447820">
            <w:r>
              <w:rPr>
                <w:webHidden/>
                <w:rStyle w:val="IndexLink"/>
                <w:rtl w:val="true"/>
              </w:rPr>
              <w:t xml:space="preserve">الشاهد الثاني </w:t>
            </w:r>
            <w:r>
              <w:rPr>
                <w:rStyle w:val="IndexLink"/>
                <w:rtl w:val="true"/>
              </w:rPr>
              <w:t xml:space="preserve">- </w:t>
            </w:r>
            <w:r>
              <w:rPr>
                <w:rStyle w:val="IndexLink"/>
                <w:rtl w:val="true"/>
              </w:rPr>
              <w:t>نبيّ كلّ أمّة</w:t>
            </w:r>
            <w:r>
              <w:rPr>
                <w:rStyle w:val="IndexLink"/>
                <w:rtl w:val="true"/>
              </w:rPr>
              <w:tab/>
            </w:r>
            <w:r>
              <w:rPr>
                <w:rStyle w:val="IndexLink"/>
              </w:rPr>
              <w:t>268</w:t>
            </w:r>
          </w:hyperlink>
        </w:p>
        <w:p>
          <w:pPr>
            <w:pStyle w:val="Contents6"/>
            <w:tabs>
              <w:tab w:val="clear" w:pos="7609"/>
              <w:tab w:val="right" w:pos="9026" w:leader="dot"/>
            </w:tabs>
            <w:rPr/>
          </w:pPr>
          <w:hyperlink w:anchor="__RefHeading___Toc6422398_1280447820">
            <w:r>
              <w:rPr>
                <w:webHidden/>
                <w:rStyle w:val="IndexLink"/>
                <w:rtl w:val="true"/>
              </w:rPr>
              <w:t>الشاهد الثالث</w:t>
            </w:r>
            <w:r>
              <w:rPr>
                <w:rStyle w:val="IndexLink"/>
                <w:rtl w:val="true"/>
              </w:rPr>
              <w:t xml:space="preserve">: </w:t>
            </w:r>
            <w:r>
              <w:rPr>
                <w:rStyle w:val="IndexLink"/>
                <w:rtl w:val="true"/>
              </w:rPr>
              <w:t>نبيّ الإسلام</w:t>
            </w:r>
            <w:r>
              <w:rPr>
                <w:rStyle w:val="IndexLink"/>
                <w:rtl w:val="true"/>
              </w:rPr>
              <w:tab/>
            </w:r>
            <w:r>
              <w:rPr>
                <w:rStyle w:val="IndexLink"/>
              </w:rPr>
              <w:t>268</w:t>
            </w:r>
          </w:hyperlink>
        </w:p>
        <w:p>
          <w:pPr>
            <w:pStyle w:val="Contents6"/>
            <w:tabs>
              <w:tab w:val="clear" w:pos="7609"/>
              <w:tab w:val="right" w:pos="9026" w:leader="dot"/>
            </w:tabs>
            <w:rPr/>
          </w:pPr>
          <w:hyperlink w:anchor="__RefHeading___Toc6422400_1280447820">
            <w:r>
              <w:rPr>
                <w:webHidden/>
                <w:rStyle w:val="IndexLink"/>
                <w:rtl w:val="true"/>
              </w:rPr>
              <w:t>الشاهد الرابع</w:t>
            </w:r>
            <w:r>
              <w:rPr>
                <w:rStyle w:val="IndexLink"/>
                <w:rtl w:val="true"/>
              </w:rPr>
              <w:t xml:space="preserve">: </w:t>
            </w:r>
            <w:r>
              <w:rPr>
                <w:rStyle w:val="IndexLink"/>
                <w:rtl w:val="true"/>
              </w:rPr>
              <w:t>بعض الأمّة الإسلامية</w:t>
            </w:r>
            <w:r>
              <w:rPr>
                <w:rStyle w:val="IndexLink"/>
                <w:rtl w:val="true"/>
              </w:rPr>
              <w:tab/>
            </w:r>
            <w:r>
              <w:rPr>
                <w:rStyle w:val="IndexLink"/>
              </w:rPr>
              <w:t>269</w:t>
            </w:r>
          </w:hyperlink>
        </w:p>
        <w:p>
          <w:pPr>
            <w:pStyle w:val="Contents6"/>
            <w:tabs>
              <w:tab w:val="clear" w:pos="7609"/>
              <w:tab w:val="right" w:pos="9026" w:leader="dot"/>
            </w:tabs>
            <w:rPr/>
          </w:pPr>
          <w:hyperlink w:anchor="__RefHeading___Toc6422402_1280447820">
            <w:r>
              <w:rPr>
                <w:webHidden/>
                <w:rStyle w:val="IndexLink"/>
                <w:rtl w:val="true"/>
              </w:rPr>
              <w:t>الشاهد الخامس</w:t>
            </w:r>
            <w:r>
              <w:rPr>
                <w:rStyle w:val="IndexLink"/>
                <w:rtl w:val="true"/>
              </w:rPr>
              <w:t xml:space="preserve">: </w:t>
            </w:r>
            <w:r>
              <w:rPr>
                <w:rStyle w:val="IndexLink"/>
                <w:rtl w:val="true"/>
              </w:rPr>
              <w:t>الأعضاء و الجوارح</w:t>
            </w:r>
            <w:r>
              <w:rPr>
                <w:rStyle w:val="IndexLink"/>
                <w:rtl w:val="true"/>
              </w:rPr>
              <w:tab/>
            </w:r>
            <w:r>
              <w:rPr>
                <w:rStyle w:val="IndexLink"/>
              </w:rPr>
              <w:t>271</w:t>
            </w:r>
          </w:hyperlink>
        </w:p>
        <w:p>
          <w:pPr>
            <w:pStyle w:val="Contents6"/>
            <w:tabs>
              <w:tab w:val="clear" w:pos="7609"/>
              <w:tab w:val="right" w:pos="9026" w:leader="dot"/>
            </w:tabs>
            <w:rPr/>
          </w:pPr>
          <w:hyperlink w:anchor="__RefHeading___Toc6422404_1280447820">
            <w:r>
              <w:rPr>
                <w:webHidden/>
                <w:rStyle w:val="IndexLink"/>
                <w:rtl w:val="true"/>
              </w:rPr>
              <w:t>الشاهد السادس</w:t>
            </w:r>
            <w:r>
              <w:rPr>
                <w:rStyle w:val="IndexLink"/>
                <w:rtl w:val="true"/>
              </w:rPr>
              <w:t xml:space="preserve">: </w:t>
            </w:r>
            <w:r>
              <w:rPr>
                <w:rStyle w:val="IndexLink"/>
                <w:rtl w:val="true"/>
              </w:rPr>
              <w:t>الجلود</w:t>
            </w:r>
            <w:r>
              <w:rPr>
                <w:rStyle w:val="IndexLink"/>
                <w:rtl w:val="true"/>
              </w:rPr>
              <w:tab/>
            </w:r>
            <w:r>
              <w:rPr>
                <w:rStyle w:val="IndexLink"/>
              </w:rPr>
              <w:t>271</w:t>
            </w:r>
          </w:hyperlink>
        </w:p>
        <w:p>
          <w:pPr>
            <w:pStyle w:val="Contents6"/>
            <w:tabs>
              <w:tab w:val="clear" w:pos="7609"/>
              <w:tab w:val="right" w:pos="9026" w:leader="dot"/>
            </w:tabs>
            <w:rPr/>
          </w:pPr>
          <w:hyperlink w:anchor="__RefHeading___Toc6422406_1280447820">
            <w:r>
              <w:rPr>
                <w:webHidden/>
                <w:rStyle w:val="IndexLink"/>
                <w:rtl w:val="true"/>
              </w:rPr>
              <w:t>الشاهد السابع</w:t>
            </w:r>
            <w:r>
              <w:rPr>
                <w:rStyle w:val="IndexLink"/>
                <w:rtl w:val="true"/>
              </w:rPr>
              <w:t xml:space="preserve">: </w:t>
            </w:r>
            <w:r>
              <w:rPr>
                <w:rStyle w:val="IndexLink"/>
                <w:rtl w:val="true"/>
              </w:rPr>
              <w:t>الملائكة</w:t>
            </w:r>
            <w:r>
              <w:rPr>
                <w:rStyle w:val="IndexLink"/>
                <w:rtl w:val="true"/>
              </w:rPr>
              <w:tab/>
            </w:r>
            <w:r>
              <w:rPr>
                <w:rStyle w:val="IndexLink"/>
              </w:rPr>
              <w:t>272</w:t>
            </w:r>
          </w:hyperlink>
        </w:p>
        <w:p>
          <w:pPr>
            <w:pStyle w:val="Contents6"/>
            <w:tabs>
              <w:tab w:val="clear" w:pos="7609"/>
              <w:tab w:val="right" w:pos="9026" w:leader="dot"/>
            </w:tabs>
            <w:rPr/>
          </w:pPr>
          <w:hyperlink w:anchor="__RefHeading___Toc6422408_1280447820">
            <w:r>
              <w:rPr>
                <w:webHidden/>
                <w:rStyle w:val="IndexLink"/>
                <w:rtl w:val="true"/>
              </w:rPr>
              <w:t>الشاهد الثامن</w:t>
            </w:r>
            <w:r>
              <w:rPr>
                <w:rStyle w:val="IndexLink"/>
                <w:rtl w:val="true"/>
              </w:rPr>
              <w:t xml:space="preserve">: </w:t>
            </w:r>
            <w:r>
              <w:rPr>
                <w:rStyle w:val="IndexLink"/>
                <w:rtl w:val="true"/>
              </w:rPr>
              <w:t>صحيفة الأعمال</w:t>
            </w:r>
            <w:r>
              <w:rPr>
                <w:rStyle w:val="IndexLink"/>
                <w:rtl w:val="true"/>
              </w:rPr>
              <w:tab/>
            </w:r>
            <w:r>
              <w:rPr>
                <w:rStyle w:val="IndexLink"/>
              </w:rPr>
              <w:t>272</w:t>
            </w:r>
          </w:hyperlink>
        </w:p>
        <w:p>
          <w:pPr>
            <w:pStyle w:val="Contents6"/>
            <w:tabs>
              <w:tab w:val="clear" w:pos="7609"/>
              <w:tab w:val="right" w:pos="9026" w:leader="dot"/>
            </w:tabs>
            <w:rPr/>
          </w:pPr>
          <w:hyperlink w:anchor="__RefHeading___Toc6422410_1280447820">
            <w:r>
              <w:rPr>
                <w:webHidden/>
                <w:rStyle w:val="IndexLink"/>
                <w:rtl w:val="true"/>
              </w:rPr>
              <w:t>الشاهد التاسع</w:t>
            </w:r>
            <w:r>
              <w:rPr>
                <w:rStyle w:val="IndexLink"/>
                <w:rtl w:val="true"/>
              </w:rPr>
              <w:t xml:space="preserve">: </w:t>
            </w:r>
            <w:r>
              <w:rPr>
                <w:rStyle w:val="IndexLink"/>
                <w:rtl w:val="true"/>
              </w:rPr>
              <w:t>الأرض</w:t>
            </w:r>
            <w:r>
              <w:rPr>
                <w:rStyle w:val="IndexLink"/>
                <w:rtl w:val="true"/>
              </w:rPr>
              <w:tab/>
            </w:r>
            <w:r>
              <w:rPr>
                <w:rStyle w:val="IndexLink"/>
              </w:rPr>
              <w:t>273</w:t>
            </w:r>
          </w:hyperlink>
        </w:p>
        <w:p>
          <w:pPr>
            <w:pStyle w:val="Contents6"/>
            <w:tabs>
              <w:tab w:val="clear" w:pos="7609"/>
              <w:tab w:val="right" w:pos="9026" w:leader="dot"/>
            </w:tabs>
            <w:rPr/>
          </w:pPr>
          <w:hyperlink w:anchor="__RefHeading___Toc6422412_1280447820">
            <w:r>
              <w:rPr>
                <w:webHidden/>
                <w:rStyle w:val="IndexLink"/>
                <w:rtl w:val="true"/>
              </w:rPr>
              <w:t>الشاهد العاشر</w:t>
            </w:r>
            <w:r>
              <w:rPr>
                <w:rStyle w:val="IndexLink"/>
                <w:rtl w:val="true"/>
              </w:rPr>
              <w:t xml:space="preserve">: </w:t>
            </w:r>
            <w:r>
              <w:rPr>
                <w:rStyle w:val="IndexLink"/>
                <w:rtl w:val="true"/>
              </w:rPr>
              <w:t>تجسم العمل بهويّته الأخروية</w:t>
            </w:r>
            <w:r>
              <w:rPr>
                <w:rStyle w:val="IndexLink"/>
                <w:rtl w:val="true"/>
              </w:rPr>
              <w:tab/>
            </w:r>
            <w:r>
              <w:rPr>
                <w:rStyle w:val="IndexLink"/>
              </w:rPr>
              <w:t>274</w:t>
            </w:r>
          </w:hyperlink>
        </w:p>
        <w:p>
          <w:pPr>
            <w:pStyle w:val="Contents5"/>
            <w:tabs>
              <w:tab w:val="clear" w:pos="7892"/>
              <w:tab w:val="right" w:pos="9026" w:leader="dot"/>
            </w:tabs>
            <w:rPr/>
          </w:pPr>
          <w:hyperlink w:anchor="__RefHeading___Toc6422414_1280447820">
            <w:r>
              <w:rPr>
                <w:webHidden/>
                <w:rStyle w:val="IndexLink"/>
              </w:rPr>
              <w:t>5</w:t>
            </w:r>
            <w:r>
              <w:rPr>
                <w:rStyle w:val="IndexLink"/>
                <w:rtl w:val="true"/>
              </w:rPr>
              <w:t xml:space="preserve"> - </w:t>
            </w:r>
            <w:r>
              <w:rPr>
                <w:rStyle w:val="IndexLink"/>
                <w:rtl w:val="true"/>
              </w:rPr>
              <w:t>مشهد الميزان</w:t>
            </w:r>
            <w:r>
              <w:rPr>
                <w:rStyle w:val="IndexLink"/>
                <w:rtl w:val="true"/>
              </w:rPr>
              <w:tab/>
            </w:r>
            <w:r>
              <w:rPr>
                <w:rStyle w:val="IndexLink"/>
              </w:rPr>
              <w:t>275</w:t>
            </w:r>
          </w:hyperlink>
        </w:p>
        <w:p>
          <w:pPr>
            <w:pStyle w:val="Contents5"/>
            <w:tabs>
              <w:tab w:val="clear" w:pos="7892"/>
              <w:tab w:val="right" w:pos="9026" w:leader="dot"/>
            </w:tabs>
            <w:rPr/>
          </w:pPr>
          <w:hyperlink w:anchor="__RefHeading___Toc6422416_1280447820">
            <w:r>
              <w:rPr>
                <w:webHidden/>
                <w:rStyle w:val="IndexLink"/>
              </w:rPr>
              <w:t>6</w:t>
            </w:r>
            <w:r>
              <w:rPr>
                <w:rStyle w:val="IndexLink"/>
                <w:rtl w:val="true"/>
              </w:rPr>
              <w:t xml:space="preserve"> - </w:t>
            </w:r>
            <w:r>
              <w:rPr>
                <w:rStyle w:val="IndexLink"/>
                <w:rtl w:val="true"/>
              </w:rPr>
              <w:t>الصراط</w:t>
            </w:r>
            <w:r>
              <w:rPr>
                <w:rStyle w:val="IndexLink"/>
                <w:rtl w:val="true"/>
              </w:rPr>
              <w:tab/>
            </w:r>
            <w:r>
              <w:rPr>
                <w:rStyle w:val="IndexLink"/>
              </w:rPr>
              <w:t>279</w:t>
            </w:r>
          </w:hyperlink>
        </w:p>
        <w:p>
          <w:pPr>
            <w:pStyle w:val="Contents5"/>
            <w:tabs>
              <w:tab w:val="clear" w:pos="7892"/>
              <w:tab w:val="right" w:pos="9026" w:leader="dot"/>
            </w:tabs>
            <w:rPr/>
          </w:pPr>
          <w:hyperlink w:anchor="__RefHeading___Toc6422418_1280447820">
            <w:r>
              <w:rPr>
                <w:webHidden/>
                <w:rStyle w:val="IndexLink"/>
              </w:rPr>
              <w:t>7</w:t>
            </w:r>
            <w:r>
              <w:rPr>
                <w:rStyle w:val="IndexLink"/>
                <w:rtl w:val="true"/>
              </w:rPr>
              <w:t xml:space="preserve"> - </w:t>
            </w:r>
            <w:r>
              <w:rPr>
                <w:rStyle w:val="IndexLink"/>
                <w:rtl w:val="true"/>
              </w:rPr>
              <w:t>الأعراف</w:t>
            </w:r>
            <w:r>
              <w:rPr>
                <w:rStyle w:val="IndexLink"/>
                <w:rtl w:val="true"/>
              </w:rPr>
              <w:tab/>
            </w:r>
            <w:r>
              <w:rPr>
                <w:rStyle w:val="IndexLink"/>
              </w:rPr>
              <w:t>284</w:t>
            </w:r>
          </w:hyperlink>
        </w:p>
        <w:p>
          <w:pPr>
            <w:pStyle w:val="Contents5"/>
            <w:tabs>
              <w:tab w:val="clear" w:pos="7892"/>
              <w:tab w:val="right" w:pos="9026" w:leader="dot"/>
            </w:tabs>
            <w:rPr/>
          </w:pPr>
          <w:hyperlink w:anchor="__RefHeading___Toc6422420_1280447820">
            <w:r>
              <w:rPr>
                <w:webHidden/>
                <w:rStyle w:val="IndexLink"/>
              </w:rPr>
              <w:t>8</w:t>
            </w:r>
            <w:r>
              <w:rPr>
                <w:rStyle w:val="IndexLink"/>
                <w:rtl w:val="true"/>
              </w:rPr>
              <w:t xml:space="preserve"> - </w:t>
            </w:r>
            <w:r>
              <w:rPr>
                <w:rStyle w:val="IndexLink"/>
                <w:rtl w:val="true"/>
              </w:rPr>
              <w:t>لواء الحمد</w:t>
            </w:r>
            <w:r>
              <w:rPr>
                <w:rStyle w:val="IndexLink"/>
                <w:rtl w:val="true"/>
              </w:rPr>
              <w:tab/>
            </w:r>
            <w:r>
              <w:rPr>
                <w:rStyle w:val="IndexLink"/>
              </w:rPr>
              <w:t>285</w:t>
            </w:r>
          </w:hyperlink>
        </w:p>
        <w:p>
          <w:pPr>
            <w:pStyle w:val="Contents5"/>
            <w:tabs>
              <w:tab w:val="clear" w:pos="7892"/>
              <w:tab w:val="right" w:pos="9026" w:leader="dot"/>
            </w:tabs>
            <w:rPr/>
          </w:pPr>
          <w:hyperlink w:anchor="__RefHeading___Toc6422422_1280447820">
            <w:r>
              <w:rPr>
                <w:webHidden/>
                <w:rStyle w:val="IndexLink"/>
              </w:rPr>
              <w:t>9</w:t>
            </w:r>
            <w:r>
              <w:rPr>
                <w:rStyle w:val="IndexLink"/>
                <w:rtl w:val="true"/>
              </w:rPr>
              <w:t xml:space="preserve"> - </w:t>
            </w:r>
            <w:r>
              <w:rPr>
                <w:rStyle w:val="IndexLink"/>
                <w:rtl w:val="true"/>
              </w:rPr>
              <w:t>الحوض</w:t>
            </w:r>
            <w:r>
              <w:rPr>
                <w:rStyle w:val="IndexLink"/>
                <w:rtl w:val="true"/>
              </w:rPr>
              <w:tab/>
            </w:r>
            <w:r>
              <w:rPr>
                <w:rStyle w:val="IndexLink"/>
              </w:rPr>
              <w:t>286</w:t>
            </w:r>
          </w:hyperlink>
        </w:p>
        <w:p>
          <w:pPr>
            <w:pStyle w:val="Contents4"/>
            <w:tabs>
              <w:tab w:val="clear" w:pos="8176"/>
              <w:tab w:val="right" w:pos="9026" w:leader="dot"/>
            </w:tabs>
            <w:rPr/>
          </w:pPr>
          <w:hyperlink w:anchor="__RefHeading___Toc6422424_1280447820">
            <w:r>
              <w:rPr>
                <w:webHidden/>
                <w:rStyle w:val="IndexLink"/>
                <w:rtl w:val="true"/>
              </w:rPr>
              <w:t>(</w:t>
            </w:r>
            <w:r>
              <w:rPr>
                <w:rStyle w:val="IndexLink"/>
              </w:rPr>
              <w:t>10</w:t>
            </w:r>
            <w:r>
              <w:rPr>
                <w:rStyle w:val="IndexLink"/>
                <w:rtl w:val="true"/>
              </w:rPr>
              <w:t xml:space="preserve">) </w:t>
            </w:r>
            <w:r>
              <w:rPr>
                <w:rStyle w:val="IndexLink"/>
                <w:rtl w:val="true"/>
              </w:rPr>
              <w:t>المعاد الجسماني و الروحاني</w:t>
            </w:r>
            <w:r>
              <w:rPr>
                <w:rStyle w:val="IndexLink"/>
                <w:rtl w:val="true"/>
              </w:rPr>
              <w:tab/>
            </w:r>
            <w:r>
              <w:rPr>
                <w:rStyle w:val="IndexLink"/>
              </w:rPr>
              <w:t>287</w:t>
            </w:r>
          </w:hyperlink>
        </w:p>
        <w:p>
          <w:pPr>
            <w:pStyle w:val="Contents5"/>
            <w:tabs>
              <w:tab w:val="clear" w:pos="7892"/>
              <w:tab w:val="right" w:pos="9026" w:leader="dot"/>
            </w:tabs>
            <w:rPr/>
          </w:pPr>
          <w:hyperlink w:anchor="__RefHeading___Toc6422426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6422428_1280447820">
            <w:r>
              <w:rPr>
                <w:webHidden/>
                <w:rStyle w:val="IndexLink"/>
                <w:rtl w:val="true"/>
              </w:rPr>
              <w:t>ملاك كون المعاد جسمانيا أو روحانيا</w:t>
            </w:r>
            <w:r>
              <w:rPr>
                <w:rStyle w:val="IndexLink"/>
                <w:rtl w:val="true"/>
              </w:rPr>
              <w:tab/>
            </w:r>
            <w:r>
              <w:rPr>
                <w:rStyle w:val="IndexLink"/>
              </w:rPr>
              <w:t>289</w:t>
            </w:r>
          </w:hyperlink>
        </w:p>
        <w:p>
          <w:pPr>
            <w:pStyle w:val="Contents5"/>
            <w:tabs>
              <w:tab w:val="clear" w:pos="7892"/>
              <w:tab w:val="right" w:pos="9026" w:leader="dot"/>
            </w:tabs>
            <w:rPr/>
          </w:pPr>
          <w:hyperlink w:anchor="__RefHeading___Toc6422430_1280447820">
            <w:r>
              <w:rPr>
                <w:webHidden/>
                <w:rStyle w:val="IndexLink"/>
                <w:rtl w:val="true"/>
              </w:rPr>
              <w:t>تحليل الملاكين في ضوء القرآن الكريم</w:t>
            </w:r>
            <w:r>
              <w:rPr>
                <w:rStyle w:val="IndexLink"/>
                <w:rtl w:val="true"/>
              </w:rPr>
              <w:tab/>
            </w:r>
            <w:r>
              <w:rPr>
                <w:rStyle w:val="IndexLink"/>
              </w:rPr>
              <w:t>291</w:t>
            </w:r>
          </w:hyperlink>
        </w:p>
        <w:p>
          <w:pPr>
            <w:pStyle w:val="Contents6"/>
            <w:tabs>
              <w:tab w:val="clear" w:pos="7609"/>
              <w:tab w:val="right" w:pos="9026" w:leader="dot"/>
            </w:tabs>
            <w:rPr/>
          </w:pPr>
          <w:hyperlink w:anchor="__RefHeading___Toc6422432_1280447820">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6422434_1280447820">
            <w:r>
              <w:rPr>
                <w:webHidden/>
                <w:rStyle w:val="IndexLink"/>
              </w:rPr>
              <w:t>1</w:t>
            </w:r>
            <w:r>
              <w:rPr>
                <w:rStyle w:val="IndexLink"/>
                <w:rtl w:val="true"/>
              </w:rPr>
              <w:t xml:space="preserve"> - </w:t>
            </w:r>
            <w:r>
              <w:rPr>
                <w:rStyle w:val="IndexLink"/>
                <w:rtl w:val="true"/>
              </w:rPr>
              <w:t>لذة رضاء المعبود</w:t>
            </w:r>
            <w:r>
              <w:rPr>
                <w:rStyle w:val="IndexLink"/>
                <w:rtl w:val="true"/>
              </w:rPr>
              <w:tab/>
            </w:r>
            <w:r>
              <w:rPr>
                <w:rStyle w:val="IndexLink"/>
              </w:rPr>
              <w:t>294</w:t>
            </w:r>
          </w:hyperlink>
        </w:p>
        <w:p>
          <w:pPr>
            <w:pStyle w:val="Contents6"/>
            <w:tabs>
              <w:tab w:val="clear" w:pos="7609"/>
              <w:tab w:val="right" w:pos="9026" w:leader="dot"/>
            </w:tabs>
            <w:rPr/>
          </w:pPr>
          <w:hyperlink w:anchor="__RefHeading___Toc6422436_1280447820">
            <w:r>
              <w:rPr>
                <w:webHidden/>
                <w:rStyle w:val="IndexLink"/>
              </w:rPr>
              <w:t>2</w:t>
            </w:r>
            <w:r>
              <w:rPr>
                <w:rStyle w:val="IndexLink"/>
                <w:rtl w:val="true"/>
              </w:rPr>
              <w:t xml:space="preserve"> - </w:t>
            </w:r>
            <w:r>
              <w:rPr>
                <w:rStyle w:val="IndexLink"/>
                <w:rtl w:val="true"/>
              </w:rPr>
              <w:t>ألم الابتعاد عن رحمة اللّه؟</w:t>
            </w:r>
            <w:r>
              <w:rPr>
                <w:rStyle w:val="IndexLink"/>
                <w:rtl w:val="true"/>
              </w:rPr>
              <w:tab/>
            </w:r>
            <w:r>
              <w:rPr>
                <w:rStyle w:val="IndexLink"/>
              </w:rPr>
              <w:t>295</w:t>
            </w:r>
          </w:hyperlink>
        </w:p>
        <w:p>
          <w:pPr>
            <w:pStyle w:val="Contents6"/>
            <w:tabs>
              <w:tab w:val="clear" w:pos="7609"/>
              <w:tab w:val="right" w:pos="9026" w:leader="dot"/>
            </w:tabs>
            <w:rPr/>
          </w:pPr>
          <w:hyperlink w:anchor="__RefHeading___Toc6422438_1280447820">
            <w:r>
              <w:rPr>
                <w:webHidden/>
                <w:rStyle w:val="IndexLink"/>
              </w:rPr>
              <w:t>3</w:t>
            </w:r>
            <w:r>
              <w:rPr>
                <w:rStyle w:val="IndexLink"/>
                <w:rtl w:val="true"/>
              </w:rPr>
              <w:t xml:space="preserve"> - </w:t>
            </w:r>
            <w:r>
              <w:rPr>
                <w:rStyle w:val="IndexLink"/>
                <w:rtl w:val="true"/>
              </w:rPr>
              <w:t>الحسرة يوم القيامة</w:t>
            </w:r>
            <w:r>
              <w:rPr>
                <w:rStyle w:val="IndexLink"/>
                <w:rtl w:val="true"/>
              </w:rPr>
              <w:tab/>
            </w:r>
            <w:r>
              <w:rPr>
                <w:rStyle w:val="IndexLink"/>
              </w:rPr>
              <w:t>296</w:t>
            </w:r>
          </w:hyperlink>
        </w:p>
        <w:p>
          <w:pPr>
            <w:pStyle w:val="Contents6"/>
            <w:tabs>
              <w:tab w:val="clear" w:pos="7609"/>
              <w:tab w:val="right" w:pos="9026" w:leader="dot"/>
            </w:tabs>
            <w:rPr/>
          </w:pPr>
          <w:hyperlink w:anchor="__RefHeading___Toc6422440_1280447820">
            <w:r>
              <w:rPr>
                <w:webHidden/>
                <w:rStyle w:val="IndexLink"/>
              </w:rPr>
              <w:t>4</w:t>
            </w:r>
            <w:r>
              <w:rPr>
                <w:rStyle w:val="IndexLink"/>
                <w:rtl w:val="true"/>
              </w:rPr>
              <w:t xml:space="preserve"> - </w:t>
            </w:r>
            <w:r>
              <w:rPr>
                <w:rStyle w:val="IndexLink"/>
                <w:rtl w:val="true"/>
              </w:rPr>
              <w:t>لقاء اللّه و مشاهدته العقلية</w:t>
            </w:r>
            <w:r>
              <w:rPr>
                <w:rStyle w:val="IndexLink"/>
                <w:rtl w:val="true"/>
              </w:rPr>
              <w:tab/>
            </w:r>
            <w:r>
              <w:rPr>
                <w:rStyle w:val="IndexLink"/>
              </w:rPr>
              <w:t>297</w:t>
            </w:r>
          </w:hyperlink>
        </w:p>
        <w:p>
          <w:pPr>
            <w:pStyle w:val="Contents5"/>
            <w:tabs>
              <w:tab w:val="clear" w:pos="7892"/>
              <w:tab w:val="right" w:pos="9026" w:leader="dot"/>
            </w:tabs>
            <w:rPr/>
          </w:pPr>
          <w:hyperlink w:anchor="__RefHeading___Toc6422442_1280447820">
            <w:r>
              <w:rPr>
                <w:webHidden/>
                <w:rStyle w:val="IndexLink"/>
                <w:rtl w:val="true"/>
              </w:rPr>
              <w:t>المعاد الروحاني عند الحكماء</w:t>
            </w:r>
            <w:r>
              <w:rPr>
                <w:rStyle w:val="IndexLink"/>
                <w:rtl w:val="true"/>
              </w:rPr>
              <w:tab/>
            </w:r>
            <w:r>
              <w:rPr>
                <w:rStyle w:val="IndexLink"/>
              </w:rPr>
              <w:t>298</w:t>
            </w:r>
          </w:hyperlink>
        </w:p>
        <w:p>
          <w:pPr>
            <w:pStyle w:val="Contents4"/>
            <w:tabs>
              <w:tab w:val="clear" w:pos="8176"/>
              <w:tab w:val="right" w:pos="9026" w:leader="dot"/>
            </w:tabs>
            <w:rPr/>
          </w:pPr>
          <w:hyperlink w:anchor="__RefHeading___Toc6422444_1280447820">
            <w:r>
              <w:rPr>
                <w:webHidden/>
                <w:rStyle w:val="IndexLink"/>
                <w:rtl w:val="true"/>
              </w:rPr>
              <w:t>(</w:t>
            </w:r>
            <w:r>
              <w:rPr>
                <w:rStyle w:val="IndexLink"/>
              </w:rPr>
              <w:t>11</w:t>
            </w:r>
            <w:r>
              <w:rPr>
                <w:rStyle w:val="IndexLink"/>
                <w:rtl w:val="true"/>
              </w:rPr>
              <w:t xml:space="preserve">) </w:t>
            </w:r>
            <w:r>
              <w:rPr>
                <w:rStyle w:val="IndexLink"/>
                <w:rtl w:val="true"/>
              </w:rPr>
              <w:t>الرجعة</w:t>
            </w:r>
            <w:r>
              <w:rPr>
                <w:rStyle w:val="IndexLink"/>
                <w:rtl w:val="true"/>
              </w:rPr>
              <w:tab/>
            </w:r>
            <w:r>
              <w:rPr>
                <w:rStyle w:val="IndexLink"/>
              </w:rPr>
              <w:t>301</w:t>
            </w:r>
          </w:hyperlink>
        </w:p>
        <w:p>
          <w:pPr>
            <w:pStyle w:val="Contents5"/>
            <w:tabs>
              <w:tab w:val="clear" w:pos="7892"/>
              <w:tab w:val="right" w:pos="9026" w:leader="dot"/>
            </w:tabs>
            <w:rPr/>
          </w:pPr>
          <w:hyperlink w:anchor="__RefHeading___Toc6422446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422448_1280447820">
            <w:r>
              <w:rPr>
                <w:webHidden/>
                <w:rStyle w:val="IndexLink"/>
                <w:rtl w:val="true"/>
              </w:rPr>
              <w:t>المقام الأول</w:t>
            </w:r>
            <w:r>
              <w:rPr>
                <w:rStyle w:val="IndexLink"/>
                <w:rtl w:val="true"/>
              </w:rPr>
              <w:t xml:space="preserve">: </w:t>
            </w:r>
            <w:r>
              <w:rPr>
                <w:rStyle w:val="IndexLink"/>
                <w:rtl w:val="true"/>
              </w:rPr>
              <w:t>إمكان الرجعة</w:t>
            </w:r>
            <w:r>
              <w:rPr>
                <w:rStyle w:val="IndexLink"/>
                <w:rtl w:val="true"/>
              </w:rPr>
              <w:tab/>
            </w:r>
            <w:r>
              <w:rPr>
                <w:rStyle w:val="IndexLink"/>
              </w:rPr>
              <w:t>303</w:t>
            </w:r>
          </w:hyperlink>
        </w:p>
        <w:p>
          <w:pPr>
            <w:pStyle w:val="Contents5"/>
            <w:tabs>
              <w:tab w:val="clear" w:pos="7892"/>
              <w:tab w:val="right" w:pos="9026" w:leader="dot"/>
            </w:tabs>
            <w:rPr/>
          </w:pPr>
          <w:hyperlink w:anchor="__RefHeading___Toc6422450_1280447820">
            <w:r>
              <w:rPr>
                <w:webHidden/>
                <w:rStyle w:val="IndexLink"/>
                <w:rtl w:val="true"/>
              </w:rPr>
              <w:t xml:space="preserve">المقام الثاني </w:t>
            </w:r>
            <w:r>
              <w:rPr>
                <w:rStyle w:val="IndexLink"/>
                <w:rtl w:val="true"/>
              </w:rPr>
              <w:t xml:space="preserve">- </w:t>
            </w:r>
            <w:r>
              <w:rPr>
                <w:rStyle w:val="IndexLink"/>
                <w:rtl w:val="true"/>
              </w:rPr>
              <w:t>أدلة وقوع الرجعة</w:t>
            </w:r>
            <w:r>
              <w:rPr>
                <w:rStyle w:val="IndexLink"/>
                <w:rtl w:val="true"/>
              </w:rPr>
              <w:tab/>
            </w:r>
            <w:r>
              <w:rPr>
                <w:rStyle w:val="IndexLink"/>
              </w:rPr>
              <w:t>304</w:t>
            </w:r>
          </w:hyperlink>
        </w:p>
        <w:p>
          <w:pPr>
            <w:pStyle w:val="Contents5"/>
            <w:tabs>
              <w:tab w:val="clear" w:pos="7892"/>
              <w:tab w:val="right" w:pos="9026" w:leader="dot"/>
            </w:tabs>
            <w:rPr/>
          </w:pPr>
          <w:hyperlink w:anchor="__RefHeading___Toc6422452_1280447820">
            <w:r>
              <w:rPr>
                <w:webHidden/>
                <w:rStyle w:val="IndexLink"/>
                <w:rtl w:val="true"/>
              </w:rPr>
              <w:t>أسئلة و أجوبتها</w:t>
            </w:r>
            <w:r>
              <w:rPr>
                <w:rStyle w:val="IndexLink"/>
                <w:rtl w:val="true"/>
              </w:rPr>
              <w:tab/>
            </w:r>
            <w:r>
              <w:rPr>
                <w:rStyle w:val="IndexLink"/>
              </w:rPr>
              <w:t>307</w:t>
            </w:r>
          </w:hyperlink>
        </w:p>
        <w:p>
          <w:pPr>
            <w:pStyle w:val="Contents4"/>
            <w:tabs>
              <w:tab w:val="clear" w:pos="8176"/>
              <w:tab w:val="right" w:pos="9026" w:leader="dot"/>
            </w:tabs>
            <w:rPr/>
          </w:pPr>
          <w:hyperlink w:anchor="__RefHeading___Toc6422454_1280447820">
            <w:r>
              <w:rPr>
                <w:webHidden/>
                <w:rStyle w:val="IndexLink"/>
                <w:rtl w:val="true"/>
              </w:rPr>
              <w:t>(</w:t>
            </w:r>
            <w:r>
              <w:rPr>
                <w:rStyle w:val="IndexLink"/>
              </w:rPr>
              <w:t>12</w:t>
            </w:r>
            <w:r>
              <w:rPr>
                <w:rStyle w:val="IndexLink"/>
                <w:rtl w:val="true"/>
              </w:rPr>
              <w:t xml:space="preserve">) </w:t>
            </w:r>
            <w:r>
              <w:rPr>
                <w:rStyle w:val="IndexLink"/>
                <w:rtl w:val="true"/>
              </w:rPr>
              <w:t>التّناسخ و أقسامه و براهين بطلانه</w:t>
            </w:r>
            <w:r>
              <w:rPr>
                <w:rStyle w:val="IndexLink"/>
                <w:rtl w:val="true"/>
              </w:rPr>
              <w:tab/>
            </w:r>
            <w:r>
              <w:rPr>
                <w:rStyle w:val="IndexLink"/>
              </w:rPr>
              <w:t>310</w:t>
            </w:r>
          </w:hyperlink>
        </w:p>
        <w:p>
          <w:pPr>
            <w:pStyle w:val="Contents5"/>
            <w:tabs>
              <w:tab w:val="clear" w:pos="7892"/>
              <w:tab w:val="right" w:pos="9026" w:leader="dot"/>
            </w:tabs>
            <w:rPr/>
          </w:pPr>
          <w:hyperlink w:anchor="__RefHeading___Toc6422456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6422458_1280447820">
            <w:r>
              <w:rPr>
                <w:webHidden/>
                <w:rStyle w:val="IndexLink"/>
                <w:rtl w:val="true"/>
              </w:rPr>
              <w:t>الصورة الأولى</w:t>
            </w:r>
            <w:r>
              <w:rPr>
                <w:rStyle w:val="IndexLink"/>
                <w:rtl w:val="true"/>
              </w:rPr>
              <w:t xml:space="preserve">: </w:t>
            </w:r>
            <w:r>
              <w:rPr>
                <w:rStyle w:val="IndexLink"/>
                <w:rtl w:val="true"/>
              </w:rPr>
              <w:t>التناسخ المطلق</w:t>
            </w:r>
            <w:r>
              <w:rPr>
                <w:rStyle w:val="IndexLink"/>
                <w:rtl w:val="true"/>
              </w:rPr>
              <w:tab/>
            </w:r>
            <w:r>
              <w:rPr>
                <w:rStyle w:val="IndexLink"/>
              </w:rPr>
              <w:t>311</w:t>
            </w:r>
          </w:hyperlink>
        </w:p>
        <w:p>
          <w:pPr>
            <w:pStyle w:val="Contents5"/>
            <w:tabs>
              <w:tab w:val="clear" w:pos="7892"/>
              <w:tab w:val="right" w:pos="9026" w:leader="dot"/>
            </w:tabs>
            <w:rPr/>
          </w:pPr>
          <w:hyperlink w:anchor="__RefHeading___Toc6422460_1280447820">
            <w:r>
              <w:rPr>
                <w:webHidden/>
                <w:rStyle w:val="IndexLink"/>
                <w:rtl w:val="true"/>
              </w:rPr>
              <w:t>الصورة الثانية</w:t>
            </w:r>
            <w:r>
              <w:rPr>
                <w:rStyle w:val="IndexLink"/>
                <w:rtl w:val="true"/>
              </w:rPr>
              <w:t xml:space="preserve">: </w:t>
            </w:r>
            <w:r>
              <w:rPr>
                <w:rStyle w:val="IndexLink"/>
                <w:rtl w:val="true"/>
              </w:rPr>
              <w:t xml:space="preserve">التناسخ المحدود </w:t>
            </w:r>
            <w:r>
              <w:rPr>
                <w:rStyle w:val="IndexLink"/>
                <w:rtl w:val="true"/>
              </w:rPr>
              <w:t>(</w:t>
            </w:r>
            <w:r>
              <w:rPr>
                <w:rStyle w:val="IndexLink"/>
                <w:rtl w:val="true"/>
              </w:rPr>
              <w:t>النزولي</w:t>
            </w:r>
            <w:r>
              <w:rPr>
                <w:rStyle w:val="IndexLink"/>
                <w:rtl w:val="true"/>
              </w:rPr>
              <w:t>)</w:t>
              <w:tab/>
            </w:r>
            <w:r>
              <w:rPr>
                <w:rStyle w:val="IndexLink"/>
              </w:rPr>
              <w:t>311</w:t>
            </w:r>
          </w:hyperlink>
        </w:p>
        <w:p>
          <w:pPr>
            <w:pStyle w:val="Contents5"/>
            <w:tabs>
              <w:tab w:val="clear" w:pos="7892"/>
              <w:tab w:val="right" w:pos="9026" w:leader="dot"/>
            </w:tabs>
            <w:rPr/>
          </w:pPr>
          <w:hyperlink w:anchor="__RefHeading___Toc6422462_1280447820">
            <w:r>
              <w:rPr>
                <w:webHidden/>
                <w:rStyle w:val="IndexLink"/>
                <w:rtl w:val="true"/>
              </w:rPr>
              <w:t>الصورة الثالثة</w:t>
            </w:r>
            <w:r>
              <w:rPr>
                <w:rStyle w:val="IndexLink"/>
                <w:rtl w:val="true"/>
              </w:rPr>
              <w:t xml:space="preserve">: </w:t>
            </w:r>
            <w:r>
              <w:rPr>
                <w:rStyle w:val="IndexLink"/>
                <w:rtl w:val="true"/>
              </w:rPr>
              <w:t>التناسخ الصعودي</w:t>
            </w:r>
            <w:r>
              <w:rPr>
                <w:rStyle w:val="IndexLink"/>
                <w:rtl w:val="true"/>
              </w:rPr>
              <w:tab/>
            </w:r>
            <w:r>
              <w:rPr>
                <w:rStyle w:val="IndexLink"/>
              </w:rPr>
              <w:t>312</w:t>
            </w:r>
          </w:hyperlink>
        </w:p>
        <w:p>
          <w:pPr>
            <w:pStyle w:val="Contents5"/>
            <w:tabs>
              <w:tab w:val="clear" w:pos="7892"/>
              <w:tab w:val="right" w:pos="9026" w:leader="dot"/>
            </w:tabs>
            <w:rPr/>
          </w:pPr>
          <w:hyperlink w:anchor="__RefHeading___Toc6422464_1280447820">
            <w:r>
              <w:rPr>
                <w:webHidden/>
                <w:rStyle w:val="IndexLink"/>
                <w:rtl w:val="true"/>
              </w:rPr>
              <w:t>العناية الإلهية و التناسخ المطلق</w:t>
            </w:r>
            <w:r>
              <w:rPr>
                <w:rStyle w:val="IndexLink"/>
                <w:rtl w:val="true"/>
              </w:rPr>
              <w:tab/>
            </w:r>
            <w:r>
              <w:rPr>
                <w:rStyle w:val="IndexLink"/>
              </w:rPr>
              <w:t>313</w:t>
            </w:r>
          </w:hyperlink>
        </w:p>
        <w:p>
          <w:pPr>
            <w:pStyle w:val="Contents5"/>
            <w:tabs>
              <w:tab w:val="clear" w:pos="7892"/>
              <w:tab w:val="right" w:pos="9026" w:leader="dot"/>
            </w:tabs>
            <w:rPr/>
          </w:pPr>
          <w:hyperlink w:anchor="__RefHeading___Toc6422466_1280447820">
            <w:r>
              <w:rPr>
                <w:webHidden/>
                <w:rStyle w:val="IndexLink"/>
                <w:rtl w:val="true"/>
              </w:rPr>
              <w:t>الحركة الرجعية و التناسخ النزولي</w:t>
            </w:r>
            <w:r>
              <w:rPr>
                <w:rStyle w:val="IndexLink"/>
                <w:rtl w:val="true"/>
              </w:rPr>
              <w:tab/>
            </w:r>
            <w:r>
              <w:rPr>
                <w:rStyle w:val="IndexLink"/>
              </w:rPr>
              <w:t>315</w:t>
            </w:r>
          </w:hyperlink>
        </w:p>
        <w:p>
          <w:pPr>
            <w:pStyle w:val="Contents5"/>
            <w:tabs>
              <w:tab w:val="clear" w:pos="7892"/>
              <w:tab w:val="right" w:pos="9026" w:leader="dot"/>
            </w:tabs>
            <w:rPr/>
          </w:pPr>
          <w:hyperlink w:anchor="__RefHeading___Toc6422468_1280447820">
            <w:r>
              <w:rPr>
                <w:webHidden/>
                <w:rStyle w:val="IndexLink"/>
                <w:rtl w:val="true"/>
              </w:rPr>
              <w:t>التناسخ الصعودي و انتقال النفس</w:t>
            </w:r>
            <w:r>
              <w:rPr>
                <w:rStyle w:val="IndexLink"/>
                <w:rtl w:val="true"/>
              </w:rPr>
              <w:tab/>
            </w:r>
            <w:r>
              <w:rPr>
                <w:rStyle w:val="IndexLink"/>
              </w:rPr>
              <w:t>316</w:t>
            </w:r>
          </w:hyperlink>
        </w:p>
        <w:p>
          <w:pPr>
            <w:pStyle w:val="Contents5"/>
            <w:tabs>
              <w:tab w:val="clear" w:pos="7892"/>
              <w:tab w:val="right" w:pos="9026" w:leader="dot"/>
            </w:tabs>
            <w:rPr/>
          </w:pPr>
          <w:hyperlink w:anchor="__RefHeading___Toc6422470_1280447820">
            <w:r>
              <w:rPr>
                <w:webHidden/>
                <w:rStyle w:val="IndexLink"/>
                <w:rtl w:val="true"/>
              </w:rPr>
              <w:t>تحليل جامع للقول بالتناسخ</w:t>
            </w:r>
            <w:r>
              <w:rPr>
                <w:rStyle w:val="IndexLink"/>
                <w:rtl w:val="true"/>
              </w:rPr>
              <w:tab/>
            </w:r>
            <w:r>
              <w:rPr>
                <w:rStyle w:val="IndexLink"/>
              </w:rPr>
              <w:t>317</w:t>
            </w:r>
          </w:hyperlink>
        </w:p>
        <w:p>
          <w:pPr>
            <w:pStyle w:val="Contents6"/>
            <w:tabs>
              <w:tab w:val="clear" w:pos="7609"/>
              <w:tab w:val="right" w:pos="9026" w:leader="dot"/>
            </w:tabs>
            <w:rPr/>
          </w:pPr>
          <w:hyperlink w:anchor="__RefHeading___Toc6422472_1280447820">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6422474_1280447820">
            <w:r>
              <w:rPr>
                <w:webHidden/>
                <w:rStyle w:val="IndexLink"/>
                <w:rtl w:val="true"/>
              </w:rPr>
              <w:t>الأول</w:t>
            </w:r>
            <w:r>
              <w:rPr>
                <w:rStyle w:val="IndexLink"/>
                <w:rtl w:val="true"/>
              </w:rPr>
              <w:t xml:space="preserve">: </w:t>
            </w:r>
            <w:r>
              <w:rPr>
                <w:rStyle w:val="IndexLink"/>
                <w:rtl w:val="true"/>
              </w:rPr>
              <w:t>اجتماع نفسين في بدن واحد</w:t>
            </w:r>
            <w:r>
              <w:rPr>
                <w:rStyle w:val="IndexLink"/>
                <w:rtl w:val="true"/>
              </w:rPr>
              <w:tab/>
            </w:r>
            <w:r>
              <w:rPr>
                <w:rStyle w:val="IndexLink"/>
              </w:rPr>
              <w:t>318</w:t>
            </w:r>
          </w:hyperlink>
        </w:p>
        <w:p>
          <w:pPr>
            <w:pStyle w:val="Contents6"/>
            <w:tabs>
              <w:tab w:val="clear" w:pos="7609"/>
              <w:tab w:val="right" w:pos="9026" w:leader="dot"/>
            </w:tabs>
            <w:rPr/>
          </w:pPr>
          <w:hyperlink w:anchor="__RefHeading___Toc6422476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422478_1280447820">
            <w:r>
              <w:rPr>
                <w:webHidden/>
                <w:rStyle w:val="IndexLink"/>
                <w:rtl w:val="true"/>
              </w:rPr>
              <w:t>سؤال و جواب</w:t>
            </w:r>
            <w:r>
              <w:rPr>
                <w:rStyle w:val="IndexLink"/>
                <w:rtl w:val="true"/>
              </w:rPr>
              <w:t>:</w:t>
              <w:tab/>
            </w:r>
            <w:r>
              <w:rPr>
                <w:rStyle w:val="IndexLink"/>
              </w:rPr>
              <w:t>319</w:t>
            </w:r>
          </w:hyperlink>
        </w:p>
        <w:p>
          <w:pPr>
            <w:pStyle w:val="Contents6"/>
            <w:tabs>
              <w:tab w:val="clear" w:pos="7609"/>
              <w:tab w:val="right" w:pos="9026" w:leader="dot"/>
            </w:tabs>
            <w:rPr/>
          </w:pPr>
          <w:hyperlink w:anchor="__RefHeading___Toc6422480_1280447820">
            <w:r>
              <w:rPr>
                <w:webHidden/>
                <w:rStyle w:val="IndexLink"/>
                <w:rtl w:val="true"/>
              </w:rPr>
              <w:t>الثاني</w:t>
            </w:r>
            <w:r>
              <w:rPr>
                <w:rStyle w:val="IndexLink"/>
                <w:rtl w:val="true"/>
              </w:rPr>
              <w:t xml:space="preserve">: </w:t>
            </w:r>
            <w:r>
              <w:rPr>
                <w:rStyle w:val="IndexLink"/>
                <w:rtl w:val="true"/>
              </w:rPr>
              <w:t>عدم التناسخ بين النفس و البدن</w:t>
            </w:r>
            <w:r>
              <w:rPr>
                <w:rStyle w:val="IndexLink"/>
                <w:rtl w:val="true"/>
              </w:rPr>
              <w:tab/>
            </w:r>
            <w:r>
              <w:rPr>
                <w:rStyle w:val="IndexLink"/>
              </w:rPr>
              <w:t>319</w:t>
            </w:r>
          </w:hyperlink>
        </w:p>
        <w:p>
          <w:pPr>
            <w:pStyle w:val="Contents6"/>
            <w:tabs>
              <w:tab w:val="clear" w:pos="7609"/>
              <w:tab w:val="right" w:pos="9026" w:leader="dot"/>
            </w:tabs>
            <w:rPr/>
          </w:pPr>
          <w:hyperlink w:anchor="__RefHeading___Toc6422482_1280447820">
            <w:r>
              <w:rPr>
                <w:webHidden/>
                <w:rStyle w:val="IndexLink"/>
                <w:rtl w:val="true"/>
              </w:rPr>
              <w:t>اشارة</w:t>
            </w:r>
            <w:r>
              <w:rPr>
                <w:rStyle w:val="IndexLink"/>
                <w:rtl w:val="true"/>
              </w:rPr>
              <w:tab/>
            </w:r>
            <w:r>
              <w:rPr>
                <w:rStyle w:val="IndexLink"/>
              </w:rPr>
              <w:t>319</w:t>
            </w:r>
          </w:hyperlink>
        </w:p>
        <w:p>
          <w:pPr>
            <w:pStyle w:val="Contents6"/>
            <w:tabs>
              <w:tab w:val="clear" w:pos="7609"/>
              <w:tab w:val="right" w:pos="9026" w:leader="dot"/>
            </w:tabs>
            <w:rPr/>
          </w:pPr>
          <w:hyperlink w:anchor="__RefHeading___Toc6422484_1280447820">
            <w:r>
              <w:rPr>
                <w:webHidden/>
                <w:rStyle w:val="IndexLink"/>
                <w:rtl w:val="true"/>
              </w:rPr>
              <w:t>سؤالان و جوابان</w:t>
            </w:r>
            <w:r>
              <w:rPr>
                <w:rStyle w:val="IndexLink"/>
                <w:rtl w:val="true"/>
              </w:rPr>
              <w:tab/>
            </w:r>
            <w:r>
              <w:rPr>
                <w:rStyle w:val="IndexLink"/>
              </w:rPr>
              <w:t>320</w:t>
            </w:r>
          </w:hyperlink>
        </w:p>
        <w:p>
          <w:pPr>
            <w:pStyle w:val="Contents6"/>
            <w:tabs>
              <w:tab w:val="clear" w:pos="7609"/>
              <w:tab w:val="right" w:pos="9026" w:leader="dot"/>
            </w:tabs>
            <w:rPr/>
          </w:pPr>
          <w:hyperlink w:anchor="__RefHeading___Toc6422486_1280447820">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6422488_1280447820">
            <w:r>
              <w:rPr>
                <w:webHidden/>
                <w:rStyle w:val="IndexLink"/>
                <w:rtl w:val="true"/>
              </w:rPr>
              <w:t>السؤال الأول</w:t>
            </w:r>
            <w:r>
              <w:rPr>
                <w:rStyle w:val="IndexLink"/>
                <w:rtl w:val="true"/>
              </w:rPr>
              <w:t xml:space="preserve">: </w:t>
            </w:r>
            <w:r>
              <w:rPr>
                <w:rStyle w:val="IndexLink"/>
                <w:rtl w:val="true"/>
              </w:rPr>
              <w:t>التناسخ و وقوع المسخ في الأمم السالفة</w:t>
            </w:r>
            <w:r>
              <w:rPr>
                <w:rStyle w:val="IndexLink"/>
                <w:rtl w:val="true"/>
              </w:rPr>
              <w:tab/>
            </w:r>
            <w:r>
              <w:rPr>
                <w:rStyle w:val="IndexLink"/>
              </w:rPr>
              <w:t>321</w:t>
            </w:r>
          </w:hyperlink>
        </w:p>
        <w:p>
          <w:pPr>
            <w:pStyle w:val="Contents6"/>
            <w:tabs>
              <w:tab w:val="clear" w:pos="7609"/>
              <w:tab w:val="right" w:pos="9026" w:leader="dot"/>
            </w:tabs>
            <w:rPr/>
          </w:pPr>
          <w:hyperlink w:anchor="__RefHeading___Toc6422490_1280447820">
            <w:r>
              <w:rPr>
                <w:webHidden/>
                <w:rStyle w:val="IndexLink"/>
                <w:rtl w:val="true"/>
              </w:rPr>
              <w:t>السؤال الثاني</w:t>
            </w:r>
            <w:r>
              <w:rPr>
                <w:rStyle w:val="IndexLink"/>
                <w:rtl w:val="true"/>
              </w:rPr>
              <w:t xml:space="preserve">: </w:t>
            </w:r>
            <w:r>
              <w:rPr>
                <w:rStyle w:val="IndexLink"/>
                <w:rtl w:val="true"/>
              </w:rPr>
              <w:t>التناسخ و الرجعة</w:t>
            </w:r>
            <w:r>
              <w:rPr>
                <w:rStyle w:val="IndexLink"/>
                <w:rtl w:val="true"/>
              </w:rPr>
              <w:tab/>
            </w:r>
            <w:r>
              <w:rPr>
                <w:rStyle w:val="IndexLink"/>
              </w:rPr>
              <w:t>323</w:t>
            </w:r>
          </w:hyperlink>
        </w:p>
        <w:p>
          <w:pPr>
            <w:pStyle w:val="Contents5"/>
            <w:tabs>
              <w:tab w:val="clear" w:pos="7892"/>
              <w:tab w:val="right" w:pos="9026" w:leader="dot"/>
            </w:tabs>
            <w:rPr/>
          </w:pPr>
          <w:hyperlink w:anchor="__RefHeading___Toc6422492_1280447820">
            <w:r>
              <w:rPr>
                <w:webHidden/>
                <w:rStyle w:val="IndexLink"/>
                <w:rtl w:val="true"/>
              </w:rPr>
              <w:t>خاتمة المطاف</w:t>
            </w:r>
            <w:r>
              <w:rPr>
                <w:rStyle w:val="IndexLink"/>
                <w:rtl w:val="true"/>
              </w:rPr>
              <w:tab/>
            </w:r>
            <w:r>
              <w:rPr>
                <w:rStyle w:val="IndexLink"/>
              </w:rPr>
              <w:t>323</w:t>
            </w:r>
          </w:hyperlink>
        </w:p>
        <w:p>
          <w:pPr>
            <w:pStyle w:val="Contents4"/>
            <w:tabs>
              <w:tab w:val="clear" w:pos="8176"/>
              <w:tab w:val="right" w:pos="9026" w:leader="dot"/>
            </w:tabs>
            <w:rPr/>
          </w:pPr>
          <w:hyperlink w:anchor="__RefHeading___Toc6422494_1280447820">
            <w:r>
              <w:rPr>
                <w:webHidden/>
                <w:rStyle w:val="IndexLink"/>
                <w:rtl w:val="true"/>
              </w:rPr>
              <w:t>(</w:t>
            </w:r>
            <w:r>
              <w:rPr>
                <w:rStyle w:val="IndexLink"/>
              </w:rPr>
              <w:t>13</w:t>
            </w:r>
            <w:r>
              <w:rPr>
                <w:rStyle w:val="IndexLink"/>
                <w:rtl w:val="true"/>
              </w:rPr>
              <w:t xml:space="preserve">) </w:t>
            </w:r>
            <w:r>
              <w:rPr>
                <w:rStyle w:val="IndexLink"/>
                <w:rtl w:val="true"/>
              </w:rPr>
              <w:t>الإيمان و أحكامه</w:t>
            </w:r>
            <w:r>
              <w:rPr>
                <w:rStyle w:val="IndexLink"/>
                <w:rtl w:val="true"/>
              </w:rPr>
              <w:tab/>
            </w:r>
            <w:r>
              <w:rPr>
                <w:rStyle w:val="IndexLink"/>
              </w:rPr>
              <w:t>325</w:t>
            </w:r>
          </w:hyperlink>
        </w:p>
        <w:p>
          <w:pPr>
            <w:pStyle w:val="Contents5"/>
            <w:tabs>
              <w:tab w:val="clear" w:pos="7892"/>
              <w:tab w:val="right" w:pos="9026" w:leader="dot"/>
            </w:tabs>
            <w:rPr/>
          </w:pPr>
          <w:hyperlink w:anchor="__RefHeading___Toc6422496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6422498_1280447820">
            <w:r>
              <w:rPr>
                <w:webHidden/>
                <w:rStyle w:val="IndexLink"/>
                <w:rtl w:val="true"/>
              </w:rPr>
              <w:t>سؤال</w:t>
            </w:r>
            <w:r>
              <w:rPr>
                <w:rStyle w:val="IndexLink"/>
                <w:rtl w:val="true"/>
              </w:rPr>
              <w:t>:</w:t>
              <w:tab/>
            </w:r>
            <w:r>
              <w:rPr>
                <w:rStyle w:val="IndexLink"/>
              </w:rPr>
              <w:t>326</w:t>
            </w:r>
          </w:hyperlink>
        </w:p>
        <w:p>
          <w:pPr>
            <w:pStyle w:val="Contents6"/>
            <w:tabs>
              <w:tab w:val="clear" w:pos="7609"/>
              <w:tab w:val="right" w:pos="9026" w:leader="dot"/>
            </w:tabs>
            <w:rPr/>
          </w:pPr>
          <w:hyperlink w:anchor="__RefHeading___Toc6422500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6422502_1280447820">
            <w:r>
              <w:rPr>
                <w:webHidden/>
                <w:rStyle w:val="IndexLink"/>
                <w:rtl w:val="true"/>
              </w:rPr>
              <w:t>جوابه</w:t>
            </w:r>
            <w:r>
              <w:rPr>
                <w:rStyle w:val="IndexLink"/>
                <w:rtl w:val="true"/>
              </w:rPr>
              <w:t>:</w:t>
              <w:tab/>
            </w:r>
            <w:r>
              <w:rPr>
                <w:rStyle w:val="IndexLink"/>
              </w:rPr>
              <w:t>326</w:t>
            </w:r>
          </w:hyperlink>
        </w:p>
        <w:p>
          <w:pPr>
            <w:pStyle w:val="Contents5"/>
            <w:tabs>
              <w:tab w:val="clear" w:pos="7892"/>
              <w:tab w:val="right" w:pos="9026" w:leader="dot"/>
            </w:tabs>
            <w:rPr/>
          </w:pPr>
          <w:hyperlink w:anchor="__RefHeading___Toc6422504_1280447820">
            <w:r>
              <w:rPr>
                <w:webHidden/>
                <w:rStyle w:val="IndexLink"/>
                <w:rtl w:val="true"/>
              </w:rPr>
              <w:t>سؤال</w:t>
            </w:r>
            <w:r>
              <w:rPr>
                <w:rStyle w:val="IndexLink"/>
                <w:rtl w:val="true"/>
              </w:rPr>
              <w:t>:</w:t>
              <w:tab/>
            </w:r>
            <w:r>
              <w:rPr>
                <w:rStyle w:val="IndexLink"/>
              </w:rPr>
              <w:t>327</w:t>
            </w:r>
          </w:hyperlink>
        </w:p>
        <w:p>
          <w:pPr>
            <w:pStyle w:val="Contents6"/>
            <w:tabs>
              <w:tab w:val="clear" w:pos="7609"/>
              <w:tab w:val="right" w:pos="9026" w:leader="dot"/>
            </w:tabs>
            <w:rPr/>
          </w:pPr>
          <w:hyperlink w:anchor="__RefHeading___Toc6422506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6422508_1280447820">
            <w:r>
              <w:rPr>
                <w:webHidden/>
                <w:rStyle w:val="IndexLink"/>
                <w:rtl w:val="true"/>
              </w:rPr>
              <w:t>جوابه</w:t>
            </w:r>
            <w:r>
              <w:rPr>
                <w:rStyle w:val="IndexLink"/>
                <w:rtl w:val="true"/>
              </w:rPr>
              <w:t>:</w:t>
              <w:tab/>
            </w:r>
            <w:r>
              <w:rPr>
                <w:rStyle w:val="IndexLink"/>
              </w:rPr>
              <w:t>327</w:t>
            </w:r>
          </w:hyperlink>
        </w:p>
        <w:p>
          <w:pPr>
            <w:pStyle w:val="Contents5"/>
            <w:tabs>
              <w:tab w:val="clear" w:pos="7892"/>
              <w:tab w:val="right" w:pos="9026" w:leader="dot"/>
            </w:tabs>
            <w:rPr/>
          </w:pPr>
          <w:hyperlink w:anchor="__RefHeading___Toc6422510_1280447820">
            <w:r>
              <w:rPr>
                <w:webHidden/>
                <w:rStyle w:val="IndexLink"/>
                <w:rtl w:val="true"/>
              </w:rPr>
              <w:t>سؤال</w:t>
            </w:r>
            <w:r>
              <w:rPr>
                <w:rStyle w:val="IndexLink"/>
                <w:rtl w:val="true"/>
              </w:rPr>
              <w:t>:</w:t>
              <w:tab/>
            </w:r>
            <w:r>
              <w:rPr>
                <w:rStyle w:val="IndexLink"/>
              </w:rPr>
              <w:t>327</w:t>
            </w:r>
          </w:hyperlink>
        </w:p>
        <w:p>
          <w:pPr>
            <w:pStyle w:val="Contents6"/>
            <w:tabs>
              <w:tab w:val="clear" w:pos="7609"/>
              <w:tab w:val="right" w:pos="9026" w:leader="dot"/>
            </w:tabs>
            <w:rPr/>
          </w:pPr>
          <w:hyperlink w:anchor="__RefHeading___Toc6422512_1280447820">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6422514_1280447820">
            <w:r>
              <w:rPr>
                <w:webHidden/>
                <w:rStyle w:val="IndexLink"/>
                <w:rtl w:val="true"/>
              </w:rPr>
              <w:t>جوابه</w:t>
            </w:r>
            <w:r>
              <w:rPr>
                <w:rStyle w:val="IndexLink"/>
                <w:rtl w:val="true"/>
              </w:rPr>
              <w:t>:</w:t>
              <w:tab/>
            </w:r>
            <w:r>
              <w:rPr>
                <w:rStyle w:val="IndexLink"/>
              </w:rPr>
              <w:t>327</w:t>
            </w:r>
          </w:hyperlink>
        </w:p>
        <w:p>
          <w:pPr>
            <w:pStyle w:val="Contents5"/>
            <w:tabs>
              <w:tab w:val="clear" w:pos="7892"/>
              <w:tab w:val="right" w:pos="9026" w:leader="dot"/>
            </w:tabs>
            <w:rPr/>
          </w:pPr>
          <w:hyperlink w:anchor="__RefHeading___Toc6422516_1280447820">
            <w:r>
              <w:rPr>
                <w:webHidden/>
                <w:rStyle w:val="IndexLink"/>
                <w:rtl w:val="true"/>
              </w:rPr>
              <w:t>سؤال</w:t>
            </w:r>
            <w:r>
              <w:rPr>
                <w:rStyle w:val="IndexLink"/>
                <w:rtl w:val="true"/>
              </w:rPr>
              <w:t>:</w:t>
              <w:tab/>
            </w:r>
            <w:r>
              <w:rPr>
                <w:rStyle w:val="IndexLink"/>
              </w:rPr>
              <w:t>334</w:t>
            </w:r>
          </w:hyperlink>
        </w:p>
        <w:p>
          <w:pPr>
            <w:pStyle w:val="Contents6"/>
            <w:tabs>
              <w:tab w:val="clear" w:pos="7609"/>
              <w:tab w:val="right" w:pos="9026" w:leader="dot"/>
            </w:tabs>
            <w:rPr/>
          </w:pPr>
          <w:hyperlink w:anchor="__RefHeading___Toc6422518_1280447820">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6422520_1280447820">
            <w:r>
              <w:rPr>
                <w:webHidden/>
                <w:rStyle w:val="IndexLink"/>
                <w:rtl w:val="true"/>
              </w:rPr>
              <w:t>الجواب</w:t>
            </w:r>
            <w:r>
              <w:rPr>
                <w:rStyle w:val="IndexLink"/>
                <w:rtl w:val="true"/>
              </w:rPr>
              <w:t>:</w:t>
              <w:tab/>
            </w:r>
            <w:r>
              <w:rPr>
                <w:rStyle w:val="IndexLink"/>
              </w:rPr>
              <w:t>334</w:t>
            </w:r>
          </w:hyperlink>
        </w:p>
        <w:p>
          <w:pPr>
            <w:pStyle w:val="Contents4"/>
            <w:tabs>
              <w:tab w:val="clear" w:pos="8176"/>
              <w:tab w:val="right" w:pos="9026" w:leader="dot"/>
            </w:tabs>
            <w:rPr/>
          </w:pPr>
          <w:hyperlink w:anchor="__RefHeading___Toc6422522_1280447820">
            <w:r>
              <w:rPr>
                <w:webHidden/>
                <w:rStyle w:val="IndexLink"/>
                <w:rtl w:val="true"/>
              </w:rPr>
              <w:t>(</w:t>
            </w:r>
            <w:r>
              <w:rPr>
                <w:rStyle w:val="IndexLink"/>
              </w:rPr>
              <w:t>14</w:t>
            </w:r>
            <w:r>
              <w:rPr>
                <w:rStyle w:val="IndexLink"/>
                <w:rtl w:val="true"/>
              </w:rPr>
              <w:t xml:space="preserve">) </w:t>
            </w:r>
            <w:r>
              <w:rPr>
                <w:rStyle w:val="IndexLink"/>
                <w:rtl w:val="true"/>
              </w:rPr>
              <w:t>التوبة و شرائطها</w:t>
            </w:r>
            <w:r>
              <w:rPr>
                <w:rStyle w:val="IndexLink"/>
                <w:rtl w:val="true"/>
              </w:rPr>
              <w:tab/>
            </w:r>
            <w:r>
              <w:rPr>
                <w:rStyle w:val="IndexLink"/>
              </w:rPr>
              <w:t>335</w:t>
            </w:r>
          </w:hyperlink>
        </w:p>
        <w:p>
          <w:pPr>
            <w:pStyle w:val="Contents5"/>
            <w:tabs>
              <w:tab w:val="clear" w:pos="7892"/>
              <w:tab w:val="right" w:pos="9026" w:leader="dot"/>
            </w:tabs>
            <w:rPr/>
          </w:pPr>
          <w:hyperlink w:anchor="__RefHeading___Toc6422524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422526_1280447820">
            <w:r>
              <w:rPr>
                <w:webHidden/>
                <w:rStyle w:val="IndexLink"/>
                <w:rtl w:val="true"/>
              </w:rPr>
              <w:t xml:space="preserve">الأمر الأول </w:t>
            </w:r>
            <w:r>
              <w:rPr>
                <w:rStyle w:val="IndexLink"/>
                <w:rtl w:val="true"/>
              </w:rPr>
              <w:t xml:space="preserve">- </w:t>
            </w:r>
            <w:r>
              <w:rPr>
                <w:rStyle w:val="IndexLink"/>
                <w:rtl w:val="true"/>
              </w:rPr>
              <w:t>فلسفة التوبة</w:t>
            </w:r>
            <w:r>
              <w:rPr>
                <w:rStyle w:val="IndexLink"/>
                <w:rtl w:val="true"/>
              </w:rPr>
              <w:tab/>
            </w:r>
            <w:r>
              <w:rPr>
                <w:rStyle w:val="IndexLink"/>
              </w:rPr>
              <w:t>335</w:t>
            </w:r>
          </w:hyperlink>
        </w:p>
        <w:p>
          <w:pPr>
            <w:pStyle w:val="Contents5"/>
            <w:tabs>
              <w:tab w:val="clear" w:pos="7892"/>
              <w:tab w:val="right" w:pos="9026" w:leader="dot"/>
            </w:tabs>
            <w:rPr/>
          </w:pPr>
          <w:hyperlink w:anchor="__RefHeading___Toc6422528_1280447820">
            <w:r>
              <w:rPr>
                <w:webHidden/>
                <w:rStyle w:val="IndexLink"/>
                <w:rtl w:val="true"/>
              </w:rPr>
              <w:t xml:space="preserve">الأمر الثاني </w:t>
            </w:r>
            <w:r>
              <w:rPr>
                <w:rStyle w:val="IndexLink"/>
                <w:rtl w:val="true"/>
              </w:rPr>
              <w:t xml:space="preserve">- </w:t>
            </w:r>
            <w:r>
              <w:rPr>
                <w:rStyle w:val="IndexLink"/>
                <w:rtl w:val="true"/>
              </w:rPr>
              <w:t>حقيقة التوبة</w:t>
            </w:r>
            <w:r>
              <w:rPr>
                <w:rStyle w:val="IndexLink"/>
                <w:rtl w:val="true"/>
              </w:rPr>
              <w:tab/>
            </w:r>
            <w:r>
              <w:rPr>
                <w:rStyle w:val="IndexLink"/>
              </w:rPr>
              <w:t>336</w:t>
            </w:r>
          </w:hyperlink>
        </w:p>
        <w:p>
          <w:pPr>
            <w:pStyle w:val="Contents5"/>
            <w:tabs>
              <w:tab w:val="clear" w:pos="7892"/>
              <w:tab w:val="right" w:pos="9026" w:leader="dot"/>
            </w:tabs>
            <w:rPr/>
          </w:pPr>
          <w:hyperlink w:anchor="__RefHeading___Toc6422530_1280447820">
            <w:r>
              <w:rPr>
                <w:webHidden/>
                <w:rStyle w:val="IndexLink"/>
                <w:rtl w:val="true"/>
              </w:rPr>
              <w:t xml:space="preserve">الأمر الثالث </w:t>
            </w:r>
            <w:r>
              <w:rPr>
                <w:rStyle w:val="IndexLink"/>
                <w:rtl w:val="true"/>
              </w:rPr>
              <w:t xml:space="preserve">- </w:t>
            </w:r>
            <w:r>
              <w:rPr>
                <w:rStyle w:val="IndexLink"/>
                <w:rtl w:val="true"/>
              </w:rPr>
              <w:t>وجوب التوبة</w:t>
            </w:r>
            <w:r>
              <w:rPr>
                <w:rStyle w:val="IndexLink"/>
                <w:rtl w:val="true"/>
              </w:rPr>
              <w:tab/>
            </w:r>
            <w:r>
              <w:rPr>
                <w:rStyle w:val="IndexLink"/>
              </w:rPr>
              <w:t>337</w:t>
            </w:r>
          </w:hyperlink>
        </w:p>
        <w:p>
          <w:pPr>
            <w:pStyle w:val="Contents5"/>
            <w:tabs>
              <w:tab w:val="clear" w:pos="7892"/>
              <w:tab w:val="right" w:pos="9026" w:leader="dot"/>
            </w:tabs>
            <w:rPr/>
          </w:pPr>
          <w:hyperlink w:anchor="__RefHeading___Toc6422532_1280447820">
            <w:r>
              <w:rPr>
                <w:webHidden/>
                <w:rStyle w:val="IndexLink"/>
                <w:rtl w:val="true"/>
              </w:rPr>
              <w:t xml:space="preserve">الأمر الرابع </w:t>
            </w:r>
            <w:r>
              <w:rPr>
                <w:rStyle w:val="IndexLink"/>
                <w:rtl w:val="true"/>
              </w:rPr>
              <w:t xml:space="preserve">- </w:t>
            </w:r>
            <w:r>
              <w:rPr>
                <w:rStyle w:val="IndexLink"/>
                <w:rtl w:val="true"/>
              </w:rPr>
              <w:t>هل تجب التوبة من الصغائر؟</w:t>
            </w:r>
            <w:r>
              <w:rPr>
                <w:rStyle w:val="IndexLink"/>
                <w:rtl w:val="true"/>
              </w:rPr>
              <w:tab/>
            </w:r>
            <w:r>
              <w:rPr>
                <w:rStyle w:val="IndexLink"/>
              </w:rPr>
              <w:t>338</w:t>
            </w:r>
          </w:hyperlink>
        </w:p>
        <w:p>
          <w:pPr>
            <w:pStyle w:val="Contents5"/>
            <w:tabs>
              <w:tab w:val="clear" w:pos="7892"/>
              <w:tab w:val="right" w:pos="9026" w:leader="dot"/>
            </w:tabs>
            <w:rPr/>
          </w:pPr>
          <w:hyperlink w:anchor="__RefHeading___Toc6422534_1280447820">
            <w:r>
              <w:rPr>
                <w:webHidden/>
                <w:rStyle w:val="IndexLink"/>
                <w:rtl w:val="true"/>
              </w:rPr>
              <w:t xml:space="preserve">الأمر الخامس </w:t>
            </w:r>
            <w:r>
              <w:rPr>
                <w:rStyle w:val="IndexLink"/>
                <w:rtl w:val="true"/>
              </w:rPr>
              <w:t xml:space="preserve">- </w:t>
            </w:r>
            <w:r>
              <w:rPr>
                <w:rStyle w:val="IndexLink"/>
                <w:rtl w:val="true"/>
              </w:rPr>
              <w:t>التوبة واجب فوري</w:t>
            </w:r>
            <w:r>
              <w:rPr>
                <w:rStyle w:val="IndexLink"/>
                <w:rtl w:val="true"/>
              </w:rPr>
              <w:tab/>
            </w:r>
            <w:r>
              <w:rPr>
                <w:rStyle w:val="IndexLink"/>
              </w:rPr>
              <w:t>339</w:t>
            </w:r>
          </w:hyperlink>
        </w:p>
        <w:p>
          <w:pPr>
            <w:pStyle w:val="Contents5"/>
            <w:tabs>
              <w:tab w:val="clear" w:pos="7892"/>
              <w:tab w:val="right" w:pos="9026" w:leader="dot"/>
            </w:tabs>
            <w:rPr/>
          </w:pPr>
          <w:hyperlink w:anchor="__RefHeading___Toc6422536_1280447820">
            <w:r>
              <w:rPr>
                <w:webHidden/>
                <w:rStyle w:val="IndexLink"/>
                <w:rtl w:val="true"/>
              </w:rPr>
              <w:t xml:space="preserve">الأمر السادس </w:t>
            </w:r>
            <w:r>
              <w:rPr>
                <w:rStyle w:val="IndexLink"/>
                <w:rtl w:val="true"/>
              </w:rPr>
              <w:t xml:space="preserve">- </w:t>
            </w:r>
            <w:r>
              <w:rPr>
                <w:rStyle w:val="IndexLink"/>
                <w:rtl w:val="true"/>
              </w:rPr>
              <w:t>أثر التوبة</w:t>
            </w:r>
            <w:r>
              <w:rPr>
                <w:rStyle w:val="IndexLink"/>
                <w:rtl w:val="true"/>
              </w:rPr>
              <w:tab/>
            </w:r>
            <w:r>
              <w:rPr>
                <w:rStyle w:val="IndexLink"/>
              </w:rPr>
              <w:t>340</w:t>
            </w:r>
          </w:hyperlink>
        </w:p>
        <w:p>
          <w:pPr>
            <w:pStyle w:val="Contents5"/>
            <w:tabs>
              <w:tab w:val="clear" w:pos="7892"/>
              <w:tab w:val="right" w:pos="9026" w:leader="dot"/>
            </w:tabs>
            <w:rPr/>
          </w:pPr>
          <w:hyperlink w:anchor="__RefHeading___Toc6422538_1280447820">
            <w:r>
              <w:rPr>
                <w:webHidden/>
                <w:rStyle w:val="IndexLink"/>
                <w:rtl w:val="true"/>
              </w:rPr>
              <w:t xml:space="preserve">الأمر السابع </w:t>
            </w:r>
            <w:r>
              <w:rPr>
                <w:rStyle w:val="IndexLink"/>
                <w:rtl w:val="true"/>
              </w:rPr>
              <w:t xml:space="preserve">- </w:t>
            </w:r>
            <w:r>
              <w:rPr>
                <w:rStyle w:val="IndexLink"/>
                <w:rtl w:val="true"/>
              </w:rPr>
              <w:t>قبول التوبة واجب على اللّه أولا؟</w:t>
            </w:r>
            <w:r>
              <w:rPr>
                <w:rStyle w:val="IndexLink"/>
                <w:rtl w:val="true"/>
              </w:rPr>
              <w:tab/>
            </w:r>
            <w:r>
              <w:rPr>
                <w:rStyle w:val="IndexLink"/>
              </w:rPr>
              <w:t>341</w:t>
            </w:r>
          </w:hyperlink>
        </w:p>
        <w:p>
          <w:pPr>
            <w:pStyle w:val="Contents5"/>
            <w:tabs>
              <w:tab w:val="clear" w:pos="7892"/>
              <w:tab w:val="right" w:pos="9026" w:leader="dot"/>
            </w:tabs>
            <w:rPr/>
          </w:pPr>
          <w:hyperlink w:anchor="__RefHeading___Toc6422540_1280447820">
            <w:r>
              <w:rPr>
                <w:webHidden/>
                <w:rStyle w:val="IndexLink"/>
                <w:rtl w:val="true"/>
              </w:rPr>
              <w:t xml:space="preserve">الأمر الثامن </w:t>
            </w:r>
            <w:r>
              <w:rPr>
                <w:rStyle w:val="IndexLink"/>
                <w:rtl w:val="true"/>
              </w:rPr>
              <w:t xml:space="preserve">- </w:t>
            </w:r>
            <w:r>
              <w:rPr>
                <w:rStyle w:val="IndexLink"/>
                <w:rtl w:val="true"/>
              </w:rPr>
              <w:t>هل يجب في التوبة، الندم على القبيح؟</w:t>
            </w:r>
            <w:r>
              <w:rPr>
                <w:rStyle w:val="IndexLink"/>
                <w:rtl w:val="true"/>
              </w:rPr>
              <w:tab/>
            </w:r>
            <w:r>
              <w:rPr>
                <w:rStyle w:val="IndexLink"/>
              </w:rPr>
              <w:t>343</w:t>
            </w:r>
          </w:hyperlink>
        </w:p>
        <w:p>
          <w:pPr>
            <w:pStyle w:val="Contents5"/>
            <w:tabs>
              <w:tab w:val="clear" w:pos="7892"/>
              <w:tab w:val="right" w:pos="9026" w:leader="dot"/>
            </w:tabs>
            <w:rPr/>
          </w:pPr>
          <w:hyperlink w:anchor="__RefHeading___Toc6422542_1280447820">
            <w:r>
              <w:rPr>
                <w:webHidden/>
                <w:rStyle w:val="IndexLink"/>
                <w:rtl w:val="true"/>
              </w:rPr>
              <w:t xml:space="preserve">الأمر التاسع </w:t>
            </w:r>
            <w:r>
              <w:rPr>
                <w:rStyle w:val="IndexLink"/>
                <w:rtl w:val="true"/>
              </w:rPr>
              <w:t xml:space="preserve">- </w:t>
            </w:r>
            <w:r>
              <w:rPr>
                <w:rStyle w:val="IndexLink"/>
                <w:rtl w:val="true"/>
              </w:rPr>
              <w:t>هل تصحّ التوبة من قبيح دون قبيح؟</w:t>
            </w:r>
            <w:r>
              <w:rPr>
                <w:rStyle w:val="IndexLink"/>
                <w:rtl w:val="true"/>
              </w:rPr>
              <w:tab/>
            </w:r>
            <w:r>
              <w:rPr>
                <w:rStyle w:val="IndexLink"/>
              </w:rPr>
              <w:t>346</w:t>
            </w:r>
          </w:hyperlink>
        </w:p>
        <w:p>
          <w:pPr>
            <w:pStyle w:val="Contents4"/>
            <w:tabs>
              <w:tab w:val="clear" w:pos="8176"/>
              <w:tab w:val="right" w:pos="9026" w:leader="dot"/>
            </w:tabs>
            <w:rPr/>
          </w:pPr>
          <w:hyperlink w:anchor="__RefHeading___Toc6422544_1280447820">
            <w:r>
              <w:rPr>
                <w:webHidden/>
                <w:rStyle w:val="IndexLink"/>
                <w:rtl w:val="true"/>
              </w:rPr>
              <w:t>(</w:t>
            </w:r>
            <w:r>
              <w:rPr>
                <w:rStyle w:val="IndexLink"/>
              </w:rPr>
              <w:t>15</w:t>
            </w:r>
            <w:r>
              <w:rPr>
                <w:rStyle w:val="IndexLink"/>
                <w:rtl w:val="true"/>
              </w:rPr>
              <w:t xml:space="preserve">) </w:t>
            </w:r>
            <w:r>
              <w:rPr>
                <w:rStyle w:val="IndexLink"/>
                <w:rtl w:val="true"/>
              </w:rPr>
              <w:t>الشفاعة</w:t>
            </w:r>
            <w:r>
              <w:rPr>
                <w:rStyle w:val="IndexLink"/>
                <w:rtl w:val="true"/>
              </w:rPr>
              <w:tab/>
            </w:r>
            <w:r>
              <w:rPr>
                <w:rStyle w:val="IndexLink"/>
              </w:rPr>
              <w:t>349</w:t>
            </w:r>
          </w:hyperlink>
        </w:p>
        <w:p>
          <w:pPr>
            <w:pStyle w:val="Contents5"/>
            <w:tabs>
              <w:tab w:val="clear" w:pos="7892"/>
              <w:tab w:val="right" w:pos="9026" w:leader="dot"/>
            </w:tabs>
            <w:rPr/>
          </w:pPr>
          <w:hyperlink w:anchor="__RefHeading___Toc6422546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6422548_1280447820">
            <w:r>
              <w:rPr>
                <w:webHidden/>
                <w:rStyle w:val="IndexLink"/>
                <w:rtl w:val="true"/>
              </w:rPr>
              <w:t>الأمر الأول</w:t>
            </w:r>
            <w:r>
              <w:rPr>
                <w:rStyle w:val="IndexLink"/>
                <w:rtl w:val="true"/>
              </w:rPr>
              <w:t xml:space="preserve">: </w:t>
            </w:r>
            <w:r>
              <w:rPr>
                <w:rStyle w:val="IndexLink"/>
                <w:rtl w:val="true"/>
              </w:rPr>
              <w:t>آيات الشفاعة و تصنيفها</w:t>
            </w:r>
            <w:r>
              <w:rPr>
                <w:rStyle w:val="IndexLink"/>
                <w:rtl w:val="true"/>
              </w:rPr>
              <w:tab/>
            </w:r>
            <w:r>
              <w:rPr>
                <w:rStyle w:val="IndexLink"/>
              </w:rPr>
              <w:t>350</w:t>
            </w:r>
          </w:hyperlink>
        </w:p>
        <w:p>
          <w:pPr>
            <w:pStyle w:val="Contents5"/>
            <w:tabs>
              <w:tab w:val="clear" w:pos="7892"/>
              <w:tab w:val="right" w:pos="9026" w:leader="dot"/>
            </w:tabs>
            <w:rPr/>
          </w:pPr>
          <w:hyperlink w:anchor="__RefHeading___Toc6422550_1280447820">
            <w:r>
              <w:rPr>
                <w:webHidden/>
                <w:rStyle w:val="IndexLink"/>
                <w:rtl w:val="true"/>
              </w:rPr>
              <w:t>الأمر الثاني</w:t>
            </w:r>
            <w:r>
              <w:rPr>
                <w:rStyle w:val="IndexLink"/>
                <w:rtl w:val="true"/>
              </w:rPr>
              <w:t xml:space="preserve">: </w:t>
            </w:r>
            <w:r>
              <w:rPr>
                <w:rStyle w:val="IndexLink"/>
                <w:rtl w:val="true"/>
              </w:rPr>
              <w:t>الشفاعة في السّنة</w:t>
            </w:r>
            <w:r>
              <w:rPr>
                <w:rStyle w:val="IndexLink"/>
                <w:rtl w:val="true"/>
              </w:rPr>
              <w:t>.</w:t>
              <w:tab/>
            </w:r>
            <w:r>
              <w:rPr>
                <w:rStyle w:val="IndexLink"/>
              </w:rPr>
              <w:t>353</w:t>
            </w:r>
          </w:hyperlink>
        </w:p>
        <w:p>
          <w:pPr>
            <w:pStyle w:val="Contents5"/>
            <w:tabs>
              <w:tab w:val="clear" w:pos="7892"/>
              <w:tab w:val="right" w:pos="9026" w:leader="dot"/>
            </w:tabs>
            <w:rPr/>
          </w:pPr>
          <w:hyperlink w:anchor="__RefHeading___Toc6422552_1280447820">
            <w:r>
              <w:rPr>
                <w:webHidden/>
                <w:rStyle w:val="IndexLink"/>
                <w:rtl w:val="true"/>
              </w:rPr>
              <w:t>الأمر الثالث</w:t>
            </w:r>
            <w:r>
              <w:rPr>
                <w:rStyle w:val="IndexLink"/>
                <w:rtl w:val="true"/>
              </w:rPr>
              <w:t xml:space="preserve">: </w:t>
            </w:r>
            <w:r>
              <w:rPr>
                <w:rStyle w:val="IndexLink"/>
                <w:rtl w:val="true"/>
              </w:rPr>
              <w:t>حقيقة الشفاعة و أقسامها</w:t>
            </w:r>
            <w:r>
              <w:rPr>
                <w:rStyle w:val="IndexLink"/>
                <w:rtl w:val="true"/>
              </w:rPr>
              <w:tab/>
            </w:r>
            <w:r>
              <w:rPr>
                <w:rStyle w:val="IndexLink"/>
              </w:rPr>
              <w:t>354</w:t>
            </w:r>
          </w:hyperlink>
        </w:p>
        <w:p>
          <w:pPr>
            <w:pStyle w:val="Contents6"/>
            <w:tabs>
              <w:tab w:val="clear" w:pos="7609"/>
              <w:tab w:val="right" w:pos="9026" w:leader="dot"/>
            </w:tabs>
            <w:rPr/>
          </w:pPr>
          <w:hyperlink w:anchor="__RefHeading___Toc6422554_128044782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6422556_1280447820">
            <w:r>
              <w:rPr>
                <w:webHidden/>
                <w:rStyle w:val="IndexLink"/>
              </w:rPr>
              <w:t>1</w:t>
            </w:r>
            <w:r>
              <w:rPr>
                <w:rStyle w:val="IndexLink"/>
                <w:rtl w:val="true"/>
              </w:rPr>
              <w:t xml:space="preserve"> - </w:t>
            </w:r>
            <w:r>
              <w:rPr>
                <w:rStyle w:val="IndexLink"/>
                <w:rtl w:val="true"/>
              </w:rPr>
              <w:t>الشفاعة التكوينية</w:t>
            </w:r>
            <w:r>
              <w:rPr>
                <w:rStyle w:val="IndexLink"/>
                <w:rtl w:val="true"/>
              </w:rPr>
              <w:tab/>
            </w:r>
            <w:r>
              <w:rPr>
                <w:rStyle w:val="IndexLink"/>
              </w:rPr>
              <w:t>354</w:t>
            </w:r>
          </w:hyperlink>
        </w:p>
        <w:p>
          <w:pPr>
            <w:pStyle w:val="Contents6"/>
            <w:tabs>
              <w:tab w:val="clear" w:pos="7609"/>
              <w:tab w:val="right" w:pos="9026" w:leader="dot"/>
            </w:tabs>
            <w:rPr/>
          </w:pPr>
          <w:hyperlink w:anchor="__RefHeading___Toc6422558_1280447820">
            <w:r>
              <w:rPr>
                <w:webHidden/>
                <w:rStyle w:val="IndexLink"/>
              </w:rPr>
              <w:t>2</w:t>
            </w:r>
            <w:r>
              <w:rPr>
                <w:rStyle w:val="IndexLink"/>
                <w:rtl w:val="true"/>
              </w:rPr>
              <w:t xml:space="preserve"> - </w:t>
            </w:r>
            <w:r>
              <w:rPr>
                <w:rStyle w:val="IndexLink"/>
                <w:rtl w:val="true"/>
              </w:rPr>
              <w:t>الشفاعة القيادية</w:t>
            </w:r>
            <w:r>
              <w:rPr>
                <w:rStyle w:val="IndexLink"/>
                <w:rtl w:val="true"/>
              </w:rPr>
              <w:tab/>
            </w:r>
            <w:r>
              <w:rPr>
                <w:rStyle w:val="IndexLink"/>
              </w:rPr>
              <w:t>355</w:t>
            </w:r>
          </w:hyperlink>
        </w:p>
        <w:p>
          <w:pPr>
            <w:pStyle w:val="Contents6"/>
            <w:tabs>
              <w:tab w:val="clear" w:pos="7609"/>
              <w:tab w:val="right" w:pos="9026" w:leader="dot"/>
            </w:tabs>
            <w:rPr/>
          </w:pPr>
          <w:hyperlink w:anchor="__RefHeading___Toc6422560_1280447820">
            <w:r>
              <w:rPr>
                <w:webHidden/>
                <w:rStyle w:val="IndexLink"/>
              </w:rPr>
              <w:t>3</w:t>
            </w:r>
            <w:r>
              <w:rPr>
                <w:rStyle w:val="IndexLink"/>
                <w:rtl w:val="true"/>
              </w:rPr>
              <w:t xml:space="preserve"> - </w:t>
            </w:r>
            <w:r>
              <w:rPr>
                <w:rStyle w:val="IndexLink"/>
                <w:rtl w:val="true"/>
              </w:rPr>
              <w:t>الشفاعة المصطلحة</w:t>
            </w:r>
            <w:r>
              <w:rPr>
                <w:rStyle w:val="IndexLink"/>
                <w:rtl w:val="true"/>
              </w:rPr>
              <w:tab/>
            </w:r>
            <w:r>
              <w:rPr>
                <w:rStyle w:val="IndexLink"/>
              </w:rPr>
              <w:t>356</w:t>
            </w:r>
          </w:hyperlink>
        </w:p>
        <w:p>
          <w:pPr>
            <w:pStyle w:val="Contents5"/>
            <w:tabs>
              <w:tab w:val="clear" w:pos="7892"/>
              <w:tab w:val="right" w:pos="9026" w:leader="dot"/>
            </w:tabs>
            <w:rPr/>
          </w:pPr>
          <w:hyperlink w:anchor="__RefHeading___Toc6422562_1280447820">
            <w:r>
              <w:rPr>
                <w:webHidden/>
                <w:rStyle w:val="IndexLink"/>
                <w:rtl w:val="true"/>
              </w:rPr>
              <w:t xml:space="preserve">الأمر الرابع </w:t>
            </w:r>
            <w:r>
              <w:rPr>
                <w:rStyle w:val="IndexLink"/>
                <w:rtl w:val="true"/>
              </w:rPr>
              <w:t xml:space="preserve">- </w:t>
            </w:r>
            <w:r>
              <w:rPr>
                <w:rStyle w:val="IndexLink"/>
                <w:rtl w:val="true"/>
              </w:rPr>
              <w:t>مبررات الشفاعة</w:t>
            </w:r>
            <w:r>
              <w:rPr>
                <w:rStyle w:val="IndexLink"/>
                <w:rtl w:val="true"/>
              </w:rPr>
              <w:tab/>
            </w:r>
            <w:r>
              <w:rPr>
                <w:rStyle w:val="IndexLink"/>
              </w:rPr>
              <w:t>357</w:t>
            </w:r>
          </w:hyperlink>
        </w:p>
        <w:p>
          <w:pPr>
            <w:pStyle w:val="Contents6"/>
            <w:tabs>
              <w:tab w:val="clear" w:pos="7609"/>
              <w:tab w:val="right" w:pos="9026" w:leader="dot"/>
            </w:tabs>
            <w:rPr/>
          </w:pPr>
          <w:hyperlink w:anchor="__RefHeading___Toc6422564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6422566_1280447820">
            <w:r>
              <w:rPr>
                <w:webHidden/>
                <w:rStyle w:val="IndexLink"/>
                <w:rtl w:val="true"/>
              </w:rPr>
              <w:t>و الجواب عن ذلك</w:t>
            </w:r>
            <w:r>
              <w:rPr>
                <w:rStyle w:val="IndexLink"/>
                <w:rtl w:val="true"/>
              </w:rPr>
              <w:t xml:space="preserve">: </w:t>
            </w:r>
            <w:r>
              <w:rPr>
                <w:rStyle w:val="IndexLink"/>
                <w:rtl w:val="true"/>
              </w:rPr>
              <w:t>إنّ لتشريع الشفاعة مبررات عدة، نذكر منها اثنتين</w:t>
            </w:r>
            <w:r>
              <w:rPr>
                <w:rStyle w:val="IndexLink"/>
                <w:rtl w:val="true"/>
              </w:rPr>
              <w:t>:</w:t>
              <w:tab/>
            </w:r>
            <w:r>
              <w:rPr>
                <w:rStyle w:val="IndexLink"/>
              </w:rPr>
              <w:t>357</w:t>
            </w:r>
          </w:hyperlink>
        </w:p>
        <w:p>
          <w:pPr>
            <w:pStyle w:val="Contents6"/>
            <w:tabs>
              <w:tab w:val="clear" w:pos="7609"/>
              <w:tab w:val="right" w:pos="9026" w:leader="dot"/>
            </w:tabs>
            <w:rPr/>
          </w:pPr>
          <w:hyperlink w:anchor="__RefHeading___Toc6422568_1280447820">
            <w:r>
              <w:rPr>
                <w:webHidden/>
                <w:rStyle w:val="IndexLink"/>
                <w:rtl w:val="true"/>
              </w:rPr>
              <w:t xml:space="preserve">الأول </w:t>
            </w:r>
            <w:r>
              <w:rPr>
                <w:rStyle w:val="IndexLink"/>
                <w:rtl w:val="true"/>
              </w:rPr>
              <w:t xml:space="preserve">- </w:t>
            </w:r>
            <w:r>
              <w:rPr>
                <w:rStyle w:val="IndexLink"/>
                <w:rtl w:val="true"/>
              </w:rPr>
              <w:t>الحاجة إلى رحمة اللّه الواسعة حتى مع العمل</w:t>
            </w:r>
            <w:r>
              <w:rPr>
                <w:rStyle w:val="IndexLink"/>
                <w:rtl w:val="true"/>
              </w:rPr>
              <w:tab/>
            </w:r>
            <w:r>
              <w:rPr>
                <w:rStyle w:val="IndexLink"/>
              </w:rPr>
              <w:t>357</w:t>
            </w:r>
          </w:hyperlink>
        </w:p>
        <w:p>
          <w:pPr>
            <w:pStyle w:val="Contents6"/>
            <w:tabs>
              <w:tab w:val="clear" w:pos="7609"/>
              <w:tab w:val="right" w:pos="9026" w:leader="dot"/>
            </w:tabs>
            <w:rPr/>
          </w:pPr>
          <w:hyperlink w:anchor="__RefHeading___Toc6422570_1280447820">
            <w:r>
              <w:rPr>
                <w:webHidden/>
                <w:rStyle w:val="IndexLink"/>
                <w:rtl w:val="true"/>
              </w:rPr>
              <w:t xml:space="preserve">الثاني </w:t>
            </w:r>
            <w:r>
              <w:rPr>
                <w:rStyle w:val="IndexLink"/>
                <w:rtl w:val="true"/>
              </w:rPr>
              <w:t xml:space="preserve">- </w:t>
            </w:r>
            <w:r>
              <w:rPr>
                <w:rStyle w:val="IndexLink"/>
                <w:rtl w:val="true"/>
              </w:rPr>
              <w:t>الآثار التربوية للشفاعة</w:t>
            </w:r>
            <w:r>
              <w:rPr>
                <w:rStyle w:val="IndexLink"/>
                <w:rtl w:val="true"/>
              </w:rPr>
              <w:tab/>
            </w:r>
            <w:r>
              <w:rPr>
                <w:rStyle w:val="IndexLink"/>
              </w:rPr>
              <w:t>358</w:t>
            </w:r>
          </w:hyperlink>
        </w:p>
        <w:p>
          <w:pPr>
            <w:pStyle w:val="Contents5"/>
            <w:tabs>
              <w:tab w:val="clear" w:pos="7892"/>
              <w:tab w:val="right" w:pos="9026" w:leader="dot"/>
            </w:tabs>
            <w:rPr/>
          </w:pPr>
          <w:hyperlink w:anchor="__RefHeading___Toc6422572_1280447820">
            <w:r>
              <w:rPr>
                <w:webHidden/>
                <w:rStyle w:val="IndexLink"/>
                <w:rtl w:val="true"/>
              </w:rPr>
              <w:t xml:space="preserve">الأمر الخامس </w:t>
            </w:r>
            <w:r>
              <w:rPr>
                <w:rStyle w:val="IndexLink"/>
                <w:rtl w:val="true"/>
              </w:rPr>
              <w:t xml:space="preserve">- </w:t>
            </w:r>
            <w:r>
              <w:rPr>
                <w:rStyle w:val="IndexLink"/>
                <w:rtl w:val="true"/>
              </w:rPr>
              <w:t>شرائط شمول الشفاعة</w:t>
            </w:r>
            <w:r>
              <w:rPr>
                <w:rStyle w:val="IndexLink"/>
                <w:rtl w:val="true"/>
              </w:rPr>
              <w:tab/>
            </w:r>
            <w:r>
              <w:rPr>
                <w:rStyle w:val="IndexLink"/>
              </w:rPr>
              <w:t>358</w:t>
            </w:r>
          </w:hyperlink>
        </w:p>
        <w:p>
          <w:pPr>
            <w:pStyle w:val="Contents6"/>
            <w:tabs>
              <w:tab w:val="clear" w:pos="7609"/>
              <w:tab w:val="right" w:pos="9026" w:leader="dot"/>
            </w:tabs>
            <w:rPr/>
          </w:pPr>
          <w:hyperlink w:anchor="__RefHeading___Toc6422574_128044782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6422576_1280447820">
            <w:r>
              <w:rPr>
                <w:webHidden/>
                <w:rStyle w:val="IndexLink"/>
              </w:rPr>
              <w:t>1</w:t>
            </w:r>
            <w:r>
              <w:rPr>
                <w:rStyle w:val="IndexLink"/>
                <w:rtl w:val="true"/>
              </w:rPr>
              <w:t xml:space="preserve"> - </w:t>
            </w:r>
            <w:r>
              <w:rPr>
                <w:rStyle w:val="IndexLink"/>
                <w:rtl w:val="true"/>
              </w:rPr>
              <w:t>عدم الشرك باللّه شيئا</w:t>
            </w:r>
            <w:r>
              <w:rPr>
                <w:rStyle w:val="IndexLink"/>
                <w:rtl w:val="true"/>
              </w:rPr>
              <w:tab/>
            </w:r>
            <w:r>
              <w:rPr>
                <w:rStyle w:val="IndexLink"/>
              </w:rPr>
              <w:t>359</w:t>
            </w:r>
          </w:hyperlink>
        </w:p>
        <w:p>
          <w:pPr>
            <w:pStyle w:val="Contents6"/>
            <w:tabs>
              <w:tab w:val="clear" w:pos="7609"/>
              <w:tab w:val="right" w:pos="9026" w:leader="dot"/>
            </w:tabs>
            <w:rPr/>
          </w:pPr>
          <w:hyperlink w:anchor="__RefHeading___Toc6422578_1280447820">
            <w:r>
              <w:rPr>
                <w:webHidden/>
                <w:rStyle w:val="IndexLink"/>
              </w:rPr>
              <w:t>2</w:t>
            </w:r>
            <w:r>
              <w:rPr>
                <w:rStyle w:val="IndexLink"/>
                <w:rtl w:val="true"/>
              </w:rPr>
              <w:t xml:space="preserve"> - </w:t>
            </w:r>
            <w:r>
              <w:rPr>
                <w:rStyle w:val="IndexLink"/>
                <w:rtl w:val="true"/>
              </w:rPr>
              <w:t>شهادة الشهادتين بإخلاص</w:t>
            </w:r>
            <w:r>
              <w:rPr>
                <w:rStyle w:val="IndexLink"/>
                <w:rtl w:val="true"/>
              </w:rPr>
              <w:tab/>
            </w:r>
            <w:r>
              <w:rPr>
                <w:rStyle w:val="IndexLink"/>
              </w:rPr>
              <w:t>359</w:t>
            </w:r>
          </w:hyperlink>
        </w:p>
        <w:p>
          <w:pPr>
            <w:pStyle w:val="Contents6"/>
            <w:tabs>
              <w:tab w:val="clear" w:pos="7609"/>
              <w:tab w:val="right" w:pos="9026" w:leader="dot"/>
            </w:tabs>
            <w:rPr/>
          </w:pPr>
          <w:hyperlink w:anchor="__RefHeading___Toc6422580_1280447820">
            <w:r>
              <w:rPr>
                <w:webHidden/>
                <w:rStyle w:val="IndexLink"/>
              </w:rPr>
              <w:t>3</w:t>
            </w:r>
            <w:r>
              <w:rPr>
                <w:rStyle w:val="IndexLink"/>
                <w:rtl w:val="true"/>
              </w:rPr>
              <w:t xml:space="preserve"> - </w:t>
            </w:r>
            <w:r>
              <w:rPr>
                <w:rStyle w:val="IndexLink"/>
                <w:rtl w:val="true"/>
              </w:rPr>
              <w:t>عدم الغشّ‌</w:t>
            </w:r>
            <w:r>
              <w:rPr>
                <w:rStyle w:val="IndexLink"/>
                <w:rtl w:val="true"/>
              </w:rPr>
              <w:tab/>
            </w:r>
            <w:r>
              <w:rPr>
                <w:rStyle w:val="IndexLink"/>
              </w:rPr>
              <w:t>359</w:t>
            </w:r>
          </w:hyperlink>
        </w:p>
        <w:p>
          <w:pPr>
            <w:pStyle w:val="Contents6"/>
            <w:tabs>
              <w:tab w:val="clear" w:pos="7609"/>
              <w:tab w:val="right" w:pos="9026" w:leader="dot"/>
            </w:tabs>
            <w:rPr/>
          </w:pPr>
          <w:hyperlink w:anchor="__RefHeading___Toc6422582_1280447820">
            <w:r>
              <w:rPr>
                <w:webHidden/>
                <w:rStyle w:val="IndexLink"/>
              </w:rPr>
              <w:t>4</w:t>
            </w:r>
            <w:r>
              <w:rPr>
                <w:rStyle w:val="IndexLink"/>
                <w:rtl w:val="true"/>
              </w:rPr>
              <w:t xml:space="preserve"> - </w:t>
            </w:r>
            <w:r>
              <w:rPr>
                <w:rStyle w:val="IndexLink"/>
                <w:rtl w:val="true"/>
              </w:rPr>
              <w:t>عدم نصب العداء لأهل البيت عليهم السلام</w:t>
            </w:r>
            <w:r>
              <w:rPr>
                <w:rStyle w:val="IndexLink"/>
                <w:rtl w:val="true"/>
              </w:rPr>
              <w:tab/>
            </w:r>
            <w:r>
              <w:rPr>
                <w:rStyle w:val="IndexLink"/>
              </w:rPr>
              <w:t>359</w:t>
            </w:r>
          </w:hyperlink>
        </w:p>
        <w:p>
          <w:pPr>
            <w:pStyle w:val="Contents6"/>
            <w:tabs>
              <w:tab w:val="clear" w:pos="7609"/>
              <w:tab w:val="right" w:pos="9026" w:leader="dot"/>
            </w:tabs>
            <w:rPr/>
          </w:pPr>
          <w:hyperlink w:anchor="__RefHeading___Toc6422584_1280447820">
            <w:r>
              <w:rPr>
                <w:webHidden/>
                <w:rStyle w:val="IndexLink"/>
              </w:rPr>
              <w:t>5</w:t>
            </w:r>
            <w:r>
              <w:rPr>
                <w:rStyle w:val="IndexLink"/>
                <w:rtl w:val="true"/>
              </w:rPr>
              <w:t xml:space="preserve"> - </w:t>
            </w:r>
            <w:r>
              <w:rPr>
                <w:rStyle w:val="IndexLink"/>
                <w:rtl w:val="true"/>
              </w:rPr>
              <w:t>عدم الاستخفاف بالصلاة</w:t>
            </w:r>
            <w:r>
              <w:rPr>
                <w:rStyle w:val="IndexLink"/>
                <w:rtl w:val="true"/>
              </w:rPr>
              <w:tab/>
            </w:r>
            <w:r>
              <w:rPr>
                <w:rStyle w:val="IndexLink"/>
              </w:rPr>
              <w:t>360</w:t>
            </w:r>
          </w:hyperlink>
        </w:p>
        <w:p>
          <w:pPr>
            <w:pStyle w:val="Contents6"/>
            <w:tabs>
              <w:tab w:val="clear" w:pos="7609"/>
              <w:tab w:val="right" w:pos="9026" w:leader="dot"/>
            </w:tabs>
            <w:rPr/>
          </w:pPr>
          <w:hyperlink w:anchor="__RefHeading___Toc6422586_1280447820">
            <w:r>
              <w:rPr>
                <w:webHidden/>
                <w:rStyle w:val="IndexLink"/>
              </w:rPr>
              <w:t>6</w:t>
            </w:r>
            <w:r>
              <w:rPr>
                <w:rStyle w:val="IndexLink"/>
                <w:rtl w:val="true"/>
              </w:rPr>
              <w:t xml:space="preserve"> - </w:t>
            </w:r>
            <w:r>
              <w:rPr>
                <w:rStyle w:val="IndexLink"/>
                <w:rtl w:val="true"/>
              </w:rPr>
              <w:t>عدم التكذيب بشفاعة رسول اللّه</w:t>
            </w:r>
            <w:r>
              <w:rPr>
                <w:rStyle w:val="IndexLink"/>
                <w:rtl w:val="true"/>
              </w:rPr>
              <w:tab/>
            </w:r>
            <w:r>
              <w:rPr>
                <w:rStyle w:val="IndexLink"/>
              </w:rPr>
              <w:t>360</w:t>
            </w:r>
          </w:hyperlink>
        </w:p>
        <w:p>
          <w:pPr>
            <w:pStyle w:val="Contents5"/>
            <w:tabs>
              <w:tab w:val="clear" w:pos="7892"/>
              <w:tab w:val="right" w:pos="9026" w:leader="dot"/>
            </w:tabs>
            <w:rPr/>
          </w:pPr>
          <w:hyperlink w:anchor="__RefHeading___Toc6422588_1280447820">
            <w:r>
              <w:rPr>
                <w:webHidden/>
                <w:rStyle w:val="IndexLink"/>
                <w:rtl w:val="true"/>
              </w:rPr>
              <w:t xml:space="preserve">الأمر السادس </w:t>
            </w:r>
            <w:r>
              <w:rPr>
                <w:rStyle w:val="IndexLink"/>
                <w:rtl w:val="true"/>
              </w:rPr>
              <w:t xml:space="preserve">- </w:t>
            </w:r>
            <w:r>
              <w:rPr>
                <w:rStyle w:val="IndexLink"/>
                <w:rtl w:val="true"/>
              </w:rPr>
              <w:t>ما هو أثر الشفاعة</w:t>
            </w:r>
            <w:r>
              <w:rPr>
                <w:rStyle w:val="IndexLink"/>
                <w:rtl w:val="true"/>
              </w:rPr>
              <w:t xml:space="preserve">: </w:t>
            </w:r>
            <w:r>
              <w:rPr>
                <w:rStyle w:val="IndexLink"/>
                <w:rtl w:val="true"/>
              </w:rPr>
              <w:t>إسقاط العقاب أو زيادة الثواب؟</w:t>
            </w:r>
            <w:r>
              <w:rPr>
                <w:rStyle w:val="IndexLink"/>
                <w:rtl w:val="true"/>
              </w:rPr>
              <w:tab/>
            </w:r>
            <w:r>
              <w:rPr>
                <w:rStyle w:val="IndexLink"/>
              </w:rPr>
              <w:t>360</w:t>
            </w:r>
          </w:hyperlink>
        </w:p>
        <w:p>
          <w:pPr>
            <w:pStyle w:val="Contents5"/>
            <w:tabs>
              <w:tab w:val="clear" w:pos="7892"/>
              <w:tab w:val="right" w:pos="9026" w:leader="dot"/>
            </w:tabs>
            <w:rPr/>
          </w:pPr>
          <w:hyperlink w:anchor="__RefHeading___Toc6422590_1280447820">
            <w:r>
              <w:rPr>
                <w:webHidden/>
                <w:rStyle w:val="IndexLink"/>
                <w:rtl w:val="true"/>
              </w:rPr>
              <w:t xml:space="preserve">الأمر السابع </w:t>
            </w:r>
            <w:r>
              <w:rPr>
                <w:rStyle w:val="IndexLink"/>
                <w:rtl w:val="true"/>
              </w:rPr>
              <w:t xml:space="preserve">- </w:t>
            </w:r>
            <w:r>
              <w:rPr>
                <w:rStyle w:val="IndexLink"/>
                <w:rtl w:val="true"/>
              </w:rPr>
              <w:t>الإشكالات المثارة حول الشفاعة</w:t>
            </w:r>
            <w:r>
              <w:rPr>
                <w:rStyle w:val="IndexLink"/>
                <w:rtl w:val="true"/>
              </w:rPr>
              <w:tab/>
            </w:r>
            <w:r>
              <w:rPr>
                <w:rStyle w:val="IndexLink"/>
              </w:rPr>
              <w:t>362</w:t>
            </w:r>
          </w:hyperlink>
        </w:p>
        <w:p>
          <w:pPr>
            <w:pStyle w:val="Contents6"/>
            <w:tabs>
              <w:tab w:val="clear" w:pos="7609"/>
              <w:tab w:val="right" w:pos="9026" w:leader="dot"/>
            </w:tabs>
            <w:rPr/>
          </w:pPr>
          <w:hyperlink w:anchor="__RefHeading___Toc6422592_128044782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422594_1280447820">
            <w:r>
              <w:rPr>
                <w:webHidden/>
                <w:rStyle w:val="IndexLink"/>
                <w:rtl w:val="true"/>
              </w:rPr>
              <w:t>الإشكال الأول</w:t>
            </w:r>
            <w:r>
              <w:rPr>
                <w:rStyle w:val="IndexLink"/>
                <w:rtl w:val="true"/>
              </w:rPr>
              <w:t>:</w:t>
              <w:tab/>
            </w:r>
            <w:r>
              <w:rPr>
                <w:rStyle w:val="IndexLink"/>
              </w:rPr>
              <w:t>362</w:t>
            </w:r>
          </w:hyperlink>
        </w:p>
        <w:p>
          <w:pPr>
            <w:pStyle w:val="Contents6"/>
            <w:tabs>
              <w:tab w:val="clear" w:pos="7609"/>
              <w:tab w:val="right" w:pos="9026" w:leader="dot"/>
            </w:tabs>
            <w:rPr/>
          </w:pPr>
          <w:hyperlink w:anchor="__RefHeading___Toc6422596_1280447820">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6422598_1280447820">
            <w:r>
              <w:rPr>
                <w:webHidden/>
                <w:rStyle w:val="IndexLink"/>
                <w:rtl w:val="true"/>
              </w:rPr>
              <w:t>و الجواب</w:t>
            </w:r>
            <w:r>
              <w:rPr>
                <w:rStyle w:val="IndexLink"/>
                <w:rtl w:val="true"/>
              </w:rPr>
              <w:t>:</w:t>
              <w:tab/>
            </w:r>
            <w:r>
              <w:rPr>
                <w:rStyle w:val="IndexLink"/>
              </w:rPr>
              <w:t>362</w:t>
            </w:r>
          </w:hyperlink>
        </w:p>
        <w:p>
          <w:pPr>
            <w:pStyle w:val="Contents6"/>
            <w:tabs>
              <w:tab w:val="clear" w:pos="7609"/>
              <w:tab w:val="right" w:pos="9026" w:leader="dot"/>
            </w:tabs>
            <w:rPr/>
          </w:pPr>
          <w:hyperlink w:anchor="__RefHeading___Toc6422600_1280447820">
            <w:r>
              <w:rPr>
                <w:webHidden/>
                <w:rStyle w:val="IndexLink"/>
                <w:rtl w:val="true"/>
              </w:rPr>
              <w:t>الإشكال الثاني</w:t>
            </w:r>
            <w:r>
              <w:rPr>
                <w:rStyle w:val="IndexLink"/>
                <w:rtl w:val="true"/>
              </w:rPr>
              <w:t>:</w:t>
              <w:tab/>
            </w:r>
            <w:r>
              <w:rPr>
                <w:rStyle w:val="IndexLink"/>
              </w:rPr>
              <w:t>363</w:t>
            </w:r>
          </w:hyperlink>
        </w:p>
        <w:p>
          <w:pPr>
            <w:pStyle w:val="Contents6"/>
            <w:tabs>
              <w:tab w:val="clear" w:pos="7609"/>
              <w:tab w:val="right" w:pos="9026" w:leader="dot"/>
            </w:tabs>
            <w:rPr/>
          </w:pPr>
          <w:hyperlink w:anchor="__RefHeading___Toc6422602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6422604_1280447820">
            <w:r>
              <w:rPr>
                <w:webHidden/>
                <w:rStyle w:val="IndexLink"/>
                <w:rtl w:val="true"/>
              </w:rPr>
              <w:t>و الجواب، أما نقضا</w:t>
            </w:r>
            <w:r>
              <w:rPr>
                <w:rStyle w:val="IndexLink"/>
                <w:rtl w:val="true"/>
              </w:rPr>
              <w:t>:</w:t>
              <w:tab/>
            </w:r>
            <w:r>
              <w:rPr>
                <w:rStyle w:val="IndexLink"/>
              </w:rPr>
              <w:t>363</w:t>
            </w:r>
          </w:hyperlink>
        </w:p>
        <w:p>
          <w:pPr>
            <w:pStyle w:val="Contents6"/>
            <w:tabs>
              <w:tab w:val="clear" w:pos="7609"/>
              <w:tab w:val="right" w:pos="9026" w:leader="dot"/>
            </w:tabs>
            <w:rPr/>
          </w:pPr>
          <w:hyperlink w:anchor="__RefHeading___Toc6422606_1280447820">
            <w:r>
              <w:rPr>
                <w:webHidden/>
                <w:rStyle w:val="IndexLink"/>
                <w:rtl w:val="true"/>
              </w:rPr>
              <w:t>و أما حلا</w:t>
            </w:r>
            <w:r>
              <w:rPr>
                <w:rStyle w:val="IndexLink"/>
                <w:rtl w:val="true"/>
              </w:rPr>
              <w:tab/>
            </w:r>
            <w:r>
              <w:rPr>
                <w:rStyle w:val="IndexLink"/>
              </w:rPr>
              <w:t>364</w:t>
            </w:r>
          </w:hyperlink>
        </w:p>
        <w:p>
          <w:pPr>
            <w:pStyle w:val="Contents6"/>
            <w:tabs>
              <w:tab w:val="clear" w:pos="7609"/>
              <w:tab w:val="right" w:pos="9026" w:leader="dot"/>
            </w:tabs>
            <w:rPr/>
          </w:pPr>
          <w:hyperlink w:anchor="__RefHeading___Toc6422608_1280447820">
            <w:r>
              <w:rPr>
                <w:webHidden/>
                <w:rStyle w:val="IndexLink"/>
                <w:rtl w:val="true"/>
              </w:rPr>
              <w:t>الإشكال الثالث</w:t>
            </w:r>
            <w:r>
              <w:rPr>
                <w:rStyle w:val="IndexLink"/>
                <w:rtl w:val="true"/>
              </w:rPr>
              <w:t>:</w:t>
              <w:tab/>
            </w:r>
            <w:r>
              <w:rPr>
                <w:rStyle w:val="IndexLink"/>
              </w:rPr>
              <w:t>365</w:t>
            </w:r>
          </w:hyperlink>
        </w:p>
        <w:p>
          <w:pPr>
            <w:pStyle w:val="Contents6"/>
            <w:tabs>
              <w:tab w:val="clear" w:pos="7609"/>
              <w:tab w:val="right" w:pos="9026" w:leader="dot"/>
            </w:tabs>
            <w:rPr/>
          </w:pPr>
          <w:hyperlink w:anchor="__RefHeading___Toc6422610_1280447820">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6422612_1280447820">
            <w:r>
              <w:rPr>
                <w:webHidden/>
                <w:rStyle w:val="IndexLink"/>
                <w:rtl w:val="true"/>
              </w:rPr>
              <w:t>و الجواب</w:t>
            </w:r>
            <w:r>
              <w:rPr>
                <w:rStyle w:val="IndexLink"/>
                <w:rtl w:val="true"/>
              </w:rPr>
              <w:t>:</w:t>
              <w:tab/>
            </w:r>
            <w:r>
              <w:rPr>
                <w:rStyle w:val="IndexLink"/>
              </w:rPr>
              <w:t>365</w:t>
            </w:r>
          </w:hyperlink>
        </w:p>
        <w:p>
          <w:pPr>
            <w:pStyle w:val="Contents6"/>
            <w:tabs>
              <w:tab w:val="clear" w:pos="7609"/>
              <w:tab w:val="right" w:pos="9026" w:leader="dot"/>
            </w:tabs>
            <w:rPr/>
          </w:pPr>
          <w:hyperlink w:anchor="__RefHeading___Toc6422614_1280447820">
            <w:r>
              <w:rPr>
                <w:webHidden/>
                <w:rStyle w:val="IndexLink"/>
                <w:rtl w:val="true"/>
              </w:rPr>
              <w:t>الإشكال الرابع</w:t>
            </w:r>
            <w:r>
              <w:rPr>
                <w:rStyle w:val="IndexLink"/>
                <w:rtl w:val="true"/>
              </w:rPr>
              <w:t>:</w:t>
              <w:tab/>
            </w:r>
            <w:r>
              <w:rPr>
                <w:rStyle w:val="IndexLink"/>
              </w:rPr>
              <w:t>366</w:t>
            </w:r>
          </w:hyperlink>
        </w:p>
        <w:p>
          <w:pPr>
            <w:pStyle w:val="Contents6"/>
            <w:tabs>
              <w:tab w:val="clear" w:pos="7609"/>
              <w:tab w:val="right" w:pos="9026" w:leader="dot"/>
            </w:tabs>
            <w:rPr/>
          </w:pPr>
          <w:hyperlink w:anchor="__RefHeading___Toc6422616_1280447820">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6422618_1280447820">
            <w:r>
              <w:rPr>
                <w:webHidden/>
                <w:rStyle w:val="IndexLink"/>
                <w:rtl w:val="true"/>
              </w:rPr>
              <w:t>و الجواب</w:t>
            </w:r>
            <w:r>
              <w:rPr>
                <w:rStyle w:val="IndexLink"/>
                <w:rtl w:val="true"/>
              </w:rPr>
              <w:t>:</w:t>
              <w:tab/>
            </w:r>
            <w:r>
              <w:rPr>
                <w:rStyle w:val="IndexLink"/>
              </w:rPr>
              <w:t>366</w:t>
            </w:r>
          </w:hyperlink>
        </w:p>
        <w:p>
          <w:pPr>
            <w:pStyle w:val="Contents6"/>
            <w:tabs>
              <w:tab w:val="clear" w:pos="7609"/>
              <w:tab w:val="right" w:pos="9026" w:leader="dot"/>
            </w:tabs>
            <w:rPr/>
          </w:pPr>
          <w:hyperlink w:anchor="__RefHeading___Toc6422620_1280447820">
            <w:r>
              <w:rPr>
                <w:webHidden/>
                <w:rStyle w:val="IndexLink"/>
                <w:rtl w:val="true"/>
              </w:rPr>
              <w:t>الإشكال الخامس</w:t>
            </w:r>
            <w:r>
              <w:rPr>
                <w:rStyle w:val="IndexLink"/>
                <w:rtl w:val="true"/>
              </w:rPr>
              <w:t>:</w:t>
              <w:tab/>
            </w:r>
            <w:r>
              <w:rPr>
                <w:rStyle w:val="IndexLink"/>
              </w:rPr>
              <w:t>367</w:t>
            </w:r>
          </w:hyperlink>
        </w:p>
        <w:p>
          <w:pPr>
            <w:pStyle w:val="Contents6"/>
            <w:tabs>
              <w:tab w:val="clear" w:pos="7609"/>
              <w:tab w:val="right" w:pos="9026" w:leader="dot"/>
            </w:tabs>
            <w:rPr/>
          </w:pPr>
          <w:hyperlink w:anchor="__RefHeading___Toc6422622_1280447820">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6422624_1280447820">
            <w:r>
              <w:rPr>
                <w:webHidden/>
                <w:rStyle w:val="IndexLink"/>
                <w:rtl w:val="true"/>
              </w:rPr>
              <w:t>و الجواب</w:t>
            </w:r>
            <w:r>
              <w:rPr>
                <w:rStyle w:val="IndexLink"/>
                <w:rtl w:val="true"/>
              </w:rPr>
              <w:t>:</w:t>
              <w:tab/>
            </w:r>
            <w:r>
              <w:rPr>
                <w:rStyle w:val="IndexLink"/>
              </w:rPr>
              <w:t>367</w:t>
            </w:r>
          </w:hyperlink>
        </w:p>
        <w:p>
          <w:pPr>
            <w:pStyle w:val="Contents5"/>
            <w:tabs>
              <w:tab w:val="clear" w:pos="7892"/>
              <w:tab w:val="right" w:pos="9026" w:leader="dot"/>
            </w:tabs>
            <w:rPr/>
          </w:pPr>
          <w:hyperlink w:anchor="__RefHeading___Toc6422626_1280447820">
            <w:r>
              <w:rPr>
                <w:webHidden/>
                <w:rStyle w:val="IndexLink"/>
                <w:rtl w:val="true"/>
              </w:rPr>
              <w:t>الأمر الثامن</w:t>
            </w:r>
            <w:r>
              <w:rPr>
                <w:rStyle w:val="IndexLink"/>
                <w:rtl w:val="true"/>
              </w:rPr>
              <w:t xml:space="preserve">: </w:t>
            </w:r>
            <w:r>
              <w:rPr>
                <w:rStyle w:val="IndexLink"/>
                <w:rtl w:val="true"/>
              </w:rPr>
              <w:t>هل يجوز طلب الشفاعة؟</w:t>
            </w:r>
            <w:r>
              <w:rPr>
                <w:rStyle w:val="IndexLink"/>
                <w:rtl w:val="true"/>
              </w:rPr>
              <w:tab/>
            </w:r>
            <w:r>
              <w:rPr>
                <w:rStyle w:val="IndexLink"/>
              </w:rPr>
              <w:t>369</w:t>
            </w:r>
          </w:hyperlink>
        </w:p>
        <w:p>
          <w:pPr>
            <w:pStyle w:val="Contents6"/>
            <w:tabs>
              <w:tab w:val="clear" w:pos="7609"/>
              <w:tab w:val="right" w:pos="9026" w:leader="dot"/>
            </w:tabs>
            <w:rPr/>
          </w:pPr>
          <w:hyperlink w:anchor="__RefHeading___Toc6422628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6422630_1280447820">
            <w:r>
              <w:rPr>
                <w:webHidden/>
                <w:rStyle w:val="IndexLink"/>
                <w:rtl w:val="true"/>
              </w:rPr>
              <w:t>الوجه الأول</w:t>
            </w:r>
            <w:r>
              <w:rPr>
                <w:rStyle w:val="IndexLink"/>
                <w:rtl w:val="true"/>
              </w:rPr>
              <w:t>:</w:t>
              <w:tab/>
            </w:r>
            <w:r>
              <w:rPr>
                <w:rStyle w:val="IndexLink"/>
              </w:rPr>
              <w:t>369</w:t>
            </w:r>
          </w:hyperlink>
        </w:p>
        <w:p>
          <w:pPr>
            <w:pStyle w:val="Contents6"/>
            <w:tabs>
              <w:tab w:val="clear" w:pos="7609"/>
              <w:tab w:val="right" w:pos="9026" w:leader="dot"/>
            </w:tabs>
            <w:rPr/>
          </w:pPr>
          <w:hyperlink w:anchor="__RefHeading___Toc6422632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6422634_1280447820">
            <w:r>
              <w:rPr>
                <w:webHidden/>
                <w:rStyle w:val="IndexLink"/>
                <w:rtl w:val="true"/>
              </w:rPr>
              <w:t>و الجواب، أما نقضا</w:t>
            </w:r>
            <w:r>
              <w:rPr>
                <w:rStyle w:val="IndexLink"/>
                <w:rtl w:val="true"/>
              </w:rPr>
              <w:tab/>
            </w:r>
            <w:r>
              <w:rPr>
                <w:rStyle w:val="IndexLink"/>
              </w:rPr>
              <w:t>369</w:t>
            </w:r>
          </w:hyperlink>
        </w:p>
        <w:p>
          <w:pPr>
            <w:pStyle w:val="Contents6"/>
            <w:tabs>
              <w:tab w:val="clear" w:pos="7609"/>
              <w:tab w:val="right" w:pos="9026" w:leader="dot"/>
            </w:tabs>
            <w:rPr/>
          </w:pPr>
          <w:hyperlink w:anchor="__RefHeading___Toc6422636_1280447820">
            <w:r>
              <w:rPr>
                <w:webHidden/>
                <w:rStyle w:val="IndexLink"/>
                <w:rtl w:val="true"/>
              </w:rPr>
              <w:t>و أمّا حلاّ</w:t>
            </w:r>
            <w:r>
              <w:rPr>
                <w:rStyle w:val="IndexLink"/>
                <w:rtl w:val="true"/>
              </w:rPr>
              <w:t>:</w:t>
              <w:tab/>
            </w:r>
            <w:r>
              <w:rPr>
                <w:rStyle w:val="IndexLink"/>
              </w:rPr>
              <w:t>370</w:t>
            </w:r>
          </w:hyperlink>
        </w:p>
        <w:p>
          <w:pPr>
            <w:pStyle w:val="Contents6"/>
            <w:tabs>
              <w:tab w:val="clear" w:pos="7609"/>
              <w:tab w:val="right" w:pos="9026" w:leader="dot"/>
            </w:tabs>
            <w:rPr/>
          </w:pPr>
          <w:hyperlink w:anchor="__RefHeading___Toc6422638_1280447820">
            <w:r>
              <w:rPr>
                <w:webHidden/>
                <w:rStyle w:val="IndexLink"/>
                <w:rtl w:val="true"/>
              </w:rPr>
              <w:t>الوجه الثاني</w:t>
            </w:r>
            <w:r>
              <w:rPr>
                <w:rStyle w:val="IndexLink"/>
                <w:rtl w:val="true"/>
              </w:rPr>
              <w:t>:</w:t>
              <w:tab/>
            </w:r>
            <w:r>
              <w:rPr>
                <w:rStyle w:val="IndexLink"/>
              </w:rPr>
              <w:t>370</w:t>
            </w:r>
          </w:hyperlink>
        </w:p>
        <w:p>
          <w:pPr>
            <w:pStyle w:val="Contents6"/>
            <w:tabs>
              <w:tab w:val="clear" w:pos="7609"/>
              <w:tab w:val="right" w:pos="9026" w:leader="dot"/>
            </w:tabs>
            <w:rPr/>
          </w:pPr>
          <w:hyperlink w:anchor="__RefHeading___Toc6422640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6422642_1280447820">
            <w:r>
              <w:rPr>
                <w:webHidden/>
                <w:rStyle w:val="IndexLink"/>
                <w:rtl w:val="true"/>
              </w:rPr>
              <w:t>و الجواب</w:t>
            </w:r>
            <w:r>
              <w:rPr>
                <w:rStyle w:val="IndexLink"/>
                <w:rtl w:val="true"/>
              </w:rPr>
              <w:t>:</w:t>
              <w:tab/>
            </w:r>
            <w:r>
              <w:rPr>
                <w:rStyle w:val="IndexLink"/>
              </w:rPr>
              <w:t>370</w:t>
            </w:r>
          </w:hyperlink>
        </w:p>
        <w:p>
          <w:pPr>
            <w:pStyle w:val="Contents6"/>
            <w:tabs>
              <w:tab w:val="clear" w:pos="7609"/>
              <w:tab w:val="right" w:pos="9026" w:leader="dot"/>
            </w:tabs>
            <w:rPr/>
          </w:pPr>
          <w:hyperlink w:anchor="__RefHeading___Toc6422644_1280447820">
            <w:r>
              <w:rPr>
                <w:webHidden/>
                <w:rStyle w:val="IndexLink"/>
                <w:rtl w:val="true"/>
              </w:rPr>
              <w:t>الوجه الثالث</w:t>
            </w:r>
            <w:r>
              <w:rPr>
                <w:rStyle w:val="IndexLink"/>
                <w:rtl w:val="true"/>
              </w:rPr>
              <w:t>:</w:t>
              <w:tab/>
            </w:r>
            <w:r>
              <w:rPr>
                <w:rStyle w:val="IndexLink"/>
              </w:rPr>
              <w:t>371</w:t>
            </w:r>
          </w:hyperlink>
        </w:p>
        <w:p>
          <w:pPr>
            <w:pStyle w:val="Contents6"/>
            <w:tabs>
              <w:tab w:val="clear" w:pos="7609"/>
              <w:tab w:val="right" w:pos="9026" w:leader="dot"/>
            </w:tabs>
            <w:rPr/>
          </w:pPr>
          <w:hyperlink w:anchor="__RefHeading___Toc6422646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422648_1280447820">
            <w:r>
              <w:rPr>
                <w:webHidden/>
                <w:rStyle w:val="IndexLink"/>
                <w:rtl w:val="true"/>
              </w:rPr>
              <w:t>و الجواب</w:t>
            </w:r>
            <w:r>
              <w:rPr>
                <w:rStyle w:val="IndexLink"/>
                <w:rtl w:val="true"/>
              </w:rPr>
              <w:tab/>
            </w:r>
            <w:r>
              <w:rPr>
                <w:rStyle w:val="IndexLink"/>
              </w:rPr>
              <w:t>372</w:t>
            </w:r>
          </w:hyperlink>
        </w:p>
        <w:p>
          <w:pPr>
            <w:pStyle w:val="Contents6"/>
            <w:tabs>
              <w:tab w:val="clear" w:pos="7609"/>
              <w:tab w:val="right" w:pos="9026" w:leader="dot"/>
            </w:tabs>
            <w:rPr/>
          </w:pPr>
          <w:hyperlink w:anchor="__RefHeading___Toc6422650_1280447820">
            <w:r>
              <w:rPr>
                <w:webHidden/>
                <w:rStyle w:val="IndexLink"/>
                <w:rtl w:val="true"/>
              </w:rPr>
              <w:t>الوجه الرابع</w:t>
            </w:r>
            <w:r>
              <w:rPr>
                <w:rStyle w:val="IndexLink"/>
                <w:rtl w:val="true"/>
              </w:rPr>
              <w:t>:</w:t>
              <w:tab/>
            </w:r>
            <w:r>
              <w:rPr>
                <w:rStyle w:val="IndexLink"/>
              </w:rPr>
              <w:t>372</w:t>
            </w:r>
          </w:hyperlink>
        </w:p>
        <w:p>
          <w:pPr>
            <w:pStyle w:val="Contents6"/>
            <w:tabs>
              <w:tab w:val="clear" w:pos="7609"/>
              <w:tab w:val="right" w:pos="9026" w:leader="dot"/>
            </w:tabs>
            <w:rPr/>
          </w:pPr>
          <w:hyperlink w:anchor="__RefHeading___Toc6422652_1280447820">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6422654_1280447820">
            <w:r>
              <w:rPr>
                <w:webHidden/>
                <w:rStyle w:val="IndexLink"/>
                <w:rtl w:val="true"/>
              </w:rPr>
              <w:t>و الجواب</w:t>
            </w:r>
            <w:r>
              <w:rPr>
                <w:rStyle w:val="IndexLink"/>
                <w:rtl w:val="true"/>
              </w:rPr>
              <w:t>:</w:t>
              <w:tab/>
            </w:r>
            <w:r>
              <w:rPr>
                <w:rStyle w:val="IndexLink"/>
              </w:rPr>
              <w:t>373</w:t>
            </w:r>
          </w:hyperlink>
        </w:p>
        <w:p>
          <w:pPr>
            <w:pStyle w:val="Contents6"/>
            <w:tabs>
              <w:tab w:val="clear" w:pos="7609"/>
              <w:tab w:val="right" w:pos="9026" w:leader="dot"/>
            </w:tabs>
            <w:rPr/>
          </w:pPr>
          <w:hyperlink w:anchor="__RefHeading___Toc6422656_1280447820">
            <w:r>
              <w:rPr>
                <w:webHidden/>
                <w:rStyle w:val="IndexLink"/>
                <w:rtl w:val="true"/>
              </w:rPr>
              <w:t>الوجه الخامس</w:t>
            </w:r>
            <w:r>
              <w:rPr>
                <w:rStyle w:val="IndexLink"/>
                <w:rtl w:val="true"/>
              </w:rPr>
              <w:t>:</w:t>
              <w:tab/>
            </w:r>
            <w:r>
              <w:rPr>
                <w:rStyle w:val="IndexLink"/>
              </w:rPr>
              <w:t>373</w:t>
            </w:r>
          </w:hyperlink>
        </w:p>
        <w:p>
          <w:pPr>
            <w:pStyle w:val="Contents6"/>
            <w:tabs>
              <w:tab w:val="clear" w:pos="7609"/>
              <w:tab w:val="right" w:pos="9026" w:leader="dot"/>
            </w:tabs>
            <w:rPr/>
          </w:pPr>
          <w:hyperlink w:anchor="__RefHeading___Toc6422658_1280447820">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6422660_1280447820">
            <w:r>
              <w:rPr>
                <w:webHidden/>
                <w:rStyle w:val="IndexLink"/>
                <w:rtl w:val="true"/>
              </w:rPr>
              <w:t>و الجواب</w:t>
            </w:r>
            <w:r>
              <w:rPr>
                <w:rStyle w:val="IndexLink"/>
                <w:rtl w:val="true"/>
              </w:rPr>
              <w:t>:</w:t>
              <w:tab/>
            </w:r>
            <w:r>
              <w:rPr>
                <w:rStyle w:val="IndexLink"/>
              </w:rPr>
              <w:t>373</w:t>
            </w:r>
          </w:hyperlink>
        </w:p>
        <w:p>
          <w:pPr>
            <w:pStyle w:val="Contents4"/>
            <w:tabs>
              <w:tab w:val="clear" w:pos="8176"/>
              <w:tab w:val="right" w:pos="9026" w:leader="dot"/>
            </w:tabs>
            <w:rPr/>
          </w:pPr>
          <w:hyperlink w:anchor="__RefHeading___Toc6422662_1280447820">
            <w:r>
              <w:rPr>
                <w:webHidden/>
                <w:rStyle w:val="IndexLink"/>
                <w:rtl w:val="true"/>
              </w:rPr>
              <w:t>(</w:t>
            </w:r>
            <w:r>
              <w:rPr>
                <w:rStyle w:val="IndexLink"/>
              </w:rPr>
              <w:t>16</w:t>
            </w:r>
            <w:r>
              <w:rPr>
                <w:rStyle w:val="IndexLink"/>
                <w:rtl w:val="true"/>
              </w:rPr>
              <w:t xml:space="preserve">) </w:t>
            </w:r>
            <w:r>
              <w:rPr>
                <w:rStyle w:val="IndexLink"/>
                <w:rtl w:val="true"/>
              </w:rPr>
              <w:t>الإحباط و التكفير</w:t>
            </w:r>
            <w:r>
              <w:rPr>
                <w:rStyle w:val="IndexLink"/>
                <w:rtl w:val="true"/>
              </w:rPr>
              <w:tab/>
            </w:r>
            <w:r>
              <w:rPr>
                <w:rStyle w:val="IndexLink"/>
              </w:rPr>
              <w:t>375</w:t>
            </w:r>
          </w:hyperlink>
        </w:p>
        <w:p>
          <w:pPr>
            <w:pStyle w:val="Contents5"/>
            <w:tabs>
              <w:tab w:val="clear" w:pos="7892"/>
              <w:tab w:val="right" w:pos="9026" w:leader="dot"/>
            </w:tabs>
            <w:rPr/>
          </w:pPr>
          <w:hyperlink w:anchor="__RefHeading___Toc6422664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6422666_1280447820">
            <w:r>
              <w:rPr>
                <w:webHidden/>
                <w:rStyle w:val="IndexLink"/>
                <w:rtl w:val="true"/>
              </w:rPr>
              <w:t>أولا</w:t>
            </w:r>
            <w:r>
              <w:rPr>
                <w:rStyle w:val="IndexLink"/>
                <w:rtl w:val="true"/>
              </w:rPr>
              <w:t xml:space="preserve">: </w:t>
            </w:r>
            <w:r>
              <w:rPr>
                <w:rStyle w:val="IndexLink"/>
                <w:rtl w:val="true"/>
              </w:rPr>
              <w:t>الإحباط</w:t>
            </w:r>
            <w:r>
              <w:rPr>
                <w:rStyle w:val="IndexLink"/>
                <w:rtl w:val="true"/>
              </w:rPr>
              <w:tab/>
            </w:r>
            <w:r>
              <w:rPr>
                <w:rStyle w:val="IndexLink"/>
              </w:rPr>
              <w:t>376</w:t>
            </w:r>
          </w:hyperlink>
        </w:p>
        <w:p>
          <w:pPr>
            <w:pStyle w:val="Contents6"/>
            <w:tabs>
              <w:tab w:val="clear" w:pos="7609"/>
              <w:tab w:val="right" w:pos="9026" w:leader="dot"/>
            </w:tabs>
            <w:rPr/>
          </w:pPr>
          <w:hyperlink w:anchor="__RefHeading___Toc6422668_1280447820">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6422670_1280447820">
            <w:r>
              <w:rPr>
                <w:webHidden/>
                <w:rStyle w:val="IndexLink"/>
                <w:rtl w:val="true"/>
              </w:rPr>
              <w:t>أدلة نفاة الإحباط</w:t>
            </w:r>
            <w:r>
              <w:rPr>
                <w:rStyle w:val="IndexLink"/>
                <w:rtl w:val="true"/>
              </w:rPr>
              <w:tab/>
            </w:r>
            <w:r>
              <w:rPr>
                <w:rStyle w:val="IndexLink"/>
              </w:rPr>
              <w:t>377</w:t>
            </w:r>
          </w:hyperlink>
        </w:p>
        <w:p>
          <w:pPr>
            <w:pStyle w:val="Contents6"/>
            <w:tabs>
              <w:tab w:val="clear" w:pos="7609"/>
              <w:tab w:val="right" w:pos="9026" w:leader="dot"/>
            </w:tabs>
            <w:rPr/>
          </w:pPr>
          <w:hyperlink w:anchor="__RefHeading___Toc6422672_1280447820">
            <w:r>
              <w:rPr>
                <w:webHidden/>
                <w:rStyle w:val="IndexLink"/>
                <w:rtl w:val="true"/>
              </w:rPr>
              <w:t>سؤال و جوابه</w:t>
            </w:r>
            <w:r>
              <w:rPr>
                <w:rStyle w:val="IndexLink"/>
                <w:rtl w:val="true"/>
              </w:rPr>
              <w:tab/>
            </w:r>
            <w:r>
              <w:rPr>
                <w:rStyle w:val="IndexLink"/>
              </w:rPr>
              <w:t>379</w:t>
            </w:r>
          </w:hyperlink>
        </w:p>
        <w:p>
          <w:pPr>
            <w:pStyle w:val="Contents6"/>
            <w:tabs>
              <w:tab w:val="clear" w:pos="7609"/>
              <w:tab w:val="right" w:pos="9026" w:leader="dot"/>
            </w:tabs>
            <w:rPr/>
          </w:pPr>
          <w:hyperlink w:anchor="__RefHeading___Toc6422674_1280447820">
            <w:r>
              <w:rPr>
                <w:webHidden/>
                <w:rStyle w:val="IndexLink"/>
                <w:rtl w:val="true"/>
              </w:rPr>
              <w:t>أدلة مثبتي الإحباط</w:t>
            </w:r>
            <w:r>
              <w:rPr>
                <w:rStyle w:val="IndexLink"/>
                <w:rtl w:val="true"/>
              </w:rPr>
              <w:tab/>
            </w:r>
            <w:r>
              <w:rPr>
                <w:rStyle w:val="IndexLink"/>
              </w:rPr>
              <w:t>382</w:t>
            </w:r>
          </w:hyperlink>
        </w:p>
        <w:p>
          <w:pPr>
            <w:pStyle w:val="Contents6"/>
            <w:tabs>
              <w:tab w:val="clear" w:pos="7609"/>
              <w:tab w:val="right" w:pos="9026" w:leader="dot"/>
            </w:tabs>
            <w:rPr/>
          </w:pPr>
          <w:hyperlink w:anchor="__RefHeading___Toc6422676_1280447820">
            <w:r>
              <w:rPr>
                <w:webHidden/>
                <w:rStyle w:val="IndexLink"/>
                <w:rtl w:val="true"/>
              </w:rPr>
              <w:t>تحليل لمسألة الإحباط</w:t>
            </w:r>
            <w:r>
              <w:rPr>
                <w:rStyle w:val="IndexLink"/>
                <w:rtl w:val="true"/>
              </w:rPr>
              <w:tab/>
            </w:r>
            <w:r>
              <w:rPr>
                <w:rStyle w:val="IndexLink"/>
              </w:rPr>
              <w:t>383</w:t>
            </w:r>
          </w:hyperlink>
        </w:p>
        <w:p>
          <w:pPr>
            <w:pStyle w:val="Contents6"/>
            <w:tabs>
              <w:tab w:val="clear" w:pos="7609"/>
              <w:tab w:val="right" w:pos="9026" w:leader="dot"/>
            </w:tabs>
            <w:rPr/>
          </w:pPr>
          <w:hyperlink w:anchor="__RefHeading___Toc6422678_1280447820">
            <w:r>
              <w:rPr>
                <w:webHidden/>
                <w:rStyle w:val="IndexLink"/>
                <w:rtl w:val="true"/>
              </w:rPr>
              <w:t>عوامل الإحباط و أسبابه</w:t>
            </w:r>
            <w:r>
              <w:rPr>
                <w:rStyle w:val="IndexLink"/>
                <w:rtl w:val="true"/>
              </w:rPr>
              <w:tab/>
            </w:r>
            <w:r>
              <w:rPr>
                <w:rStyle w:val="IndexLink"/>
              </w:rPr>
              <w:t>384</w:t>
            </w:r>
          </w:hyperlink>
        </w:p>
        <w:p>
          <w:pPr>
            <w:pStyle w:val="Contents6"/>
            <w:tabs>
              <w:tab w:val="clear" w:pos="7609"/>
              <w:tab w:val="right" w:pos="9026" w:leader="dot"/>
            </w:tabs>
            <w:rPr/>
          </w:pPr>
          <w:hyperlink w:anchor="__RefHeading___Toc6422680_1280447820">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422682_1280447820">
            <w:r>
              <w:rPr>
                <w:webHidden/>
                <w:rStyle w:val="IndexLink"/>
              </w:rPr>
              <w:t>1</w:t>
            </w:r>
            <w:r>
              <w:rPr>
                <w:rStyle w:val="IndexLink"/>
                <w:rtl w:val="true"/>
              </w:rPr>
              <w:t xml:space="preserve"> - </w:t>
            </w:r>
            <w:r>
              <w:rPr>
                <w:rStyle w:val="IndexLink"/>
                <w:rtl w:val="true"/>
              </w:rPr>
              <w:t>الارتداد بعد الإسلام</w:t>
            </w:r>
            <w:r>
              <w:rPr>
                <w:rStyle w:val="IndexLink"/>
                <w:rtl w:val="true"/>
              </w:rPr>
              <w:tab/>
            </w:r>
            <w:r>
              <w:rPr>
                <w:rStyle w:val="IndexLink"/>
              </w:rPr>
              <w:t>384</w:t>
            </w:r>
          </w:hyperlink>
        </w:p>
        <w:p>
          <w:pPr>
            <w:pStyle w:val="Contents6"/>
            <w:tabs>
              <w:tab w:val="clear" w:pos="7609"/>
              <w:tab w:val="right" w:pos="9026" w:leader="dot"/>
            </w:tabs>
            <w:rPr/>
          </w:pPr>
          <w:hyperlink w:anchor="__RefHeading___Toc6422684_1280447820">
            <w:r>
              <w:rPr>
                <w:webHidden/>
                <w:rStyle w:val="IndexLink"/>
              </w:rPr>
              <w:t>2</w:t>
            </w:r>
            <w:r>
              <w:rPr>
                <w:rStyle w:val="IndexLink"/>
                <w:rtl w:val="true"/>
              </w:rPr>
              <w:t xml:space="preserve"> - </w:t>
            </w:r>
            <w:r>
              <w:rPr>
                <w:rStyle w:val="IndexLink"/>
                <w:rtl w:val="true"/>
              </w:rPr>
              <w:t>الشرك المقارن بالعمل</w:t>
            </w:r>
            <w:r>
              <w:rPr>
                <w:rStyle w:val="IndexLink"/>
                <w:rtl w:val="true"/>
              </w:rPr>
              <w:tab/>
            </w:r>
            <w:r>
              <w:rPr>
                <w:rStyle w:val="IndexLink"/>
              </w:rPr>
              <w:t>385</w:t>
            </w:r>
          </w:hyperlink>
        </w:p>
        <w:p>
          <w:pPr>
            <w:pStyle w:val="Contents6"/>
            <w:tabs>
              <w:tab w:val="clear" w:pos="7609"/>
              <w:tab w:val="right" w:pos="9026" w:leader="dot"/>
            </w:tabs>
            <w:rPr/>
          </w:pPr>
          <w:hyperlink w:anchor="__RefHeading___Toc6422686_1280447820">
            <w:r>
              <w:rPr>
                <w:webHidden/>
                <w:rStyle w:val="IndexLink"/>
              </w:rPr>
              <w:t>3</w:t>
            </w:r>
            <w:r>
              <w:rPr>
                <w:rStyle w:val="IndexLink"/>
                <w:rtl w:val="true"/>
              </w:rPr>
              <w:t xml:space="preserve"> - </w:t>
            </w:r>
            <w:r>
              <w:rPr>
                <w:rStyle w:val="IndexLink"/>
                <w:rtl w:val="true"/>
              </w:rPr>
              <w:t>كراهة ما أنزل اللّه</w:t>
            </w:r>
            <w:r>
              <w:rPr>
                <w:rStyle w:val="IndexLink"/>
                <w:rtl w:val="true"/>
              </w:rPr>
              <w:tab/>
            </w:r>
            <w:r>
              <w:rPr>
                <w:rStyle w:val="IndexLink"/>
              </w:rPr>
              <w:t>385</w:t>
            </w:r>
          </w:hyperlink>
        </w:p>
        <w:p>
          <w:pPr>
            <w:pStyle w:val="Contents6"/>
            <w:tabs>
              <w:tab w:val="clear" w:pos="7609"/>
              <w:tab w:val="right" w:pos="9026" w:leader="dot"/>
            </w:tabs>
            <w:rPr/>
          </w:pPr>
          <w:hyperlink w:anchor="__RefHeading___Toc6422688_1280447820">
            <w:r>
              <w:rPr>
                <w:webHidden/>
                <w:rStyle w:val="IndexLink"/>
              </w:rPr>
              <w:t>4</w:t>
            </w:r>
            <w:r>
              <w:rPr>
                <w:rStyle w:val="IndexLink"/>
                <w:rtl w:val="true"/>
              </w:rPr>
              <w:t xml:space="preserve"> - </w:t>
            </w:r>
            <w:r>
              <w:rPr>
                <w:rStyle w:val="IndexLink"/>
                <w:rtl w:val="true"/>
              </w:rPr>
              <w:t>الكفر</w:t>
            </w:r>
            <w:r>
              <w:rPr>
                <w:rStyle w:val="IndexLink"/>
                <w:rtl w:val="true"/>
              </w:rPr>
              <w:tab/>
            </w:r>
            <w:r>
              <w:rPr>
                <w:rStyle w:val="IndexLink"/>
              </w:rPr>
              <w:t>385</w:t>
            </w:r>
          </w:hyperlink>
        </w:p>
        <w:p>
          <w:pPr>
            <w:pStyle w:val="Contents6"/>
            <w:tabs>
              <w:tab w:val="clear" w:pos="7609"/>
              <w:tab w:val="right" w:pos="9026" w:leader="dot"/>
            </w:tabs>
            <w:rPr/>
          </w:pPr>
          <w:hyperlink w:anchor="__RefHeading___Toc6422690_1280447820">
            <w:r>
              <w:rPr>
                <w:webHidden/>
                <w:rStyle w:val="IndexLink"/>
              </w:rPr>
              <w:t>5</w:t>
            </w:r>
            <w:r>
              <w:rPr>
                <w:rStyle w:val="IndexLink"/>
                <w:rtl w:val="true"/>
              </w:rPr>
              <w:t xml:space="preserve"> - </w:t>
            </w:r>
            <w:r>
              <w:rPr>
                <w:rStyle w:val="IndexLink"/>
                <w:rtl w:val="true"/>
              </w:rPr>
              <w:t>الصّدّ عن سبيل اللّه</w:t>
            </w:r>
            <w:r>
              <w:rPr>
                <w:rStyle w:val="IndexLink"/>
                <w:rtl w:val="true"/>
              </w:rPr>
              <w:tab/>
            </w:r>
            <w:r>
              <w:rPr>
                <w:rStyle w:val="IndexLink"/>
              </w:rPr>
              <w:t>385</w:t>
            </w:r>
          </w:hyperlink>
        </w:p>
        <w:p>
          <w:pPr>
            <w:pStyle w:val="Contents6"/>
            <w:tabs>
              <w:tab w:val="clear" w:pos="7609"/>
              <w:tab w:val="right" w:pos="9026" w:leader="dot"/>
            </w:tabs>
            <w:rPr/>
          </w:pPr>
          <w:hyperlink w:anchor="__RefHeading___Toc6422692_1280447820">
            <w:r>
              <w:rPr>
                <w:webHidden/>
                <w:rStyle w:val="IndexLink"/>
              </w:rPr>
              <w:t>6</w:t>
            </w:r>
            <w:r>
              <w:rPr>
                <w:rStyle w:val="IndexLink"/>
                <w:rtl w:val="true"/>
              </w:rPr>
              <w:t xml:space="preserve"> - </w:t>
            </w:r>
            <w:r>
              <w:rPr>
                <w:rStyle w:val="IndexLink"/>
                <w:rtl w:val="true"/>
              </w:rPr>
              <w:t>مجادلة الرسول و مشاقّته</w:t>
            </w:r>
            <w:r>
              <w:rPr>
                <w:rStyle w:val="IndexLink"/>
                <w:rtl w:val="true"/>
              </w:rPr>
              <w:tab/>
            </w:r>
            <w:r>
              <w:rPr>
                <w:rStyle w:val="IndexLink"/>
              </w:rPr>
              <w:t>385</w:t>
            </w:r>
          </w:hyperlink>
        </w:p>
        <w:p>
          <w:pPr>
            <w:pStyle w:val="Contents6"/>
            <w:tabs>
              <w:tab w:val="clear" w:pos="7609"/>
              <w:tab w:val="right" w:pos="9026" w:leader="dot"/>
            </w:tabs>
            <w:rPr/>
          </w:pPr>
          <w:hyperlink w:anchor="__RefHeading___Toc6422694_1280447820">
            <w:r>
              <w:rPr>
                <w:webHidden/>
                <w:rStyle w:val="IndexLink"/>
              </w:rPr>
              <w:t>7</w:t>
            </w:r>
            <w:r>
              <w:rPr>
                <w:rStyle w:val="IndexLink"/>
                <w:rtl w:val="true"/>
              </w:rPr>
              <w:t xml:space="preserve"> - </w:t>
            </w:r>
            <w:r>
              <w:rPr>
                <w:rStyle w:val="IndexLink"/>
                <w:rtl w:val="true"/>
              </w:rPr>
              <w:t>قتل الأنبياء</w:t>
            </w:r>
            <w:r>
              <w:rPr>
                <w:rStyle w:val="IndexLink"/>
                <w:rtl w:val="true"/>
              </w:rPr>
              <w:tab/>
            </w:r>
            <w:r>
              <w:rPr>
                <w:rStyle w:val="IndexLink"/>
              </w:rPr>
              <w:t>386</w:t>
            </w:r>
          </w:hyperlink>
        </w:p>
        <w:p>
          <w:pPr>
            <w:pStyle w:val="Contents6"/>
            <w:tabs>
              <w:tab w:val="clear" w:pos="7609"/>
              <w:tab w:val="right" w:pos="9026" w:leader="dot"/>
            </w:tabs>
            <w:rPr/>
          </w:pPr>
          <w:hyperlink w:anchor="__RefHeading___Toc6422696_1280447820">
            <w:r>
              <w:rPr>
                <w:webHidden/>
                <w:rStyle w:val="IndexLink"/>
              </w:rPr>
              <w:t>8</w:t>
            </w:r>
            <w:r>
              <w:rPr>
                <w:rStyle w:val="IndexLink"/>
                <w:rtl w:val="true"/>
              </w:rPr>
              <w:t xml:space="preserve"> - </w:t>
            </w:r>
            <w:r>
              <w:rPr>
                <w:rStyle w:val="IndexLink"/>
                <w:rtl w:val="true"/>
              </w:rPr>
              <w:t>قتل الآمرين بالقسط من الناس</w:t>
            </w:r>
            <w:r>
              <w:rPr>
                <w:rStyle w:val="IndexLink"/>
                <w:rtl w:val="true"/>
              </w:rPr>
              <w:tab/>
            </w:r>
            <w:r>
              <w:rPr>
                <w:rStyle w:val="IndexLink"/>
              </w:rPr>
              <w:t>386</w:t>
            </w:r>
          </w:hyperlink>
        </w:p>
        <w:p>
          <w:pPr>
            <w:pStyle w:val="Contents6"/>
            <w:tabs>
              <w:tab w:val="clear" w:pos="7609"/>
              <w:tab w:val="right" w:pos="9026" w:leader="dot"/>
            </w:tabs>
            <w:rPr/>
          </w:pPr>
          <w:hyperlink w:anchor="__RefHeading___Toc6422698_1280447820">
            <w:r>
              <w:rPr>
                <w:webHidden/>
                <w:rStyle w:val="IndexLink"/>
              </w:rPr>
              <w:t>9</w:t>
            </w:r>
            <w:r>
              <w:rPr>
                <w:rStyle w:val="IndexLink"/>
                <w:rtl w:val="true"/>
              </w:rPr>
              <w:t xml:space="preserve"> - </w:t>
            </w:r>
            <w:r>
              <w:rPr>
                <w:rStyle w:val="IndexLink"/>
                <w:rtl w:val="true"/>
              </w:rPr>
              <w:t>إساءة الأدب مع النبي</w:t>
            </w:r>
            <w:r>
              <w:rPr>
                <w:rStyle w:val="IndexLink"/>
                <w:rtl w:val="true"/>
              </w:rPr>
              <w:tab/>
            </w:r>
            <w:r>
              <w:rPr>
                <w:rStyle w:val="IndexLink"/>
              </w:rPr>
              <w:t>386</w:t>
            </w:r>
          </w:hyperlink>
        </w:p>
        <w:p>
          <w:pPr>
            <w:pStyle w:val="Contents6"/>
            <w:tabs>
              <w:tab w:val="clear" w:pos="7609"/>
              <w:tab w:val="right" w:pos="9026" w:leader="dot"/>
            </w:tabs>
            <w:rPr/>
          </w:pPr>
          <w:hyperlink w:anchor="__RefHeading___Toc6422700_1280447820">
            <w:r>
              <w:rPr>
                <w:webHidden/>
                <w:rStyle w:val="IndexLink"/>
              </w:rPr>
              <w:t>10</w:t>
            </w:r>
            <w:r>
              <w:rPr>
                <w:rStyle w:val="IndexLink"/>
                <w:rtl w:val="true"/>
              </w:rPr>
              <w:t xml:space="preserve"> - </w:t>
            </w:r>
            <w:r>
              <w:rPr>
                <w:rStyle w:val="IndexLink"/>
                <w:rtl w:val="true"/>
              </w:rPr>
              <w:t>الإقبال على الدنيا و الإعراض عن الآخرة</w:t>
            </w:r>
            <w:r>
              <w:rPr>
                <w:rStyle w:val="IndexLink"/>
                <w:rtl w:val="true"/>
              </w:rPr>
              <w:tab/>
            </w:r>
            <w:r>
              <w:rPr>
                <w:rStyle w:val="IndexLink"/>
              </w:rPr>
              <w:t>387</w:t>
            </w:r>
          </w:hyperlink>
        </w:p>
        <w:p>
          <w:pPr>
            <w:pStyle w:val="Contents6"/>
            <w:tabs>
              <w:tab w:val="clear" w:pos="7609"/>
              <w:tab w:val="right" w:pos="9026" w:leader="dot"/>
            </w:tabs>
            <w:rPr/>
          </w:pPr>
          <w:hyperlink w:anchor="__RefHeading___Toc6422702_1280447820">
            <w:r>
              <w:rPr>
                <w:webHidden/>
                <w:rStyle w:val="IndexLink"/>
              </w:rPr>
              <w:t>11</w:t>
            </w:r>
            <w:r>
              <w:rPr>
                <w:rStyle w:val="IndexLink"/>
                <w:rtl w:val="true"/>
              </w:rPr>
              <w:t xml:space="preserve"> - </w:t>
            </w:r>
            <w:r>
              <w:rPr>
                <w:rStyle w:val="IndexLink"/>
                <w:rtl w:val="true"/>
              </w:rPr>
              <w:t>إنكار الآخرة</w:t>
            </w:r>
            <w:r>
              <w:rPr>
                <w:rStyle w:val="IndexLink"/>
                <w:rtl w:val="true"/>
              </w:rPr>
              <w:tab/>
            </w:r>
            <w:r>
              <w:rPr>
                <w:rStyle w:val="IndexLink"/>
              </w:rPr>
              <w:t>387</w:t>
            </w:r>
          </w:hyperlink>
        </w:p>
        <w:p>
          <w:pPr>
            <w:pStyle w:val="Contents6"/>
            <w:tabs>
              <w:tab w:val="clear" w:pos="7609"/>
              <w:tab w:val="right" w:pos="9026" w:leader="dot"/>
            </w:tabs>
            <w:rPr/>
          </w:pPr>
          <w:hyperlink w:anchor="__RefHeading___Toc6422704_1280447820">
            <w:r>
              <w:rPr>
                <w:webHidden/>
                <w:rStyle w:val="IndexLink"/>
              </w:rPr>
              <w:t>12</w:t>
            </w:r>
            <w:r>
              <w:rPr>
                <w:rStyle w:val="IndexLink"/>
                <w:rtl w:val="true"/>
              </w:rPr>
              <w:t xml:space="preserve"> - </w:t>
            </w:r>
            <w:r>
              <w:rPr>
                <w:rStyle w:val="IndexLink"/>
                <w:rtl w:val="true"/>
              </w:rPr>
              <w:t>النفاق</w:t>
            </w:r>
            <w:r>
              <w:rPr>
                <w:rStyle w:val="IndexLink"/>
                <w:rtl w:val="true"/>
              </w:rPr>
              <w:tab/>
            </w:r>
            <w:r>
              <w:rPr>
                <w:rStyle w:val="IndexLink"/>
              </w:rPr>
              <w:t>387</w:t>
            </w:r>
          </w:hyperlink>
        </w:p>
        <w:p>
          <w:pPr>
            <w:pStyle w:val="Contents5"/>
            <w:tabs>
              <w:tab w:val="clear" w:pos="7892"/>
              <w:tab w:val="right" w:pos="9026" w:leader="dot"/>
            </w:tabs>
            <w:rPr/>
          </w:pPr>
          <w:hyperlink w:anchor="__RefHeading___Toc6422706_1280447820">
            <w:r>
              <w:rPr>
                <w:webHidden/>
                <w:rStyle w:val="IndexLink"/>
                <w:rtl w:val="true"/>
              </w:rPr>
              <w:t>ثانيا</w:t>
            </w:r>
            <w:r>
              <w:rPr>
                <w:rStyle w:val="IndexLink"/>
                <w:rtl w:val="true"/>
              </w:rPr>
              <w:t xml:space="preserve">: </w:t>
            </w:r>
            <w:r>
              <w:rPr>
                <w:rStyle w:val="IndexLink"/>
                <w:rtl w:val="true"/>
              </w:rPr>
              <w:t>التكفير</w:t>
            </w:r>
            <w:r>
              <w:rPr>
                <w:rStyle w:val="IndexLink"/>
                <w:rtl w:val="true"/>
              </w:rPr>
              <w:tab/>
            </w:r>
            <w:r>
              <w:rPr>
                <w:rStyle w:val="IndexLink"/>
              </w:rPr>
              <w:t>388</w:t>
            </w:r>
          </w:hyperlink>
        </w:p>
        <w:p>
          <w:pPr>
            <w:pStyle w:val="Contents4"/>
            <w:tabs>
              <w:tab w:val="clear" w:pos="8176"/>
              <w:tab w:val="right" w:pos="9026" w:leader="dot"/>
            </w:tabs>
            <w:rPr/>
          </w:pPr>
          <w:hyperlink w:anchor="__RefHeading___Toc6422708_1280447820">
            <w:r>
              <w:rPr>
                <w:webHidden/>
                <w:rStyle w:val="IndexLink"/>
                <w:rtl w:val="true"/>
              </w:rPr>
              <w:t>(</w:t>
            </w:r>
            <w:r>
              <w:rPr>
                <w:rStyle w:val="IndexLink"/>
              </w:rPr>
              <w:t>17</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390</w:t>
            </w:r>
          </w:hyperlink>
        </w:p>
        <w:p>
          <w:pPr>
            <w:pStyle w:val="Contents5"/>
            <w:tabs>
              <w:tab w:val="clear" w:pos="7892"/>
              <w:tab w:val="right" w:pos="9026" w:leader="dot"/>
            </w:tabs>
            <w:rPr/>
          </w:pPr>
          <w:hyperlink w:anchor="__RefHeading___Toc6422710_1280447820">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6422712_1280447820">
            <w:r>
              <w:rPr>
                <w:webHidden/>
                <w:rStyle w:val="IndexLink"/>
              </w:rPr>
              <w:t>1</w:t>
            </w:r>
            <w:r>
              <w:rPr>
                <w:rStyle w:val="IndexLink"/>
                <w:rtl w:val="true"/>
              </w:rPr>
              <w:t xml:space="preserve"> - </w:t>
            </w:r>
            <w:r>
              <w:rPr>
                <w:rStyle w:val="IndexLink"/>
                <w:rtl w:val="true"/>
              </w:rPr>
              <w:t>وجوبهما عقلي أو شرعي</w:t>
            </w:r>
            <w:r>
              <w:rPr>
                <w:rStyle w:val="IndexLink"/>
                <w:rtl w:val="true"/>
              </w:rPr>
              <w:tab/>
            </w:r>
            <w:r>
              <w:rPr>
                <w:rStyle w:val="IndexLink"/>
              </w:rPr>
              <w:t>391</w:t>
            </w:r>
          </w:hyperlink>
        </w:p>
        <w:p>
          <w:pPr>
            <w:pStyle w:val="Contents5"/>
            <w:tabs>
              <w:tab w:val="clear" w:pos="7892"/>
              <w:tab w:val="right" w:pos="9026" w:leader="dot"/>
            </w:tabs>
            <w:rPr/>
          </w:pPr>
          <w:hyperlink w:anchor="__RefHeading___Toc6422714_1280447820">
            <w:r>
              <w:rPr>
                <w:webHidden/>
                <w:rStyle w:val="IndexLink"/>
              </w:rPr>
              <w:t>2</w:t>
            </w:r>
            <w:r>
              <w:rPr>
                <w:rStyle w:val="IndexLink"/>
                <w:rtl w:val="true"/>
              </w:rPr>
              <w:t xml:space="preserve"> - </w:t>
            </w:r>
            <w:r>
              <w:rPr>
                <w:rStyle w:val="IndexLink"/>
                <w:rtl w:val="true"/>
              </w:rPr>
              <w:t>شرائط وجوبهما</w:t>
            </w:r>
            <w:r>
              <w:rPr>
                <w:rStyle w:val="IndexLink"/>
                <w:rtl w:val="true"/>
              </w:rPr>
              <w:tab/>
            </w:r>
            <w:r>
              <w:rPr>
                <w:rStyle w:val="IndexLink"/>
              </w:rPr>
              <w:t>392</w:t>
            </w:r>
          </w:hyperlink>
        </w:p>
        <w:p>
          <w:pPr>
            <w:pStyle w:val="Contents5"/>
            <w:tabs>
              <w:tab w:val="clear" w:pos="7892"/>
              <w:tab w:val="right" w:pos="9026" w:leader="dot"/>
            </w:tabs>
            <w:rPr/>
          </w:pPr>
          <w:hyperlink w:anchor="__RefHeading___Toc6422716_1280447820">
            <w:r>
              <w:rPr>
                <w:webHidden/>
                <w:rStyle w:val="IndexLink"/>
              </w:rPr>
              <w:t>3</w:t>
            </w:r>
            <w:r>
              <w:rPr>
                <w:rStyle w:val="IndexLink"/>
                <w:rtl w:val="true"/>
              </w:rPr>
              <w:t xml:space="preserve"> - </w:t>
            </w:r>
            <w:r>
              <w:rPr>
                <w:rStyle w:val="IndexLink"/>
                <w:rtl w:val="true"/>
              </w:rPr>
              <w:t>وجوبهما عيني أو كفائي؟</w:t>
            </w:r>
            <w:r>
              <w:rPr>
                <w:rStyle w:val="IndexLink"/>
                <w:rtl w:val="true"/>
              </w:rPr>
              <w:tab/>
            </w:r>
            <w:r>
              <w:rPr>
                <w:rStyle w:val="IndexLink"/>
              </w:rPr>
              <w:t>393</w:t>
            </w:r>
          </w:hyperlink>
        </w:p>
        <w:p>
          <w:pPr>
            <w:pStyle w:val="Contents5"/>
            <w:tabs>
              <w:tab w:val="clear" w:pos="7892"/>
              <w:tab w:val="right" w:pos="9026" w:leader="dot"/>
            </w:tabs>
            <w:rPr/>
          </w:pPr>
          <w:hyperlink w:anchor="__RefHeading___Toc6422718_1280447820">
            <w:r>
              <w:rPr>
                <w:webHidden/>
                <w:rStyle w:val="IndexLink"/>
              </w:rPr>
              <w:t>4</w:t>
            </w:r>
            <w:r>
              <w:rPr>
                <w:rStyle w:val="IndexLink"/>
                <w:rtl w:val="true"/>
              </w:rPr>
              <w:t xml:space="preserve"> - </w:t>
            </w:r>
            <w:r>
              <w:rPr>
                <w:rStyle w:val="IndexLink"/>
                <w:rtl w:val="true"/>
              </w:rPr>
              <w:t>مراتبهما</w:t>
            </w:r>
            <w:r>
              <w:rPr>
                <w:rStyle w:val="IndexLink"/>
                <w:rtl w:val="true"/>
              </w:rPr>
              <w:tab/>
            </w:r>
            <w:r>
              <w:rPr>
                <w:rStyle w:val="IndexLink"/>
              </w:rPr>
              <w:t>393</w:t>
            </w:r>
          </w:hyperlink>
        </w:p>
        <w:p>
          <w:pPr>
            <w:pStyle w:val="Contents5"/>
            <w:tabs>
              <w:tab w:val="clear" w:pos="7892"/>
              <w:tab w:val="right" w:pos="9026" w:leader="dot"/>
            </w:tabs>
            <w:rPr/>
          </w:pPr>
          <w:hyperlink w:anchor="__RefHeading___Toc6422720_1280447820">
            <w:r>
              <w:rPr>
                <w:webHidden/>
                <w:rStyle w:val="IndexLink"/>
                <w:rtl w:val="true"/>
              </w:rPr>
              <w:t>أسئلة المعاد</w:t>
            </w:r>
            <w:r>
              <w:rPr>
                <w:rStyle w:val="IndexLink"/>
                <w:rtl w:val="true"/>
              </w:rPr>
              <w:tab/>
            </w:r>
            <w:r>
              <w:rPr>
                <w:rStyle w:val="IndexLink"/>
              </w:rPr>
              <w:t>397</w:t>
            </w:r>
          </w:hyperlink>
        </w:p>
        <w:p>
          <w:pPr>
            <w:pStyle w:val="Contents6"/>
            <w:tabs>
              <w:tab w:val="clear" w:pos="7609"/>
              <w:tab w:val="right" w:pos="9026" w:leader="dot"/>
            </w:tabs>
            <w:rPr/>
          </w:pPr>
          <w:hyperlink w:anchor="__RefHeading___Toc6422722_1280447820">
            <w:r>
              <w:rPr>
                <w:webHidden/>
                <w:rStyle w:val="IndexLink"/>
                <w:rtl w:val="true"/>
              </w:rPr>
              <w:t>(</w:t>
            </w:r>
            <w:r>
              <w:rPr>
                <w:rStyle w:val="IndexLink"/>
              </w:rPr>
              <w:t>1</w:t>
            </w:r>
            <w:r>
              <w:rPr>
                <w:rStyle w:val="IndexLink"/>
                <w:rtl w:val="true"/>
              </w:rPr>
              <w:t xml:space="preserve">) </w:t>
            </w:r>
            <w:r>
              <w:rPr>
                <w:rStyle w:val="IndexLink"/>
                <w:rtl w:val="true"/>
              </w:rPr>
              <w:t>نشور الإنسان دفعي أو تدريجي؟</w:t>
            </w:r>
            <w:r>
              <w:rPr>
                <w:rStyle w:val="IndexLink"/>
                <w:rtl w:val="true"/>
              </w:rPr>
              <w:tab/>
            </w:r>
            <w:r>
              <w:rPr>
                <w:rStyle w:val="IndexLink"/>
              </w:rPr>
              <w:t>397</w:t>
            </w:r>
          </w:hyperlink>
        </w:p>
        <w:p>
          <w:pPr>
            <w:pStyle w:val="Contents6"/>
            <w:tabs>
              <w:tab w:val="clear" w:pos="7609"/>
              <w:tab w:val="right" w:pos="9026" w:leader="dot"/>
            </w:tabs>
            <w:rPr/>
          </w:pPr>
          <w:hyperlink w:anchor="__RefHeading___Toc6422724_1280447820">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6422726_1280447820">
            <w:r>
              <w:rPr>
                <w:webHidden/>
                <w:rStyle w:val="IndexLink"/>
                <w:rtl w:val="true"/>
              </w:rPr>
              <w:t>الجواب</w:t>
            </w:r>
            <w:r>
              <w:rPr>
                <w:rStyle w:val="IndexLink"/>
                <w:rtl w:val="true"/>
              </w:rPr>
              <w:tab/>
            </w:r>
            <w:r>
              <w:rPr>
                <w:rStyle w:val="IndexLink"/>
              </w:rPr>
              <w:t>397</w:t>
            </w:r>
          </w:hyperlink>
        </w:p>
        <w:p>
          <w:pPr>
            <w:pStyle w:val="Contents6"/>
            <w:tabs>
              <w:tab w:val="clear" w:pos="7609"/>
              <w:tab w:val="right" w:pos="9026" w:leader="dot"/>
            </w:tabs>
            <w:rPr/>
          </w:pPr>
          <w:hyperlink w:anchor="__RefHeading___Toc6422728_1280447820">
            <w:r>
              <w:rPr>
                <w:webHidden/>
                <w:rStyle w:val="IndexLink"/>
                <w:rtl w:val="true"/>
              </w:rPr>
              <w:t>(</w:t>
            </w:r>
            <w:r>
              <w:rPr>
                <w:rStyle w:val="IndexLink"/>
              </w:rPr>
              <w:t>2</w:t>
            </w:r>
            <w:r>
              <w:rPr>
                <w:rStyle w:val="IndexLink"/>
                <w:rtl w:val="true"/>
              </w:rPr>
              <w:t xml:space="preserve">) </w:t>
            </w:r>
            <w:r>
              <w:rPr>
                <w:rStyle w:val="IndexLink"/>
                <w:rtl w:val="true"/>
              </w:rPr>
              <w:t>ما هو المحشور من الأبدان المتعددة؟</w:t>
            </w:r>
            <w:r>
              <w:rPr>
                <w:rStyle w:val="IndexLink"/>
                <w:rtl w:val="true"/>
              </w:rPr>
              <w:tab/>
            </w:r>
            <w:r>
              <w:rPr>
                <w:rStyle w:val="IndexLink"/>
              </w:rPr>
              <w:t>399</w:t>
            </w:r>
          </w:hyperlink>
        </w:p>
        <w:p>
          <w:pPr>
            <w:pStyle w:val="Contents6"/>
            <w:tabs>
              <w:tab w:val="clear" w:pos="7609"/>
              <w:tab w:val="right" w:pos="9026" w:leader="dot"/>
            </w:tabs>
            <w:rPr/>
          </w:pPr>
          <w:hyperlink w:anchor="__RefHeading___Toc6422730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6422732_1280447820">
            <w:r>
              <w:rPr>
                <w:webHidden/>
                <w:rStyle w:val="IndexLink"/>
                <w:rtl w:val="true"/>
              </w:rPr>
              <w:t>و الجواب</w:t>
            </w:r>
            <w:r>
              <w:rPr>
                <w:rStyle w:val="IndexLink"/>
                <w:rtl w:val="true"/>
              </w:rPr>
              <w:t>:</w:t>
              <w:tab/>
            </w:r>
            <w:r>
              <w:rPr>
                <w:rStyle w:val="IndexLink"/>
              </w:rPr>
              <w:t>399</w:t>
            </w:r>
          </w:hyperlink>
        </w:p>
        <w:p>
          <w:pPr>
            <w:pStyle w:val="Contents6"/>
            <w:tabs>
              <w:tab w:val="clear" w:pos="7609"/>
              <w:tab w:val="right" w:pos="9026" w:leader="dot"/>
            </w:tabs>
            <w:rPr/>
          </w:pPr>
          <w:hyperlink w:anchor="__RefHeading___Toc6422734_1280447820">
            <w:r>
              <w:rPr>
                <w:webHidden/>
                <w:rStyle w:val="IndexLink"/>
                <w:rtl w:val="true"/>
              </w:rPr>
              <w:t>(</w:t>
            </w:r>
            <w:r>
              <w:rPr>
                <w:rStyle w:val="IndexLink"/>
              </w:rPr>
              <w:t>3</w:t>
            </w:r>
            <w:r>
              <w:rPr>
                <w:rStyle w:val="IndexLink"/>
                <w:rtl w:val="true"/>
              </w:rPr>
              <w:t xml:space="preserve">) </w:t>
            </w:r>
            <w:r>
              <w:rPr>
                <w:rStyle w:val="IndexLink"/>
                <w:rtl w:val="true"/>
              </w:rPr>
              <w:t>هل المعاد إعادة للمعدوم؟</w:t>
            </w:r>
            <w:r>
              <w:rPr>
                <w:rStyle w:val="IndexLink"/>
                <w:rtl w:val="true"/>
              </w:rPr>
              <w:tab/>
            </w:r>
            <w:r>
              <w:rPr>
                <w:rStyle w:val="IndexLink"/>
              </w:rPr>
              <w:t>401</w:t>
            </w:r>
          </w:hyperlink>
        </w:p>
        <w:p>
          <w:pPr>
            <w:pStyle w:val="Contents6"/>
            <w:tabs>
              <w:tab w:val="clear" w:pos="7609"/>
              <w:tab w:val="right" w:pos="9026" w:leader="dot"/>
            </w:tabs>
            <w:rPr/>
          </w:pPr>
          <w:hyperlink w:anchor="__RefHeading___Toc6422736_1280447820">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6422738_1280447820">
            <w:r>
              <w:rPr>
                <w:webHidden/>
                <w:rStyle w:val="IndexLink"/>
                <w:rtl w:val="true"/>
              </w:rPr>
              <w:t>و الجواب</w:t>
            </w:r>
            <w:r>
              <w:rPr>
                <w:rStyle w:val="IndexLink"/>
                <w:rtl w:val="true"/>
              </w:rPr>
              <w:t>:</w:t>
              <w:tab/>
            </w:r>
            <w:r>
              <w:rPr>
                <w:rStyle w:val="IndexLink"/>
              </w:rPr>
              <w:t>401</w:t>
            </w:r>
          </w:hyperlink>
        </w:p>
        <w:p>
          <w:pPr>
            <w:pStyle w:val="Contents6"/>
            <w:tabs>
              <w:tab w:val="clear" w:pos="7609"/>
              <w:tab w:val="right" w:pos="9026" w:leader="dot"/>
            </w:tabs>
            <w:rPr/>
          </w:pPr>
          <w:hyperlink w:anchor="__RefHeading___Toc6422740_1280447820">
            <w:r>
              <w:rPr>
                <w:webHidden/>
                <w:rStyle w:val="IndexLink"/>
                <w:rtl w:val="true"/>
              </w:rPr>
              <w:t>(</w:t>
            </w:r>
            <w:r>
              <w:rPr>
                <w:rStyle w:val="IndexLink"/>
              </w:rPr>
              <w:t>4</w:t>
            </w:r>
            <w:r>
              <w:rPr>
                <w:rStyle w:val="IndexLink"/>
                <w:rtl w:val="true"/>
              </w:rPr>
              <w:t xml:space="preserve">) </w:t>
            </w:r>
            <w:r>
              <w:rPr>
                <w:rStyle w:val="IndexLink"/>
                <w:rtl w:val="true"/>
              </w:rPr>
              <w:t>شبهة عدم كفاية الموادّ الأرضية لإحياء الناس</w:t>
            </w:r>
            <w:r>
              <w:rPr>
                <w:rStyle w:val="IndexLink"/>
                <w:rtl w:val="true"/>
              </w:rPr>
              <w:tab/>
            </w:r>
            <w:r>
              <w:rPr>
                <w:rStyle w:val="IndexLink"/>
              </w:rPr>
              <w:t>403</w:t>
            </w:r>
          </w:hyperlink>
        </w:p>
        <w:p>
          <w:pPr>
            <w:pStyle w:val="Contents6"/>
            <w:tabs>
              <w:tab w:val="clear" w:pos="7609"/>
              <w:tab w:val="right" w:pos="9026" w:leader="dot"/>
            </w:tabs>
            <w:rPr/>
          </w:pPr>
          <w:hyperlink w:anchor="__RefHeading___Toc6422742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6422744_1280447820">
            <w:r>
              <w:rPr>
                <w:webHidden/>
                <w:rStyle w:val="IndexLink"/>
                <w:rtl w:val="true"/>
              </w:rPr>
              <w:t>و الجواب عن هذا السؤال من جهات ثلاث، عقلية و علمية و سمعية</w:t>
            </w:r>
            <w:r>
              <w:rPr>
                <w:rStyle w:val="IndexLink"/>
                <w:rtl w:val="true"/>
              </w:rPr>
              <w:t>:</w:t>
              <w:tab/>
            </w:r>
            <w:r>
              <w:rPr>
                <w:rStyle w:val="IndexLink"/>
              </w:rPr>
              <w:t>403</w:t>
            </w:r>
          </w:hyperlink>
        </w:p>
        <w:p>
          <w:pPr>
            <w:pStyle w:val="Contents6"/>
            <w:tabs>
              <w:tab w:val="clear" w:pos="7609"/>
              <w:tab w:val="right" w:pos="9026" w:leader="dot"/>
            </w:tabs>
            <w:rPr/>
          </w:pPr>
          <w:hyperlink w:anchor="__RefHeading___Toc6422746_1280447820">
            <w:r>
              <w:rPr>
                <w:webHidden/>
                <w:rStyle w:val="IndexLink"/>
                <w:rtl w:val="true"/>
              </w:rPr>
              <w:t>الجهة الأولى</w:t>
            </w:r>
            <w:r>
              <w:rPr>
                <w:rStyle w:val="IndexLink"/>
                <w:rtl w:val="true"/>
              </w:rPr>
              <w:t xml:space="preserve">: </w:t>
            </w:r>
            <w:r>
              <w:rPr>
                <w:rStyle w:val="IndexLink"/>
                <w:rtl w:val="true"/>
              </w:rPr>
              <w:t>الجواب العقلي، و هو أمور</w:t>
            </w:r>
            <w:r>
              <w:rPr>
                <w:rStyle w:val="IndexLink"/>
                <w:rtl w:val="true"/>
              </w:rPr>
              <w:t>:</w:t>
              <w:tab/>
            </w:r>
            <w:r>
              <w:rPr>
                <w:rStyle w:val="IndexLink"/>
              </w:rPr>
              <w:t>403</w:t>
            </w:r>
          </w:hyperlink>
        </w:p>
        <w:p>
          <w:pPr>
            <w:pStyle w:val="Contents6"/>
            <w:tabs>
              <w:tab w:val="clear" w:pos="7609"/>
              <w:tab w:val="right" w:pos="9026" w:leader="dot"/>
            </w:tabs>
            <w:rPr/>
          </w:pPr>
          <w:hyperlink w:anchor="__RefHeading___Toc6422748_1280447820">
            <w:r>
              <w:rPr>
                <w:webHidden/>
                <w:rStyle w:val="IndexLink"/>
                <w:rtl w:val="true"/>
              </w:rPr>
              <w:t>الجهة الثانية</w:t>
            </w:r>
            <w:r>
              <w:rPr>
                <w:rStyle w:val="IndexLink"/>
                <w:rtl w:val="true"/>
              </w:rPr>
              <w:t xml:space="preserve">: </w:t>
            </w:r>
            <w:r>
              <w:rPr>
                <w:rStyle w:val="IndexLink"/>
                <w:rtl w:val="true"/>
              </w:rPr>
              <w:t>الجواب العلمي، و هو أمور</w:t>
            </w:r>
            <w:r>
              <w:rPr>
                <w:rStyle w:val="IndexLink"/>
                <w:rtl w:val="true"/>
              </w:rPr>
              <w:t>:</w:t>
              <w:tab/>
            </w:r>
            <w:r>
              <w:rPr>
                <w:rStyle w:val="IndexLink"/>
              </w:rPr>
              <w:t>404</w:t>
            </w:r>
          </w:hyperlink>
        </w:p>
        <w:p>
          <w:pPr>
            <w:pStyle w:val="Contents6"/>
            <w:tabs>
              <w:tab w:val="clear" w:pos="7609"/>
              <w:tab w:val="right" w:pos="9026" w:leader="dot"/>
            </w:tabs>
            <w:rPr/>
          </w:pPr>
          <w:hyperlink w:anchor="__RefHeading___Toc6422750_1280447820">
            <w:r>
              <w:rPr>
                <w:webHidden/>
                <w:rStyle w:val="IndexLink"/>
                <w:rtl w:val="true"/>
              </w:rPr>
              <w:t>الجهة الثالثة</w:t>
            </w:r>
            <w:r>
              <w:rPr>
                <w:rStyle w:val="IndexLink"/>
                <w:rtl w:val="true"/>
              </w:rPr>
              <w:t xml:space="preserve">: </w:t>
            </w:r>
            <w:r>
              <w:rPr>
                <w:rStyle w:val="IndexLink"/>
                <w:rtl w:val="true"/>
              </w:rPr>
              <w:t>الجواب السمعي</w:t>
            </w:r>
            <w:r>
              <w:rPr>
                <w:rStyle w:val="IndexLink"/>
                <w:rtl w:val="true"/>
              </w:rPr>
              <w:tab/>
            </w:r>
            <w:r>
              <w:rPr>
                <w:rStyle w:val="IndexLink"/>
              </w:rPr>
              <w:t>407</w:t>
            </w:r>
          </w:hyperlink>
        </w:p>
        <w:p>
          <w:pPr>
            <w:pStyle w:val="Contents6"/>
            <w:tabs>
              <w:tab w:val="clear" w:pos="7609"/>
              <w:tab w:val="right" w:pos="9026" w:leader="dot"/>
            </w:tabs>
            <w:rPr/>
          </w:pPr>
          <w:hyperlink w:anchor="__RefHeading___Toc6422752_1280447820">
            <w:r>
              <w:rPr>
                <w:webHidden/>
                <w:rStyle w:val="IndexLink"/>
                <w:rtl w:val="true"/>
              </w:rPr>
              <w:t>(</w:t>
            </w:r>
            <w:r>
              <w:rPr>
                <w:rStyle w:val="IndexLink"/>
              </w:rPr>
              <w:t>5</w:t>
            </w:r>
            <w:r>
              <w:rPr>
                <w:rStyle w:val="IndexLink"/>
                <w:rtl w:val="true"/>
              </w:rPr>
              <w:t xml:space="preserve">) </w:t>
            </w:r>
            <w:r>
              <w:rPr>
                <w:rStyle w:val="IndexLink"/>
                <w:rtl w:val="true"/>
              </w:rPr>
              <w:t>شبهة الآكل و المأكول</w:t>
            </w:r>
            <w:r>
              <w:rPr>
                <w:rStyle w:val="IndexLink"/>
                <w:rtl w:val="true"/>
              </w:rPr>
              <w:tab/>
            </w:r>
            <w:r>
              <w:rPr>
                <w:rStyle w:val="IndexLink"/>
              </w:rPr>
              <w:t>408</w:t>
            </w:r>
          </w:hyperlink>
        </w:p>
        <w:p>
          <w:pPr>
            <w:pStyle w:val="Contents6"/>
            <w:tabs>
              <w:tab w:val="clear" w:pos="7609"/>
              <w:tab w:val="right" w:pos="9026" w:leader="dot"/>
            </w:tabs>
            <w:rPr/>
          </w:pPr>
          <w:hyperlink w:anchor="__RefHeading___Toc6422754_1280447820">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6422756_1280447820">
            <w:r>
              <w:rPr>
                <w:webHidden/>
                <w:rStyle w:val="IndexLink"/>
                <w:rtl w:val="true"/>
              </w:rPr>
              <w:t>الجواب</w:t>
            </w:r>
            <w:r>
              <w:rPr>
                <w:rStyle w:val="IndexLink"/>
                <w:rtl w:val="true"/>
              </w:rPr>
              <w:t>:</w:t>
              <w:tab/>
            </w:r>
            <w:r>
              <w:rPr>
                <w:rStyle w:val="IndexLink"/>
              </w:rPr>
              <w:t>409</w:t>
            </w:r>
          </w:hyperlink>
        </w:p>
        <w:p>
          <w:pPr>
            <w:pStyle w:val="Contents6"/>
            <w:tabs>
              <w:tab w:val="clear" w:pos="7609"/>
              <w:tab w:val="right" w:pos="9026" w:leader="dot"/>
            </w:tabs>
            <w:rPr/>
          </w:pPr>
          <w:hyperlink w:anchor="__RefHeading___Toc6422758_1280447820">
            <w:r>
              <w:rPr>
                <w:webHidden/>
                <w:rStyle w:val="IndexLink"/>
                <w:rtl w:val="true"/>
              </w:rPr>
              <w:t>(</w:t>
            </w:r>
            <w:r>
              <w:rPr>
                <w:rStyle w:val="IndexLink"/>
              </w:rPr>
              <w:t>6</w:t>
            </w:r>
            <w:r>
              <w:rPr>
                <w:rStyle w:val="IndexLink"/>
                <w:rtl w:val="true"/>
              </w:rPr>
              <w:t xml:space="preserve">) </w:t>
            </w:r>
            <w:r>
              <w:rPr>
                <w:rStyle w:val="IndexLink"/>
                <w:rtl w:val="true"/>
              </w:rPr>
              <w:t>مكان بعث النفوس و حشرها</w:t>
            </w:r>
            <w:r>
              <w:rPr>
                <w:rStyle w:val="IndexLink"/>
                <w:rtl w:val="true"/>
              </w:rPr>
              <w:tab/>
            </w:r>
            <w:r>
              <w:rPr>
                <w:rStyle w:val="IndexLink"/>
              </w:rPr>
              <w:t>414</w:t>
            </w:r>
          </w:hyperlink>
        </w:p>
        <w:p>
          <w:pPr>
            <w:pStyle w:val="Contents6"/>
            <w:tabs>
              <w:tab w:val="clear" w:pos="7609"/>
              <w:tab w:val="right" w:pos="9026" w:leader="dot"/>
            </w:tabs>
            <w:rPr/>
          </w:pPr>
          <w:hyperlink w:anchor="__RefHeading___Toc6422760_1280447820">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6422762_1280447820">
            <w:r>
              <w:rPr>
                <w:webHidden/>
                <w:rStyle w:val="IndexLink"/>
                <w:rtl w:val="true"/>
              </w:rPr>
              <w:t>و الجواب</w:t>
            </w:r>
            <w:r>
              <w:rPr>
                <w:rStyle w:val="IndexLink"/>
                <w:rtl w:val="true"/>
              </w:rPr>
              <w:t>:</w:t>
              <w:tab/>
            </w:r>
            <w:r>
              <w:rPr>
                <w:rStyle w:val="IndexLink"/>
              </w:rPr>
              <w:t>414</w:t>
            </w:r>
          </w:hyperlink>
        </w:p>
        <w:p>
          <w:pPr>
            <w:pStyle w:val="Contents6"/>
            <w:tabs>
              <w:tab w:val="clear" w:pos="7609"/>
              <w:tab w:val="right" w:pos="9026" w:leader="dot"/>
            </w:tabs>
            <w:rPr/>
          </w:pPr>
          <w:hyperlink w:anchor="__RefHeading___Toc6422764_1280447820">
            <w:r>
              <w:rPr>
                <w:webHidden/>
                <w:rStyle w:val="IndexLink"/>
                <w:rtl w:val="true"/>
              </w:rPr>
              <w:t>(</w:t>
            </w:r>
            <w:r>
              <w:rPr>
                <w:rStyle w:val="IndexLink"/>
              </w:rPr>
              <w:t>7</w:t>
            </w:r>
            <w:r>
              <w:rPr>
                <w:rStyle w:val="IndexLink"/>
                <w:rtl w:val="true"/>
              </w:rPr>
              <w:t xml:space="preserve">) </w:t>
            </w:r>
            <w:r>
              <w:rPr>
                <w:rStyle w:val="IndexLink"/>
                <w:rtl w:val="true"/>
              </w:rPr>
              <w:t>كيف يخلد الإنسان، مع أنّ المادة تفنى؟</w:t>
            </w:r>
            <w:r>
              <w:rPr>
                <w:rStyle w:val="IndexLink"/>
                <w:rtl w:val="true"/>
              </w:rPr>
              <w:tab/>
            </w:r>
            <w:r>
              <w:rPr>
                <w:rStyle w:val="IndexLink"/>
              </w:rPr>
              <w:t>416</w:t>
            </w:r>
          </w:hyperlink>
        </w:p>
        <w:p>
          <w:pPr>
            <w:pStyle w:val="Contents6"/>
            <w:tabs>
              <w:tab w:val="clear" w:pos="7609"/>
              <w:tab w:val="right" w:pos="9026" w:leader="dot"/>
            </w:tabs>
            <w:rPr/>
          </w:pPr>
          <w:hyperlink w:anchor="__RefHeading___Toc6422766_1280447820">
            <w:r>
              <w:rPr>
                <w:webHidden/>
                <w:rStyle w:val="IndexLink"/>
                <w:rtl w:val="true"/>
              </w:rPr>
              <w:t>اشارة</w:t>
            </w:r>
            <w:r>
              <w:rPr>
                <w:rStyle w:val="IndexLink"/>
                <w:rtl w:val="true"/>
              </w:rPr>
              <w:tab/>
            </w:r>
            <w:r>
              <w:rPr>
                <w:rStyle w:val="IndexLink"/>
              </w:rPr>
              <w:t>416</w:t>
            </w:r>
          </w:hyperlink>
        </w:p>
        <w:p>
          <w:pPr>
            <w:pStyle w:val="Contents6"/>
            <w:tabs>
              <w:tab w:val="clear" w:pos="7609"/>
              <w:tab w:val="right" w:pos="9026" w:leader="dot"/>
            </w:tabs>
            <w:rPr/>
          </w:pPr>
          <w:hyperlink w:anchor="__RefHeading___Toc6422768_1280447820">
            <w:r>
              <w:rPr>
                <w:webHidden/>
                <w:rStyle w:val="IndexLink"/>
                <w:rtl w:val="true"/>
              </w:rPr>
              <w:t>الجواب</w:t>
            </w:r>
            <w:r>
              <w:rPr>
                <w:rStyle w:val="IndexLink"/>
                <w:rtl w:val="true"/>
              </w:rPr>
              <w:tab/>
            </w:r>
            <w:r>
              <w:rPr>
                <w:rStyle w:val="IndexLink"/>
              </w:rPr>
              <w:t>416</w:t>
            </w:r>
          </w:hyperlink>
        </w:p>
        <w:p>
          <w:pPr>
            <w:pStyle w:val="Contents6"/>
            <w:tabs>
              <w:tab w:val="clear" w:pos="7609"/>
              <w:tab w:val="right" w:pos="9026" w:leader="dot"/>
            </w:tabs>
            <w:rPr/>
          </w:pPr>
          <w:hyperlink w:anchor="__RefHeading___Toc6422770_1280447820">
            <w:r>
              <w:rPr>
                <w:webHidden/>
                <w:rStyle w:val="IndexLink"/>
                <w:rtl w:val="true"/>
              </w:rPr>
              <w:t>(</w:t>
            </w:r>
            <w:r>
              <w:rPr>
                <w:rStyle w:val="IndexLink"/>
              </w:rPr>
              <w:t>8</w:t>
            </w:r>
            <w:r>
              <w:rPr>
                <w:rStyle w:val="IndexLink"/>
                <w:rtl w:val="true"/>
              </w:rPr>
              <w:t xml:space="preserve">) </w:t>
            </w:r>
            <w:r>
              <w:rPr>
                <w:rStyle w:val="IndexLink"/>
                <w:rtl w:val="true"/>
              </w:rPr>
              <w:t>ما هو الغرض من عقاب المجرم أو تنعيم المحسن؟</w:t>
            </w:r>
            <w:r>
              <w:rPr>
                <w:rStyle w:val="IndexLink"/>
                <w:rtl w:val="true"/>
              </w:rPr>
              <w:tab/>
            </w:r>
            <w:r>
              <w:rPr>
                <w:rStyle w:val="IndexLink"/>
              </w:rPr>
              <w:t>418</w:t>
            </w:r>
          </w:hyperlink>
        </w:p>
        <w:p>
          <w:pPr>
            <w:pStyle w:val="Contents6"/>
            <w:tabs>
              <w:tab w:val="clear" w:pos="7609"/>
              <w:tab w:val="right" w:pos="9026" w:leader="dot"/>
            </w:tabs>
            <w:rPr/>
          </w:pPr>
          <w:hyperlink w:anchor="__RefHeading___Toc6422772_1280447820">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6422774_1280447820">
            <w:r>
              <w:rPr>
                <w:webHidden/>
                <w:rStyle w:val="IndexLink"/>
                <w:rtl w:val="true"/>
              </w:rPr>
              <w:t>الجواب</w:t>
            </w:r>
            <w:r>
              <w:rPr>
                <w:rStyle w:val="IndexLink"/>
                <w:rtl w:val="true"/>
              </w:rPr>
              <w:tab/>
            </w:r>
            <w:r>
              <w:rPr>
                <w:rStyle w:val="IndexLink"/>
              </w:rPr>
              <w:t>418</w:t>
            </w:r>
          </w:hyperlink>
        </w:p>
        <w:p>
          <w:pPr>
            <w:pStyle w:val="Contents6"/>
            <w:tabs>
              <w:tab w:val="clear" w:pos="7609"/>
              <w:tab w:val="right" w:pos="9026" w:leader="dot"/>
            </w:tabs>
            <w:rPr/>
          </w:pPr>
          <w:hyperlink w:anchor="__RefHeading___Toc6422776_1280447820">
            <w:r>
              <w:rPr>
                <w:webHidden/>
                <w:rStyle w:val="IndexLink"/>
                <w:rtl w:val="true"/>
              </w:rPr>
              <w:t>(</w:t>
            </w:r>
            <w:r>
              <w:rPr>
                <w:rStyle w:val="IndexLink"/>
              </w:rPr>
              <w:t>9</w:t>
            </w:r>
            <w:r>
              <w:rPr>
                <w:rStyle w:val="IndexLink"/>
                <w:rtl w:val="true"/>
              </w:rPr>
              <w:t xml:space="preserve">) </w:t>
            </w:r>
            <w:r>
              <w:rPr>
                <w:rStyle w:val="IndexLink"/>
                <w:rtl w:val="true"/>
              </w:rPr>
              <w:t>من هم المخلدون في النار؟</w:t>
            </w:r>
            <w:r>
              <w:rPr>
                <w:rStyle w:val="IndexLink"/>
                <w:rtl w:val="true"/>
              </w:rPr>
              <w:tab/>
            </w:r>
            <w:r>
              <w:rPr>
                <w:rStyle w:val="IndexLink"/>
              </w:rPr>
              <w:t>420</w:t>
            </w:r>
          </w:hyperlink>
        </w:p>
        <w:p>
          <w:pPr>
            <w:pStyle w:val="Contents6"/>
            <w:tabs>
              <w:tab w:val="clear" w:pos="7609"/>
              <w:tab w:val="right" w:pos="9026" w:leader="dot"/>
            </w:tabs>
            <w:rPr/>
          </w:pPr>
          <w:hyperlink w:anchor="__RefHeading___Toc6422778_1280447820">
            <w:r>
              <w:rPr>
                <w:webHidden/>
                <w:rStyle w:val="IndexLink"/>
                <w:rtl w:val="true"/>
              </w:rPr>
              <w:t>(</w:t>
            </w:r>
            <w:r>
              <w:rPr>
                <w:rStyle w:val="IndexLink"/>
              </w:rPr>
              <w:t>10</w:t>
            </w:r>
            <w:r>
              <w:rPr>
                <w:rStyle w:val="IndexLink"/>
                <w:rtl w:val="true"/>
              </w:rPr>
              <w:t xml:space="preserve">) </w:t>
            </w:r>
            <w:r>
              <w:rPr>
                <w:rStyle w:val="IndexLink"/>
                <w:rtl w:val="true"/>
              </w:rPr>
              <w:t>هل يجوز العفو عن المسيء؟</w:t>
            </w:r>
            <w:r>
              <w:rPr>
                <w:rStyle w:val="IndexLink"/>
                <w:rtl w:val="true"/>
              </w:rPr>
              <w:tab/>
            </w:r>
            <w:r>
              <w:rPr>
                <w:rStyle w:val="IndexLink"/>
              </w:rPr>
              <w:t>428</w:t>
            </w:r>
          </w:hyperlink>
        </w:p>
        <w:p>
          <w:pPr>
            <w:pStyle w:val="Contents6"/>
            <w:tabs>
              <w:tab w:val="clear" w:pos="7609"/>
              <w:tab w:val="right" w:pos="9026" w:leader="dot"/>
            </w:tabs>
            <w:rPr/>
          </w:pPr>
          <w:hyperlink w:anchor="__RefHeading___Toc6422780_1280447820">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6422782_1280447820">
            <w:r>
              <w:rPr>
                <w:webHidden/>
                <w:rStyle w:val="IndexLink"/>
                <w:rtl w:val="true"/>
              </w:rPr>
              <w:t>الجواب</w:t>
            </w:r>
            <w:r>
              <w:rPr>
                <w:rStyle w:val="IndexLink"/>
                <w:rtl w:val="true"/>
              </w:rPr>
              <w:tab/>
            </w:r>
            <w:r>
              <w:rPr>
                <w:rStyle w:val="IndexLink"/>
              </w:rPr>
              <w:t>428</w:t>
            </w:r>
          </w:hyperlink>
        </w:p>
        <w:p>
          <w:pPr>
            <w:pStyle w:val="Contents6"/>
            <w:tabs>
              <w:tab w:val="clear" w:pos="7609"/>
              <w:tab w:val="right" w:pos="9026" w:leader="dot"/>
            </w:tabs>
            <w:rPr/>
          </w:pPr>
          <w:hyperlink w:anchor="__RefHeading___Toc6422784_1280447820">
            <w:r>
              <w:rPr>
                <w:webHidden/>
                <w:rStyle w:val="IndexLink"/>
                <w:rtl w:val="true"/>
              </w:rPr>
              <w:t>(</w:t>
            </w:r>
            <w:r>
              <w:rPr>
                <w:rStyle w:val="IndexLink"/>
              </w:rPr>
              <w:t>11</w:t>
            </w:r>
            <w:r>
              <w:rPr>
                <w:rStyle w:val="IndexLink"/>
                <w:rtl w:val="true"/>
              </w:rPr>
              <w:t xml:space="preserve">) </w:t>
            </w:r>
            <w:r>
              <w:rPr>
                <w:rStyle w:val="IndexLink"/>
                <w:rtl w:val="true"/>
              </w:rPr>
              <w:t>هل الجنة و النار مخلوقتان؟</w:t>
            </w:r>
            <w:r>
              <w:rPr>
                <w:rStyle w:val="IndexLink"/>
                <w:rtl w:val="true"/>
              </w:rPr>
              <w:tab/>
            </w:r>
            <w:r>
              <w:rPr>
                <w:rStyle w:val="IndexLink"/>
              </w:rPr>
              <w:t>431</w:t>
            </w:r>
          </w:hyperlink>
        </w:p>
        <w:p>
          <w:pPr>
            <w:pStyle w:val="Contents6"/>
            <w:tabs>
              <w:tab w:val="clear" w:pos="7609"/>
              <w:tab w:val="right" w:pos="9026" w:leader="dot"/>
            </w:tabs>
            <w:rPr/>
          </w:pPr>
          <w:hyperlink w:anchor="__RefHeading___Toc6422786_1280447820">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6422788_1280447820">
            <w:r>
              <w:rPr>
                <w:webHidden/>
                <w:rStyle w:val="IndexLink"/>
                <w:rtl w:val="true"/>
              </w:rPr>
              <w:t>أدلة القائلين بخلقهما</w:t>
            </w:r>
            <w:r>
              <w:rPr>
                <w:rStyle w:val="IndexLink"/>
                <w:rtl w:val="true"/>
              </w:rPr>
              <w:tab/>
            </w:r>
            <w:r>
              <w:rPr>
                <w:rStyle w:val="IndexLink"/>
              </w:rPr>
              <w:t>432</w:t>
            </w:r>
          </w:hyperlink>
        </w:p>
        <w:p>
          <w:pPr>
            <w:pStyle w:val="Contents6"/>
            <w:tabs>
              <w:tab w:val="clear" w:pos="7609"/>
              <w:tab w:val="right" w:pos="9026" w:leader="dot"/>
            </w:tabs>
            <w:rPr/>
          </w:pPr>
          <w:hyperlink w:anchor="__RefHeading___Toc6422790_1280447820">
            <w:r>
              <w:rPr>
                <w:webHidden/>
                <w:rStyle w:val="IndexLink"/>
                <w:rtl w:val="true"/>
              </w:rPr>
              <w:t>أدلة النافين لخلقهما</w:t>
            </w:r>
            <w:r>
              <w:rPr>
                <w:rStyle w:val="IndexLink"/>
                <w:rtl w:val="true"/>
              </w:rPr>
              <w:tab/>
            </w:r>
            <w:r>
              <w:rPr>
                <w:rStyle w:val="IndexLink"/>
              </w:rPr>
              <w:t>434</w:t>
            </w:r>
          </w:hyperlink>
        </w:p>
        <w:p>
          <w:pPr>
            <w:pStyle w:val="Contents3"/>
            <w:tabs>
              <w:tab w:val="clear" w:pos="8459"/>
              <w:tab w:val="right" w:pos="9026" w:leader="dot"/>
            </w:tabs>
            <w:rPr/>
          </w:pPr>
          <w:hyperlink w:anchor="__RefHeading___Toc6422792_1280447820">
            <w:r>
              <w:rPr>
                <w:webHidden/>
                <w:rStyle w:val="IndexLink"/>
                <w:rtl w:val="true"/>
              </w:rPr>
              <w:t>مباحث الخاتمة</w:t>
            </w:r>
            <w:r>
              <w:rPr>
                <w:rStyle w:val="IndexLink"/>
                <w:rtl w:val="true"/>
              </w:rPr>
              <w:tab/>
            </w:r>
            <w:r>
              <w:rPr>
                <w:rStyle w:val="IndexLink"/>
              </w:rPr>
              <w:t>440</w:t>
            </w:r>
          </w:hyperlink>
        </w:p>
        <w:p>
          <w:pPr>
            <w:pStyle w:val="Contents4"/>
            <w:tabs>
              <w:tab w:val="clear" w:pos="8176"/>
              <w:tab w:val="right" w:pos="9026" w:leader="dot"/>
            </w:tabs>
            <w:rPr/>
          </w:pPr>
          <w:hyperlink w:anchor="__RefHeading___Toc6422794_1280447820">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6422796_1280447820">
            <w:r>
              <w:rPr>
                <w:webHidden/>
                <w:rStyle w:val="IndexLink"/>
                <w:rtl w:val="true"/>
              </w:rPr>
              <w:t>(</w:t>
            </w:r>
            <w:r>
              <w:rPr>
                <w:rStyle w:val="IndexLink"/>
              </w:rPr>
              <w:t>1</w:t>
            </w:r>
            <w:r>
              <w:rPr>
                <w:rStyle w:val="IndexLink"/>
                <w:rtl w:val="true"/>
              </w:rPr>
              <w:t xml:space="preserve">) </w:t>
            </w:r>
            <w:r>
              <w:rPr>
                <w:rStyle w:val="IndexLink"/>
                <w:rtl w:val="true"/>
              </w:rPr>
              <w:t>التقيّة في الكتاب و السّنة</w:t>
            </w:r>
            <w:r>
              <w:rPr>
                <w:rStyle w:val="IndexLink"/>
                <w:rtl w:val="true"/>
              </w:rPr>
              <w:tab/>
            </w:r>
            <w:r>
              <w:rPr>
                <w:rStyle w:val="IndexLink"/>
              </w:rPr>
              <w:t>441</w:t>
            </w:r>
          </w:hyperlink>
        </w:p>
        <w:p>
          <w:pPr>
            <w:pStyle w:val="Contents5"/>
            <w:tabs>
              <w:tab w:val="clear" w:pos="7892"/>
              <w:tab w:val="right" w:pos="9026" w:leader="dot"/>
            </w:tabs>
            <w:rPr/>
          </w:pPr>
          <w:hyperlink w:anchor="__RefHeading___Toc6422798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6422800_1280447820">
            <w:r>
              <w:rPr>
                <w:webHidden/>
                <w:rStyle w:val="IndexLink"/>
              </w:rPr>
              <w:t>1</w:t>
            </w:r>
            <w:r>
              <w:rPr>
                <w:rStyle w:val="IndexLink"/>
                <w:rtl w:val="true"/>
              </w:rPr>
              <w:t xml:space="preserve"> - </w:t>
            </w:r>
            <w:r>
              <w:rPr>
                <w:rStyle w:val="IndexLink"/>
                <w:rtl w:val="true"/>
              </w:rPr>
              <w:t>اختلافهما من حيث المبادي النفسية</w:t>
            </w:r>
            <w:r>
              <w:rPr>
                <w:rStyle w:val="IndexLink"/>
                <w:rtl w:val="true"/>
              </w:rPr>
              <w:tab/>
            </w:r>
            <w:r>
              <w:rPr>
                <w:rStyle w:val="IndexLink"/>
              </w:rPr>
              <w:t>444</w:t>
            </w:r>
          </w:hyperlink>
        </w:p>
        <w:p>
          <w:pPr>
            <w:pStyle w:val="Contents5"/>
            <w:tabs>
              <w:tab w:val="clear" w:pos="7892"/>
              <w:tab w:val="right" w:pos="9026" w:leader="dot"/>
            </w:tabs>
            <w:rPr/>
          </w:pPr>
          <w:hyperlink w:anchor="__RefHeading___Toc6422802_1280447820">
            <w:r>
              <w:rPr>
                <w:webHidden/>
                <w:rStyle w:val="IndexLink"/>
              </w:rPr>
              <w:t>2</w:t>
            </w:r>
            <w:r>
              <w:rPr>
                <w:rStyle w:val="IndexLink"/>
                <w:rtl w:val="true"/>
              </w:rPr>
              <w:t xml:space="preserve"> - </w:t>
            </w:r>
            <w:r>
              <w:rPr>
                <w:rStyle w:val="IndexLink"/>
                <w:rtl w:val="true"/>
              </w:rPr>
              <w:t>اختلافهما من حيث الغايات و الأغراض</w:t>
            </w:r>
            <w:r>
              <w:rPr>
                <w:rStyle w:val="IndexLink"/>
                <w:rtl w:val="true"/>
              </w:rPr>
              <w:tab/>
            </w:r>
            <w:r>
              <w:rPr>
                <w:rStyle w:val="IndexLink"/>
              </w:rPr>
              <w:t>444</w:t>
            </w:r>
          </w:hyperlink>
        </w:p>
        <w:p>
          <w:pPr>
            <w:pStyle w:val="Contents5"/>
            <w:tabs>
              <w:tab w:val="clear" w:pos="7892"/>
              <w:tab w:val="right" w:pos="9026" w:leader="dot"/>
            </w:tabs>
            <w:rPr/>
          </w:pPr>
          <w:hyperlink w:anchor="__RefHeading___Toc6422804_1280447820">
            <w:r>
              <w:rPr>
                <w:webHidden/>
                <w:rStyle w:val="IndexLink"/>
                <w:rtl w:val="true"/>
              </w:rPr>
              <w:t>سؤال و جواب</w:t>
            </w:r>
            <w:r>
              <w:rPr>
                <w:rStyle w:val="IndexLink"/>
                <w:rtl w:val="true"/>
              </w:rPr>
              <w:tab/>
            </w:r>
            <w:r>
              <w:rPr>
                <w:rStyle w:val="IndexLink"/>
              </w:rPr>
              <w:t>445</w:t>
            </w:r>
          </w:hyperlink>
        </w:p>
        <w:p>
          <w:pPr>
            <w:pStyle w:val="Contents5"/>
            <w:tabs>
              <w:tab w:val="clear" w:pos="7892"/>
              <w:tab w:val="right" w:pos="9026" w:leader="dot"/>
            </w:tabs>
            <w:rPr/>
          </w:pPr>
          <w:hyperlink w:anchor="__RefHeading___Toc6422806_1280447820">
            <w:r>
              <w:rPr>
                <w:webHidden/>
                <w:rStyle w:val="IndexLink"/>
                <w:rtl w:val="true"/>
              </w:rPr>
              <w:t>التقية المحرّمة</w:t>
            </w:r>
            <w:r>
              <w:rPr>
                <w:rStyle w:val="IndexLink"/>
                <w:rtl w:val="true"/>
              </w:rPr>
              <w:tab/>
            </w:r>
            <w:r>
              <w:rPr>
                <w:rStyle w:val="IndexLink"/>
              </w:rPr>
              <w:t>446</w:t>
            </w:r>
          </w:hyperlink>
        </w:p>
        <w:p>
          <w:pPr>
            <w:pStyle w:val="Contents5"/>
            <w:tabs>
              <w:tab w:val="clear" w:pos="7892"/>
              <w:tab w:val="right" w:pos="9026" w:leader="dot"/>
            </w:tabs>
            <w:rPr/>
          </w:pPr>
          <w:hyperlink w:anchor="__RefHeading___Toc6422808_1280447820">
            <w:r>
              <w:rPr>
                <w:webHidden/>
                <w:rStyle w:val="IndexLink"/>
                <w:rtl w:val="true"/>
              </w:rPr>
              <w:t>خزاية التاريخ</w:t>
            </w:r>
            <w:r>
              <w:rPr>
                <w:rStyle w:val="IndexLink"/>
                <w:rtl w:val="true"/>
              </w:rPr>
              <w:tab/>
            </w:r>
            <w:r>
              <w:rPr>
                <w:rStyle w:val="IndexLink"/>
              </w:rPr>
              <w:t>446</w:t>
            </w:r>
          </w:hyperlink>
        </w:p>
        <w:p>
          <w:pPr>
            <w:pStyle w:val="Contents4"/>
            <w:tabs>
              <w:tab w:val="clear" w:pos="8176"/>
              <w:tab w:val="right" w:pos="9026" w:leader="dot"/>
            </w:tabs>
            <w:rPr/>
          </w:pPr>
          <w:hyperlink w:anchor="__RefHeading___Toc6422810_1280447820">
            <w:r>
              <w:rPr>
                <w:webHidden/>
                <w:rStyle w:val="IndexLink"/>
                <w:rtl w:val="true"/>
              </w:rPr>
              <w:t>(</w:t>
            </w:r>
            <w:r>
              <w:rPr>
                <w:rStyle w:val="IndexLink"/>
              </w:rPr>
              <w:t>2</w:t>
            </w:r>
            <w:r>
              <w:rPr>
                <w:rStyle w:val="IndexLink"/>
                <w:rtl w:val="true"/>
              </w:rPr>
              <w:t xml:space="preserve">) </w:t>
            </w:r>
            <w:r>
              <w:rPr>
                <w:rStyle w:val="IndexLink"/>
                <w:rtl w:val="true"/>
              </w:rPr>
              <w:t>عدالة الصحابة في الكتاب و السنة</w:t>
            </w:r>
            <w:r>
              <w:rPr>
                <w:rStyle w:val="IndexLink"/>
                <w:rtl w:val="true"/>
              </w:rPr>
              <w:tab/>
            </w:r>
            <w:r>
              <w:rPr>
                <w:rStyle w:val="IndexLink"/>
              </w:rPr>
              <w:t>450</w:t>
            </w:r>
          </w:hyperlink>
        </w:p>
        <w:p>
          <w:pPr>
            <w:pStyle w:val="Contents5"/>
            <w:tabs>
              <w:tab w:val="clear" w:pos="7892"/>
              <w:tab w:val="right" w:pos="9026" w:leader="dot"/>
            </w:tabs>
            <w:rPr/>
          </w:pPr>
          <w:hyperlink w:anchor="__RefHeading___Toc6422812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6422814_1280447820">
            <w:r>
              <w:rPr>
                <w:webHidden/>
                <w:rStyle w:val="IndexLink"/>
                <w:rtl w:val="true"/>
              </w:rPr>
              <w:t>كلمة الإمام زين العابدين في الصحابة</w:t>
            </w:r>
            <w:r>
              <w:rPr>
                <w:rStyle w:val="IndexLink"/>
                <w:rtl w:val="true"/>
              </w:rPr>
              <w:tab/>
            </w:r>
            <w:r>
              <w:rPr>
                <w:rStyle w:val="IndexLink"/>
              </w:rPr>
              <w:t>456</w:t>
            </w:r>
          </w:hyperlink>
        </w:p>
        <w:p>
          <w:pPr>
            <w:pStyle w:val="Contents5"/>
            <w:tabs>
              <w:tab w:val="clear" w:pos="7892"/>
              <w:tab w:val="right" w:pos="9026" w:leader="dot"/>
            </w:tabs>
            <w:rPr/>
          </w:pPr>
          <w:hyperlink w:anchor="__RefHeading___Toc6422816_1280447820">
            <w:r>
              <w:rPr>
                <w:webHidden/>
                <w:rStyle w:val="IndexLink"/>
                <w:rtl w:val="true"/>
              </w:rPr>
              <w:t>تحليل الاستدلال بآيتين على عدالة الصحابة</w:t>
            </w:r>
            <w:r>
              <w:rPr>
                <w:rStyle w:val="IndexLink"/>
                <w:rtl w:val="true"/>
              </w:rPr>
              <w:tab/>
            </w:r>
            <w:r>
              <w:rPr>
                <w:rStyle w:val="IndexLink"/>
              </w:rPr>
              <w:t>457</w:t>
            </w:r>
          </w:hyperlink>
        </w:p>
        <w:p>
          <w:pPr>
            <w:pStyle w:val="Contents4"/>
            <w:tabs>
              <w:tab w:val="clear" w:pos="8176"/>
              <w:tab w:val="right" w:pos="9026" w:leader="dot"/>
            </w:tabs>
            <w:rPr/>
          </w:pPr>
          <w:hyperlink w:anchor="__RefHeading___Toc6422818_1280447820">
            <w:r>
              <w:rPr>
                <w:webHidden/>
                <w:rStyle w:val="IndexLink"/>
                <w:rtl w:val="true"/>
              </w:rPr>
              <w:t>(</w:t>
            </w:r>
            <w:r>
              <w:rPr>
                <w:rStyle w:val="IndexLink"/>
              </w:rPr>
              <w:t>3</w:t>
            </w:r>
            <w:r>
              <w:rPr>
                <w:rStyle w:val="IndexLink"/>
                <w:rtl w:val="true"/>
              </w:rPr>
              <w:t xml:space="preserve">) </w:t>
            </w:r>
            <w:r>
              <w:rPr>
                <w:rStyle w:val="IndexLink"/>
                <w:rtl w:val="true"/>
              </w:rPr>
              <w:t>الشيعة و اتهامهم بتحريف القرآن</w:t>
            </w:r>
            <w:r>
              <w:rPr>
                <w:rStyle w:val="IndexLink"/>
                <w:rtl w:val="true"/>
              </w:rPr>
              <w:tab/>
            </w:r>
            <w:r>
              <w:rPr>
                <w:rStyle w:val="IndexLink"/>
              </w:rPr>
              <w:t>461</w:t>
            </w:r>
          </w:hyperlink>
        </w:p>
        <w:p>
          <w:pPr>
            <w:pStyle w:val="Contents5"/>
            <w:tabs>
              <w:tab w:val="clear" w:pos="7892"/>
              <w:tab w:val="right" w:pos="9026" w:leader="dot"/>
            </w:tabs>
            <w:rPr/>
          </w:pPr>
          <w:hyperlink w:anchor="__RefHeading___Toc6422820_1280447820">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6422822_1280447820">
            <w:r>
              <w:rPr>
                <w:webHidden/>
                <w:rStyle w:val="IndexLink"/>
                <w:rtl w:val="true"/>
              </w:rPr>
              <w:t>تحريف القرآن في روايات الفريقين</w:t>
            </w:r>
            <w:r>
              <w:rPr>
                <w:rStyle w:val="IndexLink"/>
                <w:rtl w:val="true"/>
              </w:rPr>
              <w:tab/>
            </w:r>
            <w:r>
              <w:rPr>
                <w:rStyle w:val="IndexLink"/>
              </w:rPr>
              <w:t>464</w:t>
            </w:r>
          </w:hyperlink>
        </w:p>
        <w:p>
          <w:pPr>
            <w:pStyle w:val="Contents4"/>
            <w:tabs>
              <w:tab w:val="clear" w:pos="8176"/>
              <w:tab w:val="right" w:pos="9026" w:leader="dot"/>
            </w:tabs>
            <w:rPr/>
          </w:pPr>
          <w:hyperlink w:anchor="__RefHeading___Toc6422824_1280447820">
            <w:r>
              <w:rPr>
                <w:webHidden/>
                <w:rStyle w:val="IndexLink"/>
                <w:rtl w:val="true"/>
              </w:rPr>
              <w:t>(</w:t>
            </w:r>
            <w:r>
              <w:rPr>
                <w:rStyle w:val="IndexLink"/>
              </w:rPr>
              <w:t>4</w:t>
            </w:r>
            <w:r>
              <w:rPr>
                <w:rStyle w:val="IndexLink"/>
                <w:rtl w:val="true"/>
              </w:rPr>
              <w:t xml:space="preserve">) </w:t>
            </w:r>
            <w:r>
              <w:rPr>
                <w:rStyle w:val="IndexLink"/>
                <w:rtl w:val="true"/>
              </w:rPr>
              <w:t>المتعة في الكتاب و السنة</w:t>
            </w:r>
            <w:r>
              <w:rPr>
                <w:rStyle w:val="IndexLink"/>
                <w:rtl w:val="true"/>
              </w:rPr>
              <w:tab/>
            </w:r>
            <w:r>
              <w:rPr>
                <w:rStyle w:val="IndexLink"/>
              </w:rPr>
              <w:t>466</w:t>
            </w:r>
          </w:hyperlink>
        </w:p>
        <w:p>
          <w:pPr>
            <w:pStyle w:val="Contents5"/>
            <w:tabs>
              <w:tab w:val="clear" w:pos="7892"/>
              <w:tab w:val="right" w:pos="9026" w:leader="dot"/>
            </w:tabs>
            <w:rPr/>
          </w:pPr>
          <w:hyperlink w:anchor="__RefHeading___Toc6422826_1280447820">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6422828_1280447820">
            <w:r>
              <w:rPr>
                <w:webHidden/>
                <w:rStyle w:val="IndexLink"/>
                <w:rtl w:val="true"/>
              </w:rPr>
              <w:t>دلالة الآية على المتعة</w:t>
            </w:r>
            <w:r>
              <w:rPr>
                <w:rStyle w:val="IndexLink"/>
                <w:rtl w:val="true"/>
              </w:rPr>
              <w:tab/>
            </w:r>
            <w:r>
              <w:rPr>
                <w:rStyle w:val="IndexLink"/>
              </w:rPr>
              <w:t>467</w:t>
            </w:r>
          </w:hyperlink>
        </w:p>
        <w:p>
          <w:pPr>
            <w:pStyle w:val="Contents5"/>
            <w:tabs>
              <w:tab w:val="clear" w:pos="7892"/>
              <w:tab w:val="right" w:pos="9026" w:leader="dot"/>
            </w:tabs>
            <w:rPr/>
          </w:pPr>
          <w:hyperlink w:anchor="__RefHeading___Toc6422830_1280447820">
            <w:r>
              <w:rPr>
                <w:webHidden/>
                <w:rStyle w:val="IndexLink"/>
                <w:rtl w:val="true"/>
              </w:rPr>
              <w:t>الآية غير منسوخة</w:t>
            </w:r>
            <w:r>
              <w:rPr>
                <w:rStyle w:val="IndexLink"/>
                <w:rtl w:val="true"/>
              </w:rPr>
              <w:tab/>
            </w:r>
            <w:r>
              <w:rPr>
                <w:rStyle w:val="IndexLink"/>
              </w:rPr>
              <w:t>472</w:t>
            </w:r>
          </w:hyperlink>
        </w:p>
        <w:p>
          <w:pPr>
            <w:pStyle w:val="Contents6"/>
            <w:tabs>
              <w:tab w:val="clear" w:pos="7609"/>
              <w:tab w:val="right" w:pos="9026" w:leader="dot"/>
            </w:tabs>
            <w:rPr/>
          </w:pPr>
          <w:hyperlink w:anchor="__RefHeading___Toc6422832_1280447820">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6422834_1280447820">
            <w:r>
              <w:rPr>
                <w:webHidden/>
                <w:rStyle w:val="IndexLink"/>
                <w:rtl w:val="true"/>
              </w:rPr>
              <w:t xml:space="preserve">أ </w:t>
            </w:r>
            <w:r>
              <w:rPr>
                <w:rStyle w:val="IndexLink"/>
                <w:rtl w:val="true"/>
              </w:rPr>
              <w:t xml:space="preserve">- </w:t>
            </w:r>
            <w:r>
              <w:rPr>
                <w:rStyle w:val="IndexLink"/>
                <w:rtl w:val="true"/>
              </w:rPr>
              <w:t>الخلاف في الآيات الناسخة</w:t>
            </w:r>
            <w:r>
              <w:rPr>
                <w:rStyle w:val="IndexLink"/>
                <w:rtl w:val="true"/>
              </w:rPr>
              <w:tab/>
            </w:r>
            <w:r>
              <w:rPr>
                <w:rStyle w:val="IndexLink"/>
              </w:rPr>
              <w:t>472</w:t>
            </w:r>
          </w:hyperlink>
        </w:p>
        <w:p>
          <w:pPr>
            <w:pStyle w:val="Contents6"/>
            <w:tabs>
              <w:tab w:val="clear" w:pos="7609"/>
              <w:tab w:val="right" w:pos="9026" w:leader="dot"/>
            </w:tabs>
            <w:rPr/>
          </w:pPr>
          <w:hyperlink w:anchor="__RefHeading___Toc6422836_1280447820">
            <w:r>
              <w:rPr>
                <w:webHidden/>
                <w:rStyle w:val="IndexLink"/>
                <w:rtl w:val="true"/>
              </w:rPr>
              <w:t xml:space="preserve">ب </w:t>
            </w:r>
            <w:r>
              <w:rPr>
                <w:rStyle w:val="IndexLink"/>
                <w:rtl w:val="true"/>
              </w:rPr>
              <w:t xml:space="preserve">- </w:t>
            </w:r>
            <w:r>
              <w:rPr>
                <w:rStyle w:val="IndexLink"/>
                <w:rtl w:val="true"/>
              </w:rPr>
              <w:t>الخلاف في زمن النسخ</w:t>
            </w:r>
            <w:r>
              <w:rPr>
                <w:rStyle w:val="IndexLink"/>
                <w:rtl w:val="true"/>
              </w:rPr>
              <w:tab/>
            </w:r>
            <w:r>
              <w:rPr>
                <w:rStyle w:val="IndexLink"/>
              </w:rPr>
              <w:t>474</w:t>
            </w:r>
          </w:hyperlink>
        </w:p>
        <w:p>
          <w:pPr>
            <w:pStyle w:val="Contents6"/>
            <w:tabs>
              <w:tab w:val="clear" w:pos="7609"/>
              <w:tab w:val="right" w:pos="9026" w:leader="dot"/>
            </w:tabs>
            <w:rPr/>
          </w:pPr>
          <w:hyperlink w:anchor="__RefHeading___Toc6422838_1280447820">
            <w:r>
              <w:rPr>
                <w:webHidden/>
                <w:rStyle w:val="IndexLink"/>
                <w:rtl w:val="true"/>
              </w:rPr>
              <w:t xml:space="preserve">ج </w:t>
            </w:r>
            <w:r>
              <w:rPr>
                <w:rStyle w:val="IndexLink"/>
                <w:rtl w:val="true"/>
              </w:rPr>
              <w:t xml:space="preserve">- </w:t>
            </w:r>
            <w:r>
              <w:rPr>
                <w:rStyle w:val="IndexLink"/>
                <w:rtl w:val="true"/>
              </w:rPr>
              <w:t>قرائن أخرى على عدم النسخ</w:t>
            </w:r>
            <w:r>
              <w:rPr>
                <w:rStyle w:val="IndexLink"/>
                <w:rtl w:val="true"/>
              </w:rPr>
              <w:tab/>
            </w:r>
            <w:r>
              <w:rPr>
                <w:rStyle w:val="IndexLink"/>
              </w:rPr>
              <w:t>474</w:t>
            </w:r>
          </w:hyperlink>
        </w:p>
        <w:p>
          <w:pPr>
            <w:pStyle w:val="Contents5"/>
            <w:tabs>
              <w:tab w:val="clear" w:pos="7892"/>
              <w:tab w:val="right" w:pos="9026" w:leader="dot"/>
            </w:tabs>
            <w:rPr/>
          </w:pPr>
          <w:hyperlink w:anchor="__RefHeading___Toc6422840_1280447820">
            <w:r>
              <w:rPr>
                <w:webHidden/>
                <w:rStyle w:val="IndexLink"/>
                <w:rtl w:val="true"/>
              </w:rPr>
              <w:t>كلمة التوحيد، و توحيد الكلمة</w:t>
            </w:r>
            <w:r>
              <w:rPr>
                <w:rStyle w:val="IndexLink"/>
                <w:rtl w:val="true"/>
              </w:rPr>
              <w:tab/>
            </w:r>
            <w:r>
              <w:rPr>
                <w:rStyle w:val="IndexLink"/>
              </w:rPr>
              <w:t>476</w:t>
            </w:r>
          </w:hyperlink>
        </w:p>
        <w:p>
          <w:pPr>
            <w:pStyle w:val="Contents4"/>
            <w:tabs>
              <w:tab w:val="clear" w:pos="8176"/>
              <w:tab w:val="right" w:pos="9026" w:leader="dot"/>
            </w:tabs>
            <w:rPr/>
          </w:pPr>
          <w:hyperlink w:anchor="__RefHeading___Toc6422842_1280447820">
            <w:r>
              <w:rPr>
                <w:webHidden/>
                <w:rStyle w:val="IndexLink"/>
                <w:rtl w:val="true"/>
              </w:rPr>
              <w:t>ملحق</w:t>
            </w:r>
            <w:r>
              <w:rPr>
                <w:rStyle w:val="IndexLink"/>
                <w:rtl w:val="true"/>
              </w:rPr>
              <w:tab/>
            </w:r>
            <w:r>
              <w:rPr>
                <w:rStyle w:val="IndexLink"/>
              </w:rPr>
              <w:t>477</w:t>
            </w:r>
          </w:hyperlink>
        </w:p>
        <w:p>
          <w:pPr>
            <w:pStyle w:val="Contents4"/>
            <w:tabs>
              <w:tab w:val="clear" w:pos="8176"/>
              <w:tab w:val="right" w:pos="9026" w:leader="dot"/>
            </w:tabs>
            <w:rPr/>
          </w:pPr>
          <w:hyperlink w:anchor="__RefHeading___Toc6422844_1280447820">
            <w:r>
              <w:rPr>
                <w:webHidden/>
                <w:rStyle w:val="IndexLink"/>
                <w:rtl w:val="true"/>
              </w:rPr>
              <w:t>تعليق للمؤلف</w:t>
            </w:r>
            <w:r>
              <w:rPr>
                <w:rStyle w:val="IndexLink"/>
                <w:rtl w:val="true"/>
              </w:rPr>
              <w:tab/>
            </w:r>
            <w:r>
              <w:rPr>
                <w:rStyle w:val="IndexLink"/>
              </w:rPr>
              <w:t>477</w:t>
            </w:r>
          </w:hyperlink>
        </w:p>
        <w:p>
          <w:pPr>
            <w:pStyle w:val="Contents2"/>
            <w:tabs>
              <w:tab w:val="clear" w:pos="8743"/>
              <w:tab w:val="right" w:pos="9026" w:leader="dot"/>
            </w:tabs>
            <w:rPr/>
          </w:pPr>
          <w:hyperlink w:anchor="__RefHeading___Toc6422846_1280447820">
            <w:r>
              <w:rPr>
                <w:webHidden/>
                <w:rStyle w:val="IndexLink"/>
                <w:rtl w:val="true"/>
              </w:rPr>
              <w:t>الفهارس العامة</w:t>
            </w:r>
            <w:r>
              <w:rPr>
                <w:rStyle w:val="IndexLink"/>
                <w:rtl w:val="true"/>
              </w:rPr>
              <w:tab/>
            </w:r>
            <w:r>
              <w:rPr>
                <w:rStyle w:val="IndexLink"/>
              </w:rPr>
              <w:t>479</w:t>
            </w:r>
          </w:hyperlink>
        </w:p>
        <w:p>
          <w:pPr>
            <w:pStyle w:val="Contents3"/>
            <w:tabs>
              <w:tab w:val="clear" w:pos="8459"/>
              <w:tab w:val="right" w:pos="9026" w:leader="dot"/>
            </w:tabs>
            <w:rPr/>
          </w:pPr>
          <w:hyperlink w:anchor="__RefHeading___Toc6422848_1280447820">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6422850_1280447820">
            <w:r>
              <w:rPr>
                <w:webHidden/>
                <w:rStyle w:val="IndexLink"/>
                <w:rtl w:val="true"/>
              </w:rPr>
              <w:t>فهرس الآيات</w:t>
            </w:r>
            <w:r>
              <w:rPr>
                <w:rStyle w:val="IndexLink"/>
                <w:rtl w:val="true"/>
              </w:rPr>
              <w:tab/>
            </w:r>
            <w:r>
              <w:rPr>
                <w:rStyle w:val="IndexLink"/>
              </w:rPr>
              <w:t>481</w:t>
            </w:r>
          </w:hyperlink>
        </w:p>
        <w:p>
          <w:pPr>
            <w:pStyle w:val="Contents3"/>
            <w:tabs>
              <w:tab w:val="clear" w:pos="8459"/>
              <w:tab w:val="right" w:pos="9026" w:leader="dot"/>
            </w:tabs>
            <w:rPr/>
          </w:pPr>
          <w:hyperlink w:anchor="__RefHeading___Toc6422852_1280447820">
            <w:r>
              <w:rPr>
                <w:webHidden/>
                <w:rStyle w:val="IndexLink"/>
                <w:rtl w:val="true"/>
              </w:rPr>
              <w:t>فهرس الأحاديث</w:t>
            </w:r>
            <w:r>
              <w:rPr>
                <w:rStyle w:val="IndexLink"/>
                <w:rtl w:val="true"/>
              </w:rPr>
              <w:tab/>
            </w:r>
            <w:r>
              <w:rPr>
                <w:rStyle w:val="IndexLink"/>
              </w:rPr>
              <w:t>518</w:t>
            </w:r>
          </w:hyperlink>
        </w:p>
        <w:p>
          <w:pPr>
            <w:pStyle w:val="Contents3"/>
            <w:tabs>
              <w:tab w:val="clear" w:pos="8459"/>
              <w:tab w:val="right" w:pos="9026" w:leader="dot"/>
            </w:tabs>
            <w:rPr/>
          </w:pPr>
          <w:hyperlink w:anchor="__RefHeading___Toc6422854_1280447820">
            <w:r>
              <w:rPr>
                <w:webHidden/>
                <w:rStyle w:val="IndexLink"/>
                <w:rtl w:val="true"/>
              </w:rPr>
              <w:t>فهرس الأشعار</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51_180910"/>
      <w:bookmarkStart w:id="1" w:name="pg16351_180910"/>
      <w:bookmarkEnd w:id="1"/>
    </w:p>
    <w:p>
      <w:pPr>
        <w:pStyle w:val="Heading2"/>
        <w:numPr>
          <w:ilvl w:val="1"/>
          <w:numId w:val="1"/>
        </w:numPr>
        <w:rPr/>
      </w:pPr>
      <w:bookmarkStart w:id="2" w:name="pg16351_180910"/>
      <w:bookmarkStart w:id="3" w:name="__RefHeading___Toc6421968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الس‍ب‍ح‍ان‍ي‌ الت‍ب‍ری‍زي‌،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 علی هدی الکتاب و السنة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ج‍ع‍ف‍ر ال‍س‍ب‍ح‍ان‍ي الت‍ب‍ری‍زي‌‬‏‫؛ ب‍ق‍ل‍م‌ ح‍س‍ن‌م‍ح‍م‍د م‍کي ‌ال‍ع‍ام‍لي‌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۱۶۰۰۰۰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964-357-054-1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964-357-055-</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964-357-056-8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964-357-057-6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ال‍ع‍ال‍م‍ي‌ ل‍ل‍دراس‍ات‌ الاس‍لام‍یة‌،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ع‍ام‍ل‍ی‌، ح‍س‍ن‌</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س‌۱۸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 ۱۳۸۱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۱۵۸۲۲</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2197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الفصل التّاسع الإمامة و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الإمامة من الأصول أو الفروع؟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الإمامة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مؤهلات الإمام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ذا تنعقد الإمامة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ماهية الإمامة عند الشيعة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المصالح العامة و صيغة الحكومة بعد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الشورى أساس للحكم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البيعة أساس للحكم و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النبيّ الأكرم للقيادة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 الصحابة للخلافة بعد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صيغة القيادة في الشرائع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و تنصيب علي للإمامة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و الأئمة الاثنا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المنتظر في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مهمة حول المهدي عجّل اللّه فرجه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51_180916"/>
      <w:bookmarkStart w:id="8" w:name="pg16351_180916"/>
      <w:bookmarkEnd w:id="8"/>
    </w:p>
    <w:p>
      <w:pPr>
        <w:pStyle w:val="Heading2"/>
        <w:numPr>
          <w:ilvl w:val="1"/>
          <w:numId w:val="1"/>
        </w:numPr>
        <w:rPr/>
      </w:pPr>
      <w:bookmarkStart w:id="9" w:name="pg16351_180916"/>
      <w:bookmarkStart w:id="10" w:name="__RefHeading___Toc6421972_1280447820"/>
      <w:bookmarkStart w:id="11" w:name="_Toc3"/>
      <w:bookmarkEnd w:id="9"/>
      <w:bookmarkEnd w:id="10"/>
      <w:r>
        <w:rPr>
          <w:rtl w:val="true"/>
        </w:rPr>
        <w:t>الفصل التاسع الإمامة و الخلافة</w:t>
      </w:r>
      <w:bookmarkEnd w:id="11"/>
    </w:p>
    <w:p>
      <w:pPr>
        <w:pStyle w:val="Heading3"/>
        <w:numPr>
          <w:ilvl w:val="2"/>
          <w:numId w:val="1"/>
        </w:numPr>
        <w:rPr/>
      </w:pPr>
      <w:bookmarkStart w:id="12" w:name="__RefHeading___Toc6421974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المقصود من الإمامة، إمامة الأمّة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عن الرسول الأكرم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 و قبل الخوض في أصل المقصود، نقدّم أمورا</w:t>
      </w:r>
      <w:r>
        <w:rPr>
          <w:rFonts w:eastAsia="Amiri" w:cs="Amiri" w:ascii="Amiri" w:hAnsi="Amiri"/>
          <w:color w:val="111111"/>
          <w:sz w:val="28"/>
          <w:szCs w:val="28"/>
          <w:rtl w:val="true"/>
          <w:lang w:bidi="ar-SA"/>
        </w:rPr>
        <w:t xml:space="preserve">: </w:t>
      </w:r>
      <w:bookmarkStart w:id="14" w:name="pg16351_180917"/>
    </w:p>
    <w:p>
      <w:pPr>
        <w:pStyle w:val="Heading3"/>
        <w:numPr>
          <w:ilvl w:val="2"/>
          <w:numId w:val="1"/>
        </w:numPr>
        <w:rPr/>
      </w:pPr>
      <w:bookmarkStart w:id="15" w:name="__RefHeading___Toc6421976_1280447820"/>
      <w:bookmarkStart w:id="16" w:name="_Toc5"/>
      <w:bookmarkEnd w:id="14"/>
      <w:bookmarkEnd w:id="15"/>
      <w:r>
        <w:rPr>
          <w:rtl w:val="true"/>
        </w:rPr>
        <w:t>الأمر الأول في تعريف الإمامة</w:t>
      </w:r>
      <w:bookmarkEnd w:id="16"/>
    </w:p>
    <w:p>
      <w:pPr>
        <w:pStyle w:val="BookText"/>
        <w:rPr/>
      </w:pPr>
      <w:r>
        <w:rPr>
          <w:rFonts w:ascii="Amiri" w:hAnsi="Amiri" w:eastAsia="Amiri" w:cs="Amiri"/>
          <w:color w:val="111111"/>
          <w:sz w:val="28"/>
          <w:sz w:val="28"/>
          <w:szCs w:val="28"/>
          <w:rtl w:val="true"/>
          <w:lang w:bidi="ar-SA"/>
        </w:rPr>
        <w:t>عرّفت الإمامة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رئاسة عامّة في أمور الدين و الدنيا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خلافة الرسول في إقامة الدين، بحيث يجب اتّباعه على كافة الأمة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نيابة عن صاحب الشريعة في حفظ الدين و سياسة الدنيا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خلافة عن الرسول في إقامة الدين و حفظ الملّة بحيث يجب اتّباعه على كافة الأمة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التعريف الأول أليق على مذهب الإمامية، و البقية ألصق بمذهب أهل السنّة في الإمام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تعرّف الإمامة بأنّها رئاسة عامة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فالمهم هو تحليل ماهية هذه الخلافة، و تحديدها، و أنّه ما ذا يراد من الإمامة في مصطلح المتكلمين</w:t>
      </w:r>
      <w:r>
        <w:rPr>
          <w:rFonts w:eastAsia="Amiri" w:cs="Amiri" w:ascii="Amiri" w:hAnsi="Amiri"/>
          <w:color w:val="111111"/>
          <w:sz w:val="28"/>
          <w:szCs w:val="28"/>
          <w:rtl w:val="true"/>
          <w:lang w:bidi="ar-SA"/>
        </w:rPr>
        <w:t xml:space="preserve">. </w:t>
      </w:r>
      <w:bookmarkStart w:id="17" w:name="pg16351_180918"/>
    </w:p>
    <w:p>
      <w:pPr>
        <w:pStyle w:val="Heading3"/>
        <w:numPr>
          <w:ilvl w:val="2"/>
          <w:numId w:val="1"/>
        </w:numPr>
        <w:rPr/>
      </w:pPr>
      <w:bookmarkStart w:id="18" w:name="__RefHeading___Toc6421978_1280447820"/>
      <w:bookmarkStart w:id="19" w:name="_Toc6"/>
      <w:bookmarkEnd w:id="17"/>
      <w:bookmarkEnd w:id="18"/>
      <w:r>
        <w:rPr>
          <w:rtl w:val="true"/>
        </w:rPr>
        <w:t>الأمر الثاني هل الإمامة من الأصول أو الفروع؟</w:t>
      </w:r>
      <w:bookmarkEnd w:id="19"/>
    </w:p>
    <w:p>
      <w:pPr>
        <w:pStyle w:val="BookText"/>
        <w:rPr/>
      </w:pPr>
      <w:r>
        <w:rPr>
          <w:rFonts w:ascii="Amiri" w:hAnsi="Amiri" w:eastAsia="Amiri" w:cs="Amiri"/>
          <w:color w:val="111111"/>
          <w:sz w:val="28"/>
          <w:sz w:val="28"/>
          <w:szCs w:val="28"/>
          <w:rtl w:val="true"/>
          <w:lang w:bidi="ar-SA"/>
        </w:rPr>
        <w:t>اتّفقت كلمة أهل السنة، أو أكثرهم، على أنّ الإمامة من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النظر في الإمامة أيضا ليس من المهمات، و ليس أيضا من فنّ المعقولات، بل من الفقهيات، ثم إنّها مثار للتعصبات، و المعرض عن الخوض فيها، أسلم من الخائض فيها، و إن أصاب، فكيف إذا أخطأ؟ و لكن إذ جرّ الرسم باختتام المعتقدات بها، أردنا أن نسلك منهج المعتاد، فإنّ فطام القلوب عن المنهج، المخالف للمألوف</w:t>
      </w:r>
      <w:r>
        <w:rPr>
          <w:rStyle w:val="FootnoteAnchor"/>
          <w:rtl w:val="true"/>
        </w:rPr>
        <w:footnoteReference w:id="6"/>
      </w:r>
      <w:r>
        <w:rPr>
          <w:rFonts w:ascii="Amiri" w:hAnsi="Amiri" w:eastAsia="Amiri" w:cs="Amiri"/>
          <w:color w:val="111111"/>
          <w:sz w:val="28"/>
          <w:sz w:val="28"/>
          <w:szCs w:val="28"/>
          <w:rtl w:val="true"/>
          <w:lang w:bidi="ar-SA"/>
        </w:rPr>
        <w:t>، شديد النّفار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الآمدي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الكلام في الإمامة ليس من أصول الديانات، و لا من الأمور اللاّبدّيّات، بحيث لا يسع المكلّف الإعراض عنها و الجهل بها، بل لعمري إنّ المعرض عنها لأرجى من الواغل فيها، فإنّها قلّما تنفك عن التعصّب، و الأهواء، و إثارة الفتن و الشحناء، و الرجم بالغيب في حق الأئمة و السّلف، بالإزراء، و هذا مع كون الخائض فيها سالكا سبيل التحقيق، فكيف إذا كان خارجا عن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جرت العادة بذكرها في أواخر كتب المتكلمين، و الإبانة عن تحقيقها في عامة مصنفات الأصوليين، لم نر من الصواب </w:t>
      </w:r>
    </w:p>
    <w:p>
      <w:pPr>
        <w:pStyle w:val="BookText"/>
        <w:rPr/>
      </w:pPr>
      <w:r>
        <w:rPr>
          <w:rFonts w:ascii="Amiri" w:hAnsi="Amiri" w:eastAsia="Amiri" w:cs="Amiri"/>
          <w:color w:val="111111"/>
          <w:sz w:val="28"/>
          <w:sz w:val="28"/>
          <w:szCs w:val="28"/>
          <w:rtl w:val="true"/>
          <w:lang w:bidi="ar-SA"/>
        </w:rPr>
        <w:t>خرق العادة بترك ذكرها في هذا الكتاب</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الإيجي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عندنا من الفروع، و إنّما ذكرناها في علم الكلام تأسّيا بمن قبلنا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 نصب الإمام الموصوف بالصفات المخصوصة، من فروض الكفايات، و هي أمور كليّة تتعلق بها مصالح دينية أو دنيوية، لا ينتظم الأمر إلاّ بحصولها، فيقصد الشارع تحصيلها في الجملة من غير أن يقصد حصولها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خفاء في أنّ ذلك من الأحكام العملية دون الاعتقادية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لدى أهل السّنّة، و أمّا الشّيعة، فالاعتقاد بالإمامة عندهم أصل من أصول الدين، و سيظهر وجهه في الأبحاث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سؤال يطرح نفسه، و هو أنّه إذا كانت الإمامة من الفروع، فأي معنى لسلّ السيف على هذا الحكم الفرعي، حتى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خلاف بين الأمة،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الاعتقاد بإمامة شخص، تولّى الخلافة بعد رسول اللّه صلى اللّه عليه و آله، من الأحكام الفرعية، فإنّ المخالفة فيه لا تستلزم تكفير المخالف أو تفسيقه، إذا كان للمخالف حجة شرعية، كمخالفة المجتهد للمجتهد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على الخفّين، أو جواز العمل بالقياس، من مسائل الفروع الخلافية، فهل ترى من نفسك تجويز تكفير المخالف، أو تفسيقه؟، أو </w:t>
      </w:r>
    </w:p>
    <w:p>
      <w:pPr>
        <w:pStyle w:val="BookText"/>
        <w:rPr/>
      </w:pPr>
      <w:r>
        <w:rPr>
          <w:rFonts w:ascii="Amiri" w:hAnsi="Amiri" w:eastAsia="Amiri" w:cs="Amiri"/>
          <w:color w:val="111111"/>
          <w:sz w:val="28"/>
          <w:sz w:val="28"/>
          <w:szCs w:val="28"/>
          <w:rtl w:val="true"/>
          <w:lang w:bidi="ar-SA"/>
        </w:rPr>
        <w:t>إنّ لكلّ حجّته و دليله، و إنّ للمصيب أجرين و للمخطئ أجرا واحدا، فما هذه الدمدمة و الهمهمة حول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الإمامة، بعامّة أبحاثها من الفروع، فما وجه إقحام ذلك في عداد المسائل الأصولية، كما ارتكبه إمام الحنابلة،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الأمة بعد نبيّنا، أبو بكر، و خيرهم بعد أبي بكر، عمر، و خيرهم بعد عمر، عثمان؛ و خيرهم بعد عثمان، عليّ؛ رضوان اللّه عليهم، خلفاء راشدون مهديّون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أبو جعفر الطحاوي الحنفي في العقيدة الطحاوية،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عقيدة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تثبت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الصّدّيق، تفضيلا، و تقديما على جميع الأمّة، ثم لعمر بن الخطاب، ثم لعثمان بن عفّان، ثم لعليّ بن أبي طالب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اقتفى أثرهما الشيخ أبو الحسن الأشعري، عند بيان عقيدة أهل الحديث و أهل السّنة، و الشيخ عبد القاهر البغدادي في بيان الأصول التي اجتمع عليها أهل السنّة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الصراع بين القولين، أراق الدماء الطاهرة، و جرّ على الأمّة الويل و الثبور، و عظائم الأمور، فما معنى إقحام الاعتقاد بالأحكام الفرعية في قائمة العقائد؟ و إن هذا إلاّ زلة لا تستقال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أوّل من لبّس الأمر، و جعل الاعتقاد بها من صميم الإيمان على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مسلك أهل السنة، هو عمرو بن العاص، عند ما اجتمع مع أبي موسى الأشعري، في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الاعتقاد بخلافة الخليفتين الأوّلين، إلاّ للازدراء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0" w:name="pg16351_180922"/>
    </w:p>
    <w:p>
      <w:pPr>
        <w:pStyle w:val="Heading3"/>
        <w:numPr>
          <w:ilvl w:val="2"/>
          <w:numId w:val="1"/>
        </w:numPr>
        <w:rPr/>
      </w:pPr>
      <w:bookmarkStart w:id="21" w:name="__RefHeading___Toc6421980_1280447820"/>
      <w:bookmarkStart w:id="22" w:name="_Toc7"/>
      <w:bookmarkEnd w:id="20"/>
      <w:bookmarkEnd w:id="21"/>
      <w:r>
        <w:rPr>
          <w:rtl w:val="true"/>
        </w:rPr>
        <w:t>الأمر الثالث ماهية الإمامة عند أهل السنّة</w:t>
      </w:r>
      <w:bookmarkEnd w:id="22"/>
    </w:p>
    <w:p>
      <w:pPr>
        <w:pStyle w:val="BookText"/>
        <w:rPr/>
      </w:pPr>
      <w:r>
        <w:rPr>
          <w:rFonts w:ascii="Amiri" w:hAnsi="Amiri" w:eastAsia="Amiri" w:cs="Amiri"/>
          <w:color w:val="111111"/>
          <w:sz w:val="28"/>
          <w:sz w:val="28"/>
          <w:szCs w:val="28"/>
          <w:rtl w:val="true"/>
          <w:lang w:bidi="ar-SA"/>
        </w:rPr>
        <w:t>إنّ اتّفاق مشايخ المتكلمين من أهل السنّة على كون الإمامة من الفروع التي يبحث عنها في الكتب الفقهية، و اتّفاق الشيعة الإمامية على أنّها من الأصول، ينشئان من أصل آخر، و هو أنّ حقيقة الإمامة تختلف عند السنّة، عمّا هي عند الشيعة، فالسّنة ينظرون إلى الإمام كرئيس دولة، ينتخبه الشعب أو نوّاب الأمّة، أو يتسلّط عليها بانقلاب عسكري، و ما شابه ذلك، فإنّ مثل هذا لا يشترط فيه سوى بعض المواصفات المعروفة، و من المعلوم أنّ الاعتقاد برئاسة رئيس جمهورية، أو رئيس وزراء، ليس من الأصول، بحيث يفسّق من لم يعتقد بإمامته و رئاسته و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البلاد الإسلامية لمّا تزل يسيطر عليها رئيس بعد آخر، رغبة أو رهبة، و لم ير أحد الاعتقاد بإمامته من الأصول، و لم يجعل فسقه موجبا لخلعه، و إلاّ لما استقرّ حجر على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الشيعة الإمامية، فينظرون إلى الإمامة بأنّها استمرار لوظائف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لنفس الرسالة، فإنّ الرسالة و النبوة مختومتان بالتحاق النبي الأكرم بالرفيق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ممارسة هذا المقام، يتوقف على توفر صلاحيات عالية، لا ينالها الفرد، إلاّ إذا وقع تحت عناية إلهية ربّانية خاصة، فيخلف النبيّ في علمه بالأصول و الفروع، و في عدالته و عصمته، و قيادته الحكيمة، و غير ذلك من الشئون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يعرب عن أنّ الإمامة عند أهل السنّة أشبه بسياسة وقتية زمنيّة، يشغلها </w:t>
      </w:r>
    </w:p>
    <w:p>
      <w:pPr>
        <w:pStyle w:val="BookText"/>
        <w:rPr/>
      </w:pPr>
      <w:r>
        <w:rPr>
          <w:rFonts w:ascii="Amiri" w:hAnsi="Amiri" w:eastAsia="Amiri" w:cs="Amiri"/>
          <w:color w:val="111111"/>
          <w:sz w:val="28"/>
          <w:sz w:val="28"/>
          <w:szCs w:val="28"/>
          <w:rtl w:val="true"/>
          <w:lang w:bidi="ar-SA"/>
        </w:rPr>
        <w:t>فرد من الأمّة بأحد الطرق، ما اشترطوه من الشروط، و ذكروه من الأوصاف في حق الإمام، و ستوافيك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الباحث على صحّة هذا التحليل نشير إلى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الإمام بفسقه و ظلمه بغصب الأموال، و ضرب الأبشار، و تناول النفوس المحرمة، و تضييع الحقوق، و تعطيل الحدود، و لا يجب الخروج عليه، بل يجب وعظه و تخويفه و ترك طاعته في شيء ممّا يدعو إليه من معاصي اللّه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نرى الخروج على أئمتنا و ولاة أمورنا، و إن جاروا، و لا ندعوا عليهم، و لا ننزع يدا من طاعتهم، و نرى طاعتهم من طاعة اللّه عز و جل فريضة، ما لم يأمروا بمعصية، و ندعو لهم بالصلاح و المعافاة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الحج و الجهاد ماضيان مع أولي الأمر من المسلمين، برّهم و فاجرهم، إلى قيام الساعة، و لا يبطلهما شيء و لا ينقضهما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ينعزل الإمام بالفسق، أو بالخروج عن طاعة اللّه تعالى، و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الظلم على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ظهر الفسق، و انتشر الجور من الأئمة و الأمراء بعد الخلفاء الراشدين، و السلف كانوا ينقادون لهم، و يقيمون الجمع و الأعياد بإذنهم، و لا يرون الخروج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كتب الشافعية أنّ القاضي ينعزل بالفسق بخلاف الإمام، و الفرق أن في انعزاله و وجوب نصب غيره إثارة الفتنة، لما له من الشوكة، بخلاف القاضي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الكلمات التي ذكروها في وجوب إطاعة السلطان الجائر، و حرمة الخروج عليه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الكلمات تبين لنا موقع منصب الإمامة عند أهل </w:t>
      </w:r>
    </w:p>
    <w:p>
      <w:pPr>
        <w:pStyle w:val="BookText"/>
        <w:rPr/>
      </w:pPr>
      <w:r>
        <w:rPr>
          <w:rFonts w:ascii="Amiri" w:hAnsi="Amiri" w:eastAsia="Amiri" w:cs="Amiri"/>
          <w:color w:val="111111"/>
          <w:sz w:val="28"/>
          <w:sz w:val="28"/>
          <w:szCs w:val="28"/>
          <w:rtl w:val="true"/>
          <w:lang w:bidi="ar-SA"/>
        </w:rPr>
        <w:t>الحديث و الأشاعرة، و كلّها تعرب عن أنّهم ينظرون إلى الإمامة كسياسة وقتية زمنية، و إلى الإمام كسائس عاديّ يقود أمّته في حياتهم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يكون الفسق و الجور، و هتك الأستار، قادحا في إمامتهم، كما أنّ التسلط على الرقاب بالقهر و الاستيلاء، و النار و الحرب، أحد الطرق المسوغة للتربع على منصّة الإمامة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هذه هي حقيقة الإمامة، و كان هذا هو الإمام، فلا غرابة حينئذ في جعلها من الأحكام الفرعية</w:t>
      </w:r>
      <w:r>
        <w:rPr>
          <w:rFonts w:eastAsia="Amiri" w:cs="Amiri" w:ascii="Amiri" w:hAnsi="Amiri"/>
          <w:color w:val="111111"/>
          <w:sz w:val="28"/>
          <w:szCs w:val="28"/>
          <w:rtl w:val="true"/>
          <w:lang w:bidi="ar-SA"/>
        </w:rPr>
        <w:t xml:space="preserve">. </w:t>
      </w:r>
      <w:bookmarkStart w:id="23" w:name="pg16351_180925"/>
    </w:p>
    <w:p>
      <w:pPr>
        <w:pStyle w:val="Heading3"/>
        <w:numPr>
          <w:ilvl w:val="2"/>
          <w:numId w:val="1"/>
        </w:numPr>
        <w:rPr/>
      </w:pPr>
      <w:bookmarkStart w:id="24" w:name="__RefHeading___Toc6421982_1280447820"/>
      <w:bookmarkStart w:id="25" w:name="_Toc8"/>
      <w:bookmarkEnd w:id="23"/>
      <w:bookmarkEnd w:id="24"/>
      <w:r>
        <w:rPr>
          <w:rtl w:val="true"/>
        </w:rPr>
        <w:t>الأمر الرابع مؤهلات الإمام عند أهل السنّة</w:t>
      </w:r>
      <w:bookmarkEnd w:id="25"/>
    </w:p>
    <w:p>
      <w:pPr>
        <w:pStyle w:val="Heading4"/>
        <w:numPr>
          <w:ilvl w:val="3"/>
          <w:numId w:val="1"/>
        </w:numPr>
        <w:rPr/>
      </w:pPr>
      <w:bookmarkStart w:id="26" w:name="__RefHeading___Toc6421984_128044782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انطلاقا من البحث السابق في تبيين ماهية الإمامة، عند أهل السنّة لم يشترطوا في الإمام سوى عدّة صلاحيات، تشترط في عامة الرؤساء، و إليك نصوصهم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قال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قرشيّا من صميم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في العلم بمنزلة من يصلح أن يكون قاضيا من قضاة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ذا بصيرة بأمر الحرب، و تدبير الجيوش و السرايا، و سدّ الثغور، و حماية البيضة، و حفظ الأمّة، و الانتقام من ظالمها، و الأخذ لمظلومها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 إنّ الذي يصلح للإمامة ينبغي أن يكون فيه أربعة 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يكفيه منه، أن يبلغ فيه مبلغ المجتهدين في الحلال و الحرام، و في سائر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يجب له من هذه الخصلة، أن يكون ممن يجوز قبول شهادته تحمّلا و 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إلى وجوه السياسة و حسن التدبير، و أن يعرف مراتب الناس، فيحفظهم عليها، و لا يستعين على الأعمال الكبار، بالعمّال الصغار، و يكون عارفا بتدبير الحروب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من قريش</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Amiri" w:hAnsi="Amiri" w:eastAsia="Amiri" w:cs="Amiri"/>
          <w:color w:val="111111"/>
          <w:sz w:val="28"/>
          <w:sz w:val="28"/>
          <w:szCs w:val="28"/>
          <w:rtl w:val="true"/>
          <w:lang w:bidi="ar-SA"/>
        </w:rPr>
        <w:t xml:space="preserve">و قال أبو الحسن البغدادي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الشروط المعتبرة في الإمامة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شروطها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المؤدّي إلى الاجتهاد في النوازل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من السمع و البصر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المفضي إلى سياسة الرعية و تدبير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هو أن يكون من قريش</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صلبه من قريش،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بالغا مميزا،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رجلا،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مسلما،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متقدّما لأمره،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 بما يلزمه من فرائض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متّقيا للّه بالجملة، غير معلن الفساد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مولّى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القاضي سراج الدين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صفات الأئمة تسع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مجتهدا في أصول الدين و فروعه،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ذا رأي </w:t>
      </w:r>
      <w:bookmarkStart w:id="28" w:name="pg16351_180927"/>
    </w:p>
    <w:p>
      <w:pPr>
        <w:pStyle w:val="BookText"/>
        <w:rPr/>
      </w:pPr>
      <w:bookmarkEnd w:id="28"/>
      <w:r>
        <w:rPr>
          <w:rFonts w:ascii="Amiri" w:hAnsi="Amiri" w:eastAsia="Amiri" w:cs="Amiri"/>
          <w:color w:val="111111"/>
          <w:sz w:val="28"/>
          <w:sz w:val="28"/>
          <w:szCs w:val="28"/>
          <w:rtl w:val="true"/>
          <w:lang w:bidi="ar-SA"/>
        </w:rPr>
        <w:t xml:space="preserve">و تدبير،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شجاعا،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عدلا،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عاقلا،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بالغا،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مذكّرا،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حرّا،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قرشيّا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ذكرنا في كتبنا الفقهية أنّه لا بدّ للأمّة من إمام يحيي الشريعة، و يقيم السنّة، و ينتصف للمظلومين، و يستوفي الحقوق، و يضعها مواضعها، و يشترط أن يكون مكلّفا، مسلما، عدلا، حرّا، ذكرا مجتهدا، شجاعا، ذا رأي و كفاية، سميعا بصيرا، ناطقا، قريشيا، فإن لم يوجد من قريش من يستجمع هذه الصفات المعتبرة، ولي كنانيّ، فإن لم يوجد فرجل من ولد اسماعيل، فإن لم يوجد فرجل من العجم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روزبهان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شروط الإمام أن يكون مجتهدا في الأصول و الفروع ليقوم بأمر الدين، ذا رأي و بصارة بتدبير الحرب، و ترتيب الجيوش، شجاعا، قويّ القلب ليقوى على الذّبّ عن الحوزة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6421986_1280447820"/>
      <w:bookmarkStart w:id="30" w:name="_Toc10"/>
      <w:bookmarkEnd w:id="29"/>
      <w:r>
        <w:rPr>
          <w:rtl w:val="true"/>
        </w:rPr>
        <w:t>و يلاحظ على هذه الشروط</w:t>
      </w:r>
      <w:bookmarkEnd w:id="3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اختلافهم في عدد الشرائط قلّة و كثرة، ناشئ من افتقادهم النصّ الشرعي في مجال الإمامة و اعتقادهم أنّ منصب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تنبس فيه النبي الأكرم ببنت شفة، و إنّما الموجود عندهم نصوص كلية لا تتكفل لتعيين هذه الشروط، و لا تتكفل لتبيين صيغة الحكومة الإسلامية بعد النبي، و المصدر لهذه الشروط عندهم هو الاستحسان، و الاعتبارات العقلائية، و ملاحظة الأهداف التي يمارسها الإمام و الخليفة بعد النبي الأكرم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يقضي منه العجب، و هو أنّ النبي كيف ترك بيان هذا الأمر </w:t>
      </w:r>
    </w:p>
    <w:p>
      <w:pPr>
        <w:pStyle w:val="BookText"/>
        <w:rPr/>
      </w:pPr>
      <w:r>
        <w:rPr>
          <w:rFonts w:ascii="Amiri" w:hAnsi="Amiri" w:eastAsia="Amiri" w:cs="Amiri"/>
          <w:color w:val="111111"/>
          <w:sz w:val="28"/>
          <w:sz w:val="28"/>
          <w:szCs w:val="28"/>
          <w:rtl w:val="true"/>
          <w:lang w:bidi="ar-SA"/>
        </w:rPr>
        <w:t>المهمّ، شرطا و صفة، مع أنّه بيّن أبسط الأشياء و أدناها، من المكروهات و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العدالة لا ينسجم مع ما ذهبوا إليه من أنّ الإمام لا ينخلع بفسقه و ظلمه، و غيره ممّا نقلناه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جعلوا القهر و الاستيلاء، أحد الأمور التي تنعقد بها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المستولي و القاهر ولي أمر، يشمله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القاهر و المستولي بالحرب و النّار، لا يهمه إلاّ السلطة و إعمال القدرة، سواء اجتمعت فيه هذه الشروط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يجب إطاعة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طاعته لا ينسجم مع اعتبار هذه الشروط، و عدم وجوب طاعته لا ينسجم مع كون القهر و الغلبة من الأمور التي تنعقد بها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الإسلامي يشهد بأنّ الخلفاء بعد عليّ عليه السلام، كانوا يفقدون أكثر هذه الصلاحيات و مع ذلك يمارسون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صحائف تاريخهم، من لدن تسنّم معاوية عرش الخلافة، إلى آخر خلفاء بني مروان، خضبوا وجه الأرض بدماء الأبرياء، و قتلوا الصحابة و التابعين، و نهبوا الديار و الأموال، و قد بلغ جورهم و ظلمهم الذروة، حتى ثارت عليهم الأمّة، و قتلت صغيرهم و كبيرهم، فلم يبق منهم إلاّ من فرّ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بعدهم تسلّط العباسيون، باسم حماية أهل البيت، و لكن حدث ما حدث، و لم تكن سيرتهم أحسن حالا من سيرة الأمويين، حتى قال القائل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 جور بني مروان دام لنا و ليت عدل بني العبّاس في النار </w:t>
      </w:r>
      <w:bookmarkStart w:id="31" w:name="pg16351_180929"/>
    </w:p>
    <w:p>
      <w:pPr>
        <w:pStyle w:val="Heading3"/>
        <w:numPr>
          <w:ilvl w:val="2"/>
          <w:numId w:val="1"/>
        </w:numPr>
        <w:rPr/>
      </w:pPr>
      <w:bookmarkStart w:id="32" w:name="__RefHeading___Toc6421988_1280447820"/>
      <w:bookmarkStart w:id="33" w:name="_Toc11"/>
      <w:bookmarkEnd w:id="31"/>
      <w:bookmarkEnd w:id="32"/>
      <w:r>
        <w:rPr>
          <w:rtl w:val="true"/>
        </w:rPr>
        <w:t>الأمر الخامس بما ذا تنعقد الإمامة عند أهل السنّة؟</w:t>
      </w:r>
      <w:bookmarkEnd w:id="33"/>
    </w:p>
    <w:p>
      <w:pPr>
        <w:pStyle w:val="Heading4"/>
        <w:numPr>
          <w:ilvl w:val="3"/>
          <w:numId w:val="1"/>
        </w:numPr>
        <w:rPr/>
      </w:pPr>
      <w:bookmarkStart w:id="34" w:name="__RefHeading___Toc6421990_128044782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قد تعرّفت على عقيدة أهل السنّة في باب الإمامة، و أنّها عندهم أشبه بسياسة وقتية زمنية، يقودها الحاكم العادي مع كفاءات و مؤهلات، تطابق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يرجع تعيين الإمام إلى نفس الأمّة، لا إلى اللّه سبحانه و لا إلى رسوله، و هم قد اختلفوا فيما تنعقد به الإمامة على أقوال شتّى نأتي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الأسفراييني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الجنايات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تنعقد الإمامة بالقهر و الاستيلاء، و لو كان فاسقا أو جاهلا أو عجميا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في عدد من تنعقد به الإمامة منهم، على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بجمهور أهل العقد و الحلّ من كل بلد، ليكون الرضا به عامّا، و التسليم لإمامته إجماعا، و هذا مذهب مدفوع ببيعة أبي بكر على الخلافة باختيار من حضرها، و لم ينتظر ببيعته قدوم غائب عنها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تنعقد به منهم الإمامة، خمسة يجتمعون على عقدها، أو يعقدها أحدهم برضا الأربعة، استدلالا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بيعة </w:t>
      </w:r>
    </w:p>
    <w:p>
      <w:pPr>
        <w:pStyle w:val="BookText"/>
        <w:rPr/>
      </w:pPr>
      <w:r>
        <w:rPr>
          <w:rFonts w:ascii="Amiri" w:hAnsi="Amiri" w:eastAsia="Amiri" w:cs="Amiri"/>
          <w:color w:val="111111"/>
          <w:sz w:val="28"/>
          <w:sz w:val="28"/>
          <w:szCs w:val="28"/>
          <w:rtl w:val="true"/>
          <w:lang w:bidi="ar-SA"/>
        </w:rPr>
        <w:t>أبي بكر انعقدت بخمسة اجتمعوا عليها ثم تابعهم الناس فيها، و هم عمر بن الخطاب، و أبو عبيدة بن الجراح، و أسيد بن حضير، و بشر بن سعد، و سالم مولى أبي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جعل الشورى في ستة ليعقد لأحدهم برصا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 أكثر الفقهاء و المتكلمين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 علماء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يتولاها أحدهم برضا الاثنين، ليكونوا حاكما و شاهدين، كما يصحّ عقد النكاح بولي و 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بواحد، لأنّ العباس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 عمّ رسول اللّه صلى اللّه عليه و آله بايع ابن عمّه، فلا يختلف عليك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حكم، و حكم واحد نافذ</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أنّه لا يشترط في عقد الإمامة الإجماع، بل تنعقد الإمامة، و إن لم تجمع الأمّة على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أنّ الإمامة لمّا عقدت لأبي بكر، ابتدر لإمضاء أحكام المسلمين و لم يتأنّ لانتشار الأخبار إلى من نأى من الصحابة في الأقطار، و لم ينكر عليه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يشترط الإجماع في عقد الإمامة لم يثبت عدد معدود، و لا حدّ محدود، فالوجه الحكم بأنّ الإمامة تنعقد بعقد واحد من أهل الحلّ و العقد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عقدها واحد من أهل الحلّ و العقد، فذلك ثابت، و يلزم الغير فعله، خلافا لبعض الناس،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بجماعة من أهل الحلّ و العقد، و 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عقد البيعة لأبي بكر، و لم ينكر أحد من الصحابة ذلك</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عقد، فوجب أن لا يفتقر إلى عدد </w:t>
      </w:r>
    </w:p>
    <w:p>
      <w:pPr>
        <w:pStyle w:val="BookText"/>
        <w:rPr/>
      </w:pPr>
      <w:r>
        <w:rPr>
          <w:rFonts w:ascii="Amiri" w:hAnsi="Amiri" w:eastAsia="Amiri" w:cs="Amiri"/>
          <w:color w:val="111111"/>
          <w:sz w:val="28"/>
          <w:sz w:val="28"/>
          <w:szCs w:val="28"/>
          <w:rtl w:val="true"/>
          <w:lang w:bidi="ar-SA"/>
        </w:rPr>
        <w:t>يعقدونه كسائر العقود</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القاضي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 فيما تثبت به الإمامة، و أنّها تثبت بالنّصّ من الرسول، و من الإمام السابق، بالإجماع، و تثبت ببيعة أهل الحلّ و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ثبوت إمامة أبي بكر بالبيعة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ثبت حصول الإمام بالاختيار و البيعة، فاعلم أنّ ذلك لا يفتقر إلى الإجماع، إذ لم يقم عليه دليل من العقل أو السمع، بل الواحد و الاثنان من أهل الحلّ و العقد، كاف، لعلمنا أنّ الصحابة، مع صلابتهم في الدين، اكتفوا بذلك، كعقد عمر لأبي بكر، و عقد عبد الرحمن بن عوف لعثمان، و لم يشترطوا اجتماع من في المدينة، فضلا عن إجماعهم هذا، و لم ينكر عليه أحد، و عليه انطوت الأعصار إلى وقتنا هذا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ذلك مضى شارح المواقف السيد شريف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تنعقد الإمامة بطرق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أهل الحلّ و العقد من العلماء و الرؤساء و وجوه النّاس الذين يتيسر حضورهم من غير اشتراط عدد، و لا اتّفاق من في سائر البلاد، بل لو تعلّق الحلّ و العقد بواحد مطاع كفت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 الإمام و عهده، و جعله الأمر شورى بمنزلة الاستخلاف، إلاّ أنّ المستخلف عليه غير متعين فيتشاورون، و يتفقون على أحدهم، و إذا خلع الإمام نفسه كان كموته، فينتقل الأمر إلى ولي العهد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 الاستيلاء، فإذا مات الإمام و تصدّى للإمامة من </w:t>
      </w:r>
      <w:bookmarkStart w:id="36" w:name="pg16351_180932"/>
    </w:p>
    <w:p>
      <w:pPr>
        <w:pStyle w:val="BookText"/>
        <w:rPr/>
      </w:pPr>
      <w:bookmarkEnd w:id="36"/>
      <w:r>
        <w:rPr>
          <w:rFonts w:ascii="Amiri" w:hAnsi="Amiri" w:eastAsia="Amiri" w:cs="Amiri"/>
          <w:color w:val="111111"/>
          <w:sz w:val="28"/>
          <w:sz w:val="28"/>
          <w:szCs w:val="28"/>
          <w:rtl w:val="true"/>
          <w:lang w:bidi="ar-SA"/>
        </w:rPr>
        <w:t>يستجمع شرائطها من غير بيعة و استخلاف، و قهر الناس بشوكته، انعقدت الخلافة له و كذا إذا كان فاسقا أو جاهلا على الأظهر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6421992_1280447820"/>
      <w:bookmarkStart w:id="38" w:name="_Toc13"/>
      <w:bookmarkEnd w:id="37"/>
      <w:r>
        <w:rPr>
          <w:rtl w:val="true"/>
        </w:rPr>
        <w:t>يلاحظ على هذه الأقوال و النظريات</w:t>
      </w:r>
      <w:bookmarkEnd w:id="38"/>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موقف أصحاب هذه الأقوال في المسألة، موقف من اعتقد بصحة خلافة الخلفاء، فاستدلّ به على ما يرتئيه من الرأي، من انعقادها بواحد أو اثنين، أو اتّفاق من تيسّر حضوره، دون النائين من الصحابة،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النّمط من الاستدلال، استدلال بالمدّعى على نفس المدّعى، و هو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هؤلاء الأعلام كيف سكتوا عن الاعتراضات الهائلة التي توجهت من نفس الصحابة من الأنصار و المهاجرين على خلافة الخلفاء، الذين تمّت بيعتهم، ببيعة الخمسة في السقيفة، أو بيعة أبي بكر لعمر، أو بشورى السّتّة، فإنّ من كان ملمّا بالتاريخ و مهتما به، يرى كيف كانت عقيرة كثير من الصحابة مرتفعة بالاعتراض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الزبير وقف في السقيفة أمام المبايعين، و قد اخترط سيفه،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أغمده حتى يبايع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سيفه من يده، و ضرب به الحجر، و كسر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ذلك قول الطبري أنّه قام الحباب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انتضى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جذيلها المحكّك، و عذيقها المرجّب، أنا أبو شبل، في عرينة الأسد، يعزى إليّ الأسد، فحامله عمر، فضرب يده، فندر السيف، فأخذه، ثم وثب على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وثبوا على سعده و تتابع القوم على البيعة، و بايع سعد، و كانت فلتة كفلتات الجاهلية، قام أبو بكر دونها، و قال قائل حين أوطئ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 إنّه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عمر بالسيف صخرة فقطعه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نبذة يسيرة من الأصوات المدوّية التي عارضت الخلافة و الخليفة المنتخب، و كم لها من نظير في السقيفة و الشورى و غيرهما ضربنا عنه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بعد ذلك قول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ينكر أحد من الصحابة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 الحباب، و سعدا، و ابنه قيس، و عامة الخزرجين، و بني هاشم، و الزبير، لم يكونوا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الاختلاف الفاحش في كيفية عقد الإمامة، يعرب عن بطلان نفس الأصل لأنّه إذا كانت الإمامة مفوضة إلى الأمّة، كان على النبي الأكرم بيان تفاصيلها و خصوصياتها و خطوطها العريضة، و أنّه هل تنعقد بواحد أو اثنين من الصحابة؟ أو تنعقد بأهل الحلّ و العقد منهم؟ أو بالصحابة الحضور عند رحلة النبي أو رحلة الإمام السابق؟ أو باتّفاق جميع المسلمين بأنفسهم، أو بممثليهم؟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عقد الإمامة لرجل، أقلّ من عقد النكاح بين الزوجين الذي اهتمّ القرآن و السنّة ببيانه و تحديده، كما اهتمت السنّة على الخصوص بشئونه و أحكامه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 عقد الإمامة الذي تتوقف عليه حياة الأمّة، لم يطرح في النصوص، لا كتابا و 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تبيّن حدوده و لا شرائطه، و لا سائر مسائله التي كان يواجهها المسلمون بعد وفاة النبي الأكرم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جملة القول، إنّ اختلافهم في شرائط الإمام و طرق تنصيبه، جعل الخلافة وبالا على المسلمين، حتى أخذت لنفسها شكلا يختلف كلّ الاختلاف عن الشكل الذي ينبغي أن تكون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الخلافة الإسلامية، إمبراطورية، و ملكا عضوضا، يتناقلها رجال العيث و الفساد، من يد فاسق، إلى آخر فاجر غارق في الهوى، إلى ثالث سفّاك متعصّب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أعانهم في تسنم ذروة تلك العروش، مرتزقة من رجال متظاهرين باسم الدين، فبرروا أفعالهم، و وجّهوا أعمالهم توجيها ملائما للظروف السائدة، و صحّحوا اتجاهاتهم السياسية الخاصة، فخلقوا في ذلك أحاديث و سنن مفتعلة على صاحب الرسالة، و اصطنعوا لهذا و ذاك فضائل، لتدعيم مراكزهم السياسية، و يكفيك النموذج التالي، لتقف على حقيقة تلك الأحاديث المفتراة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أئمة لا يهتدون بهداي، و لا يستنّون بسنّتي و سيقوم رجال قلوبهم قلوب الشياطين في جثمان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تسمع و تطيع للأمير، و إن ضرب ظهرك، و أخذ مالك، فاسمع و أطع</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9" w:name="pg16351_180935"/>
    </w:p>
    <w:p>
      <w:pPr>
        <w:pStyle w:val="Heading3"/>
        <w:numPr>
          <w:ilvl w:val="2"/>
          <w:numId w:val="1"/>
        </w:numPr>
        <w:rPr/>
      </w:pPr>
      <w:bookmarkStart w:id="40" w:name="__RefHeading___Toc6421994_1280447820"/>
      <w:bookmarkStart w:id="41" w:name="_Toc14"/>
      <w:bookmarkEnd w:id="39"/>
      <w:bookmarkEnd w:id="40"/>
      <w:r>
        <w:rPr>
          <w:rtl w:val="true"/>
        </w:rPr>
        <w:t>الأمر السادس الإمامة عند الشيعة الإمامية</w:t>
      </w:r>
      <w:bookmarkEnd w:id="41"/>
    </w:p>
    <w:p>
      <w:pPr>
        <w:pStyle w:val="Heading4"/>
        <w:numPr>
          <w:ilvl w:val="3"/>
          <w:numId w:val="1"/>
        </w:numPr>
        <w:rPr/>
      </w:pPr>
      <w:bookmarkStart w:id="42" w:name="__RefHeading___Toc6421996_1280447820"/>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قد تعرفت على حقيقة الإمامة لدى أهل السنّة و الجماعة، و عرفت أنّ ما يتبنونه لا يقتضي أزيد من الشرائط المتوفرة في رؤساء الدول غير أنّ الإمامة عند الشيعة تختلف في حقيقتها عمّا لدى إخوانهم، فهي إمرة إلهية، و استمرار لوظائف النبوة كلّها سوى تحمّل الوحي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هذا، اتصاف الإمام بالشروط المشترطة في النبي، سوى كونه طرفا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الأكرم صلى اللّه عليه و آله، كان يملأ فراغا كبيرا و عظيما في حياة الأمّة الإسلامية، و لم تكن مسئولياته و أعماله مقتصرة على تلقّي الوحي الإلهي، و تبليغه إلى الناس فحسب، بل كان يقوم بالأمور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يفسّر الكتاب العزيز، و يشرح مقاصده و أهدافه، و يكشف رموزه و أسراره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يبيّن أحكام الموضوعات التي كانت تحدث في زمن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على الحملات التشكيكية، و التساؤلات العويصة المريبة التي كان يثيرها أعداء الإسلام من يهود و نصارى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يصون الدين من التحريف و الدسّ، و يراقب ما أخذه عنه المسلمون من أصول و فروع، حتى لا تزلّ فيه أقدامهم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الأمور الأربعة كان النبي يمارسها و يملأ بشخصيته الرسالية ثغراتها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جلاء الموقف نوضح كل واحد من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النبي في هذه الآية بأنّه مبيّن لما في الكتاب، لا مجرّد تال 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Style w:val="FootnoteAnchor"/>
          <w:rtl w:val="true"/>
        </w:rPr>
        <w:footnoteReference w:id="41"/>
      </w:r>
      <w:r>
        <w:rPr>
          <w:rFonts w:ascii="Amiri" w:hAnsi="Amiri" w:eastAsia="Amiri" w:cs="Amiri"/>
          <w:color w:val="111111"/>
          <w:sz w:val="28"/>
          <w:sz w:val="28"/>
          <w:szCs w:val="28"/>
          <w:rtl w:val="true"/>
          <w:lang w:bidi="ar-SA"/>
        </w:rPr>
        <w:t>فكان النبي يتولى بيان مجمله و مطلقه و مقيّده، بقدر ما تتطلبه 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ليس كتابا عاديا، على نسق واحد، حتى يستغني عن بيان النبي، بل فيه المحكم و المتشابه، و العام و الخاص، و المطلق و المقيّد، و المنسوخ و الناسخ،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ما خلّفت الأنبياء في أممها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عامّة، و عبره و أمثاله، و مرسله و محدوده، و محكمه و متشابهه، مفسرا مجمله، و مبيّنا غوامضه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بغنى عن التوضيح، فإنّ الأحكام الشرعية وصلت إلى الأمّة عن طريق النبي، سواء أ كانت من جانب الكتاب أو من طريق السنّة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فبيانه أنّ الإسلام قد تعرض، منذ ظهوره، لأعنف الحملات التشكيكية، و كانت تتناول توحيده و رسالته و إمكان المعاد، و حشر الإنسان،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النبي الأكرم، عند ما قدم عليه جماعة من كبار النصارى لمناظرته، استدلّوا لاعتقادهم بنبوة المسيح، بتولده من غير أب، فأجاب النبي بوحي من اللّه سبحانه، بأنّ أمر المسيح ليس أغرب من أمر آدم </w:t>
      </w:r>
    </w:p>
    <w:p>
      <w:pPr>
        <w:pStyle w:val="BookText"/>
        <w:rPr/>
      </w:pPr>
      <w:r>
        <w:rPr>
          <w:rFonts w:ascii="Amiri" w:hAnsi="Amiri" w:eastAsia="Amiri" w:cs="Amiri"/>
          <w:color w:val="111111"/>
          <w:sz w:val="28"/>
          <w:sz w:val="28"/>
          <w:szCs w:val="28"/>
          <w:rtl w:val="true"/>
          <w:lang w:bidi="ar-SA"/>
        </w:rPr>
        <w:t>حيث ولد من غير أب و لا أمّ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سبرت تفاسير القرآن الكريم، تقف على أنّ قسما من الآيات نزلت في الإجابة عن التشكيكات المتوجهة إلى الإسلام من جانب أعدائه من مشركين و يهود و نصارى و سيوافيك في مباحث المعاد جملة كثيرة من الشبهات التي كانوا يعترضون بها على عقيدة المعاد، و جواب القرآن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لمن لاحظ سيرة النبي الأكرم، فقد كان هو القول الفصل و فصل الخطاب، إليه يفيء الغالي، و يلحق التالي، فلم ير إبّان حياته مذهب في الأصول و العقائد، و لا في التفسير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بقيادته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الخصومات و الاختلافات، سواء فيما يرجع إلى السياسة أو غيرها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الأمور التي مارسها النبي الأكرم أيام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رحلته و غيابه صلوات اللّه عليه، يخلّف فراغا هائلا و مفزعا في هذه المجالات الأربعة، فيكون التشريع الإسلامي حينئذ أمام محتملات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يبدى الشارع اهتماما بسدّ هذه الفراغات الهائلة التي ستحدث بعد الرسول، و رأى ترك الأمور لتجري على عواهنها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الأمّة، قد بلغت بفضل جهود صاحب الدعوة في إعدادها، حدا تقدر معه بنفسها على سدّ ذلك الفراغ</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يستودع صاحب الدعوة، كلّ ما تلقاه من المعارف و الأحكام </w:t>
      </w:r>
      <w:bookmarkStart w:id="44" w:name="pg16351_180938"/>
    </w:p>
    <w:p>
      <w:pPr>
        <w:pStyle w:val="BookText"/>
        <w:rPr/>
      </w:pPr>
      <w:bookmarkEnd w:id="44"/>
      <w:r>
        <w:rPr>
          <w:rFonts w:ascii="Amiri" w:hAnsi="Amiri" w:eastAsia="Amiri" w:cs="Amiri"/>
          <w:color w:val="111111"/>
          <w:sz w:val="28"/>
          <w:sz w:val="28"/>
          <w:szCs w:val="28"/>
          <w:rtl w:val="true"/>
          <w:lang w:bidi="ar-SA"/>
        </w:rPr>
        <w:t>بالوحي، و كلّ ما ستحتاج إليه الأمّة بعده، يستودعه شخصية مثالية، لها كفاءة تقبّل هذه المعارف و الأحكام و تحمّلها، فتقوم هي بسد هذا الفراغ بعد رحلته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فساقط جدا، لا يحتاج إلى البحث، فإنّه لا ينسجم مع غرض البعثة، فإنّ في ترك سدّ هذه الفراغات ضياعا للدين و الشريعة، و بالتالي قطع الطريق أمام رقيّ الأمّة و 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الاحتمالان الأخيران، فلا بد لتعيين واحد منهما، دراستهما في ضوء العقل و التاريخ</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421998_1280447820"/>
      <w:bookmarkStart w:id="46" w:name="_Toc16"/>
      <w:bookmarkEnd w:id="45"/>
      <w:r>
        <w:rPr>
          <w:rtl w:val="true"/>
        </w:rPr>
        <w:t>هل كانت الأمّة مؤهلة لسدّ تلك الفراغات؟</w:t>
      </w:r>
      <w:bookmarkEnd w:id="46"/>
    </w:p>
    <w:p>
      <w:pPr>
        <w:pStyle w:val="BookText"/>
        <w:rPr/>
      </w:pPr>
      <w:r>
        <w:rPr>
          <w:rFonts w:ascii="Amiri" w:hAnsi="Amiri" w:eastAsia="Amiri" w:cs="Amiri"/>
          <w:color w:val="111111"/>
          <w:sz w:val="28"/>
          <w:sz w:val="28"/>
          <w:szCs w:val="28"/>
          <w:rtl w:val="true"/>
          <w:lang w:bidi="ar-SA"/>
        </w:rPr>
        <w:t>هذه هي النقطة الحساسة في تاريخ التشريع الإسلامي و مهمّته، فلعلّ هناك من يزعم أنّ الأمّة كانت قادرة على ملئ هذه الفراغات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التاريخ و المحاسبات الاجتماعية يبطلان هذه النظرة، و يضادّانها، و يثبتان أنّه لم يقدّر للأمّة بلوغ تلك الذروة، لتقوم بسدّ هذه الثغرات التي خلّفها غياب النبي الأكرم، لا في جانب التفسير، و لا في جانب التشريع، و لا في جانب ردّ التشكيكات الهدّامة، و لا في جانب صيانة الدين عن الانحراف، و إليك فيما يلي بيان فشل الأمّة في سدّ هذه الثغرات، من دون أن نثبت للأمّة تقصيرا، بل المقصود استكشاف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جانب التفسير، فيكفي وجود الاختلاف الفاحش في تفسير آيات الذكر الحكيم، و قبل كل شيء نضع أمامك كتب التفسير، فلا ترى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تفسيرها قول الأمّة، حتى أنّ الآيات التي يرجع مفادها إلى عمل المسلمين يوما و ليلا لم تصن عن الاختلاف، و إليك النماذج التالية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وَ اِمْسَحُوا بِرُؤُسِكُمْ وَ أَرْجُلَكُمْ إِلَى اَلْكَعْبَيْنِ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تضاربت الآراء في فهم الآية، فمن قائل يعطف الرّجل على الرءوس، و من قائل يعطفه على الأيدي، فتمسح على الأوّل، و تغسل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الرأيين هو الصحيح؟ و أيّ التفسيرين هو مراده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اَلسّٰارِقُ وَ اَلسّٰارِقَةُ فَاقْطَعُوا أَيْدِيَهُمٰا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فاختلفت الأمّة في موضع القطع، فمن قائل بأنّ القطع من أصول الأصابع، و عليه الإمامية، و من قائل بأنّ القطع من المفصل، بين الكفّ و الذراع، و عليه الأئمة الثلاثة، أبو حنيفة، و مالك، و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بأنّ القطع من المنكب، كما عليه الخوارج</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آية أخرى يحكم سبحانه بإعطاء الكلالة، النصف أو الثلثين،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 لَهُ أُخْتٌ فَلَهٰا نِصْفُ مٰا تَرَكَ، وَ هُوَ يَرِثُهٰا إِنْ لَمْ يَكُنْ لَهٰا وَلَدٌ، فَإِنْ كٰانَتَا اِثْنَتَيْنِ فَلَهُمَا اَلثُّلُثٰانِ مِمّٰا تَرَكَ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الحل، و كيف الجمع بين هاتين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الآيات المحتاجة إلى التفسير في مجال المعارف، فحدّث عنها و لا حرج، و يكفيك ملاحظة اختلاف الأمّة في الصفات الخبرية، و العدل، و الجبر و الاختيار، و الهداية 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و كم من آيات في القرآن الكريم تضاربت الأفكار في تفسيرها، من غير فرق بين آيات الأحكام و 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مجال الإجابة على الموضوعات المستجدة، فيكفي في ذلك الوقوف </w:t>
      </w:r>
    </w:p>
    <w:p>
      <w:pPr>
        <w:pStyle w:val="BookText"/>
        <w:rPr/>
      </w:pPr>
      <w:r>
        <w:rPr>
          <w:rFonts w:ascii="Amiri" w:hAnsi="Amiri" w:eastAsia="Amiri" w:cs="Amiri"/>
          <w:color w:val="111111"/>
          <w:sz w:val="28"/>
          <w:sz w:val="28"/>
          <w:szCs w:val="28"/>
          <w:rtl w:val="true"/>
          <w:lang w:bidi="ar-SA"/>
        </w:rPr>
        <w:t>على أنّ التشريع الإسلامي كان يشق طريقه نحو التكامل بصورة تدريجية، لأنّ حدوث الوقائع و الحاجات الاجتماعية، في عهد الرسول الأكرم، كان يثير أسئلة و يتطلب حلولا، و من المعلوم أنّ هذا النمط من الحاجة كان مستمرا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ما ورثه المسلمون من النبي الأكرم لم يكن كافيا للإجابة عن جميع تلك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القرآنية في مجال الأحكام، فهي لا تتجاوز ثلاثمائة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ورثته الأمّة لا يتجاوز الخمسمائة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من الأدلة غير واف بالإجابة على جميع الموضوعات المستجدة إجابة توافق حكم اللّه الواقعي، و لأجل إيقاف الباحث على نماذج من هذه القصورات،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رجل إلى أبي بكر و قد شرب الخمر، فأراد أن يقيم عليه الحدّ، فادّعى أنّه نشأ بين قوم يستحلّونها، و لم يعلم بتحريمها إلى الآن، فتحيّر أبو بكر في حكمه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العول شغلت بال الصحابة فترة من الزمن، و كانت من المسائل المستجدة التي واجهت جهاز الحكم بعد الرسول، و قد طرحت هذه المسألة أيام خلافة عمر بن الخطاب، فتحيّر، فأدخل النقص على الجميع استحسانا،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أدري أيّكم قدّم اللّه و لا أيّكم أخّر، ما أجد شيئا أوسع لي من أنّ أقسّم المال عليكم بالحصص، و أدخل على ذي حقّ ما أدخل عليه من عول الفريضة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عمر بن الخطاب عن رجل طلّق امرأته في الجاهلية، تطليقتين، </w:t>
      </w:r>
    </w:p>
    <w:p>
      <w:pPr>
        <w:pStyle w:val="BookText"/>
        <w:rPr/>
      </w:pPr>
      <w:r>
        <w:rPr>
          <w:rFonts w:ascii="Amiri" w:hAnsi="Amiri" w:eastAsia="Amiri" w:cs="Amiri"/>
          <w:color w:val="111111"/>
          <w:sz w:val="28"/>
          <w:sz w:val="28"/>
          <w:szCs w:val="28"/>
          <w:rtl w:val="true"/>
          <w:lang w:bidi="ar-SA"/>
        </w:rPr>
        <w:t xml:space="preserve">و في الإسلام تطليقة، فهل تضم التطليقتان إلى الثالثة، أو لا؟ فقال للسائل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آمرك و لا أنهاك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نعني من ذلك أنّ الشريعة الإسلامية، ناقصة في إيفاء أغراضها التشريعية، و شمول المواضيع المستجدة، أو المعاصرة لعهد الرسول، بل التشريع الإسلامي كان وافيا بالجميع ببيان سوف نشير إليه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يكشف عمّا ذكرنا، أنّه اضطرّ صحابة النبي منذ الأيام الأولى من وفاته صلوات اللّه عليه و آله، إلى إعمال الرأي و الاجتهاد في المسائل المستحدثة، و ليس اللجوء إلى الاجتهاد بهذا الشكل، إلاّ تعبيرا واضحا عن عدم استيعاب الكتاب و السنّة النبوية للوقائع المستحدثة، بالحكم و التشريع، و لا مجال للاجتهاد و إعمال الرأي فيما يشمله نصّ من الكتاب أو السنّة بحكم، و لذلك أحدثوا مقاييس للرأي، و اصطنعوا معايير جديدة للاستنباط، و ألوانا من الاجتهاد، منه الصحيح المتّفق عليه، يصيب الواقع حينا، و يخطئه أحيانا، و منه المريب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القياس أوّل هذه المقاييس و أكثرها نصيبا من الخلاف، و المراد منه إلحاق أمر بآخر، في الحكم الثابت للمقيس عليه، لاشتراكهما في مناط الحكم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القياس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مثارا للخلاف بين الصحابة، و العلماء، فقد تبنّته جماعة من الصحابة و التابعين، و أنكرته جماعة أخرى، و عارضوا الأخذ به، منهم الإمام علي بن أبي طالب، و ابن مسعود، و أئمة أهل البيت، ثم اصطنعوا بعد ذلك معايير أخرى، منها المصالح المرسلة، و هي المصالح التي لم يشرّع الشارع حكما بتحقيقها، و لم يدلّ دليل شرعي على اعتبارها أو إلغائها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مقاييس أخرى، كسدّ الذرائع، و الاستحسان، و قاعدة شرع من </w:t>
      </w:r>
    </w:p>
    <w:p>
      <w:pPr>
        <w:pStyle w:val="BookText"/>
        <w:rPr/>
      </w:pPr>
      <w:r>
        <w:rPr>
          <w:rFonts w:ascii="Amiri" w:hAnsi="Amiri" w:eastAsia="Amiri" w:cs="Amiri"/>
          <w:color w:val="111111"/>
          <w:sz w:val="28"/>
          <w:sz w:val="28"/>
          <w:szCs w:val="28"/>
          <w:rtl w:val="true"/>
          <w:lang w:bidi="ar-SA"/>
        </w:rPr>
        <w:t>قبلنا، و ما إلى ذلك من القوانين و الأصول الفقهية، التي اضطرّ الفقهاء إلى اصطناعها عند ما طرأ على المجتمع الإسلامي ألوان جديدة من الحياة لم يألفوها، و لم تكن النصوص الشرعية من الكتاب و السنّة لتشمل تلك المظاهر الاجتماعية المستحدثة بحكم، و لم يجد الفقهاء بدّا من الالتجاء إلى إعمال الرأي و الاجتهاد في مثل هذه المسائل ممّا لا نصّ فيه من كتاب أو سنّة، و تشعبت بذلك مدارس الفقه الإسلامي، و بعدت الشّقة بينها، و تبلورت تلك المعاني إثر التضارب الفكري الذي حصل بين هذه المدارس، و صيغت الأفكار في صيغ علمية محددة، بعد ما كان يغلب عليها طابع التذبذب و الارتباك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يدلّ على عدم وفاء نصوص الكتاب و السنّة، بما استجدّ للمسلمين بعد عصر الرسالة، من مسائل، أو ما جدّ لهم من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نكتة تاريخية توقفنا على سرّ عدم إيفاء الكتاب و السنّة بمهمة التشريع، و هي أنّ مدّة دعوته صلى اللّه عليه و آله لا تتجاوز ثلاثا و عشرين عاما، قضى منها ثلاث عشرة سنة في مكة يدعو المشركين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عنادهم جعل نتائج الدعوة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لم يتوفق لبيان حكم شرعي فرعي إلاّ ما 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نجد أنّ الآيات التي نزلت في مكة تدور في الأغلب حول قضايا التوحيد و المعاد، و إبطال الشرك و مقارعة الوثنية، و غيرها من القضايا الاعتقادية، حتى صار أكثر المفسّرين يميّزون الآيات المكيّة عن المدنية بهذا المعيار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انتهت دعوته إلى محاولة اغتياله، هاجر إلى يثرب، و أقام فيها العشرة المتبقية من دعوته تمكّن فيها من بيان قسم من الأحكام الشرعية لا كلّها، و 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تلك الفترة كانت مليئة بالحوادث و الحروب، لتآمر المشركين و الكفّار، المتواصل على الإسلام و صاحب رسالته و المؤمنين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اشترك النبي في سبع عشرة غزوة كان بعضها يستغرق قرابة شهر، و بعث خمسا و خمسين سرية لقمع المؤمرات و إبطالها، و صدّ التحركات العدوانية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إلى جانب هذه المشاكل، مشكلة داخلية يثيرها المنافقون الذين </w:t>
      </w:r>
    </w:p>
    <w:p>
      <w:pPr>
        <w:pStyle w:val="BookText"/>
        <w:rPr/>
      </w:pPr>
      <w:r>
        <w:rPr>
          <w:rFonts w:ascii="Amiri" w:hAnsi="Amiri" w:eastAsia="Amiri" w:cs="Amiri"/>
          <w:color w:val="111111"/>
          <w:sz w:val="28"/>
          <w:sz w:val="28"/>
          <w:szCs w:val="28"/>
          <w:rtl w:val="true"/>
          <w:lang w:bidi="ar-SA"/>
        </w:rPr>
        <w:t>كانوا بمنزلة الطابور الخامس، و كان لهم دور كبير في إثارة البلبلة في صفوف المسلمين، و خلق المتاعب للقيادة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بذلك يفوّتون الكثير من وقت النبي الذي كان يمكن أن يصرف في تربية المسلمين و إعدادهم و تعليمهم على حلّ ما قد يطرأ على حياتهم، أو يستجد في مستقبل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مشكلة أهل الكتاب، خصوصا اليهود، كانت مشكلة داخلية ثانية، بعد مشكلة المنافقين، فقد فوّتوا من وقته الكثير، بالمجادلات و المناظرات، و قد تعرّض الذكر الحكيم لناحية منها، و ذكر قسم آخر منها في السيرة النبوية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الوظائف المهمة للنبي عقد الاتّفاقيات السياسية و المواثيق العسكرية الهامة التي يزخر بها تاريخ الدعوة الإسلامية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الأمور و نظائرها، عاقت النبي عن استيفاء مهمة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فرضنا تمكن النبي من بيان أحكام الموضوعات المستجدة، غير أنّ التحدّث عن الموضوعات التي لم يعرف المسلمون شيئا من ماهياتها و تفاصيلها في عهد الرسول، و إنّما كانت تحدث بصورة طبيعية شيئا فشيئا، أمر صعب للغاية، و لم يكن في وسع المسلمين أن يدركوا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هذه الوجوه توقفنا على أمر محقق، و هو أنّه لم يقدر للنبي استيفاء مهمة التشريع، و لم يتسنّ للمسلمين أن يتعرّفوا على كل الأحكام الشرعية المتعلقة بالحوادث و الموضوعات المستجدة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مجال ردّ الشبهات و التشكيكات و إجابة التساؤلات، فقد حصل فراغ هائل بعد رحلة النبي من هذه الناحية، فجاءت اليهود و النصارى تترى، يطرحون الأسئلة، و يشوّشون بها أفكار الأمّة، ليخربوا عقائدها و مبادئها، و نذكر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فود أسقف نجران على عمر، و طرح بعض الأسئلة عليه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فود جماعة من اليهود على عمر، و طرح بعض الشبهات</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فود جماعة من اليهود على عمر، و طرح بعض الأسئلة عليه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عويص ورد من الروم على معاوية يلتمس الجواب عنه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وردت من جانب البلاط الروماني إلى معاوية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الوفود و الأسئلة التي لم يكن هدفها إلاّ التشكيك في الدين و إيجاد التزلزل في عقيدة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جانب صيانة المسلمين عن التفرقة و الاختلاف، و الدين عن الانحراف، فقد كانت الأمّة الإسلامية في أشدّ الحاجة بعد النبي إلى من يصون دينها عن التحريف، و أبناءها عن الاختلاف، فإنّ التاريخ يشهد دخول جماعات عديدة من أحبار اليهود و رهبان النصارى و مؤبدي المجوس، ككعب الأحبار، و تميم الدّاري، و وهب بن منبه، و عبد اللّه بن سلام، و بعدهم الزنادقة، و الملاحدة، و الشعوبيون، فراحوا يدسّون الأحاديث الإسرائيلية، و الأساطير النصرانية، و الخرافات المجوسية بينهم، و قد ظلّت هذه الأحاديث المدسوسة، تخيّم على أفكار المسلمين ردحا طويلا من الزمن، و تؤثّر في حياتهم العلمية، حتى نشأت فرق و طوائف في ظلّ هذه الأحاديث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يوضح عدم تمكّن الأمّة من صيانة الدين الحنيف عن التحريف و أبنائها عن التشتت، وجود الروايات الموضوعة و المجعولات 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ذلك أنّ يذكر الإنسان ما كابده البخاري من مشاقّ و أسفار في مختلف أقطار الدولة </w:t>
      </w:r>
    </w:p>
    <w:p>
      <w:pPr>
        <w:pStyle w:val="BookText"/>
        <w:rPr/>
      </w:pPr>
      <w:r>
        <w:rPr>
          <w:rFonts w:ascii="Amiri" w:hAnsi="Amiri" w:eastAsia="Amiri" w:cs="Amiri"/>
          <w:color w:val="111111"/>
          <w:sz w:val="28"/>
          <w:sz w:val="28"/>
          <w:szCs w:val="28"/>
          <w:rtl w:val="true"/>
          <w:lang w:bidi="ar-SA"/>
        </w:rPr>
        <w:t>الإسلامية، و ما رواه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ألفى الأحاديث المتداولة بين المحدثين في الأقطار الإسلامية، تربو على ستمائة ألف حديث، لم يصحّ لديه منها أكثر من أربعة آلاف، و معنى هذا أنّه لم يصحّ لديه من كل مائة و خمسين حديثا إلاّ حديث واحد، و أمّا أبو داود فلم يصحّ لديه من خمسمائة ألف حديث غير أربعة آلاف و ثمانمائة، و كذلك كان شأن سائر الذين جمعوا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هذه الأحاديث التي صحّت عندهم، كانت موضع نقد و تمحيص عند غيرهم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المتتبع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يعرب عن كثرة الموضوعات اختيار أئمة الحديث أخبار تآليفهم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و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كثيرة هائلة، و الصفح عن ذلك الهوش الهائش، فقد أتى أبو داود في سننه بأربعة آلاف و ثمانمائة حديث، و قال انتخبته من خمسمائة ألف حديث</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يحتوي صحيح البخاري من الخالص بلا تكرار، ألفي حديث و سبعمائة و واحد و ستين حديثا، اختاره من زهاء ستمائة ألف حديث</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مسلم أربعة آلاف حديث أصول دون المكررات، صنفه من ثلاثمائة ألف</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حنبل في مسنده ثلاثين ألف حديث، و قد انتخبه من أكثر من سبعمائة و خمسين ألف حديث، و كان يحفظ ألف ألف حديث</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أحمد بن فرات، المتوفى عام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ألف ألف و خمسمائة ألف حديث، فأخذ من ذلك ثلاثمائة ألف في التفسير و الأحكام و الفوائد و غيرها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الموضوعات على لسان الوحي، تقلع الشريعة من رأس و تقلب </w:t>
      </w:r>
    </w:p>
    <w:p>
      <w:pPr>
        <w:pStyle w:val="BookText"/>
        <w:rPr/>
      </w:pPr>
      <w:r>
        <w:rPr>
          <w:rFonts w:ascii="Amiri" w:hAnsi="Amiri" w:eastAsia="Amiri" w:cs="Amiri"/>
          <w:color w:val="111111"/>
          <w:sz w:val="28"/>
          <w:sz w:val="28"/>
          <w:szCs w:val="28"/>
          <w:rtl w:val="true"/>
          <w:lang w:bidi="ar-SA"/>
        </w:rPr>
        <w:t>الأصول، و تتلاعب بالأحكام، و تشوش التاريخ، أو ليس هذا دليلا على عدم وفاء الأمّة بصيانة دينها عن التشويش 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البحث الضافي يثبت حقيقة ناصعة، و هي عدم تمكّن الأمّة، مع ما لها من الفضل، من القيام بسدّ الفراغات الهائلة التي خلّفتها رحلة النبي الأكرم صلى اللّه عليه و آله و سلّم، فلا مناص من تعيّن الاحتمال الثالث، و هو سدّ تلك الثغرات بفرد مثالي يمارس وظائف النبي في المجالات السابقة، بعلمه المستودع فيه، و يكون له من المؤهلات ما للنبي الأكرم، سوى النبوّة، و سوى كونه طرفا للوحي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الغرض من إرسال الأنبياء هي الهداية الإلهية لبني البشر، إلى الكمال في الجانبين المادي و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الغاية لا يحصل عليها الإنسان إلاّ بالدين المكتمل أصولا و فروعا، المصون من التحريف و الدسّ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النبي حيّا، بين ظهرانيّ الأمّة، تتحقق تلك الغاية بنفسه الشريفة، و أمّا بعده فيلزم أن يخلفه إنسان مثله في الكفاءات و المؤهّلات، ليواصل دفع عجلة المجتمع الديني في طريق الكمال، و يحفظه من الانقلاب على الأعقاب، و التقهقر إلى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إنسان مثالي، كالنبي في المؤهلات، عارف بالشريعة و معارف الدين، ضمان لتكامل المجتمع، و خطوة ضرورية في سبيل ارتقائه الروحي و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يسوغ على اللّه سبحانه أن يهمل هذا العامل البنّاء، الهادي للبشرية إلى ذروة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جهّز الإنسان بأجهزة ضرورية، و أجهزة 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قد زوّده بالشعر على أشفار عينيه و حاجبيه، و قعر أخمص قدميه، كل ذلك لتكون حياته سهلة لذيذة غير متعبة، فهل ترى أنّ حاجته إلى هذه الأمور أشدّ من حاجته إلى خلف حامل لعلوم النبوة، قائم بوظائف الرسالة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أجمل ما قاله أئمة أهل البيت في فلسفة وجود هذا الخلف، و مدى تأثيره في تكامل الأمّة</w:t>
      </w:r>
      <w:r>
        <w:rPr>
          <w:rFonts w:eastAsia="Amiri" w:cs="Amiri" w:ascii="Amiri" w:hAnsi="Amiri"/>
          <w:color w:val="111111"/>
          <w:sz w:val="28"/>
          <w:szCs w:val="28"/>
          <w:rtl w:val="true"/>
          <w:lang w:bidi="ar-SA"/>
        </w:rPr>
        <w:t xml:space="preserve">: </w:t>
      </w:r>
      <w:bookmarkStart w:id="47" w:name="pg16351_180947"/>
    </w:p>
    <w:p>
      <w:pPr>
        <w:pStyle w:val="BookText"/>
        <w:rPr/>
      </w:pPr>
      <w:bookmarkEnd w:id="47"/>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إمّا ظاهرا مشهورا، و إمّا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 لو لا ذلك لما يعرف الحق من الباطل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و فيها إمام، كيما زاد المؤمنون شيئا ردّهم، و إذا نقصوا شيئا أئمّة لهم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المأثورات من أئمة أهل البيت، تعرب عن أنّ الغرض الداعي إلى بعثة النبي، داع إلى وجود إمام يخلف النبي، في عامة سماته، سوى ما دلّ القرآن على انحصاره به، ككونه نبيّا رسولا و صاحب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كثيرا ممّن ليست لهم أقدام راسخة في أبواب المعارف، يصعب عليهم تصوّر إنسان مثالي يحمل علوم النبوة، و ليس بنبي؛ و يقوم بوظائفها الرسالية، و ليس برسول؛ يحيط بمعارف الشريعة و أحكامها، و ليس طرفا للوحي؛ و يصون الشريعة من التحريف و الدسّ، و يردّ تشكيكات المبطلين، و ليس له صلة بسماء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يثيرون في وجهه إشكالين، لا بدّ من ذكرهما، و الإجابة عنهما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6422000_1280447820"/>
      <w:bookmarkStart w:id="49" w:name="_Toc17"/>
      <w:bookmarkEnd w:id="48"/>
      <w:r>
        <w:rPr>
          <w:rtl w:val="true"/>
        </w:rPr>
        <w:t>الإشكال الأول</w:t>
      </w:r>
      <w:bookmarkEnd w:id="49"/>
    </w:p>
    <w:p>
      <w:pPr>
        <w:pStyle w:val="Heading5"/>
        <w:numPr>
          <w:ilvl w:val="4"/>
          <w:numId w:val="1"/>
        </w:numPr>
        <w:rPr/>
      </w:pPr>
      <w:bookmarkStart w:id="50" w:name="__RefHeading___Toc6422002_1280447820"/>
      <w:bookmarkStart w:id="51" w:name="_Toc18"/>
      <w:bookmarkEnd w:id="50"/>
      <w:r>
        <w:rPr>
          <w:rtl w:val="true"/>
        </w:rPr>
        <w:t>اشارة</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الفرد الجامع لهذه الخصائص، لا يفترق عن النبي، فتصبح الإمامة عندئذ، مرادفة للنبوّة، مع أنّ أدلّة الخاتمية قطعت طريق هذا الاحتمال</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52" w:name="pg16351_180948"/>
    </w:p>
    <w:p>
      <w:pPr>
        <w:pStyle w:val="Heading5"/>
        <w:numPr>
          <w:ilvl w:val="4"/>
          <w:numId w:val="1"/>
        </w:numPr>
        <w:rPr/>
      </w:pPr>
      <w:bookmarkStart w:id="53" w:name="__RefHeading___Toc6422004_1280447820"/>
      <w:bookmarkStart w:id="54" w:name="_Toc19"/>
      <w:bookmarkEnd w:id="52"/>
      <w:bookmarkEnd w:id="53"/>
      <w:r>
        <w:rPr>
          <w:rtl w:val="true"/>
        </w:rPr>
        <w:t>الجواب</w:t>
      </w:r>
      <w:bookmarkEnd w:id="54"/>
    </w:p>
    <w:p>
      <w:pPr>
        <w:pStyle w:val="BookText"/>
        <w:rPr/>
      </w:pPr>
      <w:r>
        <w:rPr>
          <w:rFonts w:ascii="Amiri" w:hAnsi="Amiri" w:eastAsia="Amiri" w:cs="Amiri"/>
          <w:color w:val="111111"/>
          <w:sz w:val="28"/>
          <w:sz w:val="28"/>
          <w:szCs w:val="28"/>
          <w:rtl w:val="true"/>
          <w:lang w:bidi="ar-SA"/>
        </w:rPr>
        <w:t>إنّ الفرق بين النبوّة، و احتضان علوم النبي الأكرم، واضح، لا يحتاج إلى البيان، فإنّ مقوم النبوّة عبارة عن كون النبي طرفا للوحي، يسمع كلام اللّه تعالى، و يرى رسوله، و يكون صاحب شريعة مستقلة، أو مروجا لشريعة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 فهو الخازن لعلوم النبوة في كل ما تحتاج إليه الأمّة، من دون أن يكون طرفا للوحي، أو سامعا كلامه سبحانه، أو رائيا الملك الحامل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المهم هو الوقوف على أنّ في وسعه سبحانه أن يربي للأمّة، في حضن النبي الأكرم، رجلا مثاليا يأخذ علوم النبي بتعليم غيبي يفي بوظائف الرسالة بعد رحلته، حتى يسدّ الفراغات العلمية الحاصلة برحلته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المستشكل، و من تبعه، بريئون من هذه المعارف، و يخصّون التعليم، بالوسائل العادية، يتعجبون من بلوغ إنسان ذلك الحدّ من الكمال و العلم، من دون أن يدخل مدرسة، أو يخضع أمام شيخ، إلاّ أن يكون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القرآن الكريم يحدّثنا عن أناس مثاليين نالوا الذروة من العلوم بتعليم غيبي، مع أنّهم لم يكونوا أنبياء، كمصاحب موسى عليه السلام الذي يقول سبحانه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يكن المصاحب نبيّا، بل كان وليّا من أولياء اللّه سبحانه، بلغ الذّروة من العلم، حتى 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نبي مبعوث بشريعة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جليس سليمان عليه السلام، الّذي يقول سبحانه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w:t>
      </w:r>
    </w:p>
    <w:p>
      <w:pPr>
        <w:pStyle w:val="BookText"/>
        <w:rPr/>
      </w:pPr>
      <w:r>
        <w:rPr>
          <w:rFonts w:ascii="Amiri" w:hAnsi="Amiri" w:eastAsia="Amiri" w:cs="Amiri"/>
          <w:color w:val="111111"/>
          <w:sz w:val="28"/>
          <w:sz w:val="28"/>
          <w:szCs w:val="28"/>
          <w:rtl w:val="true"/>
          <w:lang w:bidi="ar-SA"/>
        </w:rPr>
        <w:t>عِنْدَهُ قٰالَ هٰذٰا مِنْ فَضْلِ رَبِّي</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الجليس لم يكن نبيّا، و لكن كان صاحب علم من الكتاب، و من المعلوم أنّ هذا العلم لم يحصل له من الطرق العادية التي يدرج عليها الأولاد و الشبّان في الكتاتيب و المدارس، و إنّما هو علم إلهي احتضنه بلياقته و كفاءته، و لأجل ذلك ينسب علمه إلى فضل ربّه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رسالة النبي، إلى جانب شهادته سبحانه، الذي يقول سبحانه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السورة مكية على ما يدلّ عليه سياق آياتها، و نقل عن الكلبي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مكية إلاّ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يدفعه أنّها مختتم السورة، قوبل بها ما في مفتتحها،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w:t>
      </w:r>
      <w:r>
        <w:rPr>
          <w:rStyle w:val="FootnoteAnchor"/>
          <w:rtl w:val="true"/>
        </w:rPr>
        <w:footnoteReference w:id="75"/>
      </w:r>
      <w:r>
        <w:rPr>
          <w:rFonts w:ascii="Amiri" w:hAnsi="Amiri" w:eastAsia="Amiri" w:cs="Amiri"/>
          <w:color w:val="111111"/>
          <w:sz w:val="28"/>
          <w:sz w:val="28"/>
          <w:szCs w:val="28"/>
          <w:rtl w:val="true"/>
          <w:lang w:bidi="ar-SA"/>
        </w:rPr>
        <w:t>، فيبعد جدا أن يفرق بين المتقابلين بأعوام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يجب الإمعان في هذا الشاهد الذي عطفه سبحانه على نفسه، و عدّه شاهدا على رسالة النبي كشهادة نفسه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فيصحّ أن يقال إنّ المراد، القوم الذين أسلموا في المدينة، كعبد اللّه بن سلام، و تميم الداري، و سلمان الفارسي، مع أنّ الآية نزلت في مكّة؟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عطف هؤلاء في الشهادة، على اللّه سبحانه، لا يخلو من غموض و 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 الشاهد هنا إنسانا مثاليا، كان موجودا في مكة، و هو أعلم الناس بالكتاب، حتى يصحّ أن يجعل عدلا آخر للشهادة، و لا يكون هذا الإنسان إلاّ من تربّى في حجر النبوة و حضنها، و تحمّل علومها، بتعليم غيبي إلهي، لا بتعليم بشري عادي</w:t>
      </w:r>
      <w:r>
        <w:rPr>
          <w:rFonts w:eastAsia="Amiri" w:cs="Amiri" w:ascii="Amiri" w:hAnsi="Amiri"/>
          <w:color w:val="111111"/>
          <w:sz w:val="28"/>
          <w:szCs w:val="28"/>
          <w:rtl w:val="true"/>
          <w:lang w:bidi="ar-SA"/>
        </w:rPr>
        <w:t xml:space="preserve">. </w:t>
      </w:r>
      <w:bookmarkStart w:id="55" w:name="pg16351_180950"/>
    </w:p>
    <w:p>
      <w:pPr>
        <w:pStyle w:val="BookText"/>
        <w:rPr/>
      </w:pPr>
      <w:bookmarkEnd w:id="55"/>
      <w:r>
        <w:rPr>
          <w:rFonts w:ascii="Amiri" w:hAnsi="Amiri" w:eastAsia="Amiri" w:cs="Amiri"/>
          <w:color w:val="111111"/>
          <w:sz w:val="28"/>
          <w:sz w:val="28"/>
          <w:szCs w:val="28"/>
          <w:rtl w:val="true"/>
          <w:lang w:bidi="ar-SA"/>
        </w:rPr>
        <w:t>هذا و ذاك، و غيرهما ممّا لم نذكره، و جاء في الحديث و التاريخ، يعرب عن أنّ التعليم الغيبي لا يختصّ بالأنبياء، و أنّ هناك رجالا صالحين، يحملون علوم النبوة و يحتضنونها بفضل من اللّه سبحانه، لغاية قدسية هي إبلاغ الأمّة الغاية من الكمال، و إيصاد الثغرات الهائلة التي تخلفها رحلة النبي</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6422006_1280447820"/>
      <w:bookmarkStart w:id="57" w:name="_Toc20"/>
      <w:bookmarkEnd w:id="56"/>
      <w:r>
        <w:rPr>
          <w:rtl w:val="true"/>
        </w:rPr>
        <w:t>الإشكال الثاني</w:t>
      </w:r>
      <w:bookmarkEnd w:id="57"/>
    </w:p>
    <w:p>
      <w:pPr>
        <w:pStyle w:val="Heading5"/>
        <w:numPr>
          <w:ilvl w:val="4"/>
          <w:numId w:val="1"/>
        </w:numPr>
        <w:rPr/>
      </w:pPr>
      <w:bookmarkStart w:id="58" w:name="__RefHeading___Toc6422008_1280447820"/>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إذا شهد التاريخ، و المحاسبات الاجتماعية، بعدم استيفاء النبي لمهمة التشريع، فما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60" w:name="__RefHeading___Toc6422010_1280447820"/>
      <w:bookmarkStart w:id="61" w:name="_Toc22"/>
      <w:bookmarkEnd w:id="60"/>
      <w:r>
        <w:rPr>
          <w:rtl w:val="true"/>
        </w:rPr>
        <w:t>الجواب</w:t>
      </w:r>
      <w:bookmarkEnd w:id="61"/>
    </w:p>
    <w:p>
      <w:pPr>
        <w:pStyle w:val="BookText"/>
        <w:rPr/>
      </w:pPr>
      <w:r>
        <w:rPr>
          <w:rFonts w:ascii="Amiri" w:hAnsi="Amiri" w:eastAsia="Amiri" w:cs="Amiri"/>
          <w:color w:val="111111"/>
          <w:sz w:val="28"/>
          <w:sz w:val="28"/>
          <w:szCs w:val="28"/>
          <w:rtl w:val="true"/>
          <w:lang w:bidi="ar-SA"/>
        </w:rPr>
        <w:t>إنّ السؤال مبني على تفسير الدين بالأحكام الشرعية، و حمل الإكمال على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صحيح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المفسّرين، فسّروا اليوم، بيوم عرفة، من عام حجة الوداع</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هناك روايات كثيرة لا يستهان بها عددا تدلّ على نزول أحكام و فرائض بعد ذلك اليوم، منها أحكام الكلالة، المذكورة في آخر سورة النساء</w:t>
      </w:r>
      <w:r>
        <w:rPr>
          <w:rStyle w:val="FootnoteAnchor"/>
          <w:rtl w:val="true"/>
        </w:rPr>
        <w:footnoteReference w:id="78"/>
      </w:r>
      <w:r>
        <w:rPr>
          <w:rFonts w:ascii="Amiri" w:hAnsi="Amiri" w:eastAsia="Amiri" w:cs="Amiri"/>
          <w:color w:val="111111"/>
          <w:sz w:val="28"/>
          <w:sz w:val="28"/>
          <w:szCs w:val="28"/>
          <w:rtl w:val="true"/>
          <w:lang w:bidi="ar-SA"/>
        </w:rPr>
        <w:t>، و منها آيات الربا</w:t>
      </w:r>
      <w:r>
        <w:rPr>
          <w:rStyle w:val="FootnoteAnchor"/>
          <w:rtl w:val="true"/>
        </w:rPr>
        <w:footnoteReference w:id="79"/>
      </w:r>
      <w:r>
        <w:rPr>
          <w:rFonts w:ascii="Amiri" w:hAnsi="Amiri" w:eastAsia="Amiri" w:cs="Amiri"/>
          <w:color w:val="111111"/>
          <w:sz w:val="28"/>
          <w:sz w:val="28"/>
          <w:szCs w:val="28"/>
          <w:rtl w:val="true"/>
          <w:lang w:bidi="ar-SA"/>
        </w:rPr>
        <w:t>، حتى روي عن عمر أنّه قال في خطبة خطبها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آخر القرآن نزولا آية الربا، و إنّه مات رسول اللّه و لم يبيّنه لنا، فدعوا ما يريبكم إلى ما لا يريبكم</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البخاري في الصحيح،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آية أنزلها اللّه على رسوله، آية الربا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الدين بالأحكام، و إكمالها بالبيان و أنّه تحقق في يوم عرفة من عام حجّ الوداع، لا ينسجم مع سائر فقرات الآية، فإنّ الآية تخبر عن يوم تحققت فيه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الكفار من دين المسلمين، و إكمال الدين و 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إنّه إن أراد من الكفار، كفار العرب، القاطنين في الجزيرة، فالإسلام كان قد عمّهم يوم ذاك، و لم يكن فيهم من يتظاهر بغير الإسلام، فمن هؤلاء الكفار اليائسون؟ فإنّ سورة البراءة، و تلاوتها يوم عيد الأضحى، في العام التاسع للهجرة، صارت سببا لنفوذ الإسلام في كل أصقاع الجزيرة، و رفض الشرك و نبذ عبادة الأوثان، رغبة أو رهبة، و لم يبق مشرك إلاّ و قد كسر صنمه، و لا عابد وثن إلاّ و قد تحوّل إلى عبادة اللّه تعالى طمعا أو خوفا، فلم يبق هناك كافر يئس من دين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سائر الكفار من الأمم، من العرب و غيرهم، فلم يكونوا يائسين يومئذ من الظهور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نتفحص عن يوم تتحقق فيه هذه الأمور الثلاثة، كما سيبين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لا ينسجم مع ما رواه عدّة من المحدثين من نزولها يوم الثامن عشر من ذي الحجة، في السنة العاشرة للهجرة، عند ما نصب النبي عليّا للولاية،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يعرب عن صحة ذلك ما ذكره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 الآثار إنّه </w:t>
      </w:r>
    </w:p>
    <w:p>
      <w:pPr>
        <w:pStyle w:val="BookText"/>
        <w:rPr/>
      </w:pPr>
      <w:r>
        <w:rPr>
          <w:rFonts w:ascii="Amiri" w:hAnsi="Amiri" w:eastAsia="Amiri" w:cs="Amiri"/>
          <w:color w:val="111111"/>
          <w:sz w:val="28"/>
          <w:sz w:val="28"/>
          <w:szCs w:val="28"/>
          <w:rtl w:val="true"/>
          <w:lang w:bidi="ar-SA"/>
        </w:rPr>
        <w:t>لمّا نزلت هذه الآية على النبي صلى اللّه عليه و آله، لم يعمّر بعد نزولها إلاّ أحدا و ثمانين يوما أو اثنين و ثمانين يوما، و لم يحصل بعدها زيادة و لا نسخ و تبديل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جاريا مجرى إخبار النبي عن قرب وفاته، و ذلك إخبار عن الغيب فيكون معجزا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يؤيّد كون النزول يوم الغدير، أعني يوم الثامن عشر من ذي الحجة، لأنّه لو فرض كون الشهور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 و 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لكانت وفاته صلى اللّه عليه و آله بعد واحد و ثمانين يوما، و لو كان الشهران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ناقصان، لا نطبق على الاثنين و الثمانين، كل ذلك بملاحظة ما اتّفقت عليه كلمة الجمهور من أنّ النبي توفي يوم الثاني عشر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الرازي غفل عن هذه الملازمة، و أنّه لا يجتمع مع نزولها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يصحّ تفسير الدين بالأحكام، و لا الإكمال بالبيان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ذلك يمكن أن يقال إنّ المراد من الدين هو أصوله، و المراد من الإكمال، تثبيت أركانه، و ترسيخ قواعده، و ذلك أنّ الكفار، خصوصا المستسلمين منهم، كانوا يتربصون بالنبي الدوائر، فإنّهم كانوا ينظرون إلى دعوته بأنّها ملك في صورة النبوة، و سلطنة في ثوب الرسالة، فإن مات أو قتل، ينقطع أثره و يموت ذكره، كما هو المشهور عادة، من حال السلاطين، و كان الكفار يعيشون هذه الأحكام و الأماني التي تعطيهم الرجاء في إطفاء نور الدين، و عفّ آثاره عبر الأيام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ظهور الإسلام، تدريجيا، و غلبته على الكفار و المشركين، بدّد أحلامهم بالخيبة، فيئسوا من التغلّب على النبي و دعوته، فلم يبق لهم إلاّ حلم واحد، و هو أنّه لا عقب له يخلفه في أمره، فيموت دينه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الحلم يتغلغل في أنفسهم، إلاّ أنّ الخيبة عمّتهم لما شاهدوا خروج الدين عن مرحلة </w:t>
      </w:r>
    </w:p>
    <w:p>
      <w:pPr>
        <w:pStyle w:val="BookText"/>
        <w:rPr/>
      </w:pPr>
      <w:r>
        <w:rPr>
          <w:rFonts w:ascii="Amiri" w:hAnsi="Amiri" w:eastAsia="Amiri" w:cs="Amiri"/>
          <w:color w:val="111111"/>
          <w:sz w:val="28"/>
          <w:sz w:val="28"/>
          <w:szCs w:val="28"/>
          <w:rtl w:val="true"/>
          <w:lang w:bidi="ar-SA"/>
        </w:rPr>
        <w:t>القيام بشخص النبي الأكرم إلى مرحلة القيام بشخص آخر مثالي يقوم مقامه، فعند ذلك تحققت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يئسوا من زوال الدين، بعد موته، و كمل الدين بتنصيب من يحمل وظائف النبي، و تمّت نعمة الهداية إلى أهداف الرسالة بالوصي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إكمال الدين، تحوّله من وصف الحدوث إلى وصف البقاء، و كان ذلك العمل، ردّا لما يحكيه سبحانه عن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بِأَمْرِهِ ، هو ما حدث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فتنسجم الجمل الثلاث، و يرتبط بعضها ببعض، فالدين الذي أكمله اللّه اليوم، و النعمة التي أتمّها اللّه اليوم، أمر واحد بحسب الحقيقة، و هو الذي كان يطمع فيه الكفار، و يخشاهم فيه المؤمنون، فآيسهم اللّه منه، و أكمله و أتمّه، و نهاهم عن الخشية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تَخْشَوْهُمْ وَ اِخْشَوْنِ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حقيقة الإمامة، و الإمام عند الشيعة، و بذلك يعلم اختلاف ما يتبنونه مع ما هو المعروف عند أهل السنّة، و من المعلوم أنّ كلاّ من المعنيين يستدعي لنفسه شروطا خاصّة، و الشروط عند الشيعة الإمامية أكثر ممّا اتّفقت عليه كلمة أهل السنّة، أهمها إحاطته بأصول الشريعة و فروعها، و المعرفة التامّة بكتاب اللّه، و سنّة نبيّه، و قدرته على دفع الشبهات، و صيانة الدين، يكون كلامه هو القول الفصل بين الأمّة، و لا تفترق هذه الشروط عن كونه معصوما، لا يضلّ في تعليم الأمّة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الرئيس ابن سينا في لزوم نصب الإمام من جانب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هذا الشخص الذي هو النبي، ليس ممّا يتكرر وجود مثله في كل وقت، فإنّ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المادة التي تقبل كمال مثله، تقع في قليل من الأمزجة، فيجب لا محالة أن يكون النبي قد دبّر لبقاء ما يسنّه و يشرّعه في أمور المصالح الإنسانية، تدبيرا عظيما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62" w:name="pg16351_180955"/>
    </w:p>
    <w:p>
      <w:pPr>
        <w:pStyle w:val="Heading3"/>
        <w:numPr>
          <w:ilvl w:val="2"/>
          <w:numId w:val="1"/>
        </w:numPr>
        <w:rPr/>
      </w:pPr>
      <w:bookmarkStart w:id="63" w:name="__RefHeading___Toc6422012_1280447820"/>
      <w:bookmarkStart w:id="64" w:name="_Toc23"/>
      <w:bookmarkEnd w:id="62"/>
      <w:bookmarkEnd w:id="63"/>
      <w:r>
        <w:rPr>
          <w:rtl w:val="true"/>
        </w:rPr>
        <w:t>الأمر السابع المصالح العامة، و صيغة الحكومة بعد النبي</w:t>
      </w:r>
      <w:bookmarkEnd w:id="64"/>
    </w:p>
    <w:p>
      <w:pPr>
        <w:pStyle w:val="Heading4"/>
        <w:numPr>
          <w:ilvl w:val="3"/>
          <w:numId w:val="1"/>
        </w:numPr>
        <w:rPr/>
      </w:pPr>
      <w:bookmarkStart w:id="65" w:name="__RefHeading___Toc6422014_1280447820"/>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يسود بين المسلمين، في صيغة الحكومة و قيادة الأمّة بعد النبي، رأيان و اتجاهان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الحكومة صيغة التنصيب، و أنّ الإمام بعد النبي يعين عن طريق الرسول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الأمر إلى اختيار الأمّة، و انتخابها بشكل من الأشكال التي ستوافيك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محاسبة مصالح الأمّة الإسلامية آنذاك، فهل كانت تقتضي تحقيق النظرية الأولى، و هي نظرية النصّ على شخص أو أشخاص معينين، أو تقتضي ترك مسألة الخلافة إلى رأي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هنا أمورا تدلّ على أنّ مصلحة الأمّة آنذاك، كانت تتطلب تنصيب الإمام و القائد الذي يخلف النبي، و تعيينه بلسانه في حياته، و كان في ترك هذا رمي للأمّة أمام أكبر المخاطر، و إليك بيان تلك الأمور</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422016_1280447820"/>
      <w:bookmarkStart w:id="68" w:name="_Toc25"/>
      <w:bookmarkEnd w:id="67"/>
      <w:r>
        <w:rPr>
          <w:rtl w:val="true"/>
        </w:rPr>
        <w:t>الأول</w:t>
      </w:r>
      <w:r>
        <w:rPr>
          <w:rtl w:val="true"/>
        </w:rPr>
        <w:t xml:space="preserve">: </w:t>
      </w:r>
      <w:r>
        <w:rPr>
          <w:rtl w:val="true"/>
        </w:rPr>
        <w:t>الأمة الإسلامية و الخطر الثلاثي</w:t>
      </w:r>
      <w:bookmarkEnd w:id="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الدولة الإسلامية، التي أسسها النبي الأكرم صلوات اللّه عليه، كانت </w:t>
      </w:r>
    </w:p>
    <w:p>
      <w:pPr>
        <w:pStyle w:val="BookText"/>
        <w:rPr/>
      </w:pPr>
      <w:r>
        <w:rPr>
          <w:rFonts w:ascii="Amiri" w:hAnsi="Amiri" w:eastAsia="Amiri" w:cs="Amiri"/>
          <w:color w:val="111111"/>
          <w:sz w:val="28"/>
          <w:sz w:val="28"/>
          <w:szCs w:val="28"/>
          <w:rtl w:val="true"/>
          <w:lang w:bidi="ar-SA"/>
        </w:rPr>
        <w:t>محاصرة حال وفاة النبي من جهتي الشمال و الشرق، بأكبر امبراطوريتين عرفهما تاريخ تلك الفترة، و كانتا على جانب كبير من القوة و البأس، و هما الروم و إيران؛ هذا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الداخل، فقد كان الإسلام و المسلمون يعانون من وطأة مؤامرات المنافقين الذين كانوا يشكّلون جبهة عدوانية داخلية، أشبه بما يسمّى بالطابور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خطورة إمبراطورية إيران أنّه كتب ملكها إلى عامله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وصلت إليه رسالة النبي تدعوه إلى الإسلام و التسليم، و مزّقها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إلى هذا الرجل بالحجاز، رجلين من عندك، جلدين، فليأتياني به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في خطورة موقف الإمبراطورية البيزنطية، أنّه وقعت اشتباكات عديدة بينها و بين المسلمين في السنة الثامنة للهجرة، منها غزوة مؤتة التي قتل فيها قادة الجيش الإسلامي و هم جعفر بن أبي طالب، و زيد بن حارثة، و عبد اللّه بن رواحه، و رجع الجيش الإسلامي من تلك الواقعة منهزما، و قد أثارت هزيمتهم في هذه المعركة، و استشهاد القادة الثلاثة، نقمة شديدة في نفوس المسلمين تجاه الروم، و لأجل ذلك توجّه الرسول الأكرم بنفسه على رأس الجيش الإسلامي إلى تبوك في السنة التاسعة لمقابلة الجيوش البيزنطية و لكنه لم يلق أحدا، فأقام في تبوك أياما ثم رجع إلى المدينة، و لم يكتف بهذا بل جهّز جيشا في أخريات أيّامه بقيادة أسامة بن زيد، لمواجهة جيوش الروم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خطر المنافقين، فحدّث عنه و لا حرج، هؤلاء أسلموا بألسنتهم دون قلوبهم، و أضمروا للمسلمين كلّ سوء، و كانوا يتحينون الفرص لإضعاف الدولة الإسلامية، بإثارة الفتن الداخلية، كما كانوا يتربصون الدوائر لاغتيال النبي و قتله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لقد انبرى القرآن الكريم لفضح المنافقين و التشهير بخططهم ضدّ الدين و النبي، في العديد من السور القرآنية مثل البقرة، و آل عمران، و النساء، و المائدة، و الأنفال، و التوبة، و العنكبوت، و الأحزاب، و محمد، و الفتح، و المجادلة، و الحديد، و الحشر، و قد نزلت في حقّهم سورة خاصة باسم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اهتمام القرآن بالتعرّض للمنافقين المعاصرين للنبي، المتواجدين بين الصحابة، أدلّ دليل على أنّهم كانوا قوّة كبيرة و يشكون جماعة وافرة، و يلعبون دورا خبيثا، خطيرا في تعكير الصف، و إفساح المجال لأعداء الإسلام، بحيث لو لا قيادة النبي الحكيمة، لقضوا على كيان الدين، و أطاحوا بصرحه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محتملا و مترقّبا أن يتحد هذا المثلث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 الروم،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لاكتساح الإسلام و اجتثاث جذوره، بعد وفاة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هذا الخطر المحيق الداهم، ما هي وظيفة القائد الحكيم الذي أرسى قواعد دينه على تضحيات عظيمة، فهل المصلحة كانت تقتضي تنصيب قائد حكيم عارف بأحكام القيادة و وظائفها حتى يجتمع المسلمون تحت رايته، و يكونوا صفا واحدا في مقابل ذاك الخطر، أو أنّ المصلحة العامة تقتضي تفويض الأمر إلى الأمّة، حتى يختاروا لأنّفسهم أميرا، مع أنّ من المعلوم أن ترك الأمر إلى الأمّة في ذلك الوقت الحرج، يلازم الشغب و الاختلاف و التنافس الذي لم يكن لصالح الإسلام و المسلمين، في الوقت الذي يعانون فيه من وفاة النبي؟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w:t>
      </w:r>
      <w:bookmarkStart w:id="69" w:name="pg16351_180958"/>
    </w:p>
    <w:p>
      <w:pPr>
        <w:pStyle w:val="Heading4"/>
        <w:numPr>
          <w:ilvl w:val="3"/>
          <w:numId w:val="1"/>
        </w:numPr>
        <w:rPr/>
      </w:pPr>
      <w:bookmarkStart w:id="70" w:name="__RefHeading___Toc6422018_1280447820"/>
      <w:bookmarkStart w:id="71" w:name="_Toc26"/>
      <w:bookmarkEnd w:id="69"/>
      <w:bookmarkEnd w:id="70"/>
      <w:r>
        <w:rPr>
          <w:rtl w:val="true"/>
        </w:rPr>
        <w:t xml:space="preserve">الثاني </w:t>
      </w:r>
      <w:r>
        <w:rPr>
          <w:rtl w:val="true"/>
        </w:rPr>
        <w:t xml:space="preserve">- </w:t>
      </w:r>
      <w:r>
        <w:rPr>
          <w:rtl w:val="true"/>
        </w:rPr>
        <w:t>الحياة القبلية تمنع من الاتفاق على قائد</w:t>
      </w:r>
      <w:bookmarkEnd w:id="71"/>
    </w:p>
    <w:p>
      <w:pPr>
        <w:pStyle w:val="BookText"/>
        <w:rPr/>
      </w:pPr>
      <w:r>
        <w:rPr>
          <w:rFonts w:ascii="Amiri" w:hAnsi="Amiri" w:eastAsia="Amiri" w:cs="Amiri"/>
          <w:color w:val="111111"/>
          <w:sz w:val="28"/>
          <w:sz w:val="28"/>
          <w:szCs w:val="28"/>
          <w:rtl w:val="true"/>
          <w:lang w:bidi="ar-SA"/>
        </w:rPr>
        <w:t xml:space="preserve">من أبرز ما كان يتميز به المجتمع العربي في حياة النبي الأكرم، هو حياة النظام القبلي، و التقسيمات العشائرية التي كانت تحتل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للقبيلة أكبر الدور في الحياة العربية قبل الإسلام و بعده، و على أساسها كانت تدور المفاخرات، و تنشد القصائد، و تبنى الأمجاد، كما كانت هي منشأ أكثر الحروب و أغلب 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يشهد لنا كيف كاد التنازع القبلي في قضية بناء الكعبة المشرّفة، و وضع الحجر الأسود في موضعه أيام الجاهلية، أن يؤدي إلى الاختلاف، فالصراع الدموي، و الاقتتال المرير، لو لا تدخل النبي الأكرم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سعى النبي الأكرم، سعيا حثيثا، لمحو الروح القبلية، و إذابة الفوارق العشائرية، و جمع تلك المتشتتات في بوتقة الإيمان الموحّد، و لكن لم يكن من الممكن أن ينقلب النظام القبلي في مدة ثلاث و عشرين عاما إلى نظام موحد إسلامي، لا يرى للانتساب إلى القبيلة فخرا، سوى التعرّف و التعريف</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الشواهد على تغلغل العصبيات القبلية في نفوس أكثر الصحابة، كثيرة، و يكفي في ذلك ما ورد في غزوة بني المصطلق، حيث تنازع مهاجري مع أنصاريّ، فصرخ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صرخ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النبي هذه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دعوى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قيادته الحكيمة، لخضّب وجه الأرض بدماء المسلمين من المهاجرين و الأنصار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نقله ابن هشام من أن شعث بن قيس، و كان شيخا من اليهود، مرّ </w:t>
      </w:r>
    </w:p>
    <w:p>
      <w:pPr>
        <w:pStyle w:val="BookText"/>
        <w:rPr/>
      </w:pPr>
      <w:r>
        <w:rPr>
          <w:rFonts w:ascii="Amiri" w:hAnsi="Amiri" w:eastAsia="Amiri" w:cs="Amiri"/>
          <w:color w:val="111111"/>
          <w:sz w:val="28"/>
          <w:sz w:val="28"/>
          <w:szCs w:val="28"/>
          <w:rtl w:val="true"/>
          <w:lang w:bidi="ar-SA"/>
        </w:rPr>
        <w:t>ذات يوم على نفر من أصحاب الرسول، من الأوس و الخزرج، فرآهم يتحدثون، فغاظه ما رأى من ألفتهم و جماعتهم، فأمر فتى شابا من اليهود، كان معهم،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إليهم، فاجلس معهم، ثم اذكر يوم بعاث و ما كان قبله، و أنشدهم بعض ما كانوا تقاولوا فيه من الأشعار، ففعل الشاب ذلك، فأثّر كيد ذلك اليهودي الماكر في نفوس الأخوة من المسلمين، فغضب الفريقان، و انتضوا أسلحتهم للقتال، فبلغ ذلك رسول اللّه صلى اللّه عليه و آله، فخرج إليهم فيمن معه من أصحابه المهاجرين،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اللّه، اللّه، أ بدعوى الجاهلية، و أنا بين أظهركم بعد أن هداكم اللّه للإسلام و أكرمكم به، و قطع به عنكم أمر الجاهلية و استنقذكم به من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الذي يدلّ على تعمّق رواسب القبلية في النفوس، ما ذكره الشيخ البخاري في صحيحه، في قصة الإفك،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و 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من يعذرني من رجل قد بلغني عنه أذاه في أهلي، و اللّه ما علمت على أهلي إلاّ خيرا، و لقد ذكروا رجلا ما علمت عليه إلاّ خيرا، و ما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معاذ أخو بني عبد الأشهل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أعذرك، فإن كان من الأوس ضربت عنقه، و إن كان من إخواننا من الخزرج أمرتنا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من الخزرج، و هو سعد بن عبادة، و هو سيد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و كان قبل ذلك رجلا صالحا و لكن احتملته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و اللّه، لا تقتله و لا تقدر على قتله، و لو كان من رهطك ما أحببت أن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أسيد بن حضير، و هو ابن عمّ سعد بن معاذ، لسعد بن عبادة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لعمر و اللّه، لتقتلنّه، فإنّك منافق تجادل عن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هموا أن يقتتلوا، و رسول اللّه صلى اللّه عليه و آله، قائم على المنبر، و لم يزل رسول اللّه، يخفضهم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يهدئهم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سكتوا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يقل شاهدا على وجود هذه الرواسب في نفوس الكثيرين منهم، ما ظهر منهم في يوم السقيفة من روح القبلية، و نزعة التعصّب، و تبودل بينهم من الشتم و الضرب، و إليك نقل القصة عن لسان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ممثل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فنحن أنصار اللّه، و كتيبة الإسلام، و أنتم يا معشر المهاجرين، رهط منا، و قد دفت دافة من قومكم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جاء جماعة ببطء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هم يريدون أن يختارونا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أصلنا، و يغصبونا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ذكرتم فيكم من خير، فأنتم له أصل و لن تعرف العرب هذا الأمر، إلاّ لهذا الحي من قريش، هم أوسط العرب نسبا و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قائل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جذيلها المحكّك، و عذيقها المرجّب، منّا أمير و منكم أمير،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 ارتفعت الأصوات، حتى تخوفت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يا أبا بكر فبسط يده فبايعته، ثم بايعه المهاجرون، ثم بايعه الأنصار و نزونا على سعد بن عبادة، فقال قائل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سعد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يقتصر اختلاف الأمّة على ما جرى في السقيفة، بل جرت بين الأنصار و المهاجرين مشاجرات كلامية و شعرية و هجائية، هاجم كلّ الفريق الآخر، بأنواع الهجاء، نقلها المؤرخون و لا يعجبني نقل كلمهم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2" w:name="pg16351_180961"/>
    </w:p>
    <w:p>
      <w:pPr>
        <w:pStyle w:val="BookText"/>
        <w:rPr/>
      </w:pPr>
      <w:bookmarkEnd w:id="72"/>
      <w:r>
        <w:rPr>
          <w:rFonts w:ascii="Amiri" w:hAnsi="Amiri" w:eastAsia="Amiri" w:cs="Amiri"/>
          <w:color w:val="111111"/>
          <w:sz w:val="28"/>
          <w:sz w:val="28"/>
          <w:szCs w:val="28"/>
          <w:rtl w:val="true"/>
          <w:lang w:bidi="ar-SA"/>
        </w:rPr>
        <w:t>و ما ذكرناه غيض من فيض ممّا جرى بين الصحابة من المنازعات و الخلافات الناشئة من روح القبلية، و التعصّب العشائري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فهل يجوز في منطق العقل ترك هذا المجتمع، الغارق في نزاعاته العصبية، دون نصب قائد، يكون نصبه قاطعا لدابر الاختلاف، و مانعا من مأساة التمزّق و التفرق؟ فاقض ما أنت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محاسبة ثالثة لا تقلّ عن العاملين السابقين في استلزامها كون المصلحة تقتضي نصب القائد، لا تفويض الأمر إلى المسلمين أنفسهم، و هي ما يلي</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6422020_1280447820"/>
      <w:bookmarkStart w:id="74" w:name="_Toc27"/>
      <w:bookmarkEnd w:id="73"/>
      <w:r>
        <w:rPr>
          <w:rtl w:val="true"/>
        </w:rPr>
        <w:t xml:space="preserve">الثالث </w:t>
      </w:r>
      <w:r>
        <w:rPr>
          <w:rtl w:val="true"/>
        </w:rPr>
        <w:t xml:space="preserve">- </w:t>
      </w:r>
      <w:r>
        <w:rPr>
          <w:rtl w:val="true"/>
        </w:rPr>
        <w:t>الصحابة و مدى الوعي الديني</w:t>
      </w:r>
      <w:bookmarkEnd w:id="74"/>
    </w:p>
    <w:p>
      <w:pPr>
        <w:pStyle w:val="BookText"/>
        <w:rPr/>
      </w:pPr>
      <w:r>
        <w:rPr>
          <w:rFonts w:ascii="Amiri" w:hAnsi="Amiri" w:eastAsia="Amiri" w:cs="Amiri"/>
          <w:color w:val="111111"/>
          <w:sz w:val="28"/>
          <w:sz w:val="28"/>
          <w:szCs w:val="28"/>
          <w:rtl w:val="true"/>
          <w:lang w:bidi="ar-SA"/>
        </w:rPr>
        <w:t xml:space="preserve">إنّ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في القدرة على تدبير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إدارة شئونها حدّ الاكتفاء الذاتي الذي لا تحتاج معه إلى نصب قائد لها من جانب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عدم بلوغهم هذا الحدّ أمرا طبيعيا لأنّه من غير الممكن تربية أمّة كانت متوغلة في العادات الوحشية، و العلاقات الجاهلية، و النهوض بها إلى حدّ تصير أمّة كاملة تدفع عن نفسها تلك الرواسب، و تستغني عن نصب القائد المحنّك، و الرئيس المدبّر، بل هي تقدر على تشخيص مصالحها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إعداد مثل هذه الجماعة، و مثل هذه الأمّة، لا تتم في العادة إلاّ بعد انقضاء جيل أو جيلين، و بعد مرور زمن طويل يكفي لتغلغل التربية الإسلامية إلى أعماق تلك الأمّة، بحيث تختلط مفاهيم الدين بدمها و عروقها، و تتمكن منها العقيدة إلى درجة تحفظها من التذبذب و التراجع إلى الوراء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يكفيك شاهدا على هذا، معركة أحد، فقد هرب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ساحة المعركة عند ما أذيع نبأ قتل النبي من جانب الأعداء، و لاذ بعضهم بالجبل، بل فكّر بعضهم بالتفاوض مع المشركين، حتى أتاهم أحد المقاتلين و وبّخهم على فرارهم و تخاذلهم و ترددهم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محمد قد مات، فربّ </w:t>
      </w:r>
    </w:p>
    <w:p>
      <w:pPr>
        <w:pStyle w:val="BookText"/>
        <w:rPr/>
      </w:pPr>
      <w:r>
        <w:rPr>
          <w:rFonts w:ascii="Amiri" w:hAnsi="Amiri" w:eastAsia="Amiri" w:cs="Amiri"/>
          <w:color w:val="111111"/>
          <w:sz w:val="28"/>
          <w:sz w:val="28"/>
          <w:szCs w:val="28"/>
          <w:rtl w:val="true"/>
          <w:lang w:bidi="ar-SA"/>
        </w:rPr>
        <w:t>محمد حي، قوموا و دافعوا عن دينه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 في هذا نزل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في شأن من ذهبوا يفتشون عن ملجأ لهم فرارا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قَدْ أَهَمَّتْهُمْ أَنْفُسُهُمْ، يَظُنُّونَ بِاللّٰهِ غَيْرَ اَلْحَقِّ ظَنَّ اَلْجٰاهِلِيَّةِ،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لَنٰا مِنَ اَلْأَمْرِ مِنْ شَيْ‌ءٍ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تكن واقعة أحد وحيدة في نسجها، بل كانت غزوة حنين على منوالها في التقهقر و الفرار عن ساحة الحرب، يقول ابن هشام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استقبلنا وادي حنين، و انحدرنا في واد من أودية تهامة، و كان العدو قد سبقونا إلى الوادي و كمنوا لنا في شعابه و احنائه، و مضائقه، و قد شدّوا علينا شدّة رجل واحد، و انهزم الناس راجعين لا يلوي أحد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انحاز رسول اللّه ذات اليمين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أيها الناس؟ هلموا إليّ، أنا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الناس، إلاّ أنّه بقي مع رسول اللّه نفر من المهاجرين و الأنصار، فلما انهزم الناس و رأى من كان مع رسول اللّه من جفاة أهل مكة الهزيمة، تكلّم رجال منهم بما في أنفسهم من الضغن، فقال أبو سفيان بن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الأزلام لمعه في كنانته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صرخ جبلة بن الحنبل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لبطل السّحر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الأحداث و الوقائع التي كشفت عن عدم تغلغل الإيمان و العقيدة في قلوب الأكثرية منهم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بينهم رجال صالحون، يضحون في سبيل العقيدة، بأنفس النفائس، و أثمن الأموال، غير أنّ البحث مركز على دراسة وضع المجتمع </w:t>
      </w:r>
    </w:p>
    <w:p>
      <w:pPr>
        <w:pStyle w:val="BookText"/>
        <w:rPr/>
      </w:pPr>
      <w:r>
        <w:rPr>
          <w:rFonts w:ascii="Amiri" w:hAnsi="Amiri" w:eastAsia="Amiri" w:cs="Amiri"/>
          <w:color w:val="111111"/>
          <w:sz w:val="28"/>
          <w:sz w:val="28"/>
          <w:szCs w:val="28"/>
          <w:rtl w:val="true"/>
          <w:lang w:bidi="ar-SA"/>
        </w:rPr>
        <w:t>الإسلامي ككل، لا من حيث اشتماله على أفراد لا يدرك شأوهم في الفضيلة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الباحث يتخيل أنّهم انقلبوا بعد رحلة الرسول إلى مجتمع ديني لا يتخطون سبيل الدين قيد أنملة، و لكن ما ورد في الصحاح و المسانيد من ارتداد أمّة كبيرة من الصحابة، يؤيّد ما ذكرناه من عدم رسوخ العقيدة و الإيمان في قلوبهم، و لا مجال لذكر جميع الروايات، إنّما نكتفي بواحدة منها و نحيل البقية إلى الباحث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w:t>
      </w:r>
      <w:r>
        <w:rPr>
          <w:rStyle w:val="FootnoteAnchor"/>
          <w:rtl w:val="true"/>
        </w:rPr>
        <w:footnoteReference w:id="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تَوَفَّيْتَنِي كُنْتَ أَنْتَ اَلرَّقِيبَ عَلَيْهِمْ فيقال إنّ هؤلاء لم يزالوا مرتدين على أعقابهم ما فارقتهم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دراسة هذه الأمور الثلاثة، يرشدنا إلى أنّ القائد الحكيم، الذي مرّت عليه هذه الأوضاع و الأحوال و عاينها عن كثب، عليه أن يستخلف قائدا للأمّة لما في هذا التنصيب من مصلحة، و قطع لدابر الاختلاف، و جمع لشمل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ترك الأمر إلى المسلمين أنفسهم، ففيه من الأخطار ما صوّرناه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القائد الحكيم هو من يعتني بالأوضاع الاجتماعية لأمّته، و يلاحظ </w:t>
      </w:r>
    </w:p>
    <w:p>
      <w:pPr>
        <w:pStyle w:val="BookText"/>
        <w:rPr/>
      </w:pPr>
      <w:r>
        <w:rPr>
          <w:rFonts w:ascii="Amiri" w:hAnsi="Amiri" w:eastAsia="Amiri" w:cs="Amiri"/>
          <w:color w:val="111111"/>
          <w:sz w:val="28"/>
          <w:sz w:val="28"/>
          <w:szCs w:val="28"/>
          <w:rtl w:val="true"/>
          <w:lang w:bidi="ar-SA"/>
        </w:rPr>
        <w:t>الظروف المحيطة بها، و يرسم على ضوئها ما يراه صالحا لمستقبلها، و قد عرفت أنّ مقتضى هذه الظروف هو تعيين القائد و المدبّر، لا دفع الأمر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ينظر قول حكيم الإسلام الشيخ الرئيس أبي علي ابن سينا في حقّ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الاستخلاف بالنصّ أصوب، فإن ذلك لا يؤدّي إلى التشعب و التشاغب و الاختلاف</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حصيلة الكلام أنّ النظر إلى لزوم ملئ الفراغات الهائلة التي تخلفها رحلة النبي الأكرم و محاسبة مصالح الأمّة آنذاك، لا يدع شكّا في أنّ صيغة الحكومة بعد النبي، إنّما هي صيغة التنصيب، لا ترك الأمر إلى الأمّة و اختيار الإمام بطريق من الطرق التي سنشير إليها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قطع النظر عن النصوص التي تعيّن النظرية الأولى بوضوح، و أنّه صلى اللّه عليه و آله، قد قام بنصب الوصيّ خضوعا لأمر اللّه أوّلا، و رعاية للمصالح التشريعية ثانيا، و اهتماما بمصالح الإسلام و المسلمين ثالثا، فإلى الملتقى في مورد هذه النصوص</w:t>
      </w:r>
      <w:r>
        <w:rPr>
          <w:rFonts w:eastAsia="Amiri" w:cs="Amiri" w:ascii="Amiri" w:hAnsi="Amiri"/>
          <w:color w:val="111111"/>
          <w:sz w:val="28"/>
          <w:szCs w:val="28"/>
          <w:rtl w:val="true"/>
          <w:lang w:bidi="ar-SA"/>
        </w:rPr>
        <w:t xml:space="preserve">. </w:t>
      </w:r>
      <w:bookmarkStart w:id="75" w:name="pg16351_180965"/>
    </w:p>
    <w:p>
      <w:pPr>
        <w:pStyle w:val="Heading3"/>
        <w:numPr>
          <w:ilvl w:val="2"/>
          <w:numId w:val="1"/>
        </w:numPr>
        <w:rPr/>
      </w:pPr>
      <w:bookmarkStart w:id="76" w:name="__RefHeading___Toc6422022_1280447820"/>
      <w:bookmarkStart w:id="77" w:name="_Toc28"/>
      <w:bookmarkEnd w:id="75"/>
      <w:bookmarkEnd w:id="76"/>
      <w:r>
        <w:rPr>
          <w:rtl w:val="true"/>
        </w:rPr>
        <w:t>الأمر الثامن هل الشورى أساس الحكم و الخلافة؟</w:t>
      </w:r>
      <w:bookmarkEnd w:id="77"/>
    </w:p>
    <w:p>
      <w:pPr>
        <w:pStyle w:val="Heading4"/>
        <w:numPr>
          <w:ilvl w:val="3"/>
          <w:numId w:val="1"/>
        </w:numPr>
        <w:rPr/>
      </w:pPr>
      <w:bookmarkStart w:id="78" w:name="__RefHeading___Toc6422024_1280447820"/>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قد تعرفت على الكلمات السابقة التي تعرب عمّا تنعقد به الإمامة عند أهل السنّة، كما تعرفت على كيفية خلافة الخلفاء، و أنّ الأول منهم فاز بخمسة أصوات</w:t>
      </w:r>
      <w:r>
        <w:rPr>
          <w:rStyle w:val="FootnoteAnchor"/>
          <w:rtl w:val="true"/>
        </w:rPr>
        <w:footnoteReference w:id="105"/>
      </w:r>
      <w:r>
        <w:rPr>
          <w:rFonts w:ascii="Amiri" w:hAnsi="Amiri" w:eastAsia="Amiri" w:cs="Amiri"/>
          <w:color w:val="111111"/>
          <w:sz w:val="28"/>
          <w:sz w:val="28"/>
          <w:szCs w:val="28"/>
          <w:rtl w:val="true"/>
          <w:lang w:bidi="ar-SA"/>
        </w:rPr>
        <w:t>، و أنّ الثاني أخذ بزمام الحكم بتعيين الخليفة الأول، و أنّ الثالث استتب له الأمر بشورى سداسية عيّنها نفس الخليفة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واقع الأمر، و لم يكن في انتخاب هؤلاء ما يقتضيه طبع التشاور من عرض الموضوع على أهل المشورة، و مناقشة الآراء، و انتخاب واحد في ضوء الموازين العقلية و الاجتماعية و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كلمة تعبّر عن حقيقة هذا النوع من الانتخاب ما ذكره الخليفة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كانت بيعة أبي بكر فلتة و تمّت، ألا و إنّها قد كانت كذلك و لكن اللّه وقى شرّها، و ليس منكم من تقطع الأعناق إليه مثل أبي بكر، من بايع رجلا من غير مشورة من المسلمين، فلا يبايع هو، و لا الذي بايعه، تغرّة أن يقتلا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حاول المتجددون من متكلمي أهل السنّة، صبّ صيغة الحكومة الإسلامية على أساس المشورة بجعله بمنزلة الاستفتاء الشعبي، بملاحظة أنّه لم يكن </w:t>
      </w:r>
      <w:bookmarkStart w:id="80" w:name="pg16351_180966"/>
    </w:p>
    <w:p>
      <w:pPr>
        <w:pStyle w:val="BookText"/>
        <w:rPr/>
      </w:pPr>
      <w:bookmarkEnd w:id="80"/>
      <w:r>
        <w:rPr>
          <w:rFonts w:ascii="Amiri" w:hAnsi="Amiri" w:eastAsia="Amiri" w:cs="Amiri"/>
          <w:color w:val="111111"/>
          <w:sz w:val="28"/>
          <w:sz w:val="28"/>
          <w:szCs w:val="28"/>
          <w:rtl w:val="true"/>
          <w:lang w:bidi="ar-SA"/>
        </w:rPr>
        <w:t>من الممكن بعد وفاة النبي مراجعة كل الأفكار و استعلام جميع الآراء في الوطن الإسلامي، لقلّة وسائل المواصلات، و فقدان سبل الاتصال المتعارفة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الشيخ عبد الكريم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بايعوا أوّل خليفة للمسلمين لم يتجاوزوا أهل المدينة، و ربما كان بعض أهل مكة، و أمّا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الجزيرة العربية، فلم يشاركوا هذه البيعة، و لم يشهدوها، و لم يروا رأيهم، و إنّما ورد عليهم الخبر بموت النبي مع الخبر باستخلاف أبي بكر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مظاهر الاختلاف الواقع في مسألة الشورى، أنّ القائلين بها اختلفوا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بأنّ انتخاب أهل الشورى ملزم للأمّة، و هو خبرة الأكثرية، و منهم من قال إنّه لا يزيد عن ترشيح له لمنصب الأمّة، و للأمّة اختياره أو رفضه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فما دليل هذه النظرية، أي كون الشورى أساس الحكم، سواء في الفترة التي تلت رحلة النبي أو في زماننا الحاضر</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6422026_1280447820"/>
      <w:bookmarkStart w:id="82" w:name="_Toc30"/>
      <w:bookmarkEnd w:id="81"/>
      <w:r>
        <w:rPr>
          <w:rtl w:val="true"/>
        </w:rPr>
        <w:t>استدلوا بآيتين</w:t>
      </w:r>
      <w:r>
        <w:rPr>
          <w:rtl w:val="true"/>
        </w:rPr>
        <w:t>:</w:t>
      </w:r>
      <w:bookmarkEnd w:id="82"/>
    </w:p>
    <w:p>
      <w:pPr>
        <w:pStyle w:val="Heading5"/>
        <w:numPr>
          <w:ilvl w:val="4"/>
          <w:numId w:val="1"/>
        </w:numPr>
        <w:rPr/>
      </w:pPr>
      <w:bookmarkStart w:id="83" w:name="__RefHeading___Toc6422028_1280447820"/>
      <w:bookmarkStart w:id="84" w:name="_Toc31"/>
      <w:bookmarkEnd w:id="83"/>
      <w:r>
        <w:rPr>
          <w:rtl w:val="true"/>
        </w:rPr>
        <w:t>الآية الأولى</w:t>
      </w:r>
      <w:r>
        <w:rPr>
          <w:rtl w:val="true"/>
        </w:rPr>
        <w:t>:</w:t>
      </w:r>
      <w:bookmarkEnd w:id="84"/>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w:t>
      </w:r>
      <w:r>
        <w:rPr>
          <w:rStyle w:val="FootnoteAnchor"/>
          <w:rtl w:val="true"/>
        </w:rPr>
        <w:footnoteReference w:id="109"/>
      </w:r>
      <w:r>
        <w:rPr>
          <w:rFonts w:ascii="Amiri" w:hAnsi="Amiri" w:eastAsia="Amiri" w:cs="Amiri"/>
          <w:color w:val="111111"/>
          <w:sz w:val="28"/>
          <w:sz w:val="28"/>
          <w:szCs w:val="28"/>
          <w:rtl w:val="true"/>
          <w:lang w:bidi="ar-SA"/>
        </w:rPr>
        <w:t>فاللّه سبحانه يأمر نبيّه بالمشاورة، تعليما للأمّة، حتى يتشاوروا في مهام الأمور، و منها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الآية متوجّه إلى الحاكم الذي استقرّت حكومته، فيأمره سبحانه أن ينتفع من آراء رعيّته، فأقصى ما يمكن التجاوز به عن الآية، هو أنّ من وظائف كلّ الحكام التشاور مع الأمّة، و أمّا أنّ الخلافة بنفس الشورى، فلا يمكن الاستدلال عليه بهذه الآية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نظير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استبدّ برأيه هلك، و من </w:t>
      </w:r>
      <w:bookmarkStart w:id="85" w:name="pg16351_180967"/>
    </w:p>
    <w:p>
      <w:pPr>
        <w:pStyle w:val="BookText"/>
        <w:rPr/>
      </w:pPr>
      <w:bookmarkEnd w:id="85"/>
      <w:r>
        <w:rPr>
          <w:rFonts w:ascii="Amiri" w:hAnsi="Amiri" w:eastAsia="Amiri" w:cs="Amiri"/>
          <w:color w:val="111111"/>
          <w:sz w:val="28"/>
          <w:sz w:val="28"/>
          <w:szCs w:val="28"/>
          <w:rtl w:val="true"/>
          <w:lang w:bidi="ar-SA"/>
        </w:rPr>
        <w:t>شاور الرجال في أمورها، شاركها في عقولها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الآية هو أنّ التشاور لا يوجب حكما للحاكم، و لا يلزمه بشيء، بل هو يقلب وجوه الرأي و يستعرض الأفكار المختلفة، ثم يأخذ بما هو المفيد في نظره، و ذلك لقوله سبحانه في نفس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فَتَوَكَّلْ عَلَى اَللّٰهِ ، المعرب عن أنّ العزم و التصميم و الاستنتاج من الآراء و الأخذ بما هو الأصلح راجع إلى نفس المشير، و هذا يتحقق في ظرف يكون هناك مسئول تام الاختيار في استحصال الأفكار و العمل بالنافع منها، حتى يخاطب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 و أمّا إذا لم يكن ثمة رئيس، فلا تنطبق عليه الآية، إذ ليس في انتخاب الخليفة بين المشيرين من يقوم بدعوة الأفراد للمشورة، لغاية استعراض آرائهم، ثم تمحيص أفكارهم، و الأخذ بالنافع منها، ثم العزم القاطع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يعرب عن أنّ الآية ترجع إلى غير مسألة الحكومة و 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لم نر أحدا من الحاضرين في السقيفة احتجّ بهذه الآية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422030_1280447820"/>
      <w:bookmarkStart w:id="87" w:name="_Toc32"/>
      <w:bookmarkEnd w:id="86"/>
      <w:r>
        <w:rPr>
          <w:rtl w:val="true"/>
        </w:rPr>
        <w:t>الآية الثانية</w:t>
      </w:r>
      <w:r>
        <w:rPr>
          <w:rtl w:val="true"/>
        </w:rPr>
        <w:t>:</w:t>
      </w:r>
      <w:bookmarkEnd w:id="87"/>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ببيان أنّ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إلى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يفيد العموم و الشمول لكل أمر، و منه الخلافة، فيعود معنى الآية أنّ شأن المؤمنين في كل مورد، شورى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تأمر بالمشورة في الأمور المضافة إلى المؤمنين، و أمّا أنّ تعيين الخليفة من الأمور المضافة إليهم، فهو أول الكلام، و التمسك بالآية في هذا المجال، تمسّك بالحكم في إثبات موضوعه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حثّت على الشورى فيما يمتّ إلى شئون المؤمنين بصلة، لا فيما هو خارج عن حوزة أمورهم، أمّا كون تعيين الإمام داخلا في </w:t>
      </w:r>
      <w:bookmarkStart w:id="88" w:name="pg16351_180968"/>
    </w:p>
    <w:p>
      <w:pPr>
        <w:pStyle w:val="BookText"/>
        <w:rPr/>
      </w:pPr>
      <w:bookmarkEnd w:id="88"/>
      <w:r>
        <w:rPr>
          <w:rFonts w:ascii="Amiri" w:hAnsi="Amiri" w:eastAsia="Amiri" w:cs="Amiri"/>
          <w:color w:val="111111"/>
          <w:sz w:val="28"/>
          <w:sz w:val="28"/>
          <w:szCs w:val="28"/>
          <w:rtl w:val="true"/>
          <w:lang w:bidi="ar-SA"/>
        </w:rPr>
        <w:t>أمورهم، فهو أول الكلام، إذ لا ندري هل هو من شئونهم أو من شئون اللّه سبحانه، و لا ندري، هل هي إمرة و ولاية إلهية تتم بنصبه سبحانه و تعيينه، أو إمرة و ولاية شعبية، يجوز للناس التدخّل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الترديد لا يصحّ التمسّك بالآية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422032_1280447820"/>
      <w:bookmarkStart w:id="90" w:name="_Toc33"/>
      <w:bookmarkEnd w:id="89"/>
      <w:r>
        <w:rPr>
          <w:rtl w:val="true"/>
        </w:rPr>
        <w:t>إجابة عن سؤال</w:t>
      </w:r>
      <w:bookmarkEnd w:id="90"/>
    </w:p>
    <w:p>
      <w:pPr>
        <w:pStyle w:val="BookText"/>
        <w:rPr/>
      </w:pPr>
      <w:r>
        <w:rPr>
          <w:rFonts w:ascii="Amiri" w:hAnsi="Amiri" w:eastAsia="Amiri" w:cs="Amiri"/>
          <w:color w:val="111111"/>
          <w:sz w:val="28"/>
          <w:sz w:val="28"/>
          <w:szCs w:val="28"/>
          <w:rtl w:val="true"/>
          <w:lang w:bidi="ar-SA"/>
        </w:rPr>
        <w:t>لو لم تكن الشورى أساس الحكم، فلما ذا استدلّ الإمام علي عليه السلام، على المخالف، بمبدإ الشورى،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مخاطبا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عليهم، فلم يكن للشاهد أن يختار، و لا للغائب أن يردّ، و إنّما الشورى للمهاجرين و الأنصار، فإن اجتمعوا على رجل و سمّوه إماما، كان ذلك للّه رضى</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الحديد المعتزلي هو أوّل من احتجّ بهذه الخطبة على أنّ صيغة الحكومة بعد وفاة النبي مستندة إلى الاختيار و نظام الشورى، و تبعه من تبعه، و لكنه غفل عن صدر الرسالة التي تعرب عن أنّ الاستدلال بالشورى من باب الجدل، خضوعا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بِالَّتِي هِيَ أَحْسَنُ </w:t>
      </w:r>
      <w:r>
        <w:rPr>
          <w:rStyle w:val="FootnoteAnchor"/>
          <w:rtl w:val="true"/>
        </w:rPr>
        <w:footnoteReference w:id="113"/>
      </w:r>
      <w:r>
        <w:rPr>
          <w:rFonts w:ascii="Amiri" w:hAnsi="Amiri" w:eastAsia="Amiri" w:cs="Amiri"/>
          <w:color w:val="111111"/>
          <w:sz w:val="28"/>
          <w:sz w:val="28"/>
          <w:szCs w:val="28"/>
          <w:rtl w:val="true"/>
          <w:lang w:bidi="ar-SA"/>
        </w:rPr>
        <w:t>، فإنّ الإمام عليه السلام بدأ رسالته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بيعتي بالمدينة لزمتك و أنت بالشام، لأنّه بايعني الذين بايعوا أبا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طلحة و الزبير بايعاني ثم نقضا بيعتي، و كان نقضهما كردّهما، فجاهدتهما على ذلك حتى جاء الحق، و ظهر أمر اللّه و هم كارهون، فادخل فيما دخل فيه المسلمون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فالابتداء بالكلام بخلافة الشيخين يعرب عن أنّه في مقام إسكات معاوية </w:t>
      </w:r>
      <w:bookmarkStart w:id="91" w:name="pg16351_180969"/>
    </w:p>
    <w:p>
      <w:pPr>
        <w:pStyle w:val="BookText"/>
        <w:rPr/>
      </w:pPr>
      <w:bookmarkEnd w:id="91"/>
      <w:r>
        <w:rPr>
          <w:rFonts w:ascii="Amiri" w:hAnsi="Amiri" w:eastAsia="Amiri" w:cs="Amiri"/>
          <w:color w:val="111111"/>
          <w:sz w:val="28"/>
          <w:sz w:val="28"/>
          <w:szCs w:val="28"/>
          <w:rtl w:val="true"/>
          <w:lang w:bidi="ar-SA"/>
        </w:rPr>
        <w:t>الذي يعتبر البيعة وجها شرعيا للخلافة، و لو لا هذا لما كان وجه لذكر خلافة الشيخين، بل لاستدلّ بنفس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يتمّ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اجتمعوا على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احتجاجا بمعتقد معاوية، عليه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6422034_1280447820"/>
      <w:bookmarkStart w:id="93" w:name="_Toc34"/>
      <w:bookmarkEnd w:id="92"/>
      <w:r>
        <w:rPr>
          <w:rtl w:val="true"/>
        </w:rPr>
        <w:t>أسئلة حول مبدئية الشورى</w:t>
      </w:r>
      <w:bookmarkEnd w:id="93"/>
    </w:p>
    <w:p>
      <w:pPr>
        <w:pStyle w:val="BookText"/>
        <w:rPr/>
      </w:pPr>
      <w:r>
        <w:rPr>
          <w:rFonts w:ascii="Amiri" w:hAnsi="Amiri" w:eastAsia="Amiri" w:cs="Amiri"/>
          <w:color w:val="111111"/>
          <w:sz w:val="28"/>
          <w:sz w:val="28"/>
          <w:szCs w:val="28"/>
          <w:rtl w:val="true"/>
          <w:lang w:bidi="ar-SA"/>
        </w:rPr>
        <w:t>من خلال التحليل المتقدم يمكن استخلاص أسئلة حول مبدئية الشورى للحكم، تزعزع كونها مبدأ له،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أساس الحكم هو الشورى، لوجب على الرسول الأكرم التصريح به، أوّلا، و بيان حدوده و خصوصياته،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يبيّن من هم الذين يشتركون في الشورى، هل هم القراء وحدهم، أو السياسيون، أو القادة العسكريون، أو الجميع، و ما هي شرائط المنتخب، و أنّه لو حصل هناك اختلاف في الشورى، فما هو المرجّح، هل هو كمية الآراء و كثرتها، أو الرجحان بالكيفية، و خصوصيات المرشحين و ملكاتهم النفسية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سكوت النبي عن الإجابة على هذه الأسئلة التي تتصل بجوهر مسألة الشورى، و قد جعل الشورى طريقا إلى تعيين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القوم يعبّرون عن أعضاء الشورى، بأهل الحلّ و العقد، و لا يفسّرونه بما يرفع إجماله، فمن هم أهل الحلّ و العقد؟ و ما ذا يحلّون و ما ذا يعقدون؟ أهم أصحاب الفقه و الرأي الذين يرجع إليهم الناس في أحكام دينهم؟ و هل يشترط حينئذ درجة معينة من الفقه و العلم؟ و ما هي تلك الدرجة؟ و بأي ميزان توزن؟ و من إليه يرجع الأمر في تقديرها؟ أم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تجد من يبدل كلمة أهل الحلّ و العقد،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المسئولين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هو إلاّ وضع كلمة مجملة مكان كلمة مثلها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على فرض كون الشورى أساس الحكم، فهل يكون انتخاب أعضاء </w:t>
      </w:r>
    </w:p>
    <w:p>
      <w:pPr>
        <w:pStyle w:val="BookText"/>
        <w:rPr/>
      </w:pPr>
      <w:r>
        <w:rPr>
          <w:rFonts w:ascii="Amiri" w:hAnsi="Amiri" w:eastAsia="Amiri" w:cs="Amiri"/>
          <w:color w:val="111111"/>
          <w:sz w:val="28"/>
          <w:sz w:val="28"/>
          <w:szCs w:val="28"/>
          <w:rtl w:val="true"/>
          <w:lang w:bidi="ar-SA"/>
        </w:rPr>
        <w:t>الشورى ملزما للأمّة، ليس لهم التخلّف عنه؟ أو يكون بمنزلة الترشيح، حتى تعطي الأمّة رأيها فيه؟ و ما هو دليل كل منهما؟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الأسئلة كلّها، لا تجد لها جوابا في الكتاب و السنّة و لا في كتب المتكلمين، و لو كانت مبدأ للحكم لما كان السكوت عنها سائغا، بل لكان على عاتق التشريع الإسلامي الإجابة عليها، و إضاءة طرقها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94" w:name="pg16351_180971"/>
    </w:p>
    <w:p>
      <w:pPr>
        <w:pStyle w:val="Heading3"/>
        <w:numPr>
          <w:ilvl w:val="2"/>
          <w:numId w:val="1"/>
        </w:numPr>
        <w:rPr/>
      </w:pPr>
      <w:bookmarkStart w:id="95" w:name="__RefHeading___Toc6422036_1280447820"/>
      <w:bookmarkStart w:id="96" w:name="_Toc35"/>
      <w:bookmarkEnd w:id="94"/>
      <w:bookmarkEnd w:id="95"/>
      <w:r>
        <w:rPr>
          <w:rtl w:val="true"/>
        </w:rPr>
        <w:t>الأمر التاسع هل البيعة أساس الحكم؟</w:t>
      </w:r>
      <w:bookmarkEnd w:id="96"/>
    </w:p>
    <w:p>
      <w:pPr>
        <w:pStyle w:val="Heading4"/>
        <w:numPr>
          <w:ilvl w:val="3"/>
          <w:numId w:val="1"/>
        </w:numPr>
        <w:rPr/>
      </w:pPr>
      <w:bookmarkStart w:id="97" w:name="__RefHeading___Toc6422038_1280447820"/>
      <w:bookmarkStart w:id="98" w:name="_Toc36"/>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البيعة مصدر بايع، لأنّ المبايع يجعل حياته و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بالبيعة، تحت اختيار من يبايعه، و يتعهد المبايع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يسعى في إصلاح حال المبايع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تدبير شئونه بصورة صحيحة، و كأنّهما يقومان بعملية تجارية، إذ يتعهد كل واحد منهما تجاه الآخر بعمل شيء للآخر، 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البيعة هي العهد على الطاعة، كأنّ البائع يعاهد أميره على أن يسلم له النظر في أموره و أمور المسلمين، و يطيعه فيما يكلفه، و كانوا إذا بايعوا الأمير، جعلوا أيديهم في يده تأكيدا، فأشبه ذلك فعل البائع و المشتري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422040_1280447820"/>
      <w:bookmarkStart w:id="100" w:name="_Toc37"/>
      <w:bookmarkEnd w:id="99"/>
      <w:r>
        <w:rPr>
          <w:rtl w:val="true"/>
        </w:rPr>
        <w:t>البيعة قبل الإسلام و بعده</w:t>
      </w:r>
      <w:bookmarkEnd w:id="100"/>
    </w:p>
    <w:p>
      <w:pPr>
        <w:pStyle w:val="BookText"/>
        <w:rPr/>
      </w:pPr>
      <w:r>
        <w:rPr>
          <w:rFonts w:ascii="Amiri" w:hAnsi="Amiri" w:eastAsia="Amiri" w:cs="Amiri"/>
          <w:color w:val="111111"/>
          <w:sz w:val="28"/>
          <w:sz w:val="28"/>
          <w:szCs w:val="28"/>
          <w:rtl w:val="true"/>
          <w:lang w:bidi="ar-SA"/>
        </w:rPr>
        <w:t>كانت البيعة من تقاليد العرب قبل الإسلام و سننهم، و ليس من مبتكراته، بل أمضاها و جعلها من العقود اللازمة التي يجب العمل بها، و يحرم نقضها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بايع أهل المدينة النبي الأكرم صلى اللّه عليه و آله في السنة الحادية عشر، و الثانية عشر من البعثة، في العقبة، بمنى</w:t>
      </w:r>
      <w:r>
        <w:rPr>
          <w:rStyle w:val="FootnoteAnchor"/>
          <w:rtl w:val="true"/>
        </w:rPr>
        <w:footnoteReference w:id="116"/>
      </w:r>
      <w:r>
        <w:rPr>
          <w:rFonts w:ascii="Amiri" w:hAnsi="Amiri" w:eastAsia="Amiri" w:cs="Amiri"/>
          <w:color w:val="111111"/>
          <w:sz w:val="28"/>
          <w:sz w:val="28"/>
          <w:szCs w:val="28"/>
          <w:rtl w:val="true"/>
          <w:lang w:bidi="ar-SA"/>
        </w:rPr>
        <w:t>، بايعوه على عادتهم قبل الإسلام، حيث كانوا يبايعون زعماءهم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بعد الهجرة، فمرّة بايعه الصحابة في غزوة الحديبية، و سميت بيعة الرضوان،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بايعته الصحابيات في مكة المكرمة بعد فتحها، و عنه يحكي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اَلْمُؤْمِنٰاتُ يُبٰايِعْنَكَ عَلىٰ أَنْ لاٰ يُشْرِكْنَ بِاللّٰهِ شَيْئاً وَ لاٰ يَسْرِقْنَ وَ لاٰ يَزْنِينَ</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فلنعطف نظر الباحث إلى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المسلمين للنبي الأكرم صلى اللّه عليه و آله و سلّم، لم تعن الاعتراف بزعامة الرسول و رئاسته، فضلا عن نصبه و تعيينه، بل إنّ المبايعين، بعد أن آمنوا بنبوة النبي و اعترفوا بقيادته و زعامته، أرادوا أن يصبّوا ما يلازم ذلك الإيمان، من الالتزام بأوامر الرسول، في قالب البيعة، فكانت البيعة صورة عملية للالتزام النفسي بأوامر النبي، بعد الإقرار بنبوته، و زعامته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النبي الأكرم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آمنتم بي فبايعوني على أن تطيعوني، و تصلّوا و تزكّوا، و أن تدفعوا عني العدو حتى الموت، و لا تفروا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الهدف عندئذ من البيعة لم يكن هو الاعتراف بمنصب المبايع، و انتخابه و تعيينه لمقام الحكومة و الولاية، بل كانت لأجل التأكيد العملي على الالتزام بلوازم الإيمان السابق عليه، و هذا بارز في البيعة الثانية للأنصار في منى، و بيعة الصحابة في غزوة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ميثاق بين شخصين، تندرج تحت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أَوْفُوا بِالْعَهْدِ إِنَّ اَلْعَهْدَ كٰانَ مَسْؤُلاً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عقد بين المبايعين، فتندرج تحت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أمير المؤمنين علي بن أبي طالب عليه السلام، من الحث على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هناك دليل شرعي على أنّ مجرّد البيعة، بغضّ النظر عن المواصفات و الضوابط الآتية، طريق إلى تعيين الخليفة و الإمام، و إنّما يتعيّن بها، إذا كان المبايع، واجدا للصفات اللازمة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البيعة ليست طريقا لتعيين الحاكم و انتخاب القائد، و إنّما يتعين الحاكم بالمقاولة و تصويت الجماعة الحاضرين، ثم يصبّ ذلك الانتخاب في قالب الحسّ بالبيعة و الصفق، و كأنّ البيعة تأكيد لما التزموا، و تجسيد لما أضمروه أو تقاولوه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كونها طريقا لتعيين الحاكم، فهي إحدى الطرق لا الطريق الوحيد، فلو علم رضا الأمّة بحكومة فرد و زعامة شخص عن غير طريق البيعة، و أبرزت رضاها بطريق من الطرق، لكفى ذلك في كونه قائدا لازم الطاعة، لأنّه أشبه بالعقد 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التصويت الشعبي أو بيعة الجماعة الحاضرين إنّما يعدّ طريقا لتعيين الحاكم إذا لم يكن هناك نصّ من الرسول على تنصيب شخص للزعامة، و إلاّ تكون البيعة رفضا للنصّ، و اجتهادا في مقابلة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الكاملة من الصحابة الحاضرين في المدينة، لم تتحقق في واحد من الخلفاء الأربعة، إلاّ في علي، فقد بايعه المهاجرون و الأنصار، إلاّ نفر قليل لا يتجاوز خمسة أشخاص، هم سعد بن أبي وقاص، و عبد اللّه بن عمر، و حسّان بن ثابت، و أسامة بن زيد و محمد بن مسلمة، و الباقون أصفقوا </w:t>
      </w:r>
    </w:p>
    <w:p>
      <w:pPr>
        <w:pStyle w:val="BookText"/>
        <w:rPr/>
      </w:pPr>
      <w:r>
        <w:rPr>
          <w:rFonts w:ascii="Amiri" w:hAnsi="Amiri" w:eastAsia="Amiri" w:cs="Amiri"/>
          <w:color w:val="111111"/>
          <w:sz w:val="28"/>
          <w:sz w:val="28"/>
          <w:szCs w:val="28"/>
          <w:rtl w:val="true"/>
          <w:lang w:bidi="ar-SA"/>
        </w:rPr>
        <w:t>على يده بالبيعة و الطاعة، و إن نكث من نكث، و نقض من نقض، فيما بعد، و شقّ عصا الأمّة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البيعة تحتاج إلى دراسة مبسوطة، موضوعا و حكما في ضوء الكتاب و السنّة، و منهج الكتاب لا يقتضي التوسّع أزيد ممّا ذكرنا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01" w:name="pg16351_180975"/>
    </w:p>
    <w:p>
      <w:pPr>
        <w:pStyle w:val="Heading3"/>
        <w:numPr>
          <w:ilvl w:val="2"/>
          <w:numId w:val="1"/>
        </w:numPr>
        <w:rPr/>
      </w:pPr>
      <w:bookmarkStart w:id="102" w:name="__RefHeading___Toc6422042_1280447820"/>
      <w:bookmarkStart w:id="103" w:name="_Toc38"/>
      <w:bookmarkEnd w:id="101"/>
      <w:bookmarkEnd w:id="102"/>
      <w:r>
        <w:rPr>
          <w:rtl w:val="true"/>
        </w:rPr>
        <w:t>الأمر العاشر تصوّر النبي الأكرم للقيادة بعده</w:t>
      </w:r>
      <w:bookmarkEnd w:id="103"/>
    </w:p>
    <w:p>
      <w:pPr>
        <w:pStyle w:val="BookText"/>
        <w:rPr/>
      </w:pPr>
      <w:r>
        <w:rPr>
          <w:rFonts w:ascii="Amiri" w:hAnsi="Amiri" w:eastAsia="Amiri" w:cs="Amiri"/>
          <w:color w:val="111111"/>
          <w:sz w:val="28"/>
          <w:sz w:val="28"/>
          <w:szCs w:val="28"/>
          <w:rtl w:val="true"/>
          <w:lang w:bidi="ar-SA"/>
        </w:rPr>
        <w:t>إنّ الكلمات المأثورة عن الرسول الأكرم، تدلّ على أنّه صلى اللّه عليه و آله كان يعتبر أمر القيادة بعده، مسألة إلهية، و حقا خاصّا للّه جلّ جلاله، فاللّه سبحانه هو الذي له أن يعين القائد، و ينصب خليفة الرسول، و لا نجد في كل ما نقل عن النبي ما يدلّ على إرجاء الأمر إلى تشاور الأمّة، أو اختيار أهل الحلّ و العقد، أو بيعة الصحابة الحاضرين، أو غير ذلك، و يكفي في ذلك الشاهدين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دعا الرسول الأكرم بني عامر إلى الإسلام و قد جاءوا في موسم الحج إلى مكة، قال رئيسهم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نحن بايعناك على أمرك، ثم أظهرك اللّه على من خالفك، أ يكون لنا الأمر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أمر الخلافة بيد الأمّة، لكان على النبي صلى اللّه عليه و آله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الأمّة، أو إلى أهل الحلّ و العقد، أو ما يشابه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فتفويض الأمر إلى اللّه سبحانه، ظاهر في كونها كالنبوة، يضعها سبحانه حيث يشاء،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فاللّسان في الموردين 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سليط بن عمرو العامري، إلى ملك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هوزة بن علي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نصرانيا، يدعوه إلى الإسلام، و كتب معه كتابا، فقدم على ملك اليمامة، فأنزله و حباه، و كتب إلى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تدعوا إليه، و أجمله، و أنا شاعر قومي و خطيبهم، و العرب تهاب مكاني، فاجعل لي بعض الأمر، أتّبعك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سليط على النبي بكتابه، فلما قرأ عليه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سألني سيابة من الأرض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و باد ما في يده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هوزة إلى النبي وفدا يقول له، إن جعل له الأمر من بعده، أسلم، و صار إليه، و نصره، و إلاّ قصد حربه،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 اللهم اكفنيه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القيادة بعد النبي، قيادة دستورية انتخابية، و كان للشعب الإسلامي منه حظ، لكان على النبي إجابة السائل بشكل آخر، و هو أنّ الأمر من بعدي، يرجع إلى أمّتي، و المؤمنين بي، و لكنك ترى أنّه وقف في وجهه بقسوة و شدّة كما هو ظاهر</w:t>
      </w:r>
      <w:r>
        <w:rPr>
          <w:rFonts w:eastAsia="Amiri" w:cs="Amiri" w:ascii="Amiri" w:hAnsi="Amiri"/>
          <w:color w:val="111111"/>
          <w:sz w:val="28"/>
          <w:szCs w:val="28"/>
          <w:rtl w:val="true"/>
          <w:lang w:bidi="ar-SA"/>
        </w:rPr>
        <w:t xml:space="preserve">. </w:t>
      </w:r>
      <w:bookmarkStart w:id="104" w:name="pg16351_180977"/>
    </w:p>
    <w:p>
      <w:pPr>
        <w:pStyle w:val="Heading3"/>
        <w:numPr>
          <w:ilvl w:val="2"/>
          <w:numId w:val="1"/>
        </w:numPr>
        <w:rPr/>
      </w:pPr>
      <w:bookmarkStart w:id="105" w:name="__RefHeading___Toc6422044_1280447820"/>
      <w:bookmarkStart w:id="106" w:name="_Toc39"/>
      <w:bookmarkEnd w:id="104"/>
      <w:bookmarkEnd w:id="105"/>
      <w:r>
        <w:rPr>
          <w:rtl w:val="true"/>
        </w:rPr>
        <w:t>الأمر الحادي عشر تصوّر الصحابة للخلافة بعد النبي</w:t>
      </w:r>
      <w:bookmarkEnd w:id="106"/>
    </w:p>
    <w:p>
      <w:pPr>
        <w:pStyle w:val="BookText"/>
        <w:rPr/>
      </w:pPr>
      <w:r>
        <w:rPr>
          <w:rFonts w:ascii="Amiri" w:hAnsi="Amiri" w:eastAsia="Amiri" w:cs="Amiri"/>
          <w:color w:val="111111"/>
          <w:sz w:val="28"/>
          <w:sz w:val="28"/>
          <w:szCs w:val="28"/>
          <w:rtl w:val="true"/>
          <w:lang w:bidi="ar-SA"/>
        </w:rPr>
        <w:t>إنّ المتتبع في تاريخ الخلفاء الذين تعاقبوا على مسند الحكومة، يرى بوضوح أنّهم كانوا يتّبعون الطريقة الانتصابية لا الانتخابية، بالتشاور أو البيعة، أو غير ذلك من المفاهيم التي حدثت في أيام خلافة الإمام أمير المؤمنين، و إليك الشواهد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خلافة عمر تمّت بتعيين من أبي بكر، و ليس هذا خافيا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قتيبة الدينوري، أنّ أبا بكر دعا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عهدي، فكتب عثمان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عهد به أبو بكر بن أبي قحافة، آخر عهده في الدنيا، نازحا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أستخلف عليكم عمر بن الخطاب، فإن تروه عدل فيكم، ظنّي به و رجائي فيه، و إن بدّل و غيّر، فالخير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الكتاب و دفعه، و دخل عليه المهاجرون و الأنصار حين بلغهم أنّه استخلف عمر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استخلاف عثمان تمّ عن طريق شورى عين أعضاءها عمر بن الخطاب، يقول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عمر عليّا، و عثمان و سعدا، و عبد الرحمن، و الزبير، و طلحة،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نظرت فوجدتكم رؤساء الناس، فانهضوا إلى حجرة عائشة بإذنها، و اختاروا منكم رجلا، فإذا متّ فتشاوروا ثلاثة أيام، و ليصلب الناس صهيبا، و لا يأتي اليوم الرابع إلاّ و عليكم أمير</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صيغة الحكومة هي انتخاب القائد عن طريق المشورة باجتماع الأمّة، أو بالبيعة، فما معنى انتخاب الخليفتين بهذين الطريقين؟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اغتيل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 بالموت، أرسل ابنه عبد اللّه إلى عائشة، و استأذن منها أن يدفن في بيتها مع رسول اللّه و مع أبي بكر، فأتاها عبد اللّه، فأعلمها،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أبلغ عمر سلامي و قل له، لا تدع أمّة محمد بلا راع، استخلف عليهم، و لا تدعهم بعدك هملا، فإنّي أخشى عليهم الفتنة، فأتاه، فأعلمه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عمر دخل على أبيه قبيل وفاته،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سمعت الناس يقولون مقالة، فآليت أن أقولها لك، و زعموا أنّك غير مستخلف، و أنّه لو كان لك راعي إبل أو غنم ثم جاءك و تركها، لرأيت أن قد ضيّع، فرعاية الناس أشد</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قدم معاوية المدينة لأخذ البيعة من أهلها لابنه يزيد، فاجتمع مع عدّة من الصحابة، و أرسل إلى عبد اللّه بن عمر، فأتاه، و خلا به، و كلّمه بكلام،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كرهت أن أدع أمّة محمد بعدي كالضأن لا راعي لها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النصوص التي حفظها التاريخ، 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لها من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أنّ انتخاب الخليفة عن طريق أهل الحلّ و العقد، و الأنصار و المهاجرين، و أخيرا </w:t>
      </w:r>
    </w:p>
    <w:p>
      <w:pPr>
        <w:pStyle w:val="BookText"/>
        <w:rPr/>
      </w:pPr>
      <w:r>
        <w:rPr>
          <w:rFonts w:ascii="Amiri" w:hAnsi="Amiri" w:eastAsia="Amiri" w:cs="Amiri"/>
          <w:color w:val="111111"/>
          <w:sz w:val="28"/>
          <w:sz w:val="28"/>
          <w:szCs w:val="28"/>
          <w:rtl w:val="true"/>
          <w:lang w:bidi="ar-SA"/>
        </w:rPr>
        <w:t>الاستفتاء الشعبي، لم يكن له أصل في منطق الصحابة، و إنّما اخترعت هذه الألفاظ في فترة خاصة، في مقابل خلافة الإمام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أمرا بديعا يجب إلفات نظر الباحث إليه و هو إنّه إذا كان ترك الأمّة بلا راع، أمرا غير صحيح في منطق العقل، أو كان ترك تعيين القائد كترك الضأن بلا راع لها، فكيف يجوز لهؤلاء أن ينسبوا إلى النبي أنّه ترك الأمّة بلا راع، و ودعهم بعده هملا، يخشى عليهم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هؤلاء كانوا أعطف على الأمّة من النبي الأكرم، و أحنّ على مصالحها منه؟ إنّ هذا ممّا يقضي منه العجب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كلّ من كتب في الإمامة، و واجه هذا التاريخ المسلّم، حاول تصحيح هذه التنصيبات بأنّ تعيين القائد السابق، الإمام اللاحق، أحد طرق انعقاد الإمامة، و لكن هؤلاء قد جمعوا بين المختلفين، فتارة يعترفون بالتنصيب، و أخرى بالانتخاب،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يعترفون بكفاية رأي واحد من الأمّة تارة، و يشترطون تصويت الشعب، أو الصحابة، ثانيا</w:t>
      </w:r>
      <w:r>
        <w:rPr>
          <w:rFonts w:eastAsia="Amiri" w:cs="Amiri" w:ascii="Amiri" w:hAnsi="Amiri"/>
          <w:color w:val="111111"/>
          <w:sz w:val="28"/>
          <w:szCs w:val="28"/>
          <w:rtl w:val="true"/>
          <w:lang w:bidi="ar-SA"/>
        </w:rPr>
        <w:t xml:space="preserve">. </w:t>
      </w:r>
      <w:bookmarkStart w:id="107" w:name="pg16351_180980"/>
    </w:p>
    <w:p>
      <w:pPr>
        <w:pStyle w:val="Heading3"/>
        <w:numPr>
          <w:ilvl w:val="2"/>
          <w:numId w:val="1"/>
        </w:numPr>
        <w:rPr/>
      </w:pPr>
      <w:bookmarkStart w:id="108" w:name="__RefHeading___Toc6422046_1280447820"/>
      <w:bookmarkStart w:id="109" w:name="_Toc40"/>
      <w:bookmarkEnd w:id="107"/>
      <w:bookmarkEnd w:id="108"/>
      <w:r>
        <w:rPr>
          <w:rtl w:val="true"/>
        </w:rPr>
        <w:t>الأمر الثاني عشر صيغة القيادة في الشرائع السابقة</w:t>
      </w:r>
      <w:bookmarkEnd w:id="109"/>
    </w:p>
    <w:p>
      <w:pPr>
        <w:pStyle w:val="Heading4"/>
        <w:numPr>
          <w:ilvl w:val="3"/>
          <w:numId w:val="1"/>
        </w:numPr>
        <w:rPr/>
      </w:pPr>
      <w:bookmarkStart w:id="110" w:name="__RefHeading___Toc6422048_1280447820"/>
      <w:bookmarkStart w:id="111" w:name="_Toc41"/>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المتبع بين الأنبياء السالفين هو تسليم أمر من قاموا بهدايتهم، إلى خلفاء صالحين لائقين، ليتسنى لتلك الأمم في ظل الرعاية و التربية الصحيحة، التي يتولاها الأوصياء، أن يستمروا في طريق التكامل و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كثير من الأوصياء أنبياء، و لكن بعضا منهم كانوا أوصياء خاصين، و هذا يعرب عن أنّ مسألة القيادة و الزعامة كانت من الأهمية و الخطورة، إلى حدّ لم يترك أمرها إلى اختيار الناس و نظرهم، بل كانت تعهد على مدى التاريخ إلى رجال أكفاء، يعيّنون بالاسم و الشخص، لأنّ تركه يؤدّي إلى الاختلاف و الفرقة و الفتنة، و كانت القيادة يتوارثها، في الغالب أفراد من سلالة الأنبياء و الرسل، خلفا عن سلف، و إليك بعض الآيات المشعرة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مخاطبا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132"/>
      </w:r>
      <w:r>
        <w:rPr>
          <w:rFonts w:ascii="Amiri" w:hAnsi="Amiri" w:eastAsia="Amiri" w:cs="Amiri"/>
          <w:color w:val="111111"/>
          <w:sz w:val="28"/>
          <w:sz w:val="28"/>
          <w:szCs w:val="28"/>
          <w:rtl w:val="true"/>
          <w:lang w:bidi="ar-SA"/>
        </w:rPr>
        <w:t>و ليس المراد من الإمامة هنا النبوة، كما زعمه بعض المفسّرين، لأنّه إنّما جعله إماما بعد ما كان نبيّا و رسولا، بشهادة أنّه يطلب هذا المقام لذرّيته، و إنّما صار ذا ذرّية، بعد ما كبر و هرم،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وَهَبَ لِي عَلَى اَلْكِبَرِ إِسْمٰاعِيلَ وَ إِسْحٰاقَ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نبيّا قبل </w:t>
      </w:r>
    </w:p>
    <w:p>
      <w:pPr>
        <w:pStyle w:val="BookText"/>
        <w:rPr/>
      </w:pPr>
      <w:r>
        <w:rPr>
          <w:rFonts w:ascii="Amiri" w:hAnsi="Amiri" w:eastAsia="Amiri" w:cs="Amiri"/>
          <w:color w:val="111111"/>
          <w:sz w:val="28"/>
          <w:sz w:val="28"/>
          <w:szCs w:val="28"/>
          <w:rtl w:val="true"/>
          <w:lang w:bidi="ar-SA"/>
        </w:rPr>
        <w:t>أن يرزق ولدا، بشهادة نزول الملائكة عليه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هو الإمامة المتمثلة في الحاكمية و القيادة، فدعا إبراهيم أن يجعل اللّه تعالى هذا المقام في ذرّيته، على النحو الذي جعله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يردّه سبحانه، و ما أنكره عليه، بل أخبره بأنها لا تنال الظالمين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موسى عليه السلام أن يكون أخاه هارون مساعدا و معينا له في القيادة، فقبله سبحانه، و أعطاه مضافا إلى الوزارة،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تاريخ الأنبياء، فقد كانوا ينصّون على الخلفاء من بعدهم بصورة الوصاية، و قد ذكر المؤرخون قائمة أوصيائهم، فراجع</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الطريقة المألوفة في الشرائع السابقة، و لا دليل على الانحراف عنها، و لا صارف عن الأخذ بها، بل نجد في السنّة ما يدلّ على أنّ كل ما جرى على الأمم السابقة، يجري على هذه الأمّة إلاّ ما استثني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بصراحة لا تقبل جدلا، ما روي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بنو إسرائيل تسوسهم الأنبياء، كلما هلك نبي خلفه نبي، و إنّه لا نبي بعدي، و سيكون بعدي خلفاء يكثرون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الحديث أنّ استخلاف الخلفاء في الأمّة الإسلامية، كاستخلاف </w:t>
      </w:r>
    </w:p>
    <w:p>
      <w:pPr>
        <w:pStyle w:val="BookText"/>
        <w:rPr/>
      </w:pPr>
      <w:r>
        <w:rPr>
          <w:rFonts w:ascii="Amiri" w:hAnsi="Amiri" w:eastAsia="Amiri" w:cs="Amiri"/>
          <w:color w:val="111111"/>
          <w:sz w:val="28"/>
          <w:sz w:val="28"/>
          <w:szCs w:val="28"/>
          <w:rtl w:val="true"/>
          <w:lang w:bidi="ar-SA"/>
        </w:rPr>
        <w:t>الأنبياء في الأمم السالفة، و من المعلوم أنّ الاستخلاف كان هناك بالتنصيص، فيجب أن يكون هنا بالتنصيص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تعرفت على هذه الأمور الاثني عشر، فاعلم أنّ هذه المقدمات تعرب عن كون صيغة الحكومة بعد النبي هي صيغة التنصيص، و التنصيب، لا غير، لا بالطرق التي تقدمت عند البحث عمّا تنعقد به الإمامة عند أهل السنّة،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رحلة النبي الأكرم تترك فراغات هائلة في الأمّة، لا مناص عن سدّها بواحد من أبناء الأمّة، و أنّ هذه الفراغات لا تسدّ بفرد عادي، له من المؤهلات و الكفاءات العلمية، ما لا يتجاوز عن حدود ما لغيره من أفراد الأمّة، بل يجب أن يكون له كفاءة و صلاحية توازن كفاءات النبي و مؤهلاته، و يكون مستودعا لعلوم النبي، واقعا تحت عناية اللّه تبارك و تعالى و كفالته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التعرّف على هذا الفرد ليس ميسّرا من طريق الانتخاب بالشورى أو بالبيعة، بل يعرف بتعيين من اللّه سبحانه عن طريق النبي الأكرم، نظير أوصياء سائر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أنّ الدولة الإسلامية الفتية كانت مهددة في أخريات أيام النبي، حال وفاته، بأعداء داخليين و 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الداخليون، فهم المنافقون الذين كانوا يتربصون بها الدوائر، و أمّا الخارجيون، فدولتا الروم و الفرس، فمقتضى المصلحة العامة في تلك الظروف الحرجة، تعيين الإمام و الخليفة بعده، لئلا تترك الدولة بعد وفاته عرضة للاختلاف، و بالتالي تمكّن أعدائها منها، خصوصا إذا لاحظنا أنّ حياة العرب حينذاك في عاصمة الإسلام و خارجها، كانت حياة قبلية، و التعصبات العشائرية لا تزال متغلغلة في نفوسهم، و ترك الأمر إلى مجتمع هذا حالة، يؤدّي إلى التشاغب و الاختلاف و بالتالي إلى القتل و الدمار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الوعي الديني لم يكن راسخا في قلوب أكثر الصحابة، و إن كان القليل منهم قد بلغ القمة، و صاروا مثلا عليا للفضل و الفضيلة، و قد </w:t>
      </w:r>
    </w:p>
    <w:p>
      <w:pPr>
        <w:pStyle w:val="BookText"/>
        <w:rPr/>
      </w:pPr>
      <w:r>
        <w:rPr>
          <w:rFonts w:ascii="Amiri" w:hAnsi="Amiri" w:eastAsia="Amiri" w:cs="Amiri"/>
          <w:color w:val="111111"/>
          <w:sz w:val="28"/>
          <w:sz w:val="28"/>
          <w:szCs w:val="28"/>
          <w:rtl w:val="true"/>
          <w:lang w:bidi="ar-SA"/>
        </w:rPr>
        <w:t>عرفت دليل قلّة الوعي الديني، بفرارهم في بعض الغزوات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أنّه لو كان أساس الحكم على غير وجه التنصيب، لكان على النبي الأكرم بيان أسسه و أصوله و فروعه، و شرائط الإمام، و ما تنعقد به الإمامة، مع أنّ النبي سكت عن ذلك و لم ينبس منه بكلمة، فليس في الصحاح و المسانيد أحاديث أو حديث عن النبي حول أساس الحكم، أ فيصحّ لنا أن نتهم النبي بأنّه بلّغ أبسط الأمور و أيسرها، التي تقع في الدرجة الأخيرة من الأهمية في حياة الإنسان، و سكت عن عظائم الأمور و مهمّاتها التي تتوقف عليها حياة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يعرب عن أنّ سكوته لأجل أنّ أساس الحكم هو التنصيب، و نصب الإمام يغني عن البحث حول أساس الحكم و شروطه، لأنّ الإمام المنصوب يكون ميزانا للحق، و معيارا للتعرّف على أساس الحكم و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الصّيد في جوف الفراء</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أنّ تصوّر النبي للخلافة في عصره، هو إيكالها إلى اللّه سبحانه، و أنّه تعامل معها معاملة الرسالة، و أنّه عرّفها بنفس ما عرّف به اللّه سبحانه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يضعها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أنّ تصوّر الصحابة، و سيرتهم في الخلافة هي سيرة التنصيب، و قد كان ترك التنصيب، في نظرهم، إهمالا لأمر الأمّة، و تركا لها بلا راع فريسة للذئاب، و الأعداء، و بذلك استتبّ الأمر لعمر بيد أبي بكر، و لعثمان بيد عمر، و هكذا توالت السيرة في الأمويين من الخلفاء، و شذّت عنها خلافة علي حيث استتبت له ببيعة المهاجرين و الأنصار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عرفت أنّ صيغة القيادة في الشرائع السابقة كانت هي التنصيب، و كان الأوصياء ينصبون من طريق الأنبياء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أنّك عرفت أنّه لا دليل على كون أساس الحكم هو الشورى أو البيعة بألوانهما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يعرب عن أنّ القائد الحكيم، بأمر من اللّه سبحانه، سلك مسلكا، و نهج منهجا، يطابق هذه الأصول و المقدمات، و ما خالفها قدر شعرة، و عيّن القائد بعده في حياته، و أعلنه للأمّة في موسم أو مواسم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يوصلنا إليه السبر و التقسيم و المحاسبة في الأمور الاجتماعية و السياسية، فيجب علينا عندئذ الرجوع إلى الكتاب و السنّة، لنقف و نتعرّف على ذلك القائد المنصوب، و نذعن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النبي كان موافقا لهذه الأصول العقلائية التي تقدمت، و هذا ما يوافيك في البحوث التالية</w:t>
      </w:r>
      <w:r>
        <w:rPr>
          <w:rFonts w:eastAsia="Amiri" w:cs="Amiri" w:ascii="Amiri" w:hAnsi="Amiri"/>
          <w:color w:val="111111"/>
          <w:sz w:val="28"/>
          <w:szCs w:val="28"/>
          <w:rtl w:val="true"/>
          <w:lang w:bidi="ar-SA"/>
        </w:rPr>
        <w:t xml:space="preserve">. </w:t>
      </w:r>
      <w:bookmarkStart w:id="112" w:name="pg16351_180985"/>
    </w:p>
    <w:p>
      <w:pPr>
        <w:pStyle w:val="Heading4"/>
        <w:numPr>
          <w:ilvl w:val="3"/>
          <w:numId w:val="1"/>
        </w:numPr>
        <w:rPr/>
      </w:pPr>
      <w:bookmarkStart w:id="113" w:name="__RefHeading___Toc6422050_1280447820"/>
      <w:bookmarkStart w:id="114" w:name="_Toc42"/>
      <w:bookmarkEnd w:id="112"/>
      <w:bookmarkEnd w:id="113"/>
      <w:r>
        <w:rPr>
          <w:rtl w:val="true"/>
        </w:rPr>
        <w:t>البحث الأول</w:t>
      </w:r>
      <w:r>
        <w:rPr>
          <w:rtl w:val="true"/>
        </w:rPr>
        <w:t xml:space="preserve">: </w:t>
      </w:r>
      <w:r>
        <w:rPr>
          <w:rtl w:val="true"/>
        </w:rPr>
        <w:t>السنّة النبوية و تنصيب علي للإمامة</w:t>
      </w:r>
      <w:bookmarkEnd w:id="114"/>
    </w:p>
    <w:p>
      <w:pPr>
        <w:pStyle w:val="Heading5"/>
        <w:numPr>
          <w:ilvl w:val="4"/>
          <w:numId w:val="1"/>
        </w:numPr>
        <w:rPr/>
      </w:pPr>
      <w:bookmarkStart w:id="115" w:name="__RefHeading___Toc6422052_1280447820"/>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من أحاط علما بسيرة النبي في تأسيس دولة الإسلام، و تشريع أحكامها و تمهيد قواعدها، يجد علي بن أبي طالب وزير رسول اللّه في أمره، و ظهيره على عدوه، و عيبة علمه، و وارث حكمه، و وليّ عهده، و صاحب الأمر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وقف على أقوال النبي و أفعاله في حلّه و ترحاله، يجد نصوصه في ذلك متواترة متوالية، من مبدأ أمره إلى منتهى عمره، صلى اللّه عليه و آله، و إليك البيان</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6422054_1280447820"/>
      <w:bookmarkStart w:id="118" w:name="_Toc44"/>
      <w:bookmarkEnd w:id="117"/>
      <w:r>
        <w:rPr>
          <w:rtl w:val="true"/>
        </w:rPr>
        <w:t xml:space="preserve">أ </w:t>
      </w:r>
      <w:r>
        <w:rPr>
          <w:rtl w:val="true"/>
        </w:rPr>
        <w:t xml:space="preserve">- </w:t>
      </w:r>
      <w:r>
        <w:rPr>
          <w:rtl w:val="true"/>
        </w:rPr>
        <w:t>حديث بدء الدعوة</w:t>
      </w:r>
      <w:bookmarkEnd w:id="118"/>
    </w:p>
    <w:p>
      <w:pPr>
        <w:pStyle w:val="Heading6"/>
        <w:numPr>
          <w:ilvl w:val="5"/>
          <w:numId w:val="1"/>
        </w:numPr>
        <w:rPr/>
      </w:pPr>
      <w:bookmarkStart w:id="119" w:name="__RefHeading___Toc6422056_1280447820"/>
      <w:bookmarkStart w:id="120" w:name="_Toc45"/>
      <w:bookmarkEnd w:id="119"/>
      <w:r>
        <w:rPr>
          <w:rtl w:val="true"/>
        </w:rPr>
        <w:t>اشارة</w:t>
      </w:r>
      <w:bookmarkEnd w:id="1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الطبري و غيره، بسنده، عن علي بن أبي طالب، أنّه لما نزلت هذه الآية على رسول اللّه صلى اللّه عليه و آله، وَ أَنْذِرْ عَشِيرَتَكَ اَلْأَقْرَبِينَ </w:t>
      </w:r>
      <w:r>
        <w:rPr>
          <w:rStyle w:val="FootnoteAnchor"/>
          <w:rtl w:val="true"/>
        </w:rPr>
        <w:footnoteReference w:id="140"/>
      </w:r>
      <w:r>
        <w:rPr>
          <w:rFonts w:ascii="Amiri" w:hAnsi="Amiri" w:eastAsia="Amiri" w:cs="Amiri"/>
          <w:color w:val="111111"/>
          <w:sz w:val="28"/>
          <w:sz w:val="28"/>
          <w:szCs w:val="28"/>
          <w:rtl w:val="true"/>
          <w:lang w:bidi="ar-SA"/>
        </w:rPr>
        <w:t>دعاني رسول اللّه صلى اللّه عليه و آله،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 عرفت أنّي متى أباديهم بهذا الأمر، أرى منهم ما أكره، فصمّدت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إنّك إن لا تفعل ما تؤمر به، يعذّبك ربّك، فاصنع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صاعا من طعام، و اجعل عليه رجل شاة، و املأ لنا عسا من لبن، ثم اجمع لي بني عبد المطلب حتى أكلّمهم و أبلّغهم ما أمرت به، ففعلت ما أمرني به، ثم دعوتهم له، و هم يومئذ أربعون </w:t>
      </w:r>
    </w:p>
    <w:p>
      <w:pPr>
        <w:pStyle w:val="BookText"/>
        <w:rPr/>
      </w:pPr>
      <w:r>
        <w:rPr>
          <w:rFonts w:ascii="Amiri" w:hAnsi="Amiri" w:eastAsia="Amiri" w:cs="Amiri"/>
          <w:color w:val="111111"/>
          <w:sz w:val="28"/>
          <w:sz w:val="28"/>
          <w:szCs w:val="28"/>
          <w:rtl w:val="true"/>
          <w:lang w:bidi="ar-SA"/>
        </w:rPr>
        <w:t>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حتى ما لهم بشيء حاجة،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فجئتهم بذلك العس، فشربوا حتى رووا منه جميعا، ثم تكلّم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 إنّي قد جئتكم بخير الدنيا و الآخرة، و قد أمرني اللّه تعالى أن أدعوكم إليه، فأيّكم يؤازرني على هذا الأمر، على أن يكون أخي و وصيي و 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 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خليفتي فيكم، فاسمعوا له و 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قال ذلك القول ثلاث مرات، كلّ ذلك أقوم إليه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اجلس</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دلالة الحديث على الخلافة لعلي و الوصاية له، لا تحتاج إلى بيان، و هذا إن </w:t>
      </w:r>
      <w:bookmarkStart w:id="121" w:name="pg16351_180987"/>
    </w:p>
    <w:p>
      <w:pPr>
        <w:pStyle w:val="BookText"/>
        <w:rPr/>
      </w:pPr>
      <w:bookmarkEnd w:id="121"/>
      <w:r>
        <w:rPr>
          <w:rFonts w:ascii="Amiri" w:hAnsi="Amiri" w:eastAsia="Amiri" w:cs="Amiri"/>
          <w:color w:val="111111"/>
          <w:sz w:val="28"/>
          <w:sz w:val="28"/>
          <w:szCs w:val="28"/>
          <w:rtl w:val="true"/>
          <w:lang w:bidi="ar-SA"/>
        </w:rPr>
        <w:t>دلّ على شيء، فإنّما يدلّ على أنّ النبوة و الإمامة كانتا متعاقدتين بعقد واحد، تتجليان معا، و لا تتخلفان</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422058_1280447820"/>
      <w:bookmarkStart w:id="123" w:name="_Toc46"/>
      <w:bookmarkEnd w:id="122"/>
      <w:r>
        <w:rPr>
          <w:rtl w:val="true"/>
        </w:rPr>
        <w:t>كتمان الحقائق</w:t>
      </w:r>
      <w:bookmarkEnd w:id="123"/>
    </w:p>
    <w:p>
      <w:pPr>
        <w:pStyle w:val="BookText"/>
        <w:rPr/>
      </w:pPr>
      <w:r>
        <w:rPr>
          <w:rFonts w:ascii="Amiri" w:hAnsi="Amiri" w:eastAsia="Amiri" w:cs="Amiri"/>
          <w:color w:val="111111"/>
          <w:sz w:val="28"/>
          <w:sz w:val="28"/>
          <w:szCs w:val="28"/>
          <w:rtl w:val="true"/>
          <w:lang w:bidi="ar-SA"/>
        </w:rPr>
        <w:t>إنّ من العجب أنّ أناسا يدّعون أنّهم حفظة الحديث و عيبة آثار رسول اللّه صلى اللّه عليه و آله، كتموا الحقائق و ارتكبوا جنايات في نقل الآثار، و إليك نبذة 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رأينا أنّ الطّبري في تاريخه، نقل قول النبي على الوجه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 الأمر، على أن يكون أخي و وصي و 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قوله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وصيي و خليفتي فيكم، فاسمعوا له و 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في تفسيره، لم يعجبه نقل الحقيقة، لمخالفتها لما يبطنه من العقيدة، فقال مكان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هذا الأمر، على أن يكون أخي و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 كذا و كذا، فاسمعوا له و أطيعوه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الحافظ أبا الفداء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الحديث في تاريخه على النصّ الذي رواه الطبري في تفسيره، مع أنّه وضع تاريخه، على منوال تاريخ الطبري، و لكن لم يعجبه نقله من تاريخه، و اعتمد على التفسير الذي كنى عن نصّ رسول اللّه بالوصاية و الخلافة لعلي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محمد حسين هيكل، كتب ما هو خزاية فاضحة في مجال الحديث، فإنّه كتب الجملة الأولى أعني قول النبي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فأيّكم يؤازرني على هذا الأمر </w:t>
      </w:r>
      <w:bookmarkStart w:id="124" w:name="pg16351_180988"/>
    </w:p>
    <w:p>
      <w:pPr>
        <w:pStyle w:val="BookText"/>
        <w:rPr/>
      </w:pPr>
      <w:bookmarkEnd w:id="124"/>
      <w:r>
        <w:rPr>
          <w:rFonts w:ascii="Amiri" w:hAnsi="Amiri" w:eastAsia="Amiri" w:cs="Amiri"/>
          <w:color w:val="111111"/>
          <w:sz w:val="28"/>
          <w:sz w:val="28"/>
          <w:szCs w:val="28"/>
          <w:rtl w:val="true"/>
          <w:lang w:bidi="ar-SA"/>
        </w:rPr>
        <w:t>و أن يكون أخي و وصيي و 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من رأس الجملة الثانية التي قالها النبي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المقدار من الاعتراف بالحقيقة، لم يعجب القشريين من الأزهريين، فوقع موقع النقد منهم، و أسقط في الطبعة الثانية من الكتاب كلّ ما يرجع إلى عليّ عليه السلام، دفعا لأمواج اللوم و العتاب</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6422060_1280447820"/>
      <w:bookmarkStart w:id="126" w:name="_Toc47"/>
      <w:bookmarkEnd w:id="125"/>
      <w:r>
        <w:rPr>
          <w:rtl w:val="true"/>
        </w:rPr>
        <w:t xml:space="preserve">ب </w:t>
      </w:r>
      <w:r>
        <w:rPr>
          <w:rtl w:val="true"/>
        </w:rPr>
        <w:t xml:space="preserve">- </w:t>
      </w:r>
      <w:r>
        <w:rPr>
          <w:rtl w:val="true"/>
        </w:rPr>
        <w:t>حديث المنزلة</w:t>
      </w:r>
      <w:bookmarkEnd w:id="126"/>
    </w:p>
    <w:p>
      <w:pPr>
        <w:pStyle w:val="BookText"/>
        <w:rPr/>
      </w:pPr>
      <w:r>
        <w:rPr>
          <w:rFonts w:ascii="Amiri" w:hAnsi="Amiri" w:eastAsia="Amiri" w:cs="Amiri"/>
          <w:color w:val="111111"/>
          <w:sz w:val="28"/>
          <w:sz w:val="28"/>
          <w:szCs w:val="28"/>
          <w:rtl w:val="true"/>
          <w:lang w:bidi="ar-SA"/>
        </w:rPr>
        <w:t>روى أهل السير و التاريخ أنّ رسول اللّه صلى اللّه عليه و آله، خلّف علي بن أبي طالب على أهله في المدينة، عند توجهه إلى تبوك، فأرجف به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إلاّ استثقالا له، و تخوّفا منه، فلما قال ذلك المنافقون، أخذ علي بن أبي طالب، سلام اللّه عليه، سلاحه، ثم خرج حتى أتى رسول اللّه صلى اللّه عليه و آله، و هو نازل بالجرف</w:t>
      </w:r>
      <w:r>
        <w:rPr>
          <w:rStyle w:val="FootnoteAnchor"/>
          <w:rtl w:val="true"/>
        </w:rPr>
        <w:footnoteReference w:id="14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زعم المنافقون أنّك إنّما خلفتني أنّك استثقلتني، و تخفّفت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لكني خلفتك لما تركت ورائي، فارجع فاخلفني في أهلي و أهلك، أ فلا ترضى يا علي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علي إلى المدينة، و مضى رسول اللّه صلى اللّه عليه و آله على سفره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عجيب القضايا ما رواه مسلم،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 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عليّا، فأتي به أرمد، فبصق في عينه، 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فاطمة و حسنا و 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دلالة الحديث على أنّ النبي أفاض 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و الوصاية، فيكفيك فيها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أضيف إلى هارون، و هو يقتضي العموم، فيدلّ على أنّ كل مقام و منصب كان ثابتا لهارون فهو أيضا ثابت لعلي، إلاّ ما استثناه، و 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الاستثناء هو أيضا دليل العموم، و لولاه لما كان وجه للاستثناء</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جاء في صدر الحديث من أنّه خلّفه على أهله، فلا يكون دليلا على الاختصاص، لبداهة أنّ المورد لا يكون مخصّصا، و هو أحد القواعد المسلّمة في </w:t>
      </w:r>
    </w:p>
    <w:p>
      <w:pPr>
        <w:pStyle w:val="BookText"/>
        <w:rPr/>
      </w:pPr>
      <w:r>
        <w:rPr>
          <w:rFonts w:ascii="Amiri" w:hAnsi="Amiri" w:eastAsia="Amiri" w:cs="Amiri"/>
          <w:color w:val="111111"/>
          <w:sz w:val="28"/>
          <w:sz w:val="28"/>
          <w:szCs w:val="28"/>
          <w:rtl w:val="true"/>
          <w:lang w:bidi="ar-SA"/>
        </w:rPr>
        <w:t>علم الأصول، فلو رأيت أنّ الجنب يمسّ آية الكرسي، فقلت له، لا يمسّنّ آيات القرآن محدث، يكون دليلا على أنّ الجنب يحرم عليه مسّ القرآن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منزلة هارون من موسى، فيكفي في بيانها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Style w:val="FootnoteAnchor"/>
          <w:rtl w:val="true"/>
        </w:rPr>
        <w:footnoteReference w:id="147"/>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قَدْ أُوتِيتَ سُؤْلَكَ يٰا مُوسىٰ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تتبّع سيرة النبي يجده يصوّر عليّا و هارون كالفرقدين في السماء، و العينين في الوجه، لا يمتاز أحدهما في أمّته عن الآخر في أمته بشيء ما، 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سمّى أبناء علي كأسماء أبناء هارون، فسمّاهم حسنا و حسينا و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سمّيتهم بأسماء ولد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اتّخذ عليّا أخاه، و آثره بذلك على من سواه، تحقيقا لعموم الشّبه بين منازل الهارونيّين من أخويهما، و حرصا على أن لا يكون ثمة من فارق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آخى بين أصحابه، فجاء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 لم تؤاخ بيني و بين أحد؟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 الآخرة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أبواب الصحابة من المسجد، تنزيها له عن الجنب و الجنابة، لكنه أبقى باب علي عليه السلام، و أباح له عن اللّه تعالى، أن يدخل المسجد جنبا، كما كان هذا مباحا لهارون، فدلّل ذلك على عموم المشابهة بين الهارونيّين </w:t>
      </w:r>
      <w:bookmarkStart w:id="127" w:name="pg16351_180991"/>
    </w:p>
    <w:p>
      <w:pPr>
        <w:pStyle w:val="BookText"/>
        <w:rPr/>
      </w:pPr>
      <w:bookmarkEnd w:id="127"/>
      <w:r>
        <w:rPr>
          <w:rFonts w:ascii="Amiri" w:hAnsi="Amiri" w:eastAsia="Amiri" w:cs="Amiri"/>
          <w:color w:val="111111"/>
          <w:sz w:val="28"/>
          <w:sz w:val="28"/>
          <w:szCs w:val="28"/>
          <w:rtl w:val="true"/>
          <w:lang w:bidi="ar-SA"/>
        </w:rPr>
        <w:t>عليهما السلام، كما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 رسول اللّه أبواب المسجد غير باب علي، فكان يدخل المسجد جنبا، و هو طريقه ليس له طريق غيره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6422062_1280447820"/>
      <w:bookmarkStart w:id="129" w:name="_Toc48"/>
      <w:bookmarkEnd w:id="128"/>
      <w:r>
        <w:rPr>
          <w:rtl w:val="true"/>
        </w:rPr>
        <w:t xml:space="preserve">ج </w:t>
      </w:r>
      <w:r>
        <w:rPr>
          <w:rtl w:val="true"/>
        </w:rPr>
        <w:t xml:space="preserve">- </w:t>
      </w:r>
      <w:r>
        <w:rPr>
          <w:rtl w:val="true"/>
        </w:rPr>
        <w:t xml:space="preserve">حديث </w:t>
      </w:r>
      <w:r>
        <w:rPr>
          <w:rtl w:val="true"/>
        </w:rPr>
        <w:t>«</w:t>
      </w:r>
      <w:r>
        <w:rPr>
          <w:rtl w:val="true"/>
        </w:rPr>
        <w:t>الغدير</w:t>
      </w:r>
      <w:r>
        <w:rPr>
          <w:rtl w:val="true"/>
        </w:rPr>
        <w:t>»</w:t>
      </w:r>
      <w:bookmarkEnd w:id="129"/>
    </w:p>
    <w:p>
      <w:pPr>
        <w:pStyle w:val="Heading6"/>
        <w:numPr>
          <w:ilvl w:val="5"/>
          <w:numId w:val="1"/>
        </w:numPr>
        <w:rPr/>
      </w:pPr>
      <w:bookmarkStart w:id="130" w:name="__RefHeading___Toc6422064_1280447820"/>
      <w:bookmarkStart w:id="131" w:name="_Toc49"/>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حديث الغدير، حديث الولاية الكبرى، حديث إكمال الدين، و إتمام النعمة، و رضى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نزل به كتاب اللّه المبين، و تواترت به السنّة النبوية، و تواصلت حلقات أسانيده منذ عهد الصحابة و التابعين إلى اليوم الحاضر، و قد صبّ شعراء الإسلام واقعة الغدير، في قوالب الشعر، و هو من أحسن ما أثار قرائحهم الشعرية و إليك فيما يلي حاصل تلك الواقعة، و خطبة النبي الأكرم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رسول اللّه صلى اللّه عليه و آله، الخروج إلى الحج في السنة العاشرة من الهجرة، و أذّن في الناس بذلك، فقدم المدينة خلق كثير يأتمون به حجته، تلك الحجة التي سميت بحجة الوداع، و حجة الإسلام، و حجة البلاغ، و حجة الكمال، و حجة التمام</w:t>
      </w:r>
      <w:r>
        <w:rPr>
          <w:rStyle w:val="FootnoteAnchor"/>
          <w:rtl w:val="true"/>
        </w:rPr>
        <w:footnoteReference w:id="152"/>
      </w:r>
      <w:r>
        <w:rPr>
          <w:rFonts w:ascii="Amiri" w:hAnsi="Amiri" w:eastAsia="Amiri" w:cs="Amiri"/>
          <w:color w:val="111111"/>
          <w:sz w:val="28"/>
          <w:sz w:val="28"/>
          <w:szCs w:val="28"/>
          <w:rtl w:val="true"/>
          <w:lang w:bidi="ar-SA"/>
        </w:rPr>
        <w:t>، و لم يحج غيرها منذ هاجر إلى أن توفّاه اللّه سبحانه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اشترك معه جموع لا يعلم عددها إلاّ اللّه، و أقلّ ما قيل إنّه خرج معه تسعون ألفا، و أمّا الذين حجّوا معه فأكثر من ذلك، كالمقيمين بمكة، و الذين أتوا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مناسكه و انصرف، راجعا إلى المدينة، و معه من كان من الجموع المذكورات، و وصل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الجحفة، التي تتشعب فيها </w:t>
      </w:r>
    </w:p>
    <w:p>
      <w:pPr>
        <w:pStyle w:val="BookText"/>
        <w:rPr/>
      </w:pPr>
      <w:r>
        <w:rPr>
          <w:rFonts w:ascii="Amiri" w:hAnsi="Amiri" w:eastAsia="Amiri" w:cs="Amiri"/>
          <w:color w:val="111111"/>
          <w:sz w:val="28"/>
          <w:sz w:val="28"/>
          <w:szCs w:val="28"/>
          <w:rtl w:val="true"/>
          <w:lang w:bidi="ar-SA"/>
        </w:rPr>
        <w:t>طرق المدنيين و المصريين و العراقيين، و ذلك يوم الخميس، الثامن عشر من ذي الحجة، نزل جبرئيل الأمين عن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153"/>
      </w:r>
      <w:r>
        <w:rPr>
          <w:rFonts w:ascii="Amiri" w:hAnsi="Amiri" w:eastAsia="Amiri" w:cs="Amiri"/>
          <w:color w:val="111111"/>
          <w:sz w:val="28"/>
          <w:sz w:val="28"/>
          <w:szCs w:val="28"/>
          <w:rtl w:val="true"/>
          <w:lang w:bidi="ar-SA"/>
        </w:rPr>
        <w:t>، و كان أوائل القوم قريبين من الجحفة، فأمر رسول اللّه أن يرد من تقدم منهم، و يحبس من تأخّر عنهم، حتى إذا أخذ القوم منازلهم، نودي بالصلاة، صلاة الظهر، فصلّى بالناس، و كان يوما حارا، يضع الرجل بعض ردائه على رأسه و بعضه تحت قدميه من شدّة الرمضاء، فلما انصرف من صلاته، قام خطيبا وسط القوم على أقتاب الإبل، و أسمع الجميع رافعا عقيرته،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نستعينه، و نؤمن به، و نتوكل عليه، و نعوذ باللّه من شرور أنفسنا، و من سيئات أعمالنا، الذي لا هادي لمن أضلّ و لا مضلّ لمن هدى، و أشهد أن لا إله إلاّ اللّه، و أنّ محمدا عبده و رسوله،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أوشك أن ادعى فأجبت، و إنّي مسئول و أنتم مسئولون، فما 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ناره حقّ، و أنّ الموت حق، و أنّ الساعة آتية لا ريب فيها،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فرط على الحوض</w:t>
      </w:r>
      <w:r>
        <w:rPr>
          <w:rStyle w:val="FootnoteAnchor"/>
          <w:rtl w:val="true"/>
        </w:rPr>
        <w:footnoteReference w:id="154"/>
      </w:r>
      <w:r>
        <w:rPr>
          <w:rFonts w:ascii="Amiri" w:hAnsi="Amiri" w:eastAsia="Amiri" w:cs="Amiri"/>
          <w:color w:val="111111"/>
          <w:sz w:val="28"/>
          <w:sz w:val="28"/>
          <w:szCs w:val="28"/>
          <w:rtl w:val="true"/>
          <w:lang w:bidi="ar-SA"/>
        </w:rPr>
        <w:t>، فانظروني كيف تخلفوني في الثقلين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و الآخر الأصغر، عترتي، و إنّ اللّطيف الخبير نبّأني أنّهما لن يتفرقا حتى يردا عليّ الحوض،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رؤي بياض آباطهما، و عرفه القوم أجمعون،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 أنا مولى المؤمنين، و أنا أولى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الآية،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الناس يهنئون عليّا، و ممّن هنّأه في مقدم الصحابة الشيخان أبو بكر و 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 ائذن لي يا رسول اللّه أن أقول في عليّ أبياتا،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فقام حسانا،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مناديا</w:t>
      </w:r>
    </w:p>
    <w:p>
      <w:pPr>
        <w:pStyle w:val="BookText"/>
        <w:rPr/>
      </w:pPr>
      <w:r>
        <w:rPr>
          <w:rFonts w:ascii="Amiri" w:hAnsi="Amiri" w:eastAsia="Amiri" w:cs="Amiri"/>
          <w:color w:val="111111"/>
          <w:sz w:val="28"/>
          <w:sz w:val="28"/>
          <w:szCs w:val="28"/>
          <w:rtl w:val="true"/>
          <w:lang w:bidi="ar-SA"/>
        </w:rPr>
        <w:t xml:space="preserve">فقال فمن مولاكم و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 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 منا في الولاية عاصيا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 هاديا </w:t>
      </w:r>
      <w:bookmarkStart w:id="132" w:name="pg16351_180994"/>
    </w:p>
    <w:p>
      <w:pPr>
        <w:pStyle w:val="BookText"/>
        <w:rPr/>
      </w:pPr>
      <w:bookmarkEnd w:id="132"/>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ascii="Amiri" w:hAnsi="Amiri" w:eastAsia="Amiri" w:cs="Amiri"/>
          <w:color w:val="111111"/>
          <w:sz w:val="28"/>
          <w:sz w:val="28"/>
          <w:szCs w:val="28"/>
          <w:rtl w:val="true"/>
          <w:lang w:bidi="ar-SA"/>
        </w:rPr>
        <w:t xml:space="preserve">هناك دعى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Amiri" w:hAnsi="Amiri" w:eastAsia="Amiri" w:cs="Amiri"/>
          <w:color w:val="111111"/>
          <w:sz w:val="28"/>
          <w:sz w:val="28"/>
          <w:szCs w:val="28"/>
          <w:rtl w:val="true"/>
          <w:lang w:bidi="ar-SA"/>
        </w:rPr>
        <w:t>فلمّا سمع النبي أبياته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مجمل الحديث، في واقعة الغدير، و قد أصفقت الأمّة على نقله، فلا نجد حديثا يبلغ درجته في التواتر و التضافر، و لا في الاهتمام نظما و نثرا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422066_1280447820"/>
      <w:bookmarkStart w:id="134" w:name="_Toc50"/>
      <w:bookmarkEnd w:id="133"/>
      <w:r>
        <w:rPr>
          <w:rtl w:val="true"/>
        </w:rPr>
        <w:t>و الاحتجاج به على إمامة عليّ عليه السلام يتحقق ببيان الأمور التالية</w:t>
      </w:r>
      <w:r>
        <w:rPr>
          <w:rtl w:val="true"/>
        </w:rPr>
        <w:t>:</w:t>
      </w:r>
      <w:bookmarkEnd w:id="134"/>
    </w:p>
    <w:p>
      <w:pPr>
        <w:pStyle w:val="Heading6"/>
        <w:numPr>
          <w:ilvl w:val="5"/>
          <w:numId w:val="1"/>
        </w:numPr>
        <w:rPr/>
      </w:pPr>
      <w:bookmarkStart w:id="135" w:name="__RefHeading___Toc6422068_1280447820"/>
      <w:bookmarkStart w:id="136" w:name="_Toc51"/>
      <w:bookmarkEnd w:id="135"/>
      <w:r>
        <w:rPr>
          <w:rtl w:val="true"/>
        </w:rPr>
        <w:t>الأمر الأول</w:t>
      </w:r>
      <w:r>
        <w:rPr>
          <w:rtl w:val="true"/>
        </w:rPr>
        <w:t xml:space="preserve">: </w:t>
      </w:r>
      <w:r>
        <w:rPr>
          <w:rtl w:val="true"/>
        </w:rPr>
        <w:t>البلاغ الرسمي للولاية</w:t>
      </w:r>
      <w:bookmarkEnd w:id="13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أشاد بولاية علي و وصايته، في حديث يوم الدار، في مجتمع محدود، لا يربو عددهم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أشاد بخلافته عند توجّهه إلى تبوك، أمام جماعة من الصحابة و المهاجرين، و كان هذا و ذاك، و غيرهما ممّا صدر منه صلى اللّه عليه و آله، في ظروف مختلفة، حول ولاية الإمام، تهيئة للأذهان، للإعلان الرسمي لهذه الولاية أمام الجموع الهائلة، ليقف عليها القريب و البعيد، و الحاضر و البادي، فقام بإبلاغ ذلك في ذلك المحتشد العظيم، و أخذ منهم الإقرار و الاعتراف، و هنّأ الصحابة عليّا عليه السلام، بهذه المكرمة الإلهية، فكان هذا إعلانا رسميا، للأمّة جمعاء، لا يصحّ لأحد إنكاره، و التغاضي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دلالة الحديث بوجه واضح لا يدع لقائل كلمة، و لا لمجادل شبهة</w:t>
      </w:r>
      <w:r>
        <w:rPr>
          <w:rFonts w:eastAsia="Amiri" w:cs="Amiri" w:ascii="Amiri" w:hAnsi="Amiri"/>
          <w:color w:val="111111"/>
          <w:sz w:val="28"/>
          <w:szCs w:val="28"/>
          <w:rtl w:val="true"/>
          <w:lang w:bidi="ar-SA"/>
        </w:rPr>
        <w:t xml:space="preserve">. </w:t>
      </w:r>
      <w:bookmarkStart w:id="137" w:name="pg16351_180995"/>
    </w:p>
    <w:p>
      <w:pPr>
        <w:pStyle w:val="Heading6"/>
        <w:numPr>
          <w:ilvl w:val="5"/>
          <w:numId w:val="1"/>
        </w:numPr>
        <w:rPr/>
      </w:pPr>
      <w:bookmarkStart w:id="138" w:name="__RefHeading___Toc6422070_1280447820"/>
      <w:bookmarkStart w:id="139" w:name="_Toc52"/>
      <w:bookmarkEnd w:id="137"/>
      <w:bookmarkEnd w:id="138"/>
      <w:r>
        <w:rPr>
          <w:rtl w:val="true"/>
        </w:rPr>
        <w:t>الأمر الثاني</w:t>
      </w:r>
      <w:r>
        <w:rPr>
          <w:rtl w:val="true"/>
        </w:rPr>
        <w:t xml:space="preserve">: </w:t>
      </w:r>
      <w:r>
        <w:rPr>
          <w:rtl w:val="true"/>
        </w:rPr>
        <w:t>سند الحديث و تواتره</w:t>
      </w:r>
      <w:bookmarkEnd w:id="139"/>
    </w:p>
    <w:p>
      <w:pPr>
        <w:pStyle w:val="BookText"/>
        <w:rPr/>
      </w:pPr>
      <w:r>
        <w:rPr>
          <w:rFonts w:ascii="Amiri" w:hAnsi="Amiri" w:eastAsia="Amiri" w:cs="Amiri"/>
          <w:color w:val="111111"/>
          <w:sz w:val="28"/>
          <w:sz w:val="28"/>
          <w:szCs w:val="28"/>
          <w:rtl w:val="true"/>
          <w:lang w:bidi="ar-SA"/>
        </w:rPr>
        <w:t>إنّ حديث الغدير من الأحاديث المتواترة من عصر الرسول الأكرم إلى يومنا هذا، يقف عليه من سبر كتب الحديث و التاريخ و السّير و الكلام و التفسير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ربما يصدر من كلمات حول الحديث من أنّه من أحاديث الآحاد، فهو كلام صدر من المغرضين و رماة القول على عواهنه، من غير تدبّر و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الإمامية في الحديث و غيره، مفعمة بإثبات قصة الغدير و الاحتجاج بمؤداها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مسانيد معنعنة إلى منبثق أنوار النبوة، إلى مراسيل أرسلها المؤلفون إرسال المسلّم، و حذفوا أسانيدها لتسالم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المحدثون و غيرهم من أهل السنّة فلا يتأخرون عن الإمامية في نقل الحديث و البخوع لصحته، و الركون إليه، و التصحيح له، و الإذعان بتواتره إلاّ شذّاذ تنكبوا عن الطريقة، و قد ألّف غير واحد من علماء الإسلام كتبا مستقلة، فلم يقنعهم إخراجه بأسانيد مبثوثة في الكتب، فدوّنوا ما انتهى إليهم من أسانيده، و ضبطوا ما صحّ لديهم من طرقه، كل ذلك حرصا على كلاءة متنه من الدثور، و عن تطرق يد التحريف إليه، منهم أبو جعفر محمد بن جرير الطبري، صاحب التاريخ و التفسير المعروفين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العباس أحمد بن محمد بن سعيد الهمداني المعروف بابن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بكر محمد بن عمر بن محمد بن سالم التميمي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إيقاف القارئ على اهتمام الصحابة و التابعين، و تابعي التابعين، و العلماء، و الأدباء، و الفقهاء، بنقل الحديث و ضبط أسانيده، نذكر عدد رواته في كل قرن على وجه الإجمال و نحيل التفصيل إلى الكتب المعدّة لذلك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من الصحابة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و طبع الحال يستدعي أن يكون رواته أضعاف المذكورين، لأنّ السامعين الوعاة له كانوا مائة ألف، أو يزيدون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من التابعين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عدّة الرواة من العلماء و المحدثين فنذكرها على ترتيب القرون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الثالث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من رواه في القرن 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أغنانا المؤلفون في الغدير عن إراءة مصادره و مراجعه، و كفاك في ذلك كتب لمة كبيرة من أعلام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السيد مير حامد حسين الهندي اللكهنوئي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حديث الغدير، و طرقه، و تواتره، و مفاده في مجلدين ضخمين في ألف و ثمان مائة صحيفة، و هما من مجلدات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أتمّ اللّه به الحجة، و أوضح المحجة، و كتابه العبقات كتاب جليل، فاح أريجه بين لابتي العالم، و طبق حديثه المشرق و المغرب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المتتبع المحقق الفذّ الشيخ عبد الحسين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الفريد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بعين اللّه، إنّ كتابه هذا هو المعجز </w:t>
      </w:r>
      <w:bookmarkStart w:id="140" w:name="pg16351_180997"/>
    </w:p>
    <w:p>
      <w:pPr>
        <w:pStyle w:val="BookText"/>
        <w:rPr/>
      </w:pPr>
      <w:bookmarkEnd w:id="140"/>
      <w:r>
        <w:rPr>
          <w:rFonts w:ascii="Amiri" w:hAnsi="Amiri" w:eastAsia="Amiri" w:cs="Amiri"/>
          <w:color w:val="111111"/>
          <w:sz w:val="28"/>
          <w:sz w:val="28"/>
          <w:szCs w:val="28"/>
          <w:rtl w:val="true"/>
          <w:lang w:bidi="ar-SA"/>
        </w:rPr>
        <w:t>المبين، و من حسنات الدهر الخالدة، جزاه اللّه خير الجزاء</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6422072_1280447820"/>
      <w:bookmarkStart w:id="142" w:name="_Toc53"/>
      <w:bookmarkEnd w:id="141"/>
      <w:r>
        <w:rPr>
          <w:rtl w:val="true"/>
        </w:rPr>
        <w:t xml:space="preserve">الأمر الثالث </w:t>
      </w:r>
      <w:r>
        <w:rPr>
          <w:rtl w:val="true"/>
        </w:rPr>
        <w:t xml:space="preserve">- </w:t>
      </w:r>
      <w:r>
        <w:rPr>
          <w:rtl w:val="true"/>
        </w:rPr>
        <w:t>دلالة الحديث</w:t>
      </w:r>
      <w:bookmarkEnd w:id="142"/>
    </w:p>
    <w:p>
      <w:pPr>
        <w:pStyle w:val="Heading6"/>
        <w:numPr>
          <w:ilvl w:val="5"/>
          <w:numId w:val="1"/>
        </w:numPr>
        <w:rPr/>
      </w:pPr>
      <w:bookmarkStart w:id="143" w:name="__RefHeading___Toc6422074_1280447820"/>
      <w:bookmarkStart w:id="144" w:name="_Toc54"/>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إنّ دلالة الحديث على إمامة مولانا أمير المؤمنين، دلالة واضحة، لم يشك فيها أي عربي صميم، عصر نزول الحديث و بعده إلى قرون، و لم يفهموا من لفظة المولى سوى معنى الإمامة، و تتابع هذا الفهم فيمن بعدهم من الشعراء إلى أن ولّد الدهر إمام المشككين، فجاء بتشكيكات، كسائر تشكيكاته، التي تاب منها عند احتضاره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مركزة على أن لفظ المولى نصّ فيما نثبته من الإمامة بالوضع اللغوي، أو بالقرائن المحتفة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يكون الحديث حجة قاطعة في الإمامة، و نحن نسلك كلا الطريقين</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422076_1280447820"/>
      <w:bookmarkStart w:id="146" w:name="_Toc55"/>
      <w:bookmarkEnd w:id="145"/>
      <w:r>
        <w:rPr>
          <w:rtl w:val="true"/>
        </w:rPr>
        <w:t xml:space="preserve">الطريق الأول </w:t>
      </w:r>
      <w:r>
        <w:rPr>
          <w:rtl w:val="true"/>
        </w:rPr>
        <w:t xml:space="preserve">- </w:t>
      </w:r>
      <w:r>
        <w:rPr>
          <w:rtl w:val="true"/>
        </w:rPr>
        <w:t>الدلالة بالوضع اللغوي</w:t>
      </w:r>
      <w:bookmarkEnd w:id="146"/>
    </w:p>
    <w:p>
      <w:pPr>
        <w:pStyle w:val="Heading6"/>
        <w:numPr>
          <w:ilvl w:val="5"/>
          <w:numId w:val="1"/>
        </w:numPr>
        <w:rPr/>
      </w:pPr>
      <w:bookmarkStart w:id="147" w:name="__RefHeading___Toc6422078_1280447820"/>
      <w:bookmarkStart w:id="148" w:name="_Toc56"/>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منه هنا الأولى، سواء أقلنا إنّه المعنى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معانيه، كما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المفسّرون للآية على فريقين منهم من حصر التفسير بأنّها أولى بكم، و منهم </w:t>
      </w:r>
    </w:p>
    <w:p>
      <w:pPr>
        <w:pStyle w:val="BookText"/>
        <w:rPr/>
      </w:pPr>
      <w:r>
        <w:rPr>
          <w:rFonts w:ascii="Amiri" w:hAnsi="Amiri" w:eastAsia="Amiri" w:cs="Amiri"/>
          <w:color w:val="111111"/>
          <w:sz w:val="28"/>
          <w:sz w:val="28"/>
          <w:szCs w:val="28"/>
          <w:rtl w:val="true"/>
          <w:lang w:bidi="ar-SA"/>
        </w:rPr>
        <w:t>من جعله أحد المعاني، و هؤلاء أئمة العربية، عرفوا أنّ هذا المعنى من معاني اللفظ اللغوية، و لولاه لما صحّ لهم تفسيره به، يقول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مولاكم، أي وليّكم، و قيل أولى بكم، لما أسلفتم من الذنوب،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تلي عليكم، لأنّها ملكت أمركم و أسلمتم إليها، فهي أولى بكم من كل شيء</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نقل كون المولى بمعنى الأولى، الرازي في تفسيره عن الكلبي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و أبو عبيدة معمّر بن المثنى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الأخفش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 نهاية العقول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أبو عبيدة ببيت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 و أمامها</w:t>
      </w:r>
    </w:p>
    <w:p>
      <w:pPr>
        <w:pStyle w:val="BookText"/>
        <w:rPr/>
      </w:pPr>
      <w:r>
        <w:rPr>
          <w:rFonts w:ascii="Amiri" w:hAnsi="Amiri" w:eastAsia="Amiri" w:cs="Amiri"/>
          <w:color w:val="111111"/>
          <w:sz w:val="28"/>
          <w:sz w:val="28"/>
          <w:szCs w:val="28"/>
          <w:rtl w:val="true"/>
          <w:lang w:bidi="ar-SA"/>
        </w:rPr>
        <w:t xml:space="preserve">حتى أنّ البخاري، صاحب الصحيح، في قسم التفسير منه، فسّره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 شبهة ذكرها الرازي في تفسيره، حسب أنّها تصادم دلالة الحديث على الولاية الكبرى للإمام عليّ عليه السلام، فقال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وَ بِئْسَ اَلْمَصِيرُ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مولى و أولى بمعنى واحد في اللغة، لصحّ استعمال كلّ واحد منهما في مكان الآخر، فيجب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من فلان، و لمّا بطل ذلك، علمنا أنّ الذي قالوه معنى، و ليس بتفسير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نهاية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المولى يجيء بمعنى الأولى، لصحّ أن يقرن بأحدهما، كلّما يصحّ قرنه بالآخر، لكنه ليس كذلك، فامتنع كون المولى بمعنى الأولى، مع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من فلان، و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الرازي أنّ اتّحاد المعنى أو الترادف بين الألفاظ، إنّما يقع في جوهريات المعاني لا عوارضها الحادثة من أنحاء التركيب، و تصاريف الألفاظ، و صيغها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الحاصل بين المولى و الأولى، بلزوم مصاحبة الثاني بالباء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تجرّد الأول منه، إنّما حصل من ناحية صيغة افعل من هذه المادة، كما أنّ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مقتضى تلك الصيغة مطلقا، إذن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أولى بفلان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مولى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واحد، حيث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به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يشهد لذلك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يستعمل مضافا إلى المثنّى و الجمع، أو ضمير هما بغير أداة،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الرجلين، أو أفضلهما، و أفضل القوم و أفضلهم، و لا يستعمل كذلك إذا كان ما بعده مفردا،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عمرو، و إنّما يقال هو أفضل منه، و لا يرتاب عاقل في اتّحاد المعنى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 في باب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صحة وقوع المرادف موقع مرادفه، إنّما يكون إذا لم يمنع من ذلك مانع، و هاهنا منع مانع، و هو الاستعمال، فإنّ اسم التفضيل، لا يصاحب من حروف الجر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قد تحذف مع مجرورها للعلم 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ثمّ إنّ الرازي اختار أنّ المولى في الحديث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ما أورده على القول بأنّه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وارد عليه، فلا يقال في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يصحّ تبديل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إِلَى اَللّٰهِ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مواليّ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تبديل قول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w:t>
      </w:r>
      <w:r>
        <w:rPr>
          <w:rStyle w:val="FootnoteAnchor"/>
          <w:rtl w:val="true"/>
        </w:rPr>
        <w:footnoteReference w:id="168"/>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موالي اللّه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مطّردة في كثير من المترادفات التي جمعها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 مفرد، مع أنّ اختلاف الكيفية حاكم عليها أيضا،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p>
    <w:p>
      <w:pPr>
        <w:pStyle w:val="BookText"/>
        <w:rPr/>
      </w:pPr>
      <w:r>
        <w:rPr>
          <w:rFonts w:ascii="Amiri" w:hAnsi="Amiri" w:eastAsia="Amiri" w:cs="Amiri"/>
          <w:color w:val="111111"/>
          <w:sz w:val="28"/>
          <w:sz w:val="28"/>
          <w:szCs w:val="28"/>
          <w:rtl w:val="true"/>
          <w:lang w:bidi="ar-SA"/>
        </w:rPr>
        <w:t>درهم غير جيد، و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درهم إلاّ جيد، كما هو السائد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بمعنى واحد، و لكن يفترقان بفروق ثلاثة، أو خمسة، أو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الإشكال ضئيلا، قال النيسابوري،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الرازي،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يسقط الاستدلال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الإسقاط بحث لا يخفى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وقف التفتازاني على تمامية دلالة الحديث على الإمامة، حاول رمي الحديث بعدم التواتر،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به المعتق، و المعتق، و الحليف، و الجار، و ابن العم، و الناصر، و الأولى بالتصرف،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 أي أولى بكم، ذكره أبو عبيدة، و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أنكحت نفسها بغير إذن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الأولى بها، و المالك لتدبير أمرها، و مثله في الشعر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استعمال المولى بمعنى المتولي، و المالك للأمر، و الأولى بالتصرف، شائع في كلام العرب، منقول عن كثير من أئمة اللغة، و المراد أنّه اسم لهذا المعنى، لا صفة بمنزلة الأولى ليعترض بأنّه ليس من صيغة اسم التفضيل، و أنّه لا يستعمل استعماله، و ينبغي أن يكون المراد به في الحديث هو هذا المعنى، ليطابق صدر الحديث، و لأنّه لا وجه للخمسة الأول، و هو ظاهر، و لا للسادس لظهوره، و عدم احتياجه إلى البيان و جمع الناس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خفاء في أنّ الولاية بالناس، و التولّي، و المالكية لتدبير أمرهم، و التصرّف فيهم، بمنزلة النبي، و هو معنى الإمامة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غير فرق بين تفسير مفعل ب أفعل، أي المولى بمعنى أولى، أو تفسيره بفعيل، أي الولي، و قد نصّ على ذلك أئمة العربية منهم الفراء في تفسيره، و أبو العباس المبرّد،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و المولى، بمعنى في لغة العرب واحد</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49" w:name="pg16351_181001"/>
    </w:p>
    <w:p>
      <w:pPr>
        <w:pStyle w:val="BookText"/>
        <w:rPr/>
      </w:pPr>
      <w:bookmarkEnd w:id="149"/>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 كل من ولي أمر واحد، فهو وليّه، 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المولى و إن جنفوا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من لقائهم لزور</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ولي أمرا أو قام به فهو مولاه و وليه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 في قاموسه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العبد، و المعتق، و الولي، و الربّ</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الزبيدي في تاج العروس، على كون مولى بمعنى ولي،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أنكحت بغير إذن مولاها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6422080_1280447820"/>
      <w:bookmarkStart w:id="151" w:name="_Toc57"/>
      <w:bookmarkEnd w:id="150"/>
      <w:r>
        <w:rPr>
          <w:rtl w:val="true"/>
        </w:rPr>
        <w:t>ليس للمولى إلاّ معنى واحد</w:t>
      </w:r>
      <w:bookmarkEnd w:id="151"/>
    </w:p>
    <w:p>
      <w:pPr>
        <w:pStyle w:val="BookText"/>
        <w:rPr/>
      </w:pPr>
      <w:r>
        <w:rPr>
          <w:rFonts w:ascii="Amiri" w:hAnsi="Amiri" w:eastAsia="Amiri" w:cs="Amiri"/>
          <w:color w:val="111111"/>
          <w:sz w:val="28"/>
          <w:sz w:val="28"/>
          <w:szCs w:val="28"/>
          <w:rtl w:val="true"/>
          <w:lang w:bidi="ar-SA"/>
        </w:rPr>
        <w:t xml:space="preserve">إنّ السابر في كتب اللغة يرى أنّهم يذكرون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يبدو أنّها معان مختلفة له، مثلا يقول صاحب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العبد، و المعتق، و المعتق، و الصاحب، و القريب كابن العم و نحوه، و الجار، و الحليف، و الابن، و العمّ، و النّزيل، و الشّريك، و ابن الأخت، و الوليّ، و الربّ، و الناصر، و المنعم، و المنعم عليه، و المحبّ، و التابع، و الصّهر</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أنّه ليس للمولى إلاّ معنى واحد و هو الأولى بالشيء، و تختلف هذه الأولوية بحسب الاستعمال في كل مورد من موارده، و الاشتراك معنوي، و هو الأولى من الاشتراك اللفظي المستدعي لألفاظ كثيرة غير معلومة بنصّ ثابت، و المنفية بالأصل المحكّم، و هذه النظرية أبدعها ابن البطريق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الواحد، و هو الأولى بالشيء جامع لهاتيك المعاني جمعاء، و مأخوذ في كلّ منها بنوع من العناية، و لم يطلق لفظ المولى على شيء منها إلاّ بمناسبة لهذا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فالمالك أولى بكلاءة مماليكه، و أمرهم، و التصرف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العبد أولى بالانقياد لمولاه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بالتفضيل على من أعتقه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يعرف جميل من أعتقه عليه و يشكره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الصاحب، أولى بأن يؤدّي حقوق الصحبة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القريب، هو أولى بأمر القريبين منه، و الدفاع عنهم، و السعي وراء 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الجار، أولى بالقيام بحفظ حقوق الجوار كلّها من البعداء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الحليف، أولى بالنهوض بحفظ من حالفه، و دفع عادية الجور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الابن أولى الناس بالطاعة لأبيه و الخضوع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العمّ، أولى بكلاءة ابن أخيه، و الحنان عليه، و هو القائم مقام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النّزيل، أولى بتقدير من آوى إليهم و لجأ إلى ساحتهم، و أمن في جوارهم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الشريك أولى برعاية حقوق الشركة و حفظ صاحبه عن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الأخت، أولى الناس بالخضوع لخاله الذي هو شقيق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الولي، أولى بأن يراعي مصالح المولّى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الناصر، أولى بالدفاع عمّن التزم بنصرته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الربّ، أولى بخلقه من أي قاهر عليهم</w:t>
      </w:r>
      <w:r>
        <w:rPr>
          <w:rFonts w:eastAsia="Amiri" w:cs="Amiri" w:ascii="Amiri" w:hAnsi="Amiri"/>
          <w:color w:val="111111"/>
          <w:sz w:val="28"/>
          <w:szCs w:val="28"/>
          <w:rtl w:val="true"/>
          <w:lang w:bidi="ar-SA"/>
        </w:rPr>
        <w:t xml:space="preserve">. </w:t>
      </w:r>
      <w:bookmarkStart w:id="152" w:name="pg16351_181003"/>
    </w:p>
    <w:p>
      <w:pPr>
        <w:pStyle w:val="BookText"/>
        <w:rPr/>
      </w:pPr>
      <w:bookmarkEnd w:id="152"/>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بالفضل على من أنعم عليه، و أن يتبع الحسنة بالحسنة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المنعم عليه، أولى بشكر منعمه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المحب، أولى بالدفاع عمّن أحبّه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التابع، أولى بمناصرة متبوعه ممّن لا 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الصهر، أولى بأن يرعى حقوق من صاهره، فشدّ بهم أزره، و قوي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المعاني التي هي أشبه بموارد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الأولوية مأخوذة فيها بنوع من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قد ظهر أنّ المولى في الحديث الشريف بمعنى الأولى، أو بمعنى الولي، و أنّ ما ذكر للمولى من المعاني المختلفة، فليس من قبيل المعاني المختلفة، حتى يحتاج تفسير المولى بالأولى إلى قرينة معيّنة، بل من قبيل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الطريق الأول</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422082_1280447820"/>
      <w:bookmarkStart w:id="154" w:name="_Toc58"/>
      <w:bookmarkEnd w:id="153"/>
      <w:r>
        <w:rPr>
          <w:rtl w:val="true"/>
        </w:rPr>
        <w:t xml:space="preserve">الطريق الثاني </w:t>
      </w:r>
      <w:r>
        <w:rPr>
          <w:rtl w:val="true"/>
        </w:rPr>
        <w:t xml:space="preserve">- </w:t>
      </w:r>
      <w:r>
        <w:rPr>
          <w:rtl w:val="true"/>
        </w:rPr>
        <w:t>الدلالة بالقرائن</w:t>
      </w:r>
      <w:bookmarkEnd w:id="154"/>
    </w:p>
    <w:p>
      <w:pPr>
        <w:pStyle w:val="Heading6"/>
        <w:numPr>
          <w:ilvl w:val="5"/>
          <w:numId w:val="1"/>
        </w:numPr>
        <w:rPr/>
      </w:pPr>
      <w:bookmarkStart w:id="155" w:name="__RefHeading___Toc6422084_1280447820"/>
      <w:bookmarkStart w:id="156" w:name="_Toc59"/>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إنّ القرائن الحافة بالحديث تدلّ على أنّ المراد من المولى هو الأولى أو الولي، 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حالية و قرائن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الأولى، ما احتف به الكلام الصادر من النبي الأكرم، من ظروف زمانية و 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الثانية ما يتصل بالكلام نفسه من الجمل و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القرائن الحالية، فبيانها بكلمة جامعة أنا لو فرضنا أنّ لفظ المولى مشترك بين المعاني التي تلوناها عليك، إلاّ أنّه لا يمكن إرادة غيره في المقام، إمّا لاستلزامه الكفر، كما إذا أريد منه الرب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الكذب، كما إذا أريد منه العم، و الابن، و ابن الأخت، و المعتق، </w:t>
      </w:r>
    </w:p>
    <w:p>
      <w:pPr>
        <w:pStyle w:val="BookText"/>
        <w:rPr/>
      </w:pPr>
      <w:r>
        <w:rPr>
          <w:rFonts w:ascii="Amiri" w:hAnsi="Amiri" w:eastAsia="Amiri" w:cs="Amiri"/>
          <w:color w:val="111111"/>
          <w:sz w:val="28"/>
          <w:sz w:val="28"/>
          <w:szCs w:val="28"/>
          <w:rtl w:val="true"/>
          <w:lang w:bidi="ar-SA"/>
        </w:rPr>
        <w:t>و المعتق، و العبد، و المالك، و التابع، و المنعم عليه، و الشّريك، و الحليف، و هو واضح لمن 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الصاحب، و الجار، و النزيل، و الصّهر، و القريب، فلا يمكن إرادة شيء من هذه المعاني، لسخافته، لا سيما في هذا المحتشد الرهيب، و في أثناء المسير، و رمضاء الهجير، و قد أمر صلى اللّه عليه و آله بحبس المتقدم في السير، و منع التالي منه، في محلّ ليس صالحا للنزول، غير أنّ الوحي الإلهي، حبسه هناك، فيكون صلى اللّه عليه و آله قد عقد هذا المحتفل، و الناس قد أنهكتهم و عثاء السفر، و حرّ الهجير، و حراجة الموقف، حتى أنّ أحدهم ليضع طرفا من ردائه تحت قدميه، و طرفا فوق رأسه، فيرقى هنالك منبر الأهداج، و يعلمهم عن اللّه تعالى بأنّه من كان هو صلى اللّه عليه و آله مصاحبا أو جارا أو نزيلا عنده، أو صهرا أو قريبا له، فعليّ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المنعم، فلا ملازمة بين أن يكون كلّ من أنعم عليه رسول اللّه صلى اللّه عليه و آله فعليّ 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الناصر و المحب، فسواء كان كلامه صلى اللّه عليه و آله، إخبارا أو إنشاء، فاحتمالان ساقطان، إذ ليسا بأمر مجهول عندهم، لم يسبقه التبليغ حتى يأمر به في تلك الساعة، و يحبس له الجماهير، و يعقد له ذلك المنتدى الرهيب، في موقف حرج، لا قرار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 المعاني إلاّ الولي، و الأولى به، و المراد منه المتصرف في الأمر و متوليه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الرازي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بِاللّٰهِ هُوَ مَوْلاٰكُمْ </w:t>
      </w:r>
      <w:r>
        <w:rPr>
          <w:rStyle w:val="FootnoteAnchor"/>
          <w:rtl w:val="true"/>
        </w:rPr>
        <w:footnoteReference w:id="17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مولاكم، سيّدكم و المتصرّف فيكم</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فتعين أنّ المراد بالمولى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الذي قيّضه اللّه سبحانه لان يتّبع، و يكون إماما، فيهدي البشر إلى سنن النجاة، فهو أولى من غيره بأنحاء التصرف </w:t>
      </w:r>
    </w:p>
    <w:p>
      <w:pPr>
        <w:pStyle w:val="BookText"/>
        <w:rPr/>
      </w:pPr>
      <w:r>
        <w:rPr>
          <w:rFonts w:ascii="Amiri" w:hAnsi="Amiri" w:eastAsia="Amiri" w:cs="Amiri"/>
          <w:color w:val="111111"/>
          <w:sz w:val="28"/>
          <w:sz w:val="28"/>
          <w:szCs w:val="28"/>
          <w:rtl w:val="true"/>
          <w:lang w:bidi="ar-SA"/>
        </w:rPr>
        <w:t>في المجتمع الإنساني، فليس هو إلا نبي مبعوث أو إمام مفترض الطاعة منصوص به من قبله تعالى، بأمر إلهي، لا يبارحه في أقواله و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القرائن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فمتعددة تثبت أيضا أنّ المولى بمعنى الأولى بالشيء أو بمعنى الولي، إذا تنازلنا إلى أنّه أحد معانيه، و أنّه من المشترك اللفظي، و أمّا على القول بأنّه ليس للمولى إلاّ معنى واحد، كما أوضحناه، فلا حاجة لذكر القرائن إلاّ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يؤدّي مؤدّاه من ألفاظ متقاربة، ثم فرّع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هذا الصدر من حفاظ أهل السنّة، ما يربو على أربع و ستين عالما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الصدر يعيّن أنّ المراد من المولى هو الأولى، و لا وجه للتفكيك المخل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جملة من طرق الحديث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 من نصره، و اخذل من خذله، أو ما يؤدّي مؤدّاه، فلو أريد منه غير الأولى بالتصرف، فما معنى هذا التطويل، فإنّه لا يلتئم ذكر هذا الدعاء إلاّ بتنصيب علي مقاما شامخا، يؤهله لهذا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الشهادة من الناس، حيث قال صلى اللّه عليه و آله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و أنّ محمدا عبده و رسوله، و أنّ حجته حقّ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سياق الشهادة بالتوحيد و الرسالة، يحقق كون المراد، الإمامة، الملازمة للأولوية على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على إكمال الدين، حيث لم يتفرقوا بعد كلامه صلى اللّه عليه و آله، حتى نزل أمين وحي اللّه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 فأي معنى يكمل به الدين، و تتم به النعم، و يرضى به الربّ في عداد الرسالة، غير الإمامة التي بها تمام الرسالة، و كمال نشرها و توطيد دعائمها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النبي وفاته إلى الناس،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يوشك أن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يقرر ذلك، و هذا يعطي أنّ النبي قد بقيت من تبليغه مهمة، يحذر أن يدركه الأجل قبل الإشادة بها، و هي تعرب عن كون ما أشاد به في هذا المحتشد، تبليغ أمر مهم، يخاف فوته، و ليس هو إلاّ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أنّه يعرب بذلك عن أنّه سوف يرحل من بين أظهرهم، فيحصل بعده فراغ هائل، و أنّه يسدّ بتنصيب عليّ في مقام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جاء في ذيل الحديث، و أخرجه الطبري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 على ذلك عهدا عن أنفسنا، و ميثاقا بألسنتنا، و صفقة بأيدينا، نؤدّيه إلى أولادنا و أهالينا، لا نبغي بذلك بدلا، و أنت شهيد علينا، و كفى باللّه شهيدا، قولوا ما قلت لكم، و سلّموا على عليّ بإمرة المؤمنين، و قولوا الحمد للّه الذي هدانا لهذا و ما كنا لنهتدي لو لا أن هدانا اللّه، فإنّ اللّه يعلم كلّ صوت، و خائنة كل نفس، فمن نكث فإنّما ينكث على نفسه، وَ مَنْ أَوْفىٰ بِمٰا عٰاهَدَ عَلَيْهُ اَللّٰهَ فَسَيُؤْتِيهِ أَجْراً عَظِيماً قولوا ما يرضي اللّه عنكم، فإن تكفروا، فإنّ اللّه غنيّ عنكم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بإبلاغ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صلى اللّه عليه و آله في آخر خطبته بأن يبلّغ الشاهد الغائب، فما معنى هذا التأكيد، إذا لم يكن هناك مهمة لم تتح الفرص لتبليغها على نطاق واسع، و لا عرفته جماهير المسلمين، و ما هي إلاّ الإمامة</w:t>
      </w:r>
      <w:r>
        <w:rPr>
          <w:rFonts w:eastAsia="Amiri" w:cs="Amiri" w:ascii="Amiri" w:hAnsi="Amiri"/>
          <w:color w:val="111111"/>
          <w:sz w:val="28"/>
          <w:szCs w:val="28"/>
          <w:rtl w:val="true"/>
          <w:lang w:bidi="ar-SA"/>
        </w:rPr>
        <w:t xml:space="preserve">. </w:t>
      </w:r>
      <w:bookmarkStart w:id="157" w:name="pg16351_181007"/>
    </w:p>
    <w:p>
      <w:pPr>
        <w:pStyle w:val="BookText"/>
        <w:rPr/>
      </w:pPr>
      <w:bookmarkEnd w:id="157"/>
      <w:r>
        <w:rPr>
          <w:rFonts w:ascii="Amiri" w:hAnsi="Amiri" w:eastAsia="Amiri" w:cs="Amiri"/>
          <w:color w:val="111111"/>
          <w:sz w:val="28"/>
          <w:sz w:val="28"/>
          <w:szCs w:val="28"/>
          <w:rtl w:val="true"/>
          <w:lang w:bidi="ar-SA"/>
        </w:rPr>
        <w:t>و غير ذلك من القرائن التي استقصاها شيخنا المتتبع في غديره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6422086_1280447820"/>
      <w:bookmarkStart w:id="159" w:name="_Toc60"/>
      <w:bookmarkEnd w:id="158"/>
      <w:r>
        <w:rPr>
          <w:rtl w:val="true"/>
        </w:rPr>
        <w:t>حديث الغدير و رجالات الأدب</w:t>
      </w:r>
      <w:bookmarkEnd w:id="159"/>
    </w:p>
    <w:p>
      <w:pPr>
        <w:pStyle w:val="Heading6"/>
        <w:numPr>
          <w:ilvl w:val="5"/>
          <w:numId w:val="1"/>
        </w:numPr>
        <w:rPr/>
      </w:pPr>
      <w:bookmarkStart w:id="160" w:name="__RefHeading___Toc6422088_1280447820"/>
      <w:bookmarkStart w:id="161" w:name="_Toc6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شاء المولى سبحانه أن يبقى حديث الغدير على مرّ العصور و الأيام، حجة على المسلمين في التعرّف على مستقرّ الولاية الكبرى بعد النبي الأكرم صلى اللّه عليه و آله، فقيّض المولى سبحانه، رجالات الأدب، و أساتذة الشعر، فنظموا تلك المأثرة النبوية الخالدة، و صبّوها في قوالب أشعارهم، و قرائضهم، فترى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أساتذة اللغة و بواقع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يعبّرون عنه بكلمات صريحة في الإمامة، أو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كل شاهد نذكر بيت الإمام أمير المؤمنين عليه السلام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ثم بعده حسان بن ثابت، الذي حضر مشهد الغدير، و قد تقدّم ذكر أبياته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قيس بن سعد بن عبادة، الصحابي العظيم،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ascii="Amiri" w:hAnsi="Amiri" w:eastAsia="Amiri" w:cs="Amiri"/>
          <w:color w:val="111111"/>
          <w:sz w:val="28"/>
          <w:sz w:val="28"/>
          <w:szCs w:val="28"/>
          <w:rtl w:val="true"/>
          <w:lang w:bidi="ar-SA"/>
        </w:rPr>
        <w:t xml:space="preserve">و منهم داهية العرب، في قصيدته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الجلجلية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فيها معترضا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 xml:space="preserve">و 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و الصحب لم ترحل</w:t>
      </w:r>
    </w:p>
    <w:p>
      <w:pPr>
        <w:pStyle w:val="BookText"/>
        <w:rPr/>
      </w:pPr>
      <w:r>
        <w:rPr>
          <w:rFonts w:ascii="Amiri" w:hAnsi="Amiri" w:eastAsia="Amiri" w:cs="Amiri"/>
          <w:color w:val="111111"/>
          <w:sz w:val="28"/>
          <w:sz w:val="28"/>
          <w:szCs w:val="28"/>
          <w:rtl w:val="true"/>
          <w:lang w:bidi="ar-SA"/>
        </w:rPr>
        <w:t xml:space="preserve">فامنحه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غيرهم من الشعراء الذين يحتجّ بقولهم في الأدب و اللغة، ككميت بن زيد الأسدي المتوفي عام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و العبدي الكوفي من شعراء القرن الثاني، و شيخ </w:t>
      </w:r>
      <w:bookmarkStart w:id="162" w:name="pg16351_181008"/>
    </w:p>
    <w:p>
      <w:pPr>
        <w:pStyle w:val="BookText"/>
        <w:rPr/>
      </w:pPr>
      <w:bookmarkEnd w:id="162"/>
      <w:r>
        <w:rPr>
          <w:rFonts w:ascii="Amiri" w:hAnsi="Amiri" w:eastAsia="Amiri" w:cs="Amiri"/>
          <w:color w:val="111111"/>
          <w:sz w:val="28"/>
          <w:sz w:val="28"/>
          <w:szCs w:val="28"/>
          <w:rtl w:val="true"/>
          <w:lang w:bidi="ar-SA"/>
        </w:rPr>
        <w:t>العربية أبي تمّام، و غيرهم ممّن يطول بذكرهم المقام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حول الحديث متنا و سندا، و هو يعرب عن حقيقة ناصعة من أجلى الحقائق الدينية، و هي ثبوت الولاية لعلي بعد النبي، و لا يرتاب فيها إلاّ مغرض لا يرتاد الحقيقة، أو غافل عن مصادر الحديث</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هاهنا سؤالين مهمّين، ربما يدفع البعض بهما حديث الغدير و دلالته، لا بدّ من ذكرهما، و الإجابة عنهما</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6422090_1280447820"/>
      <w:bookmarkStart w:id="164" w:name="_Toc62"/>
      <w:bookmarkEnd w:id="163"/>
      <w:r>
        <w:rPr>
          <w:rtl w:val="true"/>
        </w:rPr>
        <w:t>السؤال الأول</w:t>
      </w:r>
      <w:r>
        <w:rPr>
          <w:rtl w:val="true"/>
        </w:rPr>
        <w:t xml:space="preserve">: </w:t>
      </w:r>
      <w:r>
        <w:rPr>
          <w:rtl w:val="true"/>
        </w:rPr>
        <w:t>لما ذا أعرض الصحابة عن مدلول حديث الغدير؟</w:t>
      </w:r>
      <w:bookmarkEnd w:id="164"/>
    </w:p>
    <w:p>
      <w:pPr>
        <w:pStyle w:val="Heading6"/>
        <w:numPr>
          <w:ilvl w:val="5"/>
          <w:numId w:val="1"/>
        </w:numPr>
        <w:rPr/>
      </w:pPr>
      <w:bookmarkStart w:id="165" w:name="__RefHeading___Toc6422092_1280447820"/>
      <w:bookmarkStart w:id="166" w:name="_Toc63"/>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إنّ هاهنا اعتراضا على تواتر حديث الغدير، أو دلالته على تنصيب عليّ في مقام الولاية و الخلافة، بأنّه لو كان الأمر كذلك، فلما ذا لم يأخذه الصحابة مقياسا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الصحيح إجماع الصحابة، و جمهور الأمّة على ردّ ما بلّغه النبي في ذلك المحتشد العظيم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422094_1280447820"/>
      <w:bookmarkStart w:id="168" w:name="_Toc64"/>
      <w:bookmarkEnd w:id="167"/>
      <w:r>
        <w:rPr>
          <w:rtl w:val="true"/>
        </w:rPr>
        <w:t>و الجواب</w:t>
      </w:r>
      <w:r>
        <w:rPr>
          <w:rtl w:val="true"/>
        </w:rPr>
        <w:t>:</w:t>
      </w:r>
      <w:bookmarkEnd w:id="168"/>
    </w:p>
    <w:p>
      <w:pPr>
        <w:pStyle w:val="BookText"/>
        <w:rPr/>
      </w:pPr>
      <w:r>
        <w:rPr>
          <w:rFonts w:ascii="Amiri" w:hAnsi="Amiri" w:eastAsia="Amiri" w:cs="Amiri"/>
          <w:color w:val="111111"/>
          <w:sz w:val="28"/>
          <w:sz w:val="28"/>
          <w:szCs w:val="28"/>
          <w:rtl w:val="true"/>
          <w:lang w:bidi="ar-SA"/>
        </w:rPr>
        <w:t>إنّ ذلك أقوى مستمسك لمن يريد التخلص من الاعتناق بالنصّ المتواتر الجلي في المقام، و لكنه لو رجع إلى تاريخ الصحابة، يرى لهذه الأمور نظائر كثيرة في حياتهم السياسية، و ليكن ترك العمل بحديث الغدير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نذكر نماذج من هذا الاجتهاد المرفوض قبال النصّ</w:t>
      </w:r>
      <w:r>
        <w:rPr>
          <w:rFonts w:eastAsia="Amiri" w:cs="Amiri" w:ascii="Amiri" w:hAnsi="Amiri"/>
          <w:color w:val="111111"/>
          <w:sz w:val="28"/>
          <w:szCs w:val="28"/>
          <w:rtl w:val="true"/>
          <w:lang w:bidi="ar-SA"/>
        </w:rPr>
        <w:t>.</w:t>
      </w:r>
    </w:p>
    <w:p>
      <w:pPr>
        <w:pStyle w:val="Heading6"/>
        <w:numPr>
          <w:ilvl w:val="5"/>
          <w:numId w:val="1"/>
        </w:numPr>
        <w:rPr/>
      </w:pPr>
      <w:bookmarkStart w:id="169" w:name="__RefHeading___Toc6422096_1280447820"/>
      <w:bookmarkStart w:id="170" w:name="_Toc65"/>
      <w:bookmarkEnd w:id="169"/>
      <w:r>
        <w:rPr/>
        <w:t>1</w:t>
      </w:r>
      <w:r>
        <w:rPr>
          <w:rtl w:val="true"/>
        </w:rPr>
        <w:t xml:space="preserve"> - </w:t>
      </w:r>
      <w:r>
        <w:rPr>
          <w:rtl w:val="true"/>
        </w:rPr>
        <w:t>رزية يوم الخميس</w:t>
      </w:r>
      <w:bookmarkEnd w:id="17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ألّم بالحديث و التاريخ، يعرف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71" w:name="pg16351_181009"/>
    </w:p>
    <w:p>
      <w:pPr>
        <w:pStyle w:val="BookText"/>
        <w:rPr/>
      </w:pPr>
      <w:bookmarkEnd w:id="171"/>
      <w:r>
        <w:rPr>
          <w:rFonts w:ascii="Amiri" w:hAnsi="Amiri" w:eastAsia="Amiri" w:cs="Amiri"/>
          <w:color w:val="111111"/>
          <w:sz w:val="28"/>
          <w:sz w:val="28"/>
          <w:szCs w:val="28"/>
          <w:rtl w:val="true"/>
          <w:lang w:bidi="ar-SA"/>
        </w:rPr>
        <w:t>الذي رواه الشيخان و غيرهما، أخرج البخاري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 آله، و في البيت رجال فيهم عمر بن الخطاب،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أكتب لكم كتاب لا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قد غلب عليه الوجع، و 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كتابا لن تضلّوا بعده، و منهم يقول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أكثروا اللغو و الاختلاف عند النبي،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الرزية كلّ الرزية ما حال بين رسول اللّه و بين أن يكتب لهم ذلك الكتاب من اختلافهم و لغطهم</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6422098_1280447820"/>
      <w:bookmarkStart w:id="173" w:name="_Toc66"/>
      <w:bookmarkEnd w:id="172"/>
      <w:r>
        <w:rPr/>
        <w:t>2</w:t>
      </w:r>
      <w:r>
        <w:rPr>
          <w:rtl w:val="true"/>
        </w:rPr>
        <w:t xml:space="preserve"> - </w:t>
      </w:r>
      <w:r>
        <w:rPr>
          <w:rtl w:val="true"/>
        </w:rPr>
        <w:t>سرية أسامة</w:t>
      </w:r>
      <w:bookmarkEnd w:id="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اهتمّ النبي ببعث سرية أسامة بن زيد اهتماما عظيما، فأمر أصحابه بالتهيؤ لها، و حثّهم عليها، ثم عبّأهم بنفسه الزكية، إرهافا لعزائمهم، و استنهاضا لهممهم، فلم يبق أحدا من وجوه المهاجرين و الأنصار كأبي بكر، و عمر، و أبي عبيدة، و سعد، و أمثالهم، إلاّ و قد عبّأه بالجيش، و كان ذلك لأربع ليال بقين من صفر، سنة إحدى عشرة للهجرة، فلما كان يوم الثامن و العشرين من صفر، بدأ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الموت، فلما أصبح يوم التاسع و العشرين، و وجدهم مثّاقلين، خرج إليهم فحضّهم على السير، و عقد اللواء لأسامة بيده الشريفة، إرهافا لعزيمتهم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اغز باسم اللّه، و في سبيل </w:t>
      </w:r>
      <w:bookmarkStart w:id="174" w:name="pg16351_181010"/>
    </w:p>
    <w:p>
      <w:pPr>
        <w:pStyle w:val="BookText"/>
        <w:rPr/>
      </w:pPr>
      <w:bookmarkEnd w:id="174"/>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بلوائه معقودا، فدفعه إلى بريدة، و عسكر بالجرف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تثاقلوا هناك، فلم يبرحوا، مع ما وعوه و رأوه من النصوص الصريحة في وجوب إسراعهم كقوله 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أغر صباحا على أهل أبنة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أسرع السير لتستبق الأخبار</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أغضب النبيّ تثاقلهم،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أسامة، لعن اللّه من تخلّف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علينا امتثال أمره، و أسامة قد برز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اشتدّ مرض النبي، فلا تسع قلوبنا مفارقته، و الحالة هذه، فنصبر حتى نبصر أي شيء يكون من أمره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من ذكر تخلّف القوم عن أسامة، حاول تعليل تخلّف الصحابة، فقال بأنّ الغرض منه إقامة مراسم الشرع في حال تزلزل القلوب، و تسكين نائرة الفتنة المؤثرة عند تقلّب القلوب</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صحّ هذا العذر، فليصحّ مثله في حديث الغدير، فإنّ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عليهم إمامة علي بن أبي طالب الذي قتل من أبناء القوم و إخوانهم يوم بدر و حنين و غيرهما، ما قتل، فرجّحوا مخالفة الحديث حفظا للوحدة، أو لغير ذلك من هذه المبررات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للاجتهاد تجاه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في نفس القضية، طعنوا في إمارة أسامة، طعنا عظيما، و أقلّ ما قالوه، إنّ النبيّ قد أمر شابا غير مجرّب على شيوخ القوم و أكابرهم</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6422100_1280447820"/>
      <w:bookmarkStart w:id="176" w:name="_Toc67"/>
      <w:bookmarkEnd w:id="175"/>
      <w:r>
        <w:rPr/>
        <w:t>3</w:t>
      </w:r>
      <w:r>
        <w:rPr>
          <w:rtl w:val="true"/>
        </w:rPr>
        <w:t xml:space="preserve"> - </w:t>
      </w:r>
      <w:r>
        <w:rPr>
          <w:rtl w:val="true"/>
        </w:rPr>
        <w:t>صلح الحديبيّة و اعتراض القوم</w:t>
      </w:r>
      <w:bookmarkEnd w:id="17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صالح قريشا في أرض الحديبيّة لمصالح عالية، كشف المستقبل عنها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تمّ كتاب الصلح، اعترض عليه لفيف من الصحابة، حتى تصوّروا أنّه من باب إعطاء الدنيّة في طريق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مسلم في باب صلح الحديبيّة أنّ عمر قال لرسول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لسنا على الحق، و 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لسنا قتلانا في الجنّة و قتلاهم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 نعطي الدّنية في ديننا، و نرجع و لمّا يحكم اللّه بيننا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إنّي رسول اللّه، و لن يضيّعني اللّه أبدا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 عمر، و لم يصبر متغيظا، فأتى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ألسنا على حقّ و هم على 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قتلانا في الجنّة و قتلاهم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 نعطي الدنيّة في ديننا، و نرجع و لمّا يحكم اللّه بيننا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 رسول اللّه، و لن يضيّعه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رسول اللّه من الكتاب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فانحروا، ثم احلقوا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قام منهم رجل حتى قال ذلك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لم يقم منهم أحد، دخل خباءه، ثم خرج، فلم يكلم أحدا منهم بشيء، حتى نحر بدنه بيده، و دعا حالقه، فحلق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أصحابه ذلك قاموا، فنحروا، و جعل بعضهم يحلق بعضا، حتى كاد بعضهم يقتل بعض</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بصدد استقصاء مخالفات القوم لنصوص النبي و تعليماته، فإنّ المخالفة لا تقتصر على ما ذكرنا بل تربوا على نيف و سبعين موردا، استقصاها بعض الأعلام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ذلك، لا يكون ترك العمل بحديث الغدير، من أكثرية الصحابة دليلا على عدم تواتره، أو عدم تمامية دلالته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المشكلة كلّها في هذا الباب، هي التعرّف على حكم الصحابة من حيث </w:t>
      </w:r>
      <w:bookmarkStart w:id="177" w:name="pg16351_181012"/>
    </w:p>
    <w:p>
      <w:pPr>
        <w:pStyle w:val="BookText"/>
        <w:rPr/>
      </w:pPr>
      <w:bookmarkEnd w:id="177"/>
      <w:r>
        <w:rPr>
          <w:rFonts w:ascii="Amiri" w:hAnsi="Amiri" w:eastAsia="Amiri" w:cs="Amiri"/>
          <w:color w:val="111111"/>
          <w:sz w:val="28"/>
          <w:sz w:val="28"/>
          <w:szCs w:val="28"/>
          <w:rtl w:val="true"/>
          <w:lang w:bidi="ar-SA"/>
        </w:rPr>
        <w:t>العدالة، فإنّ القوم ألبسوا مجموع الصحابة لباس العصمة، و حلّوهم أجمعين بحلية التقوى و العفاف، على وجه لا يكادون يخالفون الكتاب و السنّة قيد شعرة، فالصحابة بمجموعهم معصومون لا يخطئون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هذه عقيدته، فيشكل عليه القول بأن القوم خالفوا تنصيص النبي و تنصيبه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لكنها عقيدة تضاد كتاب اللّه و سنته،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درس حياة الصحابة في ضوء الكتاب و السنّة النبوية و التاريخ الصحيح، يقف على أنّ فيهم صالحا و طالحا، كسائر أفراد المجتمعات البشرية، و ليس السلف خيرا من الخلف، بل السلف و الخلف على وتيرة واحدة، فَمِنْهُمْ ظٰالِمٌ لِنَفْسِهِ وَ مِنْهُمْ مُقْتَصِدٌ وَ مِنْهُمْ سٰابِقٌ بِالْخَيْرٰاتِ بِإِذْنِ اَللّٰهِ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 w:name="__RefHeading___Toc6422102_1280447820"/>
      <w:bookmarkStart w:id="179" w:name="_Toc68"/>
      <w:bookmarkEnd w:id="178"/>
      <w:r>
        <w:rPr>
          <w:rtl w:val="true"/>
        </w:rPr>
        <w:t>السؤال الثاني</w:t>
      </w:r>
      <w:r>
        <w:rPr>
          <w:rtl w:val="true"/>
        </w:rPr>
        <w:t xml:space="preserve">: </w:t>
      </w:r>
      <w:r>
        <w:rPr>
          <w:rtl w:val="true"/>
        </w:rPr>
        <w:t>ما فائدة البحث عن إمامة عليّ في هذه الأزمان؟</w:t>
      </w:r>
      <w:bookmarkEnd w:id="179"/>
    </w:p>
    <w:p>
      <w:pPr>
        <w:pStyle w:val="Heading6"/>
        <w:numPr>
          <w:ilvl w:val="5"/>
          <w:numId w:val="1"/>
        </w:numPr>
        <w:rPr/>
      </w:pPr>
      <w:bookmarkStart w:id="180" w:name="__RefHeading___Toc6422104_1280447820"/>
      <w:bookmarkStart w:id="181" w:name="_Toc69"/>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و هاهنا سؤال آخر يطرحه لفيف من دعاة الوحدة، الذين لهم رغبة خاصة بتوحيد صفوف المسلمين و تقريب الخطى بينهم،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عن صيغة الخلافة بعد النبي الأكرم صلى اللّه عليه و آله و سلّم، يرجع لبّه إلى أمر تاريخي قد مضى زمنه و هو أنّ الخليفة بعد النبي هل هو الإمام أمير المؤمنين أو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يفيد المؤمنين البحث حول هذا الأمر الذي لا يرجع إليهم بشيء في حياتهم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الحريّ ترك هذا البحث حفظا للوحدة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422106_1280447820"/>
      <w:bookmarkStart w:id="183" w:name="_Toc70"/>
      <w:bookmarkEnd w:id="182"/>
      <w:r>
        <w:rPr>
          <w:rtl w:val="true"/>
        </w:rPr>
        <w:t>و الجواب</w:t>
      </w:r>
      <w:bookmarkEnd w:id="18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أعظم خلاف وقع بين الأمّة، اختلافهم في الإمامة، و ما سلّ </w:t>
      </w:r>
    </w:p>
    <w:p>
      <w:pPr>
        <w:pStyle w:val="BookText"/>
        <w:rPr/>
      </w:pPr>
      <w:r>
        <w:rPr>
          <w:rFonts w:ascii="Amiri" w:hAnsi="Amiri" w:eastAsia="Amiri" w:cs="Amiri"/>
          <w:color w:val="111111"/>
          <w:sz w:val="28"/>
          <w:sz w:val="28"/>
          <w:szCs w:val="28"/>
          <w:rtl w:val="true"/>
          <w:lang w:bidi="ar-SA"/>
        </w:rPr>
        <w:t>سيف في الإسلام على قاعدة دينية مثل ما سلّ على الإمامة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واجب المسلم الحرّ، الذي لا يتبنّى إلاّ مصلحة المسلمين، السعي وراء الوحدة، و لكن ليس معنى ذلك ترك البحث، و غلق ملف الدراسة، فإنّه إذا كان البحث نزيها موضوعيا يكون مؤثّرا في توحيد الصفوف و تقريب الخطى، إذ عندئذ تتعرف كل طائفة على ما لدى الأخرى، من العقائد و الأصول، و بالتالي تكون الطائفتان متقاربتين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تركنا البحث مخافة الفرقة، فإنّه يثير سوء ظنّ كلّ طائفة بالنسبة إلى الأخرى في مجال العقائد و المعارف، فربما تتصورها طائفة أجنبيا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لمسألة البحث عن صيغة الإمامة بعد النبي بعدين أحدهما بعد تاريخي مضى عصره، و الثاني بعد ديني باق أثره إلى يومنا هذا، و من واجب كلّ مسلم الأخذ به، و هو أنّه إذا صحّ تنصيب عليّ لمقام الولاية و الخلافة، بالمعنى الذي تتبناه الإمامية، يكون الإمام، وراء كونه زعيما في ذلك العصر، مرجعا في رفع المشاكل التي خلفتها رحلة النبي، ممّا قد مرّ عليك، فيجب على المسلمين الرجوع إليه في تفسير القرآن و تبيينه، و في مجال الموضوعات المستجدة التي لم يرد فيها النصّ في الكتاب و السنّة، كما يكون مرجعا في سائر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فالبعد الذي مضى، و لا نعيد البحث فيه، هو كونه زعيما في ذلك العصر، و قد مضى زمنه، و لكن الباقي زعامته الدينية، و قيادته في مجال المعارف و المسائل الشرعية، فهو بعد باق، فيجب على كل المسلمين الرجوع إلى الإمام أخذا بهذه الأبعاد، لحديث الغدير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البحث متلخصا في البعد السياسي حتى نشطب عليه بدعوى أنّه مضى ما مضى، بل له كما عرفت مجال و مجالات باقية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وصل البحث إلى هنا، يجب علينا التركيز على مسألة أخرى و هي أنّ النبي الأكرم، لم يزل يهيب في الجاهلين، و يصرخ في الغافلين، داعيا إلى التمسّك بالكتاب و العترة معا، و هذا تصريح بأنّ لقيادة العترة الطاهرة وراء </w:t>
      </w:r>
      <w:bookmarkStart w:id="184" w:name="pg16351_181014"/>
    </w:p>
    <w:p>
      <w:pPr>
        <w:pStyle w:val="BookText"/>
        <w:rPr/>
      </w:pPr>
      <w:bookmarkEnd w:id="184"/>
      <w:r>
        <w:rPr>
          <w:rFonts w:ascii="Amiri" w:hAnsi="Amiri" w:eastAsia="Amiri" w:cs="Amiri"/>
          <w:color w:val="111111"/>
          <w:sz w:val="28"/>
          <w:sz w:val="28"/>
          <w:szCs w:val="28"/>
          <w:rtl w:val="true"/>
          <w:lang w:bidi="ar-SA"/>
        </w:rPr>
        <w:t>الزعامة السياسية المحددة بوقت خاص، و زمن حياتهم، بعدا خالدا إلى يوم القيامة، و هو لزوم الانكباب عليهم فيما يطرأ علينا من الحوادث و الوقائع الدينية، و كل ما يمت إلى الدين بصلة، و نتطلب الجواب و الاهتداء منهم، و لأجل ذلك يجب علينا التعرّف على هذا القسم من الأحاديث الذي يركز على الجهات المعنوية أزيد من التركيز على الجهات السياسية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422108_1280447820"/>
      <w:bookmarkStart w:id="186" w:name="_Toc71"/>
      <w:bookmarkEnd w:id="185"/>
      <w:r>
        <w:rPr/>
        <w:t>1</w:t>
      </w:r>
      <w:r>
        <w:rPr>
          <w:rtl w:val="true"/>
        </w:rPr>
        <w:t xml:space="preserve"> - </w:t>
      </w:r>
      <w:r>
        <w:rPr>
          <w:rtl w:val="true"/>
        </w:rPr>
        <w:t>حديث الثّقلين</w:t>
      </w:r>
      <w:bookmarkEnd w:id="186"/>
    </w:p>
    <w:p>
      <w:pPr>
        <w:pStyle w:val="Heading6"/>
        <w:numPr>
          <w:ilvl w:val="5"/>
          <w:numId w:val="1"/>
        </w:numPr>
        <w:rPr/>
      </w:pPr>
      <w:bookmarkStart w:id="187" w:name="__RefHeading___Toc6422110_1280447820"/>
      <w:bookmarkStart w:id="188" w:name="_Toc72"/>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روى أصحاب الصحاح و المسانيد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تركت فيكم ما إن أخذتم به لن تضلّوا، 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تمسّكتم به لن تضلّوا، 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النصوص المتقاربة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صدع بها في غير موقف، تارة بعد انصرافه من الطائف، و أخرى يوم عرفة في حجة الوداع، و ثالثة يوم غدير خمّ، و رابعة على منبره في المدينة، و أخرى في حجرته المباركة في مرضه و الحجرة غاصّة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 في صحّة الحديث إلاّ الجاهل به أو المعاند، فقد روي بطرق كثيرة عن نيف و عشرين صحابيا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الإمعان في الحديث يعرب عن عصمة العترة الطاهرة، حيث قورنت </w:t>
      </w:r>
      <w:bookmarkStart w:id="189" w:name="pg16351_181015"/>
    </w:p>
    <w:p>
      <w:pPr>
        <w:pStyle w:val="BookText"/>
        <w:rPr/>
      </w:pPr>
      <w:bookmarkEnd w:id="189"/>
      <w:r>
        <w:rPr>
          <w:rFonts w:ascii="Amiri" w:hAnsi="Amiri" w:eastAsia="Amiri" w:cs="Amiri"/>
          <w:color w:val="111111"/>
          <w:sz w:val="28"/>
          <w:sz w:val="28"/>
          <w:szCs w:val="28"/>
          <w:rtl w:val="true"/>
          <w:lang w:bidi="ar-SA"/>
        </w:rPr>
        <w:t>بالقرآن الكريم، و أنّهما لا يفترقان، و من المعلوم أنّ القرآن العظيم، كتاب لا يأتيه الباطل من بين يديه و لا من خلفه، فكيف يمكن أن يكون قرناء القرآن و أعداؤه، خاطئين فيما يحكمون و يبرمون، أو يقولون و يحدّثون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الافتراق إلى يوم القيامة، آية كونهم معصومين فيما يقولون و يروون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الحديث، يعدّ المتمسّك بالعترة غير ضالّ،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غير معصومين من الخلاف و الخطأ، فكيف لا يضلّ المتمسك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النصوص مكان كتاب اللّه و عترتي، كتاب اللّه و سنّتي</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فرض صحته، حديث آخر لا يزاحمه، على أنّه حديث واحد، و هذا الحديث متواتر نقله أعلام الأئمة، و أساتذة الحديث و التاريخ و السيرة، و لا يعلم حقيقة ذلك إلاّ من راجع مصادر الحديث</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عليه في كل حال</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6422112_1280447820"/>
      <w:bookmarkStart w:id="191" w:name="_Toc73"/>
      <w:bookmarkEnd w:id="190"/>
      <w:r>
        <w:rPr>
          <w:rtl w:val="true"/>
        </w:rPr>
        <w:t>من هم العترة و أهل البيت؟</w:t>
      </w:r>
      <w:bookmarkEnd w:id="191"/>
    </w:p>
    <w:p>
      <w:pPr>
        <w:pStyle w:val="BookText"/>
        <w:rPr/>
      </w:pPr>
      <w:r>
        <w:rPr>
          <w:rFonts w:ascii="Amiri" w:hAnsi="Amiri" w:eastAsia="Amiri" w:cs="Amiri"/>
          <w:color w:val="111111"/>
          <w:sz w:val="28"/>
          <w:sz w:val="28"/>
          <w:szCs w:val="28"/>
          <w:rtl w:val="true"/>
          <w:lang w:bidi="ar-SA"/>
        </w:rPr>
        <w:t>لا أظن أنّ أحدا، قرأ الحديث و التاريخ، يشكّ في أنّ المراد من العترة و أهل البيت لفيف خاص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مراجعة الأحاديث التي جمعها ابن الأثير في جامعه عن الصحاح، و نكتفي بالقليل من الكثير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تَعٰالَوْا نَدْعُ أَبْنٰاءَنٰا وَ أَبْنٰاءَكُمْ وَ نِسٰاءَنٰا وَ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دعا رسول اللّه صلى اللّه عليه و آله عليّا، و فاطمة، و حسنا، و حسينا، فقال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أنت من أزواج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رسول اللّه، و عليّ، و فاطمة، و حسن، و حسين، فجلّلهم بكسائه،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أنس بن مالك أنّ رسول اللّه صلى اللّه عليه و آله 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مسلم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حصين بن سبرة، و 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 آله، و سمعت حديثه، و غزوت معه، و صلّيت خلفه، لقد لقيت يا زيد خيرا كثيرا، حدثنا يا زيد ما سمعت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 اللّه، لقد كبرت سني، و قدم عهدي، فما حدّثتكم فاقبلوا، و 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 فحمد اللّه و أثنى عليه،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إنّما أنا بشر، يوشك أن يأتيني رسول ربّي فأجيب، و أنا تارك فيكم ثقلين، أوّلهما كتاب اللّه فيه الهدى و النور، فخذوا بكتاب اللّه، و 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أيم اللّه، إنّ المرأة تكون مع الرجل العصر من الدّهر، ثم يطلّقها، فترجع إلى أبيها و قومها، أهل بيته، </w:t>
      </w:r>
      <w:bookmarkStart w:id="192" w:name="pg16351_181017"/>
    </w:p>
    <w:p>
      <w:pPr>
        <w:pStyle w:val="BookText"/>
        <w:rPr/>
      </w:pPr>
      <w:bookmarkEnd w:id="192"/>
      <w:r>
        <w:rPr>
          <w:rFonts w:ascii="Amiri" w:hAnsi="Amiri" w:eastAsia="Amiri" w:cs="Amiri"/>
          <w:color w:val="111111"/>
          <w:sz w:val="28"/>
          <w:sz w:val="28"/>
          <w:szCs w:val="28"/>
          <w:rtl w:val="true"/>
          <w:lang w:bidi="ar-SA"/>
        </w:rPr>
        <w:t>أصله و عصبته الذين حرموا الصّدقة بعده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6422114_1280447820"/>
      <w:bookmarkStart w:id="194" w:name="_Toc74"/>
      <w:bookmarkEnd w:id="193"/>
      <w:r>
        <w:rPr/>
        <w:t>2</w:t>
      </w:r>
      <w:r>
        <w:rPr>
          <w:rtl w:val="true"/>
        </w:rPr>
        <w:t xml:space="preserve"> - </w:t>
      </w:r>
      <w:r>
        <w:rPr>
          <w:rtl w:val="true"/>
        </w:rPr>
        <w:t>حديث السفينة</w:t>
      </w:r>
      <w:bookmarkEnd w:id="194"/>
    </w:p>
    <w:p>
      <w:pPr>
        <w:pStyle w:val="BookText"/>
        <w:rPr/>
      </w:pPr>
      <w:r>
        <w:rPr>
          <w:rFonts w:ascii="Amiri" w:hAnsi="Amiri" w:eastAsia="Amiri" w:cs="Amiri"/>
          <w:color w:val="111111"/>
          <w:sz w:val="28"/>
          <w:sz w:val="28"/>
          <w:szCs w:val="28"/>
          <w:rtl w:val="true"/>
          <w:lang w:bidi="ar-SA"/>
        </w:rPr>
        <w:t>روى المحدّثون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 أمّتي،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فشبّه صلوات اللّه عليه و آله، أهل بيته بسفينة نوح في أنّ من لجأ إليهم في الدين فأخذ أصوله و فروعه عنهم نجا من عذاب النّار، و من تخلّف عنهم كان كمن آوى يوم الطّوفان إلى جبل ليعصمه من أمر اللّه، غير أنّ ذاك غرق في الماء و هذا في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منزلة علماء أهل البيت، فَأَنّٰى تُصْرَفُونَ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 في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تشبيههم بالسفينة أنّ من أحبّهم و عظّمهم، شكرا لنعمة مشرّفهم، و أخذ بهدي علمائهم، نجى من ظلمة المخالفات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تخلّف عن ذلك، غرق في بحر كفر النّعم، و هلك في مفاوز الطغيان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95" w:name="pg16351_181018"/>
    </w:p>
    <w:p>
      <w:pPr>
        <w:pStyle w:val="Heading4"/>
        <w:numPr>
          <w:ilvl w:val="3"/>
          <w:numId w:val="1"/>
        </w:numPr>
        <w:rPr/>
      </w:pPr>
      <w:bookmarkStart w:id="196" w:name="__RefHeading___Toc6422116_1280447820"/>
      <w:bookmarkStart w:id="197" w:name="_Toc75"/>
      <w:bookmarkEnd w:id="195"/>
      <w:bookmarkEnd w:id="196"/>
      <w:r>
        <w:rPr>
          <w:rtl w:val="true"/>
        </w:rPr>
        <w:t>البحث الثاني السنّة النبوية و الأئمة الاثنا عشر</w:t>
      </w:r>
      <w:bookmarkEnd w:id="197"/>
    </w:p>
    <w:p>
      <w:pPr>
        <w:pStyle w:val="Heading5"/>
        <w:numPr>
          <w:ilvl w:val="4"/>
          <w:numId w:val="1"/>
        </w:numPr>
        <w:rPr/>
      </w:pPr>
      <w:bookmarkStart w:id="198" w:name="__RefHeading___Toc6422118_1280447820"/>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إنّ النبي الأكرم لم يكتف بتنصيب عليّ منصب الإمامة و الخلافة، كما لم يكتف بإرجاع الأمّة الإسلامية إلى أهل بيته و عترته الطاهرة، و لم يقتصر على تشبيههم بسفينة نوح، بل قام ببيان عدد الأئمة الذين يتولون الخلافة بعده، واحدا بعد واحد، حتى لا يبقى لمرتاب ريب، و لا لشاكّ شك، و قد جاء ذلك في الصحاح و المسانيد بصور مختلفة نشير إليها</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6422120_1280447820"/>
      <w:bookmarkStart w:id="201" w:name="_Toc77"/>
      <w:bookmarkEnd w:id="200"/>
      <w:r>
        <w:rPr/>
        <w:t>1</w:t>
      </w:r>
      <w:r>
        <w:rPr>
          <w:rtl w:val="true"/>
        </w:rPr>
        <w:t xml:space="preserve"> - </w:t>
      </w:r>
      <w:r>
        <w:rPr>
          <w:rtl w:val="true"/>
        </w:rPr>
        <w:t>كلهم من قريش</w:t>
      </w:r>
      <w:bookmarkEnd w:id="201"/>
    </w:p>
    <w:p>
      <w:pPr>
        <w:pStyle w:val="BookText"/>
        <w:rPr/>
      </w:pPr>
      <w:r>
        <w:rPr>
          <w:rFonts w:ascii="Amiri" w:hAnsi="Amiri" w:eastAsia="Amiri" w:cs="Amiri"/>
          <w:color w:val="111111"/>
          <w:sz w:val="28"/>
          <w:sz w:val="28"/>
          <w:szCs w:val="28"/>
          <w:rtl w:val="true"/>
          <w:lang w:bidi="ar-SA"/>
        </w:rPr>
        <w:t>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6422122_1280447820"/>
      <w:bookmarkStart w:id="203" w:name="_Toc78"/>
      <w:bookmarkEnd w:id="202"/>
      <w:r>
        <w:rPr/>
        <w:t>2</w:t>
      </w:r>
      <w:r>
        <w:rPr>
          <w:rtl w:val="true"/>
        </w:rPr>
        <w:t xml:space="preserve"> - </w:t>
      </w:r>
      <w:r>
        <w:rPr>
          <w:rtl w:val="true"/>
        </w:rPr>
        <w:t>لا يزال الإسلام عزيزا</w:t>
      </w:r>
      <w:bookmarkEnd w:id="2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bookmarkStart w:id="204" w:name="pg16351_18101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6422124_1280447820"/>
      <w:bookmarkStart w:id="206" w:name="_Toc79"/>
      <w:bookmarkEnd w:id="205"/>
      <w:r>
        <w:rPr/>
        <w:t>3</w:t>
      </w:r>
      <w:r>
        <w:rPr>
          <w:rtl w:val="true"/>
        </w:rPr>
        <w:t xml:space="preserve"> - </w:t>
      </w:r>
      <w:r>
        <w:rPr>
          <w:rtl w:val="true"/>
        </w:rPr>
        <w:t>لا يزال الدين عزيزا منيعا</w:t>
      </w:r>
      <w:bookmarkEnd w:id="206"/>
    </w:p>
    <w:p>
      <w:pPr>
        <w:pStyle w:val="BookText"/>
        <w:rPr/>
      </w:pPr>
      <w:r>
        <w:rPr>
          <w:rFonts w:ascii="Amiri" w:hAnsi="Amiri" w:eastAsia="Amiri" w:cs="Amiri"/>
          <w:color w:val="111111"/>
          <w:sz w:val="28"/>
          <w:sz w:val="28"/>
          <w:szCs w:val="28"/>
          <w:rtl w:val="true"/>
          <w:lang w:bidi="ar-SA"/>
        </w:rPr>
        <w:t>و روى أيضا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رسول اللّه و معي أبي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الدين عزيزا منيعا إلى اثني عشر خليفة،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6422126_1280447820"/>
      <w:bookmarkStart w:id="208" w:name="_Toc80"/>
      <w:bookmarkEnd w:id="207"/>
      <w:r>
        <w:rPr/>
        <w:t>4</w:t>
      </w:r>
      <w:r>
        <w:rPr>
          <w:rtl w:val="true"/>
        </w:rPr>
        <w:t xml:space="preserve"> - </w:t>
      </w:r>
      <w:r>
        <w:rPr>
          <w:rtl w:val="true"/>
        </w:rPr>
        <w:t>لا يزال الدين قائما</w:t>
      </w:r>
      <w:bookmarkEnd w:id="208"/>
    </w:p>
    <w:p>
      <w:pPr>
        <w:pStyle w:val="BookText"/>
        <w:rPr/>
      </w:pPr>
      <w:r>
        <w:rPr>
          <w:rFonts w:ascii="Amiri" w:hAnsi="Amiri" w:eastAsia="Amiri" w:cs="Amiri"/>
          <w:color w:val="111111"/>
          <w:sz w:val="28"/>
          <w:sz w:val="28"/>
          <w:szCs w:val="28"/>
          <w:rtl w:val="true"/>
          <w:lang w:bidi="ar-SA"/>
        </w:rPr>
        <w:t>و روى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6422128_1280447820"/>
      <w:bookmarkStart w:id="210" w:name="_Toc81"/>
      <w:bookmarkEnd w:id="209"/>
      <w:r>
        <w:rPr/>
        <w:t>5</w:t>
      </w:r>
      <w:r>
        <w:rPr>
          <w:rtl w:val="true"/>
        </w:rPr>
        <w:t xml:space="preserve"> - </w:t>
      </w:r>
      <w:r>
        <w:rPr>
          <w:rtl w:val="true"/>
        </w:rPr>
        <w:t>لا يزال الدين ظاهرا</w:t>
      </w:r>
      <w:bookmarkEnd w:id="2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في مسنده، عن جابر قال سمعت رسول اللّه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لن يزال ظاهرا على من ناواه، لا يضرّه مخالف و لا مفارق حتى يمضي من أمّتي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211" w:name="pg16351_181020"/>
    </w:p>
    <w:p>
      <w:pPr>
        <w:pStyle w:val="BookText"/>
        <w:rPr/>
      </w:pPr>
      <w:bookmarkEnd w:id="211"/>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6422130_1280447820"/>
      <w:bookmarkStart w:id="213" w:name="_Toc82"/>
      <w:bookmarkEnd w:id="212"/>
      <w:r>
        <w:rPr/>
        <w:t>6</w:t>
      </w:r>
      <w:r>
        <w:rPr>
          <w:rtl w:val="true"/>
        </w:rPr>
        <w:t xml:space="preserve"> - </w:t>
      </w:r>
      <w:r>
        <w:rPr>
          <w:rtl w:val="true"/>
        </w:rPr>
        <w:t>لا يزال هذا الأمر صالحا</w:t>
      </w:r>
      <w:bookmarkEnd w:id="213"/>
    </w:p>
    <w:p>
      <w:pPr>
        <w:pStyle w:val="BookText"/>
        <w:rPr/>
      </w:pPr>
      <w:r>
        <w:rPr>
          <w:rFonts w:ascii="Amiri" w:hAnsi="Amiri" w:eastAsia="Amiri" w:cs="Amiri"/>
          <w:color w:val="111111"/>
          <w:sz w:val="28"/>
          <w:sz w:val="28"/>
          <w:szCs w:val="28"/>
          <w:rtl w:val="true"/>
          <w:lang w:bidi="ar-SA"/>
        </w:rPr>
        <w:t>روى أحمد في مسنده عن جابر عن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أنا و أبي إلى النبي،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صالحا، حتى يكون اثنا عشر أميرا، ثم قال كلمة لم أفهمها، فقلت لأبي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6422132_1280447820"/>
      <w:bookmarkStart w:id="215" w:name="_Toc83"/>
      <w:bookmarkEnd w:id="214"/>
      <w:r>
        <w:rPr/>
        <w:t>7</w:t>
      </w:r>
      <w:r>
        <w:rPr>
          <w:rtl w:val="true"/>
        </w:rPr>
        <w:t xml:space="preserve"> - </w:t>
      </w:r>
      <w:r>
        <w:rPr>
          <w:rtl w:val="true"/>
        </w:rPr>
        <w:t>لا يزال الناس بخير</w:t>
      </w:r>
      <w:bookmarkEnd w:id="215"/>
    </w:p>
    <w:p>
      <w:pPr>
        <w:pStyle w:val="BookText"/>
        <w:rPr/>
      </w:pPr>
      <w:r>
        <w:rPr>
          <w:rFonts w:ascii="Amiri" w:hAnsi="Amiri" w:eastAsia="Amiri" w:cs="Amiri"/>
          <w:color w:val="111111"/>
          <w:sz w:val="28"/>
          <w:sz w:val="28"/>
          <w:szCs w:val="28"/>
          <w:rtl w:val="true"/>
          <w:lang w:bidi="ar-SA"/>
        </w:rPr>
        <w:t>و روى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الناس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أبو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اثني عشر خليفة، ثم قال كلمة خفيّة، فقلت لأبي،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فهلمّ الآن إلى البحث عن هؤلاء الخلفاء الاثني عشر، حتى نعرف من هم و قد وقفت على أنّ الرسول الأكرم قد عرفهم بالخصوصيات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عزيزا منيعا إلى اثني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قائما حتى تقوم الساعة، أو يكون عليكم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الدين ظاهرا على من ناواه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يمضي من أمتي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هذا الأمر صالحا حتى يكون اثنا عشر أميرا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الناس بخير إلى اثني عشر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اختلفت كلمة شراح الحديث في تعيين هؤلاء الأئمة، و لا تجد بينها كلمة تشفي العليل، و تروي الغليل، إلاّ ما نقله القندوزي عن بعض المحققين،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الدالّة على كون الخلفاء بعده اثني عشر، قد اشتهرت من طرق كثيرة، فبشرح الزمان، و تعريف الكون و المكان، علم أنّ مراد رسول اللّه من حديثه هذا، الأئمة الاثنا عشر من أهل بيته و عترته، إذ لا يمكن أن يحمل هذا الحديث على الخلفاء بعده من أصحابه، لقلّتهم عن اثني عشر، و لا يمكن أن يحمل على الملوك الأمويين لزيادتهم على الاثني عشر، و لظلمهم الفاحش إلاّ عمر بن عبد العزيز، و لكونه غير بني هاشم، لأنّ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بني هاشم، في رواية عبد الملك عن جابر، و إخفاء صوته في هذا القول يرجّح هذه الرواية، لأنّهم لا يحسّنون خلافة بني هاشم، و لا يمكن أن يحمل على الملوك العباسيين لزيادتهم على العدد المذكور، و لقلّة رعايتهم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 و حديث الكساء، فلا بدّ من أن يحمل على الأئمة الاثني عشر من أهل بيته و عترته، لأنّهم كانوا أعلم أهل زمانهم، و أجلّهم، و أورعهم، و أتقاهم، و أعلاهم نسبا، و أفضلهم حسبا، و أكرمهم عند اللّه، و كانت علومهم عن آبائهم متصلة بجدّهم صلى اللّه عليه و آله، و بالوراثة اللّدنيّة، كذا عرّفهم أهل العلم و التحقيق، و أهل الكشف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المعنى، أي أنّ مراد النبي الأئمة الاثني عشر من أهل بيته، و يشهد عليه و يرجّحه حديث الثقلين و الأحاديث المتكثرة المذكورة في هذا الكتاب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الأمّة، في رواية جابر بن سمرة، فمراده أنّ الأمّة تجتمع على الإقرار بإمامة كلّهم وقت ظهور قائمهم المهدي</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بعض المتعصبين حمله على خلفاء بني أميّة من بعد الصحابة،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الحديث واردا على المدح، بل على استقامة السلطنة، و هم يزيد بن معاوية، و ابنه معاوية، و لا يدخل عبد اللّه بن الزبير لأنّه من الصحابة، و لا مروان بن الحكم لكونه بويع بعد ابن الزبير، فكان غاصبا، ثم عبد الملك، ثم الوليد، إلى مروان بن محمد</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لعمري رمي للقول على عواهنه، فمن أين علم أنّه إشارة إلى إمارة غير الصحابة، مع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فائدة هذا الإخبار و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الرسول الأكرم أناط عزة الإسلام، و منعته، و قوام الدين و صلاح الأمّة، بخلافة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في خلافتهم هذه الآثار، أو الذي كان هو ما يضادّها؟ فكيف يمكن حمل هذه البشائر التي صدرت على سبيل المدح، على مثل يزيد بن معاوية قاتل الإمام الطاهر، و الفاسق المعلن بالمنكرات و الكفر، و المتمثل بأشعار ابن الزّبعرى المعروفة</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موبقات هذا الرجل من استباحة دم الصحابة، و التابعين ثلاثة أيام</w:t>
      </w:r>
      <w:r>
        <w:rPr>
          <w:rStyle w:val="FootnoteAnchor"/>
          <w:rtl w:val="true"/>
        </w:rPr>
        <w:footnoteReference w:id="210"/>
      </w:r>
      <w:r>
        <w:rPr>
          <w:rFonts w:ascii="Amiri" w:hAnsi="Amiri" w:eastAsia="Amiri" w:cs="Amiri"/>
          <w:color w:val="111111"/>
          <w:sz w:val="28"/>
          <w:sz w:val="28"/>
          <w:szCs w:val="28"/>
          <w:rtl w:val="true"/>
          <w:lang w:bidi="ar-SA"/>
        </w:rPr>
        <w:t>، و غير ذلك، ممّا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يعدّ وليد بن يزيد بن عبد الملك من خلفاء رسول اللّه الذين يعتزّ بهم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الوليد المصحف ذات يوم و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Style w:val="FootnoteAnchor"/>
          <w:rtl w:val="true"/>
        </w:rPr>
        <w:footnoteReference w:id="211"/>
      </w:r>
      <w:r>
        <w:rPr>
          <w:rFonts w:ascii="Amiri" w:hAnsi="Amiri" w:eastAsia="Amiri" w:cs="Amiri"/>
          <w:color w:val="111111"/>
          <w:sz w:val="28"/>
          <w:sz w:val="28"/>
          <w:szCs w:val="28"/>
          <w:rtl w:val="true"/>
          <w:lang w:bidi="ar-SA"/>
        </w:rPr>
        <w:t>، فدعا بالمصحف، فنصبه غرضا للنشاب، و أقبل يرميه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يا ربّ مزّقني الوليد </w:t>
      </w:r>
    </w:p>
    <w:p>
      <w:pPr>
        <w:pStyle w:val="BookText"/>
        <w:rPr/>
      </w:pPr>
      <w:r>
        <w:rPr>
          <w:rFonts w:ascii="Amiri" w:hAnsi="Amiri" w:eastAsia="Amiri" w:cs="Amiri"/>
          <w:color w:val="111111"/>
          <w:sz w:val="28"/>
          <w:sz w:val="28"/>
          <w:szCs w:val="28"/>
          <w:rtl w:val="true"/>
          <w:lang w:bidi="ar-SA"/>
        </w:rPr>
        <w:t>و ذكر محمد بن يزيد المبرّد النحوي أنّ الوليد ألحد في شعر له ذكر فيه النبي صلى اللّه عليه و آله، و أنّ الوحي لم يأته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أخزاه اللّه من ذلك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 لا كتاب</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للّه يمنعني شرابي</w:t>
      </w:r>
    </w:p>
    <w:p>
      <w:pPr>
        <w:pStyle w:val="BookText"/>
        <w:rPr/>
      </w:pPr>
      <w:r>
        <w:rPr>
          <w:rFonts w:ascii="Amiri" w:hAnsi="Amiri" w:eastAsia="Amiri" w:cs="Amiri"/>
          <w:color w:val="111111"/>
          <w:sz w:val="28"/>
          <w:sz w:val="28"/>
          <w:szCs w:val="28"/>
          <w:rtl w:val="true"/>
          <w:lang w:bidi="ar-SA"/>
        </w:rPr>
        <w:t>فلم يمهل بعد قوله هذا إلاّ أياما حتى قتل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الإنسان الحرّ الفارغ عن كل رأي مسبق، لو أمعن النظر في هذه الأحاديث و أمعن في تاريخ الأئمة الاثني عشر من ولد الرسول، يقف على أنّ هذه الأحاديث لا تروم غيرهم، فإنّ بعضها يدلّ على أنّ الإسلام لا ينقرض و لا ينقضي حتى يمضي في المسلمين اثنا عشر خليفة، كلّهم من قريش، و بعضها يدلّ على أنّ عزّة الإسلام إنّما تكون إلى اثني عشر خليفة، و بعضها يدلّ على أنّ الدين قائم إلى قيام الساعة، و إلى ظهور اثني عشر خليفة، و غير ذلك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الخصوصيات لا توجد في الأمّة الإسلامية إلاّ في الأئمة الاثني عشر المعروفين عند الفريقين، خصوصا ما يدلّ على أن وجود الأئمة مستمر إلى آخر الدهر، و من المعلوم أنّ آخر الأئمة هو المهدي المنتظر، الذي يعدّ ظهوره من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أضفنا إلى هذا، الروايات الكثيرة الواردة في الأئمة الاثني عشر، يقطع الإنسان بأنّه ليس المراد إلاّ هؤلاء الذين اعترف بفضلهم، و ورعهم، و تقاهم، و علمهم، و وعيهم، و حلمهم، و صبرهم، و درايتهم، و كفايتهم، الداني و القاصي، و الصديق و العدو، ألا و 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فالحسن بن علي، فالحسين بن علي، فعلي بن الحسين، فمحمد بن علي، فجعفر بن محمد، فموسى بن جعفر، فعلي بن موسى، فمحمد بن علي، فعلي بن محمد، فالحسن بن علي، فمحمد بن الحسن </w:t>
      </w:r>
    </w:p>
    <w:p>
      <w:pPr>
        <w:pStyle w:val="BookText"/>
        <w:rPr/>
      </w:pPr>
      <w:r>
        <w:rPr>
          <w:rFonts w:ascii="Amiri" w:hAnsi="Amiri" w:eastAsia="Amiri" w:cs="Amiri"/>
          <w:color w:val="111111"/>
          <w:sz w:val="28"/>
          <w:sz w:val="28"/>
          <w:szCs w:val="28"/>
          <w:rtl w:val="true"/>
          <w:lang w:bidi="ar-SA"/>
        </w:rPr>
        <w:t>العسكري، المهدي المنتظر الذي يملأ اللّه به الأرض قسطا و عدلا بعد ما ملئت ظلما و جورا</w:t>
      </w:r>
      <w:r>
        <w:rPr>
          <w:rStyle w:val="FootnoteAnchor"/>
          <w:rtl w:val="true"/>
        </w:rPr>
        <w:footnoteReference w:id="213"/>
      </w:r>
      <w:r>
        <w:rPr>
          <w:rFonts w:ascii="Amiri" w:hAnsi="Amiri" w:eastAsia="Amiri" w:cs="Amiri"/>
          <w:color w:val="111111"/>
          <w:sz w:val="28"/>
          <w:sz w:val="28"/>
          <w:szCs w:val="28"/>
          <w:rtl w:val="true"/>
          <w:lang w:bidi="ar-SA"/>
        </w:rPr>
        <w:t>، صلوات اللّه و تحياته و سلامه عليهم أجمعين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تضافرت النصوص في تنصيص الإمام السابق على الإمام اللاحق، فمن أراد الوقوف على هذه النصوص، فعليه الرجوع إلى الكتب المعدّة لإمامة الأئمة الاثني عشر</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216" w:name="pg16351_181025"/>
    </w:p>
    <w:p>
      <w:pPr>
        <w:pStyle w:val="Heading4"/>
        <w:numPr>
          <w:ilvl w:val="3"/>
          <w:numId w:val="1"/>
        </w:numPr>
        <w:rPr/>
      </w:pPr>
      <w:bookmarkStart w:id="217" w:name="__RefHeading___Toc6422134_1280447820"/>
      <w:bookmarkStart w:id="218" w:name="_Toc84"/>
      <w:bookmarkEnd w:id="216"/>
      <w:bookmarkEnd w:id="217"/>
      <w:r>
        <w:rPr>
          <w:rtl w:val="true"/>
        </w:rPr>
        <w:t>البحث الثالث عصمة الإمام في القرآن</w:t>
      </w:r>
      <w:bookmarkEnd w:id="218"/>
    </w:p>
    <w:p>
      <w:pPr>
        <w:pStyle w:val="Heading5"/>
        <w:numPr>
          <w:ilvl w:val="4"/>
          <w:numId w:val="1"/>
        </w:numPr>
        <w:rPr/>
      </w:pPr>
      <w:bookmarkStart w:id="219" w:name="__RefHeading___Toc6422136_1280447820"/>
      <w:bookmarkStart w:id="220" w:name="_Toc85"/>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قد عرفت في البحث عن شروط الإمامة، اختلاف أهل السنّة في عددها، و علمت المتّفق عليه، و المختلف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اتّفقوا وراء ذلك على أنّ العصمة ليست من الشرائط، أخذا بمبادئهم حيث إنّ الخلفاء بعد رسول اللّه صلى اللّه عليه و آله، لم يكونوا بمعصومين قطعا، بل إنّ بعضهم لم يكن مجتهدا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الإمامية، فقد اتّفقت على هذا الشرط من بين الشروط، و استدلّوا عليه بأدلّة، نكتفي ببعضها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6422138_1280447820"/>
      <w:bookmarkStart w:id="222" w:name="_Toc86"/>
      <w:bookmarkEnd w:id="221"/>
      <w:r>
        <w:rPr/>
        <w:t>1</w:t>
      </w:r>
      <w:r>
        <w:rPr>
          <w:rtl w:val="true"/>
        </w:rPr>
        <w:t xml:space="preserve"> - </w:t>
      </w:r>
      <w:r>
        <w:rPr>
          <w:rtl w:val="true"/>
        </w:rPr>
        <w:t>الإمامة استمرار لوظائف الرسالة</w:t>
      </w:r>
      <w:bookmarkEnd w:id="2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حقيقة الإمامة الذي تتبناه الشيعة الإمامية، هي القيام بوظائف الرسول بعد رحلته، و قد تعرفت على وظائفه الرسالية و الفراغات الحاصلة بموته و التحاقه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سدّ هذه الفراغات لا يتحقق إلاّ بأن يكون الإمام متمتعا بما يتمتع به النبي الأكرم من الكفاءات و المؤهلات، فيكون عارفا بالكتاب و السنّة على وفق الواقع، و عالما بحكم الموضوعات المستجدة عرفانا واقعيا، و ذابّا عن الدين شبهات المشككين، و من المعلوم أنّ هذه الوظيفة تستدعي كون الإمام مصونا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أنّ النبيّ يجب أن يكون مصونا في مقام إبلاغ </w:t>
      </w:r>
      <w:bookmarkStart w:id="223" w:name="pg16351_181026"/>
    </w:p>
    <w:p>
      <w:pPr>
        <w:pStyle w:val="BookText"/>
        <w:rPr/>
      </w:pPr>
      <w:bookmarkEnd w:id="223"/>
      <w:r>
        <w:rPr>
          <w:rFonts w:ascii="Amiri" w:hAnsi="Amiri" w:eastAsia="Amiri" w:cs="Amiri"/>
          <w:color w:val="111111"/>
          <w:sz w:val="28"/>
          <w:sz w:val="28"/>
          <w:szCs w:val="28"/>
          <w:rtl w:val="true"/>
          <w:lang w:bidi="ar-SA"/>
        </w:rPr>
        <w:t>الرسالة، قائم في المقام بنفسه، فإنّ الإمام يقوم بنفس تلك الوظيفة، و إن لم يكن رسولا و لا طرفا للوحي، و لكنه يكون عيبة لعلمه، و حاملا لشرعه و أحكامه، فإذا لم نجوّز الخطأ على النبي في مقام الإبلاغ، فليكن الأمر كذلك في مقام القيام بتلك الوظيفة بلا منصب الرسالة و النبوة</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6422140_1280447820"/>
      <w:bookmarkStart w:id="225" w:name="_Toc87"/>
      <w:bookmarkEnd w:id="224"/>
      <w:r>
        <w:rPr/>
        <w:t>2</w:t>
      </w:r>
      <w:r>
        <w:rPr>
          <w:rtl w:val="true"/>
        </w:rPr>
        <w:t xml:space="preserve"> - </w:t>
      </w:r>
      <w:r>
        <w:rPr>
          <w:rtl w:val="true"/>
        </w:rPr>
        <w:t>آية ابتلاء إبراهيم</w:t>
      </w:r>
      <w:bookmarkEnd w:id="225"/>
    </w:p>
    <w:p>
      <w:pPr>
        <w:pStyle w:val="Heading6"/>
        <w:numPr>
          <w:ilvl w:val="5"/>
          <w:numId w:val="1"/>
        </w:numPr>
        <w:rPr/>
      </w:pPr>
      <w:bookmarkStart w:id="226" w:name="__RefHeading___Toc6422142_1280447820"/>
      <w:bookmarkStart w:id="227" w:name="_Toc88"/>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تفسير الآية كما هو حقّها يتوقف على البحث عن النقاط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الهدف من الابتلاء؟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من الإتمام؟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الإمامة عهدا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إفاضة الكلام في هذه الموضوعات، يحوجنا إلى تأليف رسالة مفردة فنكتفي بالتركيز على اثنين من هذه الموضوعات</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الإمامة التي أنعم اللّه سبحانه بها على نبيّه الخليل؟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الظالمين؟</w:t>
      </w:r>
      <w:r>
        <w:rPr>
          <w:rFonts w:eastAsia="Amiri" w:cs="Amiri" w:ascii="Amiri" w:hAnsi="Amiri"/>
          <w:color w:val="111111"/>
          <w:sz w:val="28"/>
          <w:szCs w:val="28"/>
          <w:rtl w:val="true"/>
          <w:lang w:bidi="ar-SA"/>
        </w:rPr>
        <w:t xml:space="preserve">. </w:t>
      </w:r>
      <w:bookmarkStart w:id="228" w:name="pg16351_181027"/>
    </w:p>
    <w:p>
      <w:pPr>
        <w:pStyle w:val="Heading6"/>
        <w:numPr>
          <w:ilvl w:val="5"/>
          <w:numId w:val="1"/>
        </w:numPr>
        <w:rPr/>
      </w:pPr>
      <w:bookmarkStart w:id="229" w:name="__RefHeading___Toc6422144_1280447820"/>
      <w:bookmarkStart w:id="230" w:name="_Toc89"/>
      <w:bookmarkEnd w:id="228"/>
      <w:bookmarkEnd w:id="229"/>
      <w:r>
        <w:rPr>
          <w:rtl w:val="true"/>
        </w:rPr>
        <w:t xml:space="preserve">الأول </w:t>
      </w:r>
      <w:r>
        <w:rPr>
          <w:rtl w:val="true"/>
        </w:rPr>
        <w:t xml:space="preserve">- </w:t>
      </w:r>
      <w:r>
        <w:rPr>
          <w:rtl w:val="true"/>
        </w:rPr>
        <w:t>ما هو المراد من الإمامة في الآية؟</w:t>
      </w:r>
      <w:bookmarkEnd w:id="230"/>
    </w:p>
    <w:p>
      <w:pPr>
        <w:pStyle w:val="BookText"/>
        <w:rPr/>
      </w:pPr>
      <w:r>
        <w:rPr>
          <w:rFonts w:ascii="Amiri" w:hAnsi="Amiri" w:eastAsia="Amiri" w:cs="Amiri"/>
          <w:color w:val="111111"/>
          <w:sz w:val="28"/>
          <w:sz w:val="28"/>
          <w:szCs w:val="28"/>
          <w:rtl w:val="true"/>
          <w:lang w:bidi="ar-SA"/>
        </w:rPr>
        <w:t>ذهب عدّة من المفسّرين منهم الرازي في مفاتيحه، إلى أنّ المراد من الإمامة هنا، النبوة، و أنّ ملاك إمامة الخليل، نبوّته، لأنّها تتضمن مشاقّا عظيمة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محمد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هنا عبارة عن الرسالة، و هي لا تنال بكسب الكاسب</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نبيّا قبل الابتلاء بالكلمات، و قبل تنصيبه إماما، فكيف يصحّ أن تفسّر الإمامة بالنبوّة على ما في لفظ الرازي، أو بالرسالة، على ما في لفظ المنار؟ و دليلنا على ما ذكرنا،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نزول الوحي على إبراهيم، و جعله طرفا للخطاب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 أوضح دليل على أنّه كان نبيّا متلقيا للوحي قبل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أسلوب الكلام يدلّ على أنّه لم يكن وحيا ابتدائيا، بل يعرب عن كونه استمرارا للوحي السابق، و المحاورة الموجودة بينه و بين اللّه تعالى، حيث طلب الإمامة لذريته، تناسب الوحي الاستمراري لا الوحي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شكّ، فلاحظ الوحي الابتدائي، النازل على موسى في طور سيناء حيث خوطب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الخليل طلب الإمامة لذرّيته، و من المعلوم أنّ إبراهيم كان نبيّا قبل أن يرزق أيّ ولد من ولديه إسماعيل و إسحاق، أمّا أوّلهما فقد رزقه بعد تحطيم الأصنام في بابل، و إعداد العدّة للخروج إلى فلسطين، حيث وافاه الوحي </w:t>
      </w:r>
    </w:p>
    <w:p>
      <w:pPr>
        <w:pStyle w:val="BookText"/>
        <w:rPr/>
      </w:pPr>
      <w:r>
        <w:rPr>
          <w:rFonts w:ascii="Amiri" w:hAnsi="Amiri" w:eastAsia="Amiri" w:cs="Amiri"/>
          <w:color w:val="111111"/>
          <w:sz w:val="28"/>
          <w:sz w:val="28"/>
          <w:szCs w:val="28"/>
          <w:rtl w:val="true"/>
          <w:lang w:bidi="ar-SA"/>
        </w:rPr>
        <w:t>و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ثانيهما، فقد بشرته به الملائكة عند ما دخلوا عليه ضيوفا،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بِغُلاٰمٍ عَلِيمٍ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يجب أن تكون الإمامة الموهوبة للخليل غير النبوة، و إلاّ كان أشبه بتحصيل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من الإمامة، القيادة الإلهية للمجتمع، فإنّ هناك مقامات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النبوة، و هو منصب تحمّل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الرسالة، و هو منصب إبلاغه إلى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الإمامة، و هو منصب القيادة و تنفيذ الشريعة في المجتمع بقوة و 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يعرب عن كون المراد من الإمامة في المقام هو المعنى الثالث،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التي أنعم بها اللّه سبحانه على الخليل و بعض ذرّيته، هي الملك العظيم الوارد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الفحص عن المراد من الملك العظيم، إذ عند ذلك يتّضح أنّ مقام الإمامة، وراء النبوة و الرسالة، و إنّما هو قيادة حكيمة، و حكومة إلهيّة، يبلغ المجتمع بها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يوضح حقيقة هذا الملك في الآيات التالية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 عَلَّمْتَنِي مِنْ تَأْوِيلِ اَلْأَحٰادِيثِ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الملك الذي منّ به </w:t>
      </w:r>
    </w:p>
    <w:p>
      <w:pPr>
        <w:pStyle w:val="BookText"/>
        <w:rPr/>
      </w:pPr>
      <w:r>
        <w:rPr>
          <w:rFonts w:ascii="Amiri" w:hAnsi="Amiri" w:eastAsia="Amiri" w:cs="Amiri"/>
          <w:color w:val="111111"/>
          <w:sz w:val="28"/>
          <w:sz w:val="28"/>
          <w:szCs w:val="28"/>
          <w:rtl w:val="true"/>
          <w:lang w:bidi="ar-SA"/>
        </w:rPr>
        <w:t>سبحانه على عبده يوسف، ليس النبوة، بل الحاكمية، حيث صار أمينا مكينا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عَلَّمْتَنِي مِنْ تَأْوِيلِ اَلْأَحٰادِيثِ ، إشارة إلى نبوته، و الملك إشارة إلى سلطته و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سبحانه في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اَلْمُلْكَ وَ اَلْحِكْمَةَ وَ عَلَّمَهُ مِمّٰا يَشٰاءُ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يحكي اللّه تعالى عن سليمان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لِي مُلْكاً لاٰ يَنْبَغِي لِأَحَدٍ مِنْ بَعْدِي إِنَّكَ أَنْتَ اَلْوَهّٰابُ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فملاحظة هذه الآيات يفسّر لنا حقيقة الإمامة، و ذلك بفضل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طلب الإمامة لذريته، و قد أجاب سبحانه دعوته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مجموعة من ذريته، كيوسف و داود و سليمان، 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النبوة و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الحكومة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أعطى آل إبراهيم الكتاب، و الحكمة، و الملك العظيم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ضمّ هذه الأمور بعضها إلى بعض، يخرج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الإمامة في ذريّة إبراهيم، هو قيادتهم و حكمهم في المجتمع، و هذه هي حقيقة الإمامة، غير أنّها ربما تجتمع مع المقامين الآخرين، كما في الخليل، و يوسف، و داود، و سليمان، و غيرهم، و ربما تنفصل عنهما،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w:t>
      </w:r>
      <w:bookmarkStart w:id="231" w:name="pg16351_181030"/>
    </w:p>
    <w:p>
      <w:pPr>
        <w:pStyle w:val="BookText"/>
        <w:rPr/>
      </w:pPr>
      <w:bookmarkEnd w:id="231"/>
      <w:r>
        <w:rPr>
          <w:rFonts w:ascii="Amiri" w:hAnsi="Amiri" w:eastAsia="Amiri" w:cs="Amiri"/>
          <w:color w:val="111111"/>
          <w:sz w:val="28"/>
          <w:sz w:val="28"/>
          <w:szCs w:val="28"/>
          <w:rtl w:val="true"/>
          <w:lang w:bidi="ar-SA"/>
        </w:rPr>
        <w:t xml:space="preserve">بَسْطَةً فِي اَلْعِلْمِ وَ اَلْجِسْمِ، وَ اَللّٰهُ يُؤْتِي مُلْكَهُ مَنْ يَشٰاءُ وَ اَللّٰهُ وٰاسِعٌ عَلِيمٌ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الإمامة التي يتبناها المسلمون بعد رحلة النبي الأكرم، تتّحد واقعيتها مع هذه الإمامة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6422146_1280447820"/>
      <w:bookmarkStart w:id="233" w:name="_Toc90"/>
      <w:bookmarkEnd w:id="232"/>
      <w:r>
        <w:rPr>
          <w:rtl w:val="true"/>
        </w:rPr>
        <w:t xml:space="preserve">الثاني </w:t>
      </w:r>
      <w:r>
        <w:rPr>
          <w:rtl w:val="true"/>
        </w:rPr>
        <w:t xml:space="preserve">- </w:t>
      </w:r>
      <w:r>
        <w:rPr>
          <w:rtl w:val="true"/>
        </w:rPr>
        <w:t>ما هو المراد من الظالمين</w:t>
      </w:r>
      <w:bookmarkEnd w:id="233"/>
    </w:p>
    <w:p>
      <w:pPr>
        <w:pStyle w:val="Heading6"/>
        <w:numPr>
          <w:ilvl w:val="5"/>
          <w:numId w:val="1"/>
        </w:numPr>
        <w:rPr/>
      </w:pPr>
      <w:bookmarkStart w:id="234" w:name="__RefHeading___Toc6422148_1280447820"/>
      <w:bookmarkStart w:id="235" w:name="_Toc91"/>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الظلم في اللغة هو وضع الشيء في غير موضعه، و مجاوزة الحدّ الذي عيّنه العرف أو الشرع، فالمعصية، كبيرها و صغيرها، ظلم، لأنّ مقترفهما يتجاوز عن الحدّ الذي رسمه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له مراتب، و المجموع يشترك في كونه تجاوزا عن الحدّ، و وضعا للشيء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خلع سبحانه ثوب الإمامة على خليله، و نصبه إماما للناس، و دعا إبراهيم أن يجعل من ذريته إماما، أجيب بأنّ الإمامة وثيقة إلهية، لا تنال الظالمين، لأنّ الإمام هو المطاع بين الناس، المتصرف في الأموال و النفوس، و قائد المجتمع إلى السعادة، فيجب أن يكون على الصراط السويّ، حتى يكون أمره، و نهيه، و تصرّفه، و قيادته، نابعة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الظالم المتجاوز عن الحدّ، لا يصلح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الناكث لعهد اللّه، و الناقض لقوانينه و حدوده، على شفا جرف هار، لا يؤتمن عليه، و لا تلقى إليه مقاليد الخلافة، و لا مفاتيح القيادة، لأنّه على مقربة من الخيانة و التعدّي، و على استعداد لأن يقع أداة للجائرين، فكيف يصحّ في منطق العقل أن يكون إماما مطاعا نافذا قوله، مشروعا تصرّفه، إلى غير ذلك من لوازم الإمامة؟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المناصب و المقامات، تعيّن شروطها بالنظر إلى ماهيتها و واقعيتها، </w:t>
      </w:r>
      <w:bookmarkStart w:id="236" w:name="pg16351_181031"/>
    </w:p>
    <w:p>
      <w:pPr>
        <w:pStyle w:val="BookText"/>
        <w:rPr/>
      </w:pPr>
      <w:bookmarkEnd w:id="236"/>
      <w:r>
        <w:rPr>
          <w:rFonts w:ascii="Amiri" w:hAnsi="Amiri" w:eastAsia="Amiri" w:cs="Amiri"/>
          <w:color w:val="111111"/>
          <w:sz w:val="28"/>
          <w:sz w:val="28"/>
          <w:szCs w:val="28"/>
          <w:rtl w:val="true"/>
          <w:lang w:bidi="ar-SA"/>
        </w:rPr>
        <w:t>فمدير المستشفى مثلا، له شروط تختلف عن شروط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التي لا تنفك عن التصرف في النفوس و الأموال، و بها يناط حفظ القوانين، يجب أن يكون القائم بها إنسانا مثاليا، مالكا لنفسه، و لغرائزه، حتى لا يتجاوز في حكمه عن الحدّ، و في قضائه عن الحق</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6422150_1280447820"/>
      <w:bookmarkStart w:id="238" w:name="_Toc92"/>
      <w:bookmarkEnd w:id="237"/>
      <w:r>
        <w:rPr>
          <w:rtl w:val="true"/>
        </w:rPr>
        <w:t>الجمع المحلّى باللام العموم</w:t>
      </w:r>
      <w:bookmarkEnd w:id="238"/>
    </w:p>
    <w:p>
      <w:pPr>
        <w:pStyle w:val="BookText"/>
        <w:rPr/>
      </w:pPr>
      <w:r>
        <w:rPr>
          <w:rFonts w:ascii="Amiri" w:hAnsi="Amiri" w:eastAsia="Amiri" w:cs="Amiri"/>
          <w:color w:val="111111"/>
          <w:sz w:val="28"/>
          <w:sz w:val="28"/>
          <w:szCs w:val="28"/>
          <w:rtl w:val="true"/>
          <w:lang w:bidi="ar-SA"/>
        </w:rPr>
        <w:t>الظاهر من صيغة الجمع المحلّى باللام، أنّ الظلم بكل ألوانه و صوره، مانع عن نيل هذا المنصب الإلهي، فالاستغراق في جانب الأفراد، يستلزم الاستغراق في جانب الظلم، و تكون النتيجة ممنوعية كل فرد من أفراد الظلمة عن الارتقاء إلى منصب الإمامة، سواء أ كان ظالما في فترة من عمره ثم تاب و صار غير ظالم، أو بقي على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فالظالم عند ما يرتكب الظلم يشمله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فصلاحيته بعد ارتفاع الظلم تحتاج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فكل من ارتكب ظلما، و تجاوز حدّا في يوم من أيام عمره، أو عبد صنما، أو لاذ إلى وثن،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ما هو حرام، فضلا عمّا هو كفر، ينادى من فوق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 أي أنتم الظلمة الكفرة المتجاوزون عن الحدّ، لستم قابلين لتحمل منصب الإمامة؛ من غير فرق بين أن يصلح حالهم بعد تلك الفترة، أو يبقوا على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يستلزم أن يكون المؤهّل للإمامة، طاهرا من الذنوب من لدن وضع عليه القلم، إلى أن أدرج في كفنه و أدخل في لحده، و هذا ما نسميه بالعصمة في مورد الإمامة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422152_1280447820"/>
      <w:bookmarkStart w:id="240" w:name="_Toc93"/>
      <w:bookmarkEnd w:id="239"/>
      <w:r>
        <w:rPr>
          <w:rtl w:val="true"/>
        </w:rPr>
        <w:t>سؤال و جوابه</w:t>
      </w:r>
      <w:bookmarkEnd w:id="2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لسائل أن يسأل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إنّما تشمل من كان مقيما على الظلم، و أمّا التائب منه، فلا يتعلق به الحكم، لأنّ الحكم إذا كان معلقا على صفة، </w:t>
      </w:r>
    </w:p>
    <w:p>
      <w:pPr>
        <w:pStyle w:val="BookText"/>
        <w:rPr/>
      </w:pPr>
      <w:r>
        <w:rPr>
          <w:rFonts w:ascii="Amiri" w:hAnsi="Amiri" w:eastAsia="Amiri" w:cs="Amiri"/>
          <w:color w:val="111111"/>
          <w:sz w:val="28"/>
          <w:sz w:val="28"/>
          <w:szCs w:val="28"/>
          <w:rtl w:val="true"/>
          <w:lang w:bidi="ar-SA"/>
        </w:rPr>
        <w:t>و زالت الصفة، زال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Style w:val="FootnoteAnchor"/>
          <w:rtl w:val="true"/>
        </w:rPr>
        <w:footnoteReference w:id="228"/>
      </w:r>
      <w:r>
        <w:rPr>
          <w:rFonts w:ascii="Amiri" w:hAnsi="Amiri" w:eastAsia="Amiri" w:cs="Amiri"/>
          <w:color w:val="111111"/>
          <w:sz w:val="28"/>
          <w:sz w:val="28"/>
          <w:szCs w:val="28"/>
          <w:rtl w:val="true"/>
          <w:lang w:bidi="ar-SA"/>
        </w:rPr>
        <w:t>، إنّما هو ينهى عن الركون إليهم ما أقاموا على الظلم، فقوله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به العهد عمّن تاب عن ظلمه، لأنّه في هذه الحالة، لا يسمى ظالما، كما لا يسمى من تاب من الكفر،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الاعتراض ذكره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على آيات الأحكام</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عزب عنه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يدور مدار وجود الموضع، ليس ضابطا كليّا، بل الأحكام على قسمين، قسم كذلك، و آخر يكفي فيه اتّصاف الموضوع بالوصف و العنوان آنا ما، و لحظة خاصة، و إن انتفى بعد الاتصاف،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القسم الأول،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فالمراد منه أنّ الإنسان المتلبس بالزنا أو السرقة يكون محكوما بهما و إن زال العنوان، و تاب السارق و الزاني، 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ثابت، و إن زالت عنه الاستطاعة تقصير لا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فالمدعى أنّ الظالمين في الآية المباركة كالسارق و السارقة</w:t>
      </w:r>
      <w:r>
        <w:rPr>
          <w:rStyle w:val="FootnoteAnchor"/>
          <w:rtl w:val="true"/>
        </w:rPr>
        <w:footnoteReference w:id="230"/>
      </w:r>
      <w:r>
        <w:rPr>
          <w:rFonts w:ascii="Amiri" w:hAnsi="Amiri" w:eastAsia="Amiri" w:cs="Amiri"/>
          <w:color w:val="111111"/>
          <w:sz w:val="28"/>
          <w:sz w:val="28"/>
          <w:szCs w:val="28"/>
          <w:rtl w:val="true"/>
          <w:lang w:bidi="ar-SA"/>
        </w:rPr>
        <w:t>و الزاني و الزانية</w:t>
      </w:r>
      <w:r>
        <w:rPr>
          <w:rStyle w:val="FootnoteAnchor"/>
          <w:rtl w:val="true"/>
        </w:rPr>
        <w:footnoteReference w:id="231"/>
      </w:r>
      <w:r>
        <w:rPr>
          <w:rFonts w:ascii="Amiri" w:hAnsi="Amiri" w:eastAsia="Amiri" w:cs="Amiri"/>
          <w:color w:val="111111"/>
          <w:sz w:val="28"/>
          <w:sz w:val="28"/>
          <w:szCs w:val="28"/>
          <w:rtl w:val="true"/>
          <w:lang w:bidi="ar-SA"/>
        </w:rPr>
        <w:t>، و المستطيع</w:t>
      </w:r>
      <w:r>
        <w:rPr>
          <w:rStyle w:val="FootnoteAnchor"/>
          <w:rtl w:val="true"/>
        </w:rPr>
        <w:footnoteReference w:id="232"/>
      </w:r>
      <w:r>
        <w:rPr>
          <w:rFonts w:ascii="Amiri" w:hAnsi="Amiri" w:eastAsia="Amiri" w:cs="Amiri"/>
          <w:color w:val="111111"/>
          <w:sz w:val="28"/>
          <w:sz w:val="28"/>
          <w:szCs w:val="28"/>
          <w:rtl w:val="true"/>
          <w:lang w:bidi="ar-SA"/>
        </w:rPr>
        <w:t>و أمهات نسائكم</w:t>
      </w:r>
      <w:r>
        <w:rPr>
          <w:rStyle w:val="FootnoteAnchor"/>
          <w:rtl w:val="true"/>
        </w:rPr>
        <w:footnoteReference w:id="233"/>
      </w:r>
      <w:r>
        <w:rPr>
          <w:rFonts w:ascii="Amiri" w:hAnsi="Amiri" w:eastAsia="Amiri" w:cs="Amiri"/>
          <w:color w:val="111111"/>
          <w:sz w:val="28"/>
          <w:sz w:val="28"/>
          <w:szCs w:val="28"/>
          <w:rtl w:val="true"/>
          <w:lang w:bidi="ar-SA"/>
        </w:rPr>
        <w:t>في الآيات الراجعة إليهم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المهم في المقام إثبات أنّ الموضوع في الآية من قبيل القسم الثاني، و أنّ </w:t>
      </w:r>
    </w:p>
    <w:p>
      <w:pPr>
        <w:pStyle w:val="BookText"/>
        <w:rPr/>
      </w:pPr>
      <w:r>
        <w:rPr>
          <w:rFonts w:ascii="Amiri" w:hAnsi="Amiri" w:eastAsia="Amiri" w:cs="Amiri"/>
          <w:color w:val="111111"/>
          <w:sz w:val="28"/>
          <w:sz w:val="28"/>
          <w:szCs w:val="28"/>
          <w:rtl w:val="true"/>
          <w:lang w:bidi="ar-SA"/>
        </w:rPr>
        <w:t>التلبس بالظلم و لو آنا ما، و فترة يسيرة من عمره يسلب من الإنسان صلاحية الإمامة و إن تاب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الاسمي من تنصيب كل إنسان على الإمامة، تجسيد الشريعة الإلهية في المجتمع، فإذا كان القائد رجلا مثاليا نقي الثوب، مشرق الصحيفة، لم ير منه عصيان و لا زلّة، يتحقق الهدف من نصبه في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في فترة من عمره مقترفا للمعاصي، ما جنا، مجترحا للسيئات، فيكون غرضا لسهام الناقدين، و من البعيد أن ينفذ قوله، و تقبل قيادته بسهولة، بل ينادى عليه إنّه كان بالأمس، يقترف الذنوب، و أصبح اليوم آمرا بالحق و مميتا للباطل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تحقق الهدف يحكم العقل بلزوم نقاوة الإمام عن كل رذيلة و معصية في جميع فترات عمره، و أنّ الإنابة لو كانت ناجعة في حياته الفردية فليست كذلك في حياته الاجتماعية، فلن تخضع له الأعناق، و تميل إليه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بالنسبة إلى الظلم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طاهرا و نقيا في جميع فترات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ظالما في بداية عمره، و تائبا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طاهرا في بداية عمره، و 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 عليه السلام، الذي سأل الإمامة لبعض ذريته، أيّ قسم منها أراد؟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 إبراهيم أن يسأل الإمامة للقسم الأول، و الرابع من ذرّيته، لوضوح أنّ الغارق في الظلم من بداية عمره إلى آخره، أو المتصف به أيام تصديه للإمامة، لا يصلح لأن يؤتمن عليها</w:t>
      </w:r>
      <w:r>
        <w:rPr>
          <w:rFonts w:eastAsia="Amiri" w:cs="Amiri" w:ascii="Amiri" w:hAnsi="Amiri"/>
          <w:color w:val="111111"/>
          <w:sz w:val="28"/>
          <w:szCs w:val="28"/>
          <w:rtl w:val="true"/>
          <w:lang w:bidi="ar-SA"/>
        </w:rPr>
        <w:t xml:space="preserve">. </w:t>
      </w:r>
      <w:bookmarkStart w:id="241" w:name="pg16351_181034"/>
    </w:p>
    <w:p>
      <w:pPr>
        <w:pStyle w:val="BookText"/>
        <w:rPr/>
      </w:pPr>
      <w:bookmarkEnd w:id="241"/>
      <w:r>
        <w:rPr>
          <w:rFonts w:ascii="Amiri" w:hAnsi="Amiri" w:eastAsia="Amiri" w:cs="Amiri"/>
          <w:color w:val="111111"/>
          <w:sz w:val="28"/>
          <w:sz w:val="28"/>
          <w:szCs w:val="28"/>
          <w:rtl w:val="true"/>
          <w:lang w:bidi="ar-SA"/>
        </w:rPr>
        <w:t>فبقي القسمان الآخران، الثاني و الثالث، و قد نصّ سبحانه على أنّه لا ينال عهده الظالم، و الظالم في هذه العبارة لا ينطبق إلاّ على القسم الثالث، أعني من كان ظالما في بداية عمره، و كان تائبا حين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هذا القسم، بقي القسم الثاني، و هو من كان نقي الصحيفة طيلة عمره، لم ير منه لا قبل التصدي و لا بعده أيّ انحراف عن جادّة الحق، و مجاوزة للصراط السوي</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6422154_1280447820"/>
      <w:bookmarkStart w:id="243" w:name="_Toc94"/>
      <w:bookmarkEnd w:id="242"/>
      <w:r>
        <w:rPr/>
        <w:t>3</w:t>
      </w:r>
      <w:r>
        <w:rPr>
          <w:rtl w:val="true"/>
        </w:rPr>
        <w:t xml:space="preserve"> - </w:t>
      </w:r>
      <w:r>
        <w:rPr>
          <w:rtl w:val="true"/>
        </w:rPr>
        <w:t xml:space="preserve">آية التطهير و عصمة أهل البيت </w:t>
      </w:r>
      <w:r>
        <w:rPr>
          <w:rtl w:val="true"/>
        </w:rPr>
        <w:t>(</w:t>
      </w:r>
      <w:r>
        <w:rPr>
          <w:rtl w:val="true"/>
        </w:rPr>
        <w:t>ع</w:t>
      </w:r>
      <w:r>
        <w:rPr>
          <w:rtl w:val="true"/>
        </w:rPr>
        <w:t>)</w:t>
      </w:r>
      <w:bookmarkEnd w:id="243"/>
    </w:p>
    <w:p>
      <w:pPr>
        <w:pStyle w:val="Heading6"/>
        <w:numPr>
          <w:ilvl w:val="5"/>
          <w:numId w:val="1"/>
        </w:numPr>
        <w:rPr/>
      </w:pPr>
      <w:bookmarkStart w:id="244" w:name="__RefHeading___Toc6422156_1280447820"/>
      <w:bookmarkStart w:id="245" w:name="_Toc95"/>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هناك آية أخرى تدلّ على عصمة عدّة خاصة من أهل بيت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أداء حقّ الآية في التفسير، يتوقف على البحث عن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المراد من الرّجس؟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الإرادة في الآية، إرادة تكوينية خاصة بأهل البيت، أو تشريعية تعمّ كلّ إنسان بالغ واقع في إطار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المراد من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مشكلة السياق في الآية لو كان المراد منهم غير نسائه، صلوات اللّه عليه و آله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البيت في حديث النبي، الذي يكون مفسّرا لإجمال الآية</w:t>
      </w:r>
      <w:r>
        <w:rPr>
          <w:rFonts w:eastAsia="Amiri" w:cs="Amiri" w:ascii="Amiri" w:hAnsi="Amiri"/>
          <w:color w:val="111111"/>
          <w:sz w:val="28"/>
          <w:szCs w:val="28"/>
          <w:rtl w:val="true"/>
          <w:lang w:bidi="ar-SA"/>
        </w:rPr>
        <w:t xml:space="preserve">. </w:t>
      </w:r>
      <w:bookmarkStart w:id="246" w:name="pg16351_181035"/>
    </w:p>
    <w:p>
      <w:pPr>
        <w:pStyle w:val="BookText"/>
        <w:rPr/>
      </w:pPr>
      <w:bookmarkEnd w:id="246"/>
      <w:r>
        <w:rPr>
          <w:rFonts w:ascii="Amiri" w:hAnsi="Amiri" w:eastAsia="Amiri" w:cs="Amiri"/>
          <w:color w:val="111111"/>
          <w:sz w:val="28"/>
          <w:sz w:val="28"/>
          <w:szCs w:val="28"/>
          <w:rtl w:val="true"/>
          <w:lang w:bidi="ar-SA"/>
        </w:rPr>
        <w:t>و البحث عن هذه الأمور يحوجنا إلى تأليف مفرد، و هو خارج عن وضع كتابنا</w:t>
      </w:r>
      <w:r>
        <w:rPr>
          <w:rStyle w:val="FootnoteAnchor"/>
          <w:rtl w:val="true"/>
        </w:rPr>
        <w:footnoteReference w:id="235"/>
      </w:r>
      <w:r>
        <w:rPr>
          <w:rFonts w:ascii="Amiri" w:hAnsi="Amiri" w:eastAsia="Amiri" w:cs="Amiri"/>
          <w:color w:val="111111"/>
          <w:sz w:val="28"/>
          <w:sz w:val="28"/>
          <w:szCs w:val="28"/>
          <w:rtl w:val="true"/>
          <w:lang w:bidi="ar-SA"/>
        </w:rPr>
        <w:t>، إلاّ أنّ المهم هنا هو التركيز على أنّ الإرادة في الآية تكوينية، خاصة بأهل البيت، و ليست تشريعية، و أمّا المقصود من أهل البيت، فقد تقدّمت المأثورات فيهم عند البحث عن حديث الثقلين</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6422158_1280447820"/>
      <w:bookmarkStart w:id="248" w:name="_Toc96"/>
      <w:bookmarkEnd w:id="247"/>
      <w:r>
        <w:rPr>
          <w:rtl w:val="true"/>
        </w:rPr>
        <w:t>الإرادة تكوينية لا تشريعية</w:t>
      </w:r>
      <w:bookmarkEnd w:id="248"/>
    </w:p>
    <w:p>
      <w:pPr>
        <w:pStyle w:val="BookText"/>
        <w:rPr/>
      </w:pPr>
      <w:r>
        <w:rPr>
          <w:rFonts w:ascii="Amiri" w:hAnsi="Amiri" w:eastAsia="Amiri" w:cs="Amiri"/>
          <w:color w:val="111111"/>
          <w:sz w:val="28"/>
          <w:sz w:val="28"/>
          <w:szCs w:val="28"/>
          <w:rtl w:val="true"/>
          <w:lang w:bidi="ar-SA"/>
        </w:rPr>
        <w:t>إنّ انقسام إرادته سبحانه إلى القسمين المذكورين، من الانقسامات الواضحة، و مجمل القول فيهما أنّه إذا تعلقت إرادته سبحانه على إيجاد شيء و تكوينه في صحيفة الوجود، فالإرادة تكوينية لا تتخلف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تعلّقت بتشريع حكم و قانون، لفرض عمل المكلّف به، فالإرادة تشريعية، و متعلّقها هو التشريع، و أمّا امتثال المكلف فهو من غايات التشريع، ربما يقع و يترتب عليه، و ربما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القرائن تدلّ على أنّ المراد هنا هو الأول من الإرادتين، بمعنى أنّ إرادته سبحانه، تعلّقت على إذهاب الرجس عن أهل البيت و تطهيرهم من كل شيء يتنفر منه، على غرار تعلق إرادته بإيجاد الأشياء في صحيفة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الإرادة التشريعية لا تختص بطائفة دون طائفة، بل هي تعمّ المكلّفين عامة، يقول سبحانه، بعد أمره بالوضوء و التيمم عند فقدان الماء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يُرِيدُ لِيُطَهِّرَكُمْ وَ لِيُتِمَّ نِعْمَتَهُ عَلَيْكُمْ، لَعَلَّكُمْ تَشْكُرُونَ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لكنه سبحانه خصّص إرادته في الآية المبحوث عنها، بجمع خاص، تجمعهم كلمة أهل البيت، و خصّهم بالخطاب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أهل البيت، أي لا غيركم، فتخصيص الإرادة بجمع خاص على الوجه المذكور، يمنع من تفسيرها بالتشريعية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العناية البارزة في الآية المباركة، أقوى شاهد على أنّ المقصود هو التكوينية، لوضوح أنّ تعلّق الإرادة التشريعية لا يحتاج إلى العنايات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سبحانه كلامه بلفظ الحصر،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 و لا معنى للحصر إذا كانت تشريعية، لعمومها لكلّ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تعالى متعلّق إرادته بصورة الاختصاص،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 و هو منصوب على الاختصاص</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متعلق إرادته بالتأكيد، و 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عَنْكُمُ اَلرِّجْسَ ، يُطَهِّرَكُمْ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أكّده بالإتيان بمصدره بعد الفعل،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يُطَهِّرَكُمْ تَطْهِيراً ، ليكون أوفى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قد أتى بالمصدر نكرة، ليدلّ على الإكبار و الإعجاب، أي تطهيرا عظيما معجبا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في مقام المدح و الثناء، فلو كانت الإرادة تشريعية، لما ناسب الثناء و المدح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البارزة في الآية، تدلّ بوضوح على أنّ الإرادة في المقام تغاير الإرادة العامة المتعلقة بكلّ إنسان حاضر، أو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للمحققين من الشيعة الإمامية كلمات وافية حول الآية تلاحظ في مواضعها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فالإرادة في الآية الشريفة، نظير الإرادة الواردة في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يُرِيدُ اَللّٰهُ أَنْ يُحِقَّ اَلْحَقَّ بِكَلِمٰاتِهِ وَ يَقْطَعَ دٰابِرَ اَلْكٰافِرِينَ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يُرِدِ اَللّٰهُ فِتْنَتَهُ فَلَنْ تَمْلِكَ لَهُ مِنَ اَللّٰهِ شَيْئاً، أُولٰئِكَ اَلَّذِينَ لَمْ يُرِدِ اَللّٰهُ أَنْ يُطَهِّرَ قُلُوبَهُمْ، لَهُمْ فِي اَلدُّنْيٰا خِزْيٌ وَ لَهُمْ فِي اَلْآخِرَةِ عَذٰابٌ عَظِيمٌ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دلالتها على العصمة، فتظهر إذا اطّلعنا على أنّ المراد من الرجس هو القذارة المعنوية لا المادية، توضيح ذلك، إنّ الرجس في اللغة هو القذر</w:t>
      </w:r>
      <w:r>
        <w:rPr>
          <w:rStyle w:val="FootnoteAnchor"/>
          <w:rtl w:val="true"/>
        </w:rPr>
        <w:footnoteReference w:id="243"/>
      </w:r>
      <w:r>
        <w:rPr>
          <w:rFonts w:ascii="Amiri" w:hAnsi="Amiri" w:eastAsia="Amiri" w:cs="Amiri"/>
          <w:color w:val="111111"/>
          <w:sz w:val="28"/>
          <w:sz w:val="28"/>
          <w:szCs w:val="28"/>
          <w:rtl w:val="true"/>
          <w:lang w:bidi="ar-SA"/>
        </w:rPr>
        <w:t>، و قد يعبّر به عن الحرام، و الفعل القبيح، و العذاب، و اللعن، و الكفر، 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استقذر من عمل، فبالغ اللّه في ذمّ أشياء و سماها رجسا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من عمل الشيطان، أي مأثم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المتفحص في كلمات أئمة أهل اللغة، و الآيات الواردة فيها تلك اللفظة، يصل إلى أنّها موضوعة للقذارة التي تتنفر منها النفوس، سواء أ كانت مادية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Style w:val="FootnoteAnchor"/>
          <w:rtl w:val="true"/>
        </w:rPr>
        <w:footnoteReference w:id="245"/>
      </w:r>
      <w:r>
        <w:rPr>
          <w:rFonts w:ascii="Amiri" w:hAnsi="Amiri" w:eastAsia="Amiri" w:cs="Amiri"/>
          <w:color w:val="111111"/>
          <w:sz w:val="28"/>
          <w:sz w:val="28"/>
          <w:szCs w:val="28"/>
          <w:rtl w:val="true"/>
          <w:lang w:bidi="ar-SA"/>
        </w:rPr>
        <w:t>، أو معنوية كما في الكافر و عابد الوثن، و صنمه، قال سبحانه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وصف العمل القبيح بالرجس، فلأنّه عمل قذر، تتنفر منه الطباع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فالمراد من الرّجس في الآية، كلّ عمل قبيح عرفا أو شرعا، لا تقبله الطباع، و لذلك قال سبحانه بعد تلك اللفظة، وَ يُطَهِّرَكُمْ تَطْهِيراً ، فليس المراد من التطهير، إلاّ تطهيرهم من الرجس المعنوي الذي تعدّ المعاصي و المآثم من أظهر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نظير الآية في حق السيدة مريم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تعلّق الإرادة التكوينية على إذهاب كلّ رجس و قذارة، و كلّ عمل منفّر عرفا أو شرعا، يجعل من تعلّقت به الإرادة، إنسانا مثاليا، نزيها عن كل عيب و شين، و وصمة عار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ظهر بوضوح أنّ العصمة شرط للإمام بالمعنى الذي يتبناه الإمامية في مجال الإمامة، و الآيتان الأوليان تدلاّن على عصمة الإمام مطلقا، و الآية الثالثة تدلّ على عصمة أهل البيت الذين نزلت فيهم الآية و فسّرت في غير واحد من الروايات، و هم من كان إماما و خليفة للرسول كعلي و الحسنين عليهما السلام، و من كانت طاهرة مطهّرة كالسيدة فاطمة الزهراء عليها السلام، و إن لم تكن إماما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هنا أبحاث موجودة في كتب الإمامة للشيعة الإمامية، طوينا البحث </w:t>
      </w:r>
    </w:p>
    <w:p>
      <w:pPr>
        <w:pStyle w:val="BookText"/>
        <w:rPr/>
      </w:pPr>
      <w:r>
        <w:rPr>
          <w:rFonts w:ascii="Amiri" w:hAnsi="Amiri" w:eastAsia="Amiri" w:cs="Amiri"/>
          <w:color w:val="111111"/>
          <w:sz w:val="28"/>
          <w:sz w:val="28"/>
          <w:szCs w:val="28"/>
          <w:rtl w:val="true"/>
          <w:lang w:bidi="ar-SA"/>
        </w:rPr>
        <w:t>عنها، لعدم الحاجة إلى البحث فيها بعد انتشار هذه الكتب و ذيوعها و هي عبارة عن الأبحاث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الآيات الواردة في حق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الفضائل و المناقب الواردة في حقّه على لسان النبي الأكرم، و نقلها أصحاب الصحاح و المسانيد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نفسيات الإمام و فضائله الأخلاقية التي اعترف بها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أعلم الصحابة و أوعاهم بالكتاب و السنّة، و قد كان الخلفاء يحتكمون إليه في مواضع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احتجاجاته على كونه أحقّ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تسنموا منصة الخلافة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التبسّط في هذه المواضع، فعليه بالكتب المعدّة للإمامة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49" w:name="pg16351_181040"/>
    </w:p>
    <w:p>
      <w:pPr>
        <w:pStyle w:val="Heading4"/>
        <w:numPr>
          <w:ilvl w:val="3"/>
          <w:numId w:val="1"/>
        </w:numPr>
        <w:rPr/>
      </w:pPr>
      <w:bookmarkStart w:id="250" w:name="__RefHeading___Toc6422160_1280447820"/>
      <w:bookmarkStart w:id="251" w:name="_Toc97"/>
      <w:bookmarkEnd w:id="249"/>
      <w:bookmarkEnd w:id="250"/>
      <w:r>
        <w:rPr>
          <w:rtl w:val="true"/>
        </w:rPr>
        <w:t>البحث الرابع الإمام المنتظر في الكتاب و السنّة</w:t>
      </w:r>
      <w:bookmarkEnd w:id="251"/>
    </w:p>
    <w:p>
      <w:pPr>
        <w:pStyle w:val="Heading5"/>
        <w:numPr>
          <w:ilvl w:val="4"/>
          <w:numId w:val="1"/>
        </w:numPr>
        <w:rPr/>
      </w:pPr>
      <w:bookmarkStart w:id="252" w:name="__RefHeading___Toc6422162_1280447820"/>
      <w:bookmarkStart w:id="253" w:name="_Toc98"/>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قد تعرفت على عدد الأئمة و أسمائهم، غير أنّ إفاضة القول في خصوصياتهم، و علومهم و فضائلهم، و نتائج جهودهم في مجال العلم و الفقه و الحديث، و من ربّوه و أنتجوه من الرواة الوعاة، و ما لا قوه من اضطهاد خلفاء عصرهم، يحتاج إلى تأليف 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طوينا الصفح عن هذه المباحث، إلاّ انّ الاعتقاد بالإمام المنتظر، مهدي هذه الأمّة، لما كان أصلا رصينا في أبحاث الإمامة للشيعة، و كان الاعتقاد به أمرا مشتركا بين طوائف المسلمين، رجّحنا إلقاء الضوء على هذا الأصل على وجه الإجمال، و لا طريق لإثبات وجوده، و ولادته، و عمره، و ظهوره، و آثاره بعد الظهور، و أصحابه، إلاّ السمع، فنقول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كان له إلمام بالحديث يقف على تواتر البشارة، عن النبي و آله و أصحابه، بظهور المهدي في آخر الزمان لإزالة الجهل و الظلم و الجور، و نشر أعلام العلم، و العدل و إعلاء كلمة الحق، و إظهار الدين كلّه و لو كره المشركون، فهو بإذن اللّه تعالى ينجي العالم من ذلّ العبودية لغير اللّه، و يلغي الأخلاق و العادات الذميمة، و يبطل القوانين الكافرة التي سنتها الأهواء، و وضعتها يد بني البشر، و يقطع أواصر التعصبات القومية و العنصرية، و الوطنية، و يميت أسباب العداوة و البغضاء التي صارت سببا لاختلاف الأمّة </w:t>
      </w:r>
    </w:p>
    <w:p>
      <w:pPr>
        <w:pStyle w:val="BookText"/>
        <w:rPr/>
      </w:pPr>
      <w:r>
        <w:rPr>
          <w:rFonts w:ascii="Amiri" w:hAnsi="Amiri" w:eastAsia="Amiri" w:cs="Amiri"/>
          <w:color w:val="111111"/>
          <w:sz w:val="28"/>
          <w:sz w:val="28"/>
          <w:szCs w:val="28"/>
          <w:rtl w:val="true"/>
          <w:lang w:bidi="ar-SA"/>
        </w:rPr>
        <w:t>و افتراق الكلمة، و اشتعال نيران الفتن و المنازعات، و يحقق اللّه سبحانه بظهوره، وعده الذي وعد به المؤمنين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عصر ذهبي لا يبقى فيه على الأرض بيت إلاّ دخلته كلمة الإسلام، و لا تبقى قرية إلاّ و ينادي فيها بشهادة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بكرة و عشيا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اتّفق عليه المسلمون في الصدر الأول، و الأزمنة المتلاحقة، و لأجل ذلك استغلّ بعض المتهوسين قضية الإمام المهدي، فادّعوا المهدويّة، و لم نعهد أحدا ردّه بإنكار أصل هذه البشائر، و إنّما ناقشوه في الخصوصيات و عدم انطباق البشائر عليه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تضافر مضمون قول الرسول الأعظم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فيملؤها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أنّ بحث المهدي بحث نقلي لا يمتّ إلى العقل بصلة، فعلى من يريد اعتناقه،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رفضه، الرجوع إلى الصحاح و المسانيد، و كتب الحديث و التاريخ، حتى يقف على عدد الروايات الواردة حول المهدي عليه السلام، في مجالات مختلفة، و ها نحن نأتي في المقام بفهرس الروايات التي رواها السنّة و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تبشّر بظهوره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تصفه بأنّه من أهل بيت النبي الأكرم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من أولاد الإمام علي عليه السلام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من أولاد فاطمة عليها السلام بنت النبي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التاسع من أولاد الحسين عليه السلام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من أولاد الإمام زين العابدين عليه السلام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من أولاد الإمام الحسن العسكري عليه السلام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تبيّن آباء الإمام الحسن العسكري عليه السلام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تدلّ على أنّه يملأ العالم قسطا و عدلا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تدل على أنّ للإمام المهدي غيبة طويلة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التي تدلّ على أنّه يعمّر عمرا طويلا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 الإسلام يعمّ العالم كلّه بعد ظهوره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التي تدلّ على أنّه الإمام الثاني عشر من أئمة أهل البيت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الروايات الواردة حول 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وجد هنا خلاف بين أكثر السنّة، و الشيعة، فهو الاختلاف في ولادته، فإنّ الأكثرية من أهل السنّة يقولون بأنّه سيولد في آخر الزمان، و الشيعة بفضل هذه الروايات، تذهب إلى أنّه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 غاب بأمر اللّه سبحانه سنة وفاة والده، عام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هو يحيى حياة طبيعية كسائر الناس، غير أنّ الناس يرونه و لا يعرفونه</w:t>
      </w:r>
      <w:r>
        <w:rPr>
          <w:rStyle w:val="FootnoteAnchor"/>
          <w:rtl w:val="true"/>
        </w:rPr>
        <w:footnoteReference w:id="256"/>
      </w:r>
      <w:r>
        <w:rPr>
          <w:rFonts w:ascii="Amiri" w:hAnsi="Amiri" w:eastAsia="Amiri" w:cs="Amiri"/>
          <w:color w:val="111111"/>
          <w:sz w:val="28"/>
          <w:sz w:val="28"/>
          <w:szCs w:val="28"/>
          <w:rtl w:val="true"/>
          <w:lang w:bidi="ar-SA"/>
        </w:rPr>
        <w:t>، و سوف يظهره اللّه سبحانه لتحقق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يقف الباحث على نماذج من أحاديث المهدي في الصحاح و المسانيد، نذكر بعضا منها و هو نذر يسير من الأحاديث الكثيرة التي رواها المحدّثون و الحفاظ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أحمد في مسنده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واحد، لبعث اللّه رجلا من أهل بيتي يملؤها عدلا، كما ملئت جورا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تنقضي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عن أمّ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الترمذي عن ابن مسعود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ماجة في سننه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فكان أكثر خطبته حديثا حدثناه عن الدّجال، و حذّرناه، فكان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فتنة في الأرض منذ ذرأ اللّه ذرية آدم، أعظم من فتنة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إمامهم رجل صالح، فبينما إمامهم قد تقدم ليصلي بهم الصبح، إذ نزل عليهم عيسى بن مريم، فرجع ذلك الإمام ينكص يمشي القهقرى، ليقدم عيسى يصلي بالناس، فيضع عيسى يده بين كتفيه ثم 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فصلّ، فإنّها لك أقيمت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بهم 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سيجيء ذكر ما رواه البخاري و مسلم فيما يأتي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 المعاصرين من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لزاما علينا نحن المسلمين أن نربط ديننا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مسلم و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فلنفرض أنّهما لم يكونا، فهل تشل حركتنا و تتوقف دورتنا؟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فالأمّة بخير و الحمد للّه، و الذين جاءوا بعد البخاري و مسلم استدركوا عليهما، و استكملوا جهدهما، و وزنوا عملهما، و كشفوا بعض الخلاف في صحيحهما، و ما زال المحدّثون في تقدم علمي، و بحث و تحقيق، و دراسة و جمع، و مقارنة و تمحيص، حتى يغمر الضوء كل مجهول، و يظهر كلّ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ذا نردّ حديثنا لمجرد أن قيل في بعض رواته أنّه لين، أو ضعيف، أو منقطع، أو مرسل،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علل، تثير الشك و التساؤل، و تدفع إلى زيادة البحث و التعمّق،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علل الحديث لا تلزم بالرد لهذا الحديث، فكثيرا ما نجد في بعض الطرق ضعفا، و في بعضها قوّة، فهو صحيح من طريق، حسن أو ضعيف من أخرى، و معنى هذا أنّ الراوي الذي حكم عليه مثلا بأنّه ينسى، تبيّن أنّه في هذه الواقعة لم ينس، فجاءت روايته مؤيّدة بما جاء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أحاديث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النوع، و لو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بالغ و ضعّفها كلّها، و ردّها و حكم عليها حكما قاسيا، و اتّهم كل هؤلاء الرواة و من رووا عنهم بما لا يليق أن يظنّ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ليست مشكلة حديث أو حديثين، أو راو أو راويين، إنّها مجموعة من الأحاديث و الآثار تبلغ الثمانين تقريبا، اجتمع على تناقلها مئات الرواة، و 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نردّ كلّ هذه الكمية؟ أ كلّها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هذا الحكم لانهار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 الظن الفاسد إلى ما عداها من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خلافا حول ظهور المهدي، أو حول حاجة العالم إليه، و إنّما الخلاف حول من هو، حسني، أو حسيني؟ سيكون في آخر الزمان، أو موجود الآن، خفي و سيظهر؟ ظهر أو 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بالمدّعين الكاذبين، فليس لهم اعتبار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لم أجد مناقشة موضوعية في متن الأحاديث، و الذي أجده إنّما هو مناقشة و خلاف حول السند، و اتّصاله أو عدم اتّصاله، و درجة رواته، و من خرّجوه، و من قالوا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نظرنا إلى ظهور المهدي، نظرة مجرّدة، فإنّنا لا نجد حرجا من قبولها و تصديقها، أو على الأقل عدم 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تأيّد ذلك بالأدلّة الكثيرة، و الأحاديث المتعددة، و رواتها مسلمون مؤتمنون، و الكتب التي نقلتها إلينا كتب قيمة، و الترمذي من رجال التخريج و الحكم، بالإضافة إلى أنّ أحاديث المهدي لها ما يصحّ أن يكون سندا لها في البخاري و مسلم، كحديث جابر في مسلم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 حديث أبي هريرة في البخاري،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ابن مريم و إمامكم منكم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فلا مانع من أن يكون هذا الأمير، و هذا الإمام هو المهدي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هذا أنّ كثيرا من السلف رضي اللّه عنهم، لم يعارضوا هذا القول، بل جاءت شروحهم و تقريراتهم موافقة لإثبات هذه العقيدة عند المسلمين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أسئلة حول المهدي المنتظر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إماما و هو غائب؟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ذا غاب المهدي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و طول عمره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علائم ظهوره، ما هي؟</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16351_181050"/>
      <w:bookmarkStart w:id="255" w:name="pg16351_181050"/>
      <w:bookmarkEnd w:id="255"/>
    </w:p>
    <w:p>
      <w:pPr>
        <w:pStyle w:val="Heading5"/>
        <w:numPr>
          <w:ilvl w:val="4"/>
          <w:numId w:val="1"/>
        </w:numPr>
        <w:rPr/>
      </w:pPr>
      <w:bookmarkStart w:id="256" w:name="pg16351_181050"/>
      <w:bookmarkStart w:id="257" w:name="__RefHeading___Toc6422164_1280447820"/>
      <w:bookmarkStart w:id="258" w:name="_Toc99"/>
      <w:bookmarkEnd w:id="256"/>
      <w:bookmarkEnd w:id="257"/>
      <w:r>
        <w:rPr>
          <w:rtl w:val="true"/>
        </w:rPr>
        <w:t>أسئلة مهمة حول المهدي عجل اللّه تعالى فرجه</w:t>
      </w:r>
      <w:bookmarkEnd w:id="258"/>
    </w:p>
    <w:p>
      <w:pPr>
        <w:pStyle w:val="Heading6"/>
        <w:numPr>
          <w:ilvl w:val="5"/>
          <w:numId w:val="1"/>
        </w:numPr>
        <w:rPr/>
      </w:pPr>
      <w:bookmarkStart w:id="259" w:name="__RefHeading___Toc6422166_1280447820"/>
      <w:bookmarkStart w:id="260" w:name="_Toc100"/>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إنّ القول بأنّ الإمام المهدي لما يزال حي يرزق منذ ولادته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إلى الآن، و أنّه غائب سوف يظهر بأمر من اللّه سبحانه، أثار أسئلة خول حياته و إمامته، نذكر رءوسها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يكون إماما و هو غائب، و ما الفائدة المترقبة منه في غيبته؟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ذا غاب؟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أن يعيش إنسان هذه المدة الطويلة؟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أشراط و علائم ظهوره؟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أسئلة أثيرت حول الإمام المهدي منذ أن غاب، و كلّما طالت غيبته اشتدّ التركيز عليها، و قد قام المحققون من علماء الإمامية بالإجابة عليها في مؤلّفات مستقلة لا مجال لنقل معشار ما جاء فيها، غير أنّ الإحالة لما كانت عن المحذور غير خالية، نبحث عنها على وجه الإجمال، و نحيل من أراد التبسّط إلى المصادر المؤلّفة في هذا المجال</w:t>
      </w:r>
      <w:r>
        <w:rPr>
          <w:rFonts w:eastAsia="Amiri" w:cs="Amiri" w:ascii="Amiri" w:hAnsi="Amiri"/>
          <w:color w:val="111111"/>
          <w:sz w:val="28"/>
          <w:szCs w:val="28"/>
          <w:rtl w:val="true"/>
          <w:lang w:bidi="ar-SA"/>
        </w:rPr>
        <w:t xml:space="preserve">. </w:t>
      </w:r>
      <w:bookmarkStart w:id="261" w:name="pg16351_181051"/>
    </w:p>
    <w:p>
      <w:pPr>
        <w:pStyle w:val="Heading6"/>
        <w:numPr>
          <w:ilvl w:val="5"/>
          <w:numId w:val="1"/>
        </w:numPr>
        <w:rPr/>
      </w:pPr>
      <w:bookmarkStart w:id="262" w:name="__RefHeading___Toc6422168_1280447820"/>
      <w:bookmarkStart w:id="263" w:name="_Toc101"/>
      <w:bookmarkEnd w:id="261"/>
      <w:bookmarkEnd w:id="262"/>
      <w:r>
        <w:rPr>
          <w:rtl w:val="true"/>
        </w:rPr>
        <w:t>السؤال الأول كيف يكون إماما و هو غائب؟ و ما فائدته؟</w:t>
      </w:r>
      <w:bookmarkEnd w:id="263"/>
    </w:p>
    <w:p>
      <w:pPr>
        <w:pStyle w:val="BookText"/>
        <w:rPr/>
      </w:pPr>
      <w:r>
        <w:rPr>
          <w:rFonts w:ascii="Amiri" w:hAnsi="Amiri" w:eastAsia="Amiri" w:cs="Amiri"/>
          <w:color w:val="111111"/>
          <w:sz w:val="28"/>
          <w:sz w:val="28"/>
          <w:szCs w:val="28"/>
          <w:rtl w:val="true"/>
          <w:lang w:bidi="ar-SA"/>
        </w:rPr>
        <w:t>إنّ القيادة و الهداية و القيام بوظائف الإمامة، هو الغاية من تنصيب الإمام، أو اختياره، و هو يتوقف على كونه ظاهرا بين أبناء الأمّة، مشاهدا لهم، فكيف يكون إماما قائدا، و هو غائب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نقضا و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فإنّ التركيز على هذا السؤال يعرب عن عدم التعرّف على أولياء اللّه، و أنّهم بين ظاهر قائم بالأمور و مختف قائم بها من دون أن يعرفه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اللّه العزيز يعرّفنا على وجود نوعين من الأئمة و الأولياء و القادة للأمّة، ولي غائب مستور، لا يعرفه حتى نبي زمانه، كما يخبر سبحانه عن مصاحب موسى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 مِمّٰا عُلِّمْتَ رُشْداً الآيات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ولي ظاهر باسط اليد، تعرفه الأمّة و تقتدي 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إذن يدلّ على أنّ الولي ربما يكون غائبا، و لكنه مع ذلك لا يعيش في </w:t>
      </w:r>
    </w:p>
    <w:p>
      <w:pPr>
        <w:pStyle w:val="BookText"/>
        <w:rPr/>
      </w:pPr>
      <w:r>
        <w:rPr>
          <w:rFonts w:ascii="Amiri" w:hAnsi="Amiri" w:eastAsia="Amiri" w:cs="Amiri"/>
          <w:color w:val="111111"/>
          <w:sz w:val="28"/>
          <w:sz w:val="28"/>
          <w:szCs w:val="28"/>
          <w:rtl w:val="true"/>
          <w:lang w:bidi="ar-SA"/>
        </w:rPr>
        <w:t>غفلة عن أمّته، بل يتصرف في مصالحها و يرعى شئونها، من دون أن يعرفه أبناء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الكتاب الكريم، يصحّ لنا أن نقول بأنّ الولي إما ولي حاضر مشاهد، أو غائب محجوب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الإمام علي بن أبي طالب في كلامه لكميل بن زياد النخعيّ، يقول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بيدي أمير المؤمنين علي بن أبي طالب عليه السلام، فأخرجني إلى الجبّان، فلما أصحر، تنفّس الصعداء، و كان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غيبة الإمام المهدي، بدعا في تاريخ الأولياء، فهذا موسى بن عمران، قد غاب عن قومه قرابة أربعين يوما، و كان نبيّا وليّا،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يونس كان من أنبياء اللّه سبحانه، و مع ذلك فقد غاب في الظلمات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 يكن موسى، و يونس نبيّين من أنبياء اللّه سبحانه؟ و ما فائدة نبي يغيب عن الأبصار، و يعيش بعيدا عن قومه؟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في هذا المقام، هو الجواب في الإمام المهدي عليه السلام، و سيوافيك ما يفيدك، من الانتفاع بوجود الإمام الغائب في زمان غيبته في جواب السؤال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الحلّ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علمنا بفائدة وجوده في زمان غيبته، لا يدلّ على عدم كونه مفيدا في زمن غيبته، فالسائل جعل عدم العلم، طريقا إلى العلم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لهذا السؤال من نظائر في التشريع الإسلامي، فيقيم البسطاء عدم العلم بالفائدة، مقام العلم بعدمها، و هذا من أعظم الجهل في تحليل المسائل العلمية، و لا شك أنّ عقول البشر لا تصل إلى كثير من الأمور المهمّة في عالم التكوين و التشريع، بل لا يفهم مصلحة كثير من سننه، و إن كان فعله سبحانه منزّها عن العبث، بعيدا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فيجب علينا التسليم أمام التشريع إذا وصل إلينا بصورة صحيحة، كما عرفت من تواتر الروايات على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لا تلازم عدم التصرف في الأمور، و عدم الاستفادة من وجوده، فهذا مصاحب موسى كان وليا، لجأ إليه، أكبر أنبياء اللّه في عصره، فقد خرق السفينة التي يمتلكها المستضعفون، ليصونها عن غصب الملك، و لم يعلم أصحاب السفينة بتصرفه، و إلاّ لصدّوه عن الخرق، جهلا منهم بغاية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بنى الجدار، ليصون كنز اليتيمين، فأي مانع، حينئذ من أن يكون للإمام الغائب في كل يوم و ليلة تصرّفا من هذا النمط من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دلّت عليه الروايات من أنّه يحضر الموسم في أشهر الحج، و يحجّ و يصاحب الناس، و يحضر المجالس، كما دلّت على أنّه يغيث المضطرين، و يعود المرضى، و ربما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حوائجهم، و إن كان الناس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عدم إمكان وصول عموم الناس إليه في غيبته، و أمّا عدم وصول الخواص إليه، فليس بأمر مسلّم، بل الذي دلّت عليه الروايات خلافه، فالصلحاء من الأمّة، الذين يستدرّ بهم الغمام، لهم التشرف بلقائه، و الاستفادة من نور وجوده، و بالتالي، تستفيد الأمّة بواسطتهم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الإمام أن يتولّى التصرّف في الأمور الظاهرية بنفسه، </w:t>
      </w:r>
    </w:p>
    <w:p>
      <w:pPr>
        <w:pStyle w:val="BookText"/>
        <w:rPr/>
      </w:pPr>
      <w:r>
        <w:rPr>
          <w:rFonts w:ascii="Amiri" w:hAnsi="Amiri" w:eastAsia="Amiri" w:cs="Amiri"/>
          <w:color w:val="111111"/>
          <w:sz w:val="28"/>
          <w:sz w:val="28"/>
          <w:szCs w:val="28"/>
          <w:rtl w:val="true"/>
          <w:lang w:bidi="ar-SA"/>
        </w:rPr>
        <w:t>بل له تولية غيره على التصرف في الأمور كما فعل الإمام المهدي، أرواحنا له الفداء،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الغيبة الصغرى، كان له وكلاء أربعة، يقومون بحوائج الناس، و كانت الصلة بينه و بين الناس مستمرة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الغيبة الكبرى نصب الفقهاء و العلماء العدول العالمين بالأحكام، للقضاء و إجراء السياسات، و إقامة الحدود، و جعلهم حجة على الناس، فهم يقومون في عصر الغيبة بصيانة الشرع عن التحريف، و بيان الأحكام، و دفع الشبهات، و بكل ما يتوقف عليه نظم أمور الناس</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الأجوبة أشار الإمام المهدي عليه السلام في آخر توقيع له إلى بعض نوّابه،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الانتفاع بي في غيبتي، فكالانتفاع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64" w:name="pg16351_181055"/>
    </w:p>
    <w:p>
      <w:pPr>
        <w:pStyle w:val="Heading6"/>
        <w:numPr>
          <w:ilvl w:val="5"/>
          <w:numId w:val="1"/>
        </w:numPr>
        <w:rPr/>
      </w:pPr>
      <w:bookmarkStart w:id="265" w:name="__RefHeading___Toc6422170_1280447820"/>
      <w:bookmarkStart w:id="266" w:name="_Toc102"/>
      <w:bookmarkEnd w:id="264"/>
      <w:bookmarkEnd w:id="265"/>
      <w:r>
        <w:rPr>
          <w:rtl w:val="true"/>
        </w:rPr>
        <w:t>السؤال الثاني لما ذا غاب المهدي عليه السلام؟</w:t>
      </w:r>
      <w:bookmarkEnd w:id="266"/>
    </w:p>
    <w:p>
      <w:pPr>
        <w:pStyle w:val="BookText"/>
        <w:rPr/>
      </w:pPr>
      <w:r>
        <w:rPr>
          <w:rFonts w:ascii="Amiri" w:hAnsi="Amiri" w:eastAsia="Amiri" w:cs="Amiri"/>
          <w:color w:val="111111"/>
          <w:sz w:val="28"/>
          <w:sz w:val="28"/>
          <w:szCs w:val="28"/>
          <w:rtl w:val="true"/>
          <w:lang w:bidi="ar-SA"/>
        </w:rPr>
        <w:t>إنّ ظهور الإمام بين الناس، يترتّب عليه من الفائدة ما لا يترتب عليه في زمان الغيبة، فلما ذا غاب عن الناس، حتى حرموا من الاستفادة من وجوده، و ما هي المصلحة التي أخفته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 هذا السؤال يجاب عليه بالنقض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فبما ذكرناه في الإجابة عن السؤال الأول، فإنّ قصور عقولنا عن إدراك أسباب غيبته، لا يجرنا إلى إنكار المتضافرات من الروايات، فالاعتراف بقصور أفهامنا أولى من ردّ الروايات المتواترة، بل هو المتعيّن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الحلّ، فإنّ أسباب غيبته، واضحة لمن أمعن فيما ورد حولها من الروايات، فإنّ الإمام المهدي عليه السلام هو آخر الأئمة الاثني عشر الذين وعد بهم الرسول، و أناط عزة الإسلام بهم، و من المعلوم أنّ الحكومات الإسلامية لم تقدّرهم، بل كانت لهم بالمرصاد، تلقيهم في السجون، و تريق دماءهم الطاهرة، بالسيف أو السمّ، فلو كان ظاهرا، لأقدموا على قتله، إطفاء لنوره، فلأجل ذلك اقتضت المصلحة أن يكون مستورا عن أعين الناس، يراهم و يرونه و لكن لا يعرفونه، إلى أن تقتضي مشيئة اللّه سبحانه ظهوره، بعد حصول استعداد </w:t>
      </w:r>
    </w:p>
    <w:p>
      <w:pPr>
        <w:pStyle w:val="BookText"/>
        <w:rPr/>
      </w:pPr>
      <w:r>
        <w:rPr>
          <w:rFonts w:ascii="Amiri" w:hAnsi="Amiri" w:eastAsia="Amiri" w:cs="Amiri"/>
          <w:color w:val="111111"/>
          <w:sz w:val="28"/>
          <w:sz w:val="28"/>
          <w:szCs w:val="28"/>
          <w:rtl w:val="true"/>
          <w:lang w:bidi="ar-SA"/>
        </w:rPr>
        <w:t>خاص في العالم لقبوله، و الانضواء تحت لواء طاعته، حتى يحقق اللّه تعالى به ما وعد به الأمم جمعاء من توريث الأرض للمستضعفين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بعض الروايات إشارة إلى هذه النكتة، روى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غيبة قبل أن يقوم،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نفسه الذبح</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سيوافيك ما يفيدك عند الكلام عن علائم ظهوره</w:t>
      </w:r>
      <w:r>
        <w:rPr>
          <w:rFonts w:eastAsia="Amiri" w:cs="Amiri" w:ascii="Amiri" w:hAnsi="Amiri"/>
          <w:color w:val="111111"/>
          <w:sz w:val="28"/>
          <w:szCs w:val="28"/>
          <w:rtl w:val="true"/>
          <w:lang w:bidi="ar-SA"/>
        </w:rPr>
        <w:t xml:space="preserve">. </w:t>
      </w:r>
      <w:bookmarkStart w:id="267" w:name="pg16351_181057"/>
    </w:p>
    <w:p>
      <w:pPr>
        <w:pStyle w:val="Heading6"/>
        <w:numPr>
          <w:ilvl w:val="5"/>
          <w:numId w:val="1"/>
        </w:numPr>
        <w:rPr/>
      </w:pPr>
      <w:bookmarkStart w:id="268" w:name="__RefHeading___Toc6422172_1280447820"/>
      <w:bookmarkStart w:id="269" w:name="_Toc103"/>
      <w:bookmarkEnd w:id="267"/>
      <w:bookmarkEnd w:id="268"/>
      <w:r>
        <w:rPr>
          <w:rtl w:val="true"/>
        </w:rPr>
        <w:t>السؤال الثالث الإمام المهدي و طول عمره</w:t>
      </w:r>
      <w:bookmarkEnd w:id="269"/>
    </w:p>
    <w:p>
      <w:pPr>
        <w:pStyle w:val="BookText"/>
        <w:rPr/>
      </w:pPr>
      <w:r>
        <w:rPr>
          <w:rFonts w:ascii="Amiri" w:hAnsi="Amiri" w:eastAsia="Amiri" w:cs="Amiri"/>
          <w:color w:val="111111"/>
          <w:sz w:val="28"/>
          <w:sz w:val="28"/>
          <w:szCs w:val="28"/>
          <w:rtl w:val="true"/>
          <w:lang w:bidi="ar-SA"/>
        </w:rPr>
        <w:t xml:space="preserve">إنّ من الأسئلة المطروحة حول الإمام المهدي، طول عمره في فترة غيبته، فإنّه ولد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فيكون عمره إلى الأعصار الحاضرة أكثر من ألف و مائة و خمسين عاما، فهل يمكن في منطق العلم أن يعيش إنسان هذا العمر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من وجهين،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فقد دلّ الذكر الحكيم على أن شيخ الأنبياء عاش قرابة ألف 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تضمنت التوراة أسماء جماعة كثيرة من المعمرين، و ذكرت أحوالهم في سفر التكوين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المسلمون بتأليف كتب حول المعمرين، ككتاب المعمرين لأبي حاتم السجستاني، كما ذكر الصدوق أسماء عدّة منهم في كتاب كمال الدين</w:t>
      </w:r>
      <w:r>
        <w:rPr>
          <w:rStyle w:val="FootnoteAnchor"/>
          <w:rtl w:val="true"/>
        </w:rPr>
        <w:footnoteReference w:id="274"/>
      </w:r>
      <w:r>
        <w:rPr>
          <w:rFonts w:ascii="Amiri" w:hAnsi="Amiri" w:eastAsia="Amiri" w:cs="Amiri"/>
          <w:color w:val="111111"/>
          <w:sz w:val="28"/>
          <w:sz w:val="28"/>
          <w:szCs w:val="28"/>
          <w:rtl w:val="true"/>
          <w:lang w:bidi="ar-SA"/>
        </w:rPr>
        <w:t xml:space="preserve">، و العلامة </w:t>
      </w:r>
    </w:p>
    <w:p>
      <w:pPr>
        <w:pStyle w:val="BookText"/>
        <w:rPr/>
      </w:pPr>
      <w:r>
        <w:rPr>
          <w:rFonts w:ascii="Amiri" w:hAnsi="Amiri" w:eastAsia="Amiri" w:cs="Amiri"/>
          <w:color w:val="111111"/>
          <w:sz w:val="28"/>
          <w:sz w:val="28"/>
          <w:szCs w:val="28"/>
          <w:rtl w:val="true"/>
          <w:lang w:bidi="ar-SA"/>
        </w:rPr>
        <w:t xml:space="preserve">الكراجكي في رسالته الخاصة،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على صحة طول عمر الإمام صاحب الزمان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 العلامة المجلسي في البحار</w:t>
      </w:r>
      <w:r>
        <w:rPr>
          <w:rStyle w:val="FootnoteAnchor"/>
          <w:rtl w:val="true"/>
        </w:rPr>
        <w:footnoteReference w:id="276"/>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الحلّ، فإنّ السؤال عن إمكان طول العمر، يعرب عن عدم التعرّف على سعة قدرة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277"/>
      </w:r>
      <w:r>
        <w:rPr>
          <w:rFonts w:ascii="Amiri" w:hAnsi="Amiri" w:eastAsia="Amiri" w:cs="Amiri"/>
          <w:color w:val="111111"/>
          <w:sz w:val="28"/>
          <w:sz w:val="28"/>
          <w:szCs w:val="28"/>
          <w:rtl w:val="true"/>
          <w:lang w:bidi="ar-SA"/>
        </w:rPr>
        <w:t>، فإنّه إذا كانت حياته و غيبته و سائر شئونه، برعاية اللّه سبحانه، فأي مشكلة في أن يمدّ اللّه سبحانه في عمره ما شاء، و يدفع عنه عوادي المرض و يرزقه عيش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الحياة الطويلة، إمّا ممكنة في حدّ ذاتها أو ممتنعة، و الثاني لم يقل به أحد، فتعين الأول، فلا مانع من أن يقوم سبحانه بمدّ عمر وليّه، لتحقيق غرض من أغراض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ثبت في علم الحياة، من إمكان طول عمر الإنسان إذا كان مراعيا لقواعد حفظ الصحة، و أنّ موت الإنسان في فترة متدنية، ليس لقصور الاقتضاء، بل لعوارض تمنع عن استمرار الحياة، و لو أمكن تحصين الإنسان منها بالأدوية و المعالجات الخاصة لطال عمره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كلمات ضافية من مهرة علم الطب في إمكان إطالة العمر، و تمديد حياة البشر، نشرت في الكتب و المجلات العلمية المختلفة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اتّفقت كلمة الأطباء على أنّ رعاية أصول حفظ الصحة، توجب طول العمر، فكلما كثرت العناية برعاية تلك الأصول، طال العمر، و لأجل ذلك، نرى أنّ الوفيات في هذا الزمان، في بعض الممالك، أقلّ من السابق، و المعمّرين فيها أكثر من ذي قبل، و ما هو إلا لرعاية أصول الصحة، و من هنا أسّست شركات تضمن حياة الإنسان إلى أمد معلوم تحت مقررات خاصة </w:t>
      </w:r>
    </w:p>
    <w:p>
      <w:pPr>
        <w:pStyle w:val="BookText"/>
        <w:rPr/>
      </w:pPr>
      <w:r>
        <w:rPr>
          <w:rFonts w:ascii="Amiri" w:hAnsi="Amiri" w:eastAsia="Amiri" w:cs="Amiri"/>
          <w:color w:val="111111"/>
          <w:sz w:val="28"/>
          <w:sz w:val="28"/>
          <w:szCs w:val="28"/>
          <w:rtl w:val="true"/>
          <w:lang w:bidi="ar-SA"/>
        </w:rPr>
        <w:t>و حدود معينة، جارية على قوانين حفظ الصحة، فلو فرض في حياة شخص اجتماع موجبات الصحة من كل وجه، طال عمره إلى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قرأت ما تدوّنه أقلام الأطباء في هذا المجال، يتّضح لك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عيش الإنسان في بطون الحيتان، في أعماق المحيطات، ممكنا إلى يوم البعث، فكيف لا يعيش إنسان، على اليابسة، في أجواء طبيعية، تحت رعاية اللّه و عنايته، إلى ما شاء؟</w:t>
      </w:r>
      <w:r>
        <w:rPr>
          <w:rFonts w:eastAsia="Amiri" w:cs="Amiri" w:ascii="Amiri" w:hAnsi="Amiri"/>
          <w:color w:val="111111"/>
          <w:sz w:val="28"/>
          <w:szCs w:val="28"/>
          <w:rtl w:val="true"/>
          <w:lang w:bidi="ar-SA"/>
        </w:rPr>
        <w:t xml:space="preserve">. </w:t>
      </w:r>
      <w:bookmarkStart w:id="270" w:name="pg16351_181060"/>
    </w:p>
    <w:p>
      <w:pPr>
        <w:pStyle w:val="Heading6"/>
        <w:numPr>
          <w:ilvl w:val="5"/>
          <w:numId w:val="1"/>
        </w:numPr>
        <w:rPr/>
      </w:pPr>
      <w:bookmarkStart w:id="271" w:name="__RefHeading___Toc6422174_1280447820"/>
      <w:bookmarkStart w:id="272" w:name="_Toc104"/>
      <w:bookmarkEnd w:id="270"/>
      <w:bookmarkEnd w:id="271"/>
      <w:r>
        <w:rPr>
          <w:rtl w:val="true"/>
        </w:rPr>
        <w:t>السؤال الرابع علائم ظهوره، ما هي؟</w:t>
      </w:r>
      <w:bookmarkEnd w:id="272"/>
    </w:p>
    <w:p>
      <w:pPr>
        <w:pStyle w:val="BookText"/>
        <w:rPr/>
      </w:pPr>
      <w:r>
        <w:rPr>
          <w:rFonts w:ascii="Amiri" w:hAnsi="Amiri" w:eastAsia="Amiri" w:cs="Amiri"/>
          <w:color w:val="111111"/>
          <w:sz w:val="28"/>
          <w:sz w:val="28"/>
          <w:szCs w:val="28"/>
          <w:rtl w:val="true"/>
          <w:lang w:bidi="ar-SA"/>
        </w:rPr>
        <w:t>إذا كان للإمام الغائب، ظهورا بعد غيبة طويلة، فلا بدّ من أن يكون لظهوره علائم و أشراط، تخبر عن ظهوره، فما هي هذه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إنّ ما جاء في كتب الأحاديث من الحوادث و الفتن الواقعة في آخر الزمان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هو من أشراط الساعة و علامات دنو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هو ما يقع قبل ظهور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وقع الخلط بينهما في الكتب، و نحن نذكر القسم الثاني منهما، و هو عبارة عن أمور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الخسوف و الكسوف في غير مواقعهما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الشقاق و النفاق في المجتمع</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ذيوع الجور و الظلم و الهرج و المرج في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ابتلاء الإنسان بالموت الأحمر و الأبيض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جاء في الأحاديث الإسلامية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علامات ظهوره، و لكن هناك أمورا تمهّد لظهوره، و تسهّل تحقيق أهدافه نشير إلى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الاستعداد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منه أنّ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شيوع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حدّ، يقنط معه من تحقق الإصلاح بيد البشر، و عن طريق المنظمات العالمية التي تحمل عناوين مختلفة، و أنّ ضغط الظلم و الجور على الإنسان يحمله على أن يذعن و يقرّ بأنّ الإصلاح لا يتحقق إلاّ بظهور إعجاز إلهي، و حضور قوة غيبية، تدمر كل تلك التكتلات البشرية الفاسدة، التي قيّدت بأسلاكها أعناق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للإمام المهدي عليه السلام لا تتحقق بالحروب و النيران و التدمير الشامل للأعداء، و إنّما تتحقق برغبة الناس إليها، و تأييدهم لها، لتكامل عقولهم و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الباقر عليه السلام في حديث له يرشد فيه إلى أنّه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الظرف، تجتمع عقول البشر و تكتمل أحلامهم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اللّه يده على رءوس العباد، فيجمع بها عقولهم، تكتمل به أحلامهم</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بها عقولهم، بمعنى أنّ التكامل الاجتماعي يبلغ </w:t>
      </w:r>
    </w:p>
    <w:p>
      <w:pPr>
        <w:pStyle w:val="BookText"/>
        <w:rPr/>
      </w:pPr>
      <w:r>
        <w:rPr>
          <w:rFonts w:ascii="Amiri" w:hAnsi="Amiri" w:eastAsia="Amiri" w:cs="Amiri"/>
          <w:color w:val="111111"/>
          <w:sz w:val="28"/>
          <w:sz w:val="28"/>
          <w:szCs w:val="28"/>
          <w:rtl w:val="true"/>
          <w:lang w:bidi="ar-SA"/>
        </w:rPr>
        <w:t>بالبشر إلى الحدّ الذي يقبل فيه تلك الموهبة الإلهية، و لن يترصد للثورة على الإمام و الانقلاب عليه، و قتله أو سجنه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تكامل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العالمية الموحّدة لا تتحقق إلاّ بتكامل الصناعات البشرية، بحيث يسمع العالم كلّه صوته و نداءه، و تعاليمه و قوانينه في يوم واحد، و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و هو بالمشرق، يرى أخاه الذي في المغرب، و كذا الذي في المغرب يرى أخاه الذي بالمشرق</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الجيش الثوري العالمي، إنّ حكومة الإمام المهدي عليه السلام، و إن كانت قائمة على تكامل العقول، و لكن الحكومة لا تستغني عن جيش فدائي ثائر و فعال، يمهّد الطريق للإمام عليه السلام، و يواكبه بعد الظهور إلى تحقق أهدافه و غاياته المتوخّاة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البحث عن الإمامة، بالصورة التي تلائم العصر، و قد ركزنا على أهمّ الموضوعات، و تركنا البحث عن غيرها إلى الكتب المعدّة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البحث فيما يلي في المعاد، و حشر الإنسان في النشأة الأخرى، و هو الأصل الأصيل في الشرائع السماوية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الفصل العاشر المعاد مباحث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في الملل و الشرائع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وجوب المعاد و ضرورته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بواعث إنكار المعاد و شبهات المنكرين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العقل و النقل على تجرّد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نماذج من إحياء الموتى في الشرائع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نافذة إلى حياة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البرزخية و أدلتها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مشاهد البعث و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الجسماني و الروحاني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 و 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الإحباط و 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 حول المعاد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6351_181066"/>
      <w:bookmarkStart w:id="274" w:name="pg16351_181066"/>
      <w:bookmarkEnd w:id="274"/>
    </w:p>
    <w:p>
      <w:pPr>
        <w:pStyle w:val="Heading2"/>
        <w:numPr>
          <w:ilvl w:val="1"/>
          <w:numId w:val="1"/>
        </w:numPr>
        <w:rPr/>
      </w:pPr>
      <w:bookmarkStart w:id="275" w:name="pg16351_181066"/>
      <w:bookmarkStart w:id="276" w:name="__RefHeading___Toc6422176_1280447820"/>
      <w:bookmarkStart w:id="277" w:name="_Toc105"/>
      <w:bookmarkEnd w:id="275"/>
      <w:bookmarkEnd w:id="276"/>
      <w:r>
        <w:rPr>
          <w:rtl w:val="true"/>
        </w:rPr>
        <w:t>الفصل العاشر المعاد</w:t>
      </w:r>
      <w:bookmarkEnd w:id="277"/>
    </w:p>
    <w:p>
      <w:pPr>
        <w:pStyle w:val="Heading3"/>
        <w:numPr>
          <w:ilvl w:val="2"/>
          <w:numId w:val="1"/>
        </w:numPr>
        <w:rPr/>
      </w:pPr>
      <w:bookmarkStart w:id="278" w:name="__RefHeading___Toc6422178_1280447820"/>
      <w:bookmarkStart w:id="279" w:name="_Toc106"/>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البحث عن المعاد و حشر الإنسان بعد الدنيا، إجابة عن أحد الأسئلة التي طالما كان الإنسان المفكّر يواجهها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مذ فتح عينيه على الحياة، يسأل نفسه عن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مبدأ العالم و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الهدف من وجود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أين المصير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عن الصانع، إجابة عن السؤال الأول، كما أنّ البحث عن كونه سبحانه حكيما، و أنّ فعله منزّه عن العبث، إجابة عن الثاني، و ها هو حين البحث عن جواب السؤال الثالث، و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الموت ليس نهاية الحياة، و إنّ الإنسان لا يفنى بموته، و إنّما الموت جسر لينتقل الإنسان عبره من نشأة إلى نشأة أخرى أكمل من الأولى، و إنّ الإنسان خلق للبقاء، لا للفناء، و إنّ النشأة الأخروية، منتهى السير و غاية الغايات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ذلك يتمّ في ضمن المباحث التالية</w:t>
      </w:r>
      <w:r>
        <w:rPr>
          <w:rFonts w:eastAsia="Amiri" w:cs="Amiri" w:ascii="Amiri" w:hAnsi="Amiri"/>
          <w:color w:val="111111"/>
          <w:sz w:val="28"/>
          <w:szCs w:val="28"/>
          <w:rtl w:val="true"/>
          <w:lang w:bidi="ar-SA"/>
        </w:rPr>
        <w:t xml:space="preserve">: </w:t>
      </w:r>
      <w:bookmarkStart w:id="280" w:name="pg16351_181067"/>
    </w:p>
    <w:p>
      <w:pPr>
        <w:pStyle w:val="Heading3"/>
        <w:numPr>
          <w:ilvl w:val="2"/>
          <w:numId w:val="1"/>
        </w:numPr>
        <w:rPr/>
      </w:pPr>
      <w:bookmarkStart w:id="281" w:name="__RefHeading___Toc6422180_1280447820"/>
      <w:bookmarkStart w:id="282" w:name="_Toc107"/>
      <w:bookmarkEnd w:id="280"/>
      <w:bookmarkEnd w:id="281"/>
      <w:r>
        <w:rPr>
          <w:rtl w:val="true"/>
        </w:rPr>
        <w:t>مباحث المعاد</w:t>
      </w:r>
      <w:bookmarkEnd w:id="282"/>
    </w:p>
    <w:p>
      <w:pPr>
        <w:pStyle w:val="Heading4"/>
        <w:numPr>
          <w:ilvl w:val="3"/>
          <w:numId w:val="1"/>
        </w:numPr>
        <w:rPr/>
      </w:pPr>
      <w:bookmarkStart w:id="283" w:name="__RefHeading___Toc6422182_1280447820"/>
      <w:bookmarkStart w:id="284" w:name="_Toc108"/>
      <w:bookmarkEnd w:id="283"/>
      <w:r>
        <w:rPr>
          <w:rtl w:val="true"/>
        </w:rPr>
        <w:t>(</w:t>
      </w:r>
      <w:r>
        <w:rPr/>
        <w:t>1</w:t>
      </w:r>
      <w:r>
        <w:rPr>
          <w:rtl w:val="true"/>
        </w:rPr>
        <w:t>) «</w:t>
      </w:r>
      <w:r>
        <w:rPr>
          <w:rtl w:val="true"/>
        </w:rPr>
        <w:t>المعاد</w:t>
      </w:r>
      <w:r>
        <w:rPr>
          <w:rtl w:val="true"/>
        </w:rPr>
        <w:t xml:space="preserve">» </w:t>
      </w:r>
      <w:r>
        <w:rPr>
          <w:rtl w:val="true"/>
        </w:rPr>
        <w:t>في الملل و الشرائع السابقة</w:t>
      </w:r>
      <w:bookmarkEnd w:id="284"/>
    </w:p>
    <w:p>
      <w:pPr>
        <w:pStyle w:val="Heading5"/>
        <w:numPr>
          <w:ilvl w:val="4"/>
          <w:numId w:val="1"/>
        </w:numPr>
        <w:rPr/>
      </w:pPr>
      <w:bookmarkStart w:id="285" w:name="__RefHeading___Toc6422184_1280447820"/>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الاعتقاد بالمعاد عنصر أساسي في كل شريعة لها صلة بالسماء، و يحتل في الأصالة و التأثير محلّ العمود الفقري في بدن الإنسان، و بدونه تصبح الشرائع مسالك بشرية مادية، لا تمت إلى اللّه سبحانه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فقوام الشريعة بالمبدإ و المعاد، و لأجل ذلك لا ترى شريعة تتسم بأنّها شريعة إلهية و لو بعد تحريفها، خالية عن الدعوة إلى الحياة الأخروية و حشر الإنسان بعد الموت، و إقامة الحساب و الجزاء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نصوص العهدين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المحققين في التاريخ البشري يصرحون بأنّ المجتمع الإنساني لم يزل معتنقا لهذا الأصل، و إن لم يعلم دينه و لا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التوضيح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البدو القاطنين في الصحاري و البراري، الذي يعدّون نموذجا للمجتمع البدائي المنقرض، لهم طقوس خاصة في دفن الموتى تدلّ على اعتقادهم بعودة الأرواح إلى الأجسام المدفونة، و من ذلك أنّهم يضعون حجارة كبيرة على صدور موتاهم، و يربطون أعضاءهم بحبال متينة، لئلا يتحركوا بعد عود الروح و يخرجوا من أماكنهم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المصريين، ذوو الحضارة القديمة، كانوا يعتقدون أنّ الروح بعد </w:t>
      </w:r>
    </w:p>
    <w:p>
      <w:pPr>
        <w:pStyle w:val="BookText"/>
        <w:rPr/>
      </w:pPr>
      <w:r>
        <w:rPr>
          <w:rFonts w:ascii="Amiri" w:hAnsi="Amiri" w:eastAsia="Amiri" w:cs="Amiri"/>
          <w:color w:val="111111"/>
          <w:sz w:val="28"/>
          <w:sz w:val="28"/>
          <w:szCs w:val="28"/>
          <w:rtl w:val="true"/>
          <w:lang w:bidi="ar-SA"/>
        </w:rPr>
        <w:t>خروجها من البدن، لها علاقة به، و سوف ترجع إليه، و لذلك كانوا يتركون في القبور منافذ ليسهل دخول الروح إليها، و يضعون بعض الطعام و الشراب في جنب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صيانة الموتى عن أذى السباع، قام المتمكنون منهم ببناء الأهرام العظيمة فوق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البراهمة تثليث تحيّلوه منذ أكثر من ثلاثة آلاف سنة، و أطرافه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براهما، و فيشنو، و سيفا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فبراهما هو الإله الخالق، و فيشنو الإله الحافظ، و سيفا الإله الهادم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التناسخ احتلّ في الديانة البراهمية مكان الاعتقاد بالمعاد، و يراد منه رجوع الروح بعد انحلال جسدها إلى العالم الأرضي متلبسة بجسد جديد، إنساني أو حيواني</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بالتناسخ صورة منسوخة من العقيدة بالمعاد، و إرضاء لفطرة الإنسان في حب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مسلك البوذية الذي أسسه بوذا، غير خال عن عود الأرواح إلى الأبدان عودا تناسخيا، فإنّ لهذا المذهب، دعائم و أسس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الألم من لوازم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الرجوع إلى هذه الدنيا بسبب الالتياث بالشهوات في حياة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الخلاص من أثر الشهوات هو الوسيلة الوحيدة للنجاة من الحياة الأرضية بعد الموت، و تلك النجاة هي نجاة من الألم، و سبب للوصول إلى مكانة</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 المجوس أيضا فإنّ الاعتقاد ببقاء الروح بعد الموت و مجازات الإنسان حسب أعماله، من الأصول الأصيلة في ديانتهم، حتى أنّ بعض المرجفين في الكلام</w:t>
      </w:r>
      <w:r>
        <w:rPr>
          <w:rStyle w:val="FootnoteAnchor"/>
          <w:rtl w:val="true"/>
        </w:rPr>
        <w:footnoteReference w:id="287"/>
      </w:r>
      <w:r>
        <w:rPr>
          <w:rFonts w:ascii="Amiri" w:hAnsi="Amiri" w:eastAsia="Amiri" w:cs="Amiri"/>
          <w:color w:val="111111"/>
          <w:sz w:val="28"/>
          <w:sz w:val="28"/>
          <w:szCs w:val="28"/>
          <w:rtl w:val="true"/>
          <w:lang w:bidi="ar-SA"/>
        </w:rPr>
        <w:t xml:space="preserve">تصوّر أنّ تعاليم التوراة و المسيح في المعاد مأخوذة من تلك الديانة، و لكن عزب عنه أنّ المجوسية، إن كانت شريعة سماوية، يجب أن تشترك مع سائر الشرائع في الأصول، و ليست وحدة الأصول فيها، دليلا على أخذ المتأخر من المتقدم، فإنّ الشريعة فيض سماوي، أفيض من السماء إلى الإنسان الأرضي في </w:t>
      </w:r>
      <w:bookmarkStart w:id="287" w:name="pg16351_181069"/>
    </w:p>
    <w:p>
      <w:pPr>
        <w:pStyle w:val="BookText"/>
        <w:rPr/>
      </w:pPr>
      <w:bookmarkEnd w:id="287"/>
      <w:r>
        <w:rPr>
          <w:rFonts w:ascii="Amiri" w:hAnsi="Amiri" w:eastAsia="Amiri" w:cs="Amiri"/>
          <w:color w:val="111111"/>
          <w:sz w:val="28"/>
          <w:sz w:val="28"/>
          <w:szCs w:val="28"/>
          <w:rtl w:val="true"/>
          <w:lang w:bidi="ar-SA"/>
        </w:rPr>
        <w:t>أزمنة خاصة حسب لياقته و كفاءته، فاشتركت كل الشرائع في الأصول و اختلفت في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يمكن أن نلفت النظر إليه في عمومية المعاد بين الأقوام و الشعوب، و قد اختصرنا الكلام فيه، لأنّ الأولى عطف النظر إلى الكتب السماوية، المجموعة في العهدين و ما ينقله القرآن الكريم لنرى تركيز الأنبياء في القرون السالفة على المعاد، و نقتصر فى المقام على موارد خاصة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6422186_1280447820"/>
      <w:bookmarkStart w:id="289" w:name="_Toc110"/>
      <w:bookmarkEnd w:id="288"/>
      <w:r>
        <w:rPr>
          <w:rtl w:val="true"/>
        </w:rPr>
        <w:t>المعاد في العهد القديم</w:t>
      </w:r>
      <w:bookmarkEnd w:id="289"/>
    </w:p>
    <w:p>
      <w:pPr>
        <w:pStyle w:val="BookText"/>
        <w:rPr/>
      </w:pPr>
      <w:r>
        <w:rPr>
          <w:rFonts w:ascii="Amiri" w:hAnsi="Amiri" w:eastAsia="Amiri" w:cs="Amiri"/>
          <w:color w:val="111111"/>
          <w:sz w:val="28"/>
          <w:sz w:val="28"/>
          <w:szCs w:val="28"/>
          <w:rtl w:val="true"/>
          <w:lang w:bidi="ar-SA"/>
        </w:rPr>
        <w:t>إنّ من العجب أن التصريح بالحياة الأخروية في العهد العتيق قليل، و أنّ أكثر الوعود الواردة فيها على امتثال فرائض الربّ، عائدة إلى رجوعهم إلى الأرض المقدسة، و أنّ فيها من النّعم و البركات ما لا يحصى، و لعلّ يد التحريف حذفت ما دلّ على الحياة الأخروية و أنّ الإنسان يرى جزاء الأعمال و امتثال الفرائض، و ارتكاب المحرمات، في النشأة الأخرى، و هذا هو الذي أضفى على مذهب اليهود صبغة مادية، قلّ التوجه فيها إلى الأمور المعنوية، و مع ذلك كلّه فقد بقي فيها جمل تصرّح بحشر الإنسان بعد الدنيا، و إن كانت قليلة،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يميت و يحيي</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تحيا أمواتك يوم تقوم الجثث، استيقظوا ترنّموا يا سكّان التّراب</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ننكر أنّ في التوراة و غيرها جمل ربما تكون مشيرة إلى يوم البعث، و لكنها ليست صريحة في ذلك</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6422188_1280447820"/>
      <w:bookmarkStart w:id="291" w:name="_Toc111"/>
      <w:bookmarkEnd w:id="290"/>
      <w:r>
        <w:rPr>
          <w:rtl w:val="true"/>
        </w:rPr>
        <w:t>المعاد في العهد الجديد</w:t>
      </w:r>
      <w:bookmarkEnd w:id="2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قلة التصريح بالحياة الأخروية في العهد العتيق، نجد التصريح بها </w:t>
      </w:r>
    </w:p>
    <w:p>
      <w:pPr>
        <w:pStyle w:val="BookText"/>
        <w:rPr/>
      </w:pPr>
      <w:r>
        <w:rPr>
          <w:rFonts w:ascii="Amiri" w:hAnsi="Amiri" w:eastAsia="Amiri" w:cs="Amiri"/>
          <w:color w:val="111111"/>
          <w:sz w:val="28"/>
          <w:sz w:val="28"/>
          <w:szCs w:val="28"/>
          <w:rtl w:val="true"/>
          <w:lang w:bidi="ar-SA"/>
        </w:rPr>
        <w:t>بكل وضوح في الجديد، في موارد كثيرة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ابن الإنسان سوف يأتي في مجد أبيه، و ملائكته، و حينئذ يجازي كلّ واحد حسب عمله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يكون في انقضاء العالم، يخرج الملائكة و يفرزون الأشرار من بين الأبرار، و يطرحونهم في أتون النار هناك يكون البكاء، و صرير الأسنان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اليوم جاء إليه حدقيون، الذين يقولون ليس قيامة،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قال موسى إن مات أحد و ليس له أولاد، يتزوج أخوه بامرأته، و يقيم نسلا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عندنا سبعة إخوة و تزوج الأول و مات، و إذ لم يكن له نسل ترك امرأته لأخيه، و كذلك الثاني و الثالث إلى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الكل ماتت المرأة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القيامة لمن من السبعة تكون الزوجة فإنّها كانت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يسوع،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تضلّون إذ لا تعرفون الكتب و لا قوة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في القيامة، لا يزوجون و لا يتزوجون بل يكونون كملائكة اللّه في السماء</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كون المعاد عند كاتب الإنجيل روحانيا محضا، لا جسمانيا و روحانيا كما عليه الذكر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أعثرتك رجلك، فاقطعها، خير لك أن تدخل الحياة أعرج، من أن تكون لك رجلان و تطرح في جهنم في النار التي لا تطفأ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دودهم لا يموت و النار لا تطفأ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أعثرتك عينك فاقلعها، خير لك أن تدخل ملكوت اللّه أعور من أن تكون لك عينان و تطرح في جهنم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دودهم لا يموت و النار لا تطفأ</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هذه مشيئة الأب الذي أرسلني، إن كلّ ما أعطاني لا أتلف منه شيئا </w:t>
      </w:r>
      <w:bookmarkStart w:id="292" w:name="pg16351_181071"/>
    </w:p>
    <w:p>
      <w:pPr>
        <w:pStyle w:val="BookText"/>
        <w:rPr/>
      </w:pPr>
      <w:bookmarkEnd w:id="292"/>
      <w:r>
        <w:rPr>
          <w:rFonts w:ascii="Amiri" w:hAnsi="Amiri" w:eastAsia="Amiri" w:cs="Amiri"/>
          <w:color w:val="111111"/>
          <w:sz w:val="28"/>
          <w:sz w:val="28"/>
          <w:szCs w:val="28"/>
          <w:rtl w:val="true"/>
          <w:lang w:bidi="ar-SA"/>
        </w:rPr>
        <w:t xml:space="preserve">بل أقيمه في اليوم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هي مشيئته الذي أرسلني إن كلّ من يرى الابن و يؤمن به تكون له حياة أبدية و أنا أقيمه في اليوم الأخير</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 العهدين جمل أخر تصرّح أو تشير إلى يوم القيامة، و قد اقتصرنا على ما ذكرنا روما للاختصار، و الذي نلفت النظر إليه هو عدم اهتمام يهود اليوم، و الأمّة المسيحية، بالبعث و يوم القيامة و ما فيها من الحساب و الجزاء، و هذا هو الذي أجرأهم على المعاصي، و الخلاعة، و الانحلال من كل القيم الأخلاقية، أعاذنا اللّه من ذلك، و لأجل عدم اهتمام البيع و الكنائس باليوم الموعود، صارت تلكما الأمّتين، يهوديّة و مسيحية بالهوية الدولية، لا أكثر</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6422190_1280447820"/>
      <w:bookmarkStart w:id="294" w:name="_Toc112"/>
      <w:bookmarkEnd w:id="293"/>
      <w:r>
        <w:rPr>
          <w:rtl w:val="true"/>
        </w:rPr>
        <w:t>القرآن و المعاد في الشرائع السماوية</w:t>
      </w:r>
      <w:bookmarkEnd w:id="294"/>
    </w:p>
    <w:p>
      <w:pPr>
        <w:pStyle w:val="BookText"/>
        <w:rPr/>
      </w:pPr>
      <w:r>
        <w:rPr>
          <w:rFonts w:ascii="Amiri" w:hAnsi="Amiri" w:eastAsia="Amiri" w:cs="Amiri"/>
          <w:color w:val="111111"/>
          <w:sz w:val="28"/>
          <w:sz w:val="28"/>
          <w:szCs w:val="28"/>
          <w:rtl w:val="true"/>
          <w:lang w:bidi="ar-SA"/>
        </w:rPr>
        <w:t>قد بيّن الذكر الحكيم وجود تلك العقيدة في الشرائع السماوية من لدن آدم إلى المسيح، و لأجل أن يقف الباحث على نماذج من ذلك، نأتي ببعض الآيات الكريمات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هبط آدم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الخليقة بخطابات عامّة، تعرب عن أنّ الهدف من إهباطه إليها هو استقرار الخليقة في الأرض استقرارا مؤقتة محدودا، ليعودوا بعد ذلك إلى النشأة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تلك الخطابات في آيات مختلفة،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الخطابات العامة لجميع الخلائق، تعرب عن أنّ المعاد هو الهدف الأصيل لخلق الإنسان في الأرض، و أنّ اللّه سبحانه أنزل آدم لهذه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شيخ الأنبياء نوحا، الذي جاء لهداية قومه بشريعة بسيطة، يخاطبهم بخطابات فيها الدعوة إلى تلك العقيدة، نذكر منها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فالدعوة إلى المعاد في هاتين الآيتين صريحة، كما أنّها في الآية التالية بالإشارة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إِنِّي أَعُوذُ بِكَ أَنْ أَسْئَلَكَ مٰا لَيْسَ لِي بِهِ عِلْمٌ، وَ إِلاّٰ تَغْفِرْ لِي وَ تَرْحَمْنِي أَكُنْ مِنَ اَلْخٰاسِرِينَ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إبراهيم بطل التوحيد، يذكر المعاد و اليوم الآخر في غير واحد من كلماته، كما يحكيه عنه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آمَنَ مِنْهُمْ بِاللّٰهِ وَ اَلْيَوْمِ اَلْآخِرِ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اِغْفِرْ لِي وَ لِوٰالِدَيَّ وَ لِلْمُؤْمِنِينَ يَوْمَ يَقُومُ اَلْحِسٰابُ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تُخْزِنِي يَوْمَ يُبْعَثُونَ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اُشْكُرُوا لَهُ، إِلَيْهِ تُرْجَعُونَ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سلام اللّه عليه، لم يكتف بذلك، بل طلب من اللّه تعالى إحياء </w:t>
      </w:r>
    </w:p>
    <w:p>
      <w:pPr>
        <w:pStyle w:val="BookText"/>
        <w:rPr/>
      </w:pPr>
      <w:r>
        <w:rPr>
          <w:rFonts w:ascii="Amiri" w:hAnsi="Amiri" w:eastAsia="Amiri" w:cs="Amiri"/>
          <w:color w:val="111111"/>
          <w:sz w:val="28"/>
          <w:sz w:val="28"/>
          <w:szCs w:val="28"/>
          <w:rtl w:val="true"/>
          <w:lang w:bidi="ar-SA"/>
        </w:rPr>
        <w:t>الموتى، و حكاه الذكر الحكيم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بيانه في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موسى الكليم، خاطبه سبحانه عند التنديد بأعمال قومه بخطابات، فيها الوعد و الوعيد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كَذَّبُوا بِآيٰاتِنٰا وَ كٰانُوا عَنْهٰا 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بِآيٰاتِنٰا وَ لِقٰاءِ اَلْآخِرَةِ حَبِطَتْ أَعْمٰالُهُمْ، هَلْ يُجْزَوْنَ إِلاّٰ مٰا كٰانُوا يَعْمَلُونَ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 أنّ موسى عند ما يدعو على طاغية عصره فرعون مصر، يطلب له العذاب الأليم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اِطْمِسْ عَلىٰ أَمْوٰالِهِمْ، وَ اُشْدُدْ عَلىٰ قُلُوبِهِمْ فَلاٰ يُؤْمِنُوا، حَتّٰى يَرَوُا اَلْعَذٰابَ اَلْأَلِيمَ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عليه السلام، يخاطب من يفسّر معاجزه بالسحر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 أَعْلَمُ بِمَنْ جٰاءَ بِالْهُدىٰ مِنْ عِنْدِهِ وَ مَنْ تَكُونُ لَهُ عٰاقِبَةُ اَلدّٰارِ، إِنَّهُ لاٰ يُفْلِحُ اَلظّٰالِمُونَ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تنديدا بفرعون و 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عُذْتُ بِرَبِّي وَ رَبِّكُمْ مِنْ كُلِّ مُتَكَبِّرٍ لاٰ يُؤْمِنُ بِيَوْمِ اَلْحِسٰابِ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بني إسرائيل لما كانوا أشدّ الناس لجاجا و عنادا، قام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بإحياء الميت في قضية البقرة</w:t>
      </w:r>
      <w:r>
        <w:rPr>
          <w:rStyle w:val="FootnoteAnchor"/>
          <w:rtl w:val="true"/>
        </w:rPr>
        <w:footnoteReference w:id="305"/>
      </w:r>
      <w:r>
        <w:rPr>
          <w:rFonts w:ascii="Amiri" w:hAnsi="Amiri" w:eastAsia="Amiri" w:cs="Amiri"/>
          <w:color w:val="111111"/>
          <w:sz w:val="28"/>
          <w:sz w:val="28"/>
          <w:szCs w:val="28"/>
          <w:rtl w:val="true"/>
          <w:lang w:bidi="ar-SA"/>
        </w:rPr>
        <w:t>، و سيوافيك بيانه في المباحث الآتية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كانت العقيدة بالمعاد، عقيدة واضحة بين الشرائع السماوية، حتى </w:t>
      </w:r>
      <w:bookmarkStart w:id="295" w:name="pg16351_181074"/>
    </w:p>
    <w:p>
      <w:pPr>
        <w:pStyle w:val="BookText"/>
        <w:rPr/>
      </w:pPr>
      <w:bookmarkEnd w:id="295"/>
      <w:r>
        <w:rPr>
          <w:rFonts w:ascii="Amiri" w:hAnsi="Amiri" w:eastAsia="Amiri" w:cs="Amiri"/>
          <w:color w:val="111111"/>
          <w:sz w:val="28"/>
          <w:sz w:val="28"/>
          <w:szCs w:val="28"/>
          <w:rtl w:val="true"/>
          <w:lang w:bidi="ar-SA"/>
        </w:rPr>
        <w:t>أنّ مؤمن آل فرعون أخذ يعظ قومه بكلمات فيها إخافتهم من يوم القيامة، 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يٰا قَوْمِ إِنِّي أَخٰافُ عَلَيْكُمْ يَوْمَ اَلتَّنٰادِ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اَلْآخِرَةَ هِيَ دٰارُ اَلْقَرٰارِ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مَرَدَّنٰا إِلَى اَللّٰهِ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المسيح عيسى بن مريم، يخاطبه سبحانه بآيات فيها التذكير بيوم القيامة،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آمَنُوا وَ عَمِلُوا اَلصّٰالِحٰاتِ فَيُوَفِّيهِمْ أُجُورَهُمْ وَ اَللّٰهُ لاٰ يُحِبُّ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6422192_1280447820"/>
      <w:bookmarkStart w:id="297" w:name="_Toc113"/>
      <w:bookmarkEnd w:id="296"/>
      <w:r>
        <w:rPr>
          <w:rtl w:val="true"/>
        </w:rPr>
        <w:t>المعاد في القرآن</w:t>
      </w:r>
      <w:bookmarkEnd w:id="297"/>
    </w:p>
    <w:p>
      <w:pPr>
        <w:pStyle w:val="BookText"/>
        <w:rPr/>
      </w:pPr>
      <w:r>
        <w:rPr>
          <w:rFonts w:ascii="Amiri" w:hAnsi="Amiri" w:eastAsia="Amiri" w:cs="Amiri"/>
          <w:color w:val="111111"/>
          <w:sz w:val="28"/>
          <w:sz w:val="28"/>
          <w:szCs w:val="28"/>
          <w:rtl w:val="true"/>
          <w:lang w:bidi="ar-SA"/>
        </w:rPr>
        <w:t>إذا كان المعاد يحتل المكانة العليا في الشرائع السماوية، و كان القرآن خاتم الكتب، و المبعوث به خاتم الأنبياء، فيناسب أن يكون المعاد مطروحا فيه، بشكل مستوف، مقترنا بالدلائل العقلية المقنعة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صدّق الخبر الخبر، فالذكر الحكيم يعتني بالمعاد، و يهتم به اهتماما بالغا، يكشف عنه كثرة الآيات الواردة في مجال المعاد، و قد قام بعضهم بإحصاء ما يرجع إليه في القرآن فبلغ زهاء ألف و أربعمائة آية، و كان السيد العلامة الطباطبائي </w:t>
      </w:r>
      <w:bookmarkStart w:id="298" w:name="pg16351_181075"/>
    </w:p>
    <w:p>
      <w:pPr>
        <w:pStyle w:val="BookText"/>
        <w:rPr/>
      </w:pPr>
      <w:bookmarkEnd w:id="298"/>
      <w:r>
        <w:rPr>
          <w:rFonts w:ascii="Amiri" w:hAnsi="Amiri" w:eastAsia="Amiri" w:cs="Amiri"/>
          <w:color w:val="111111"/>
          <w:sz w:val="28"/>
          <w:sz w:val="28"/>
          <w:szCs w:val="28"/>
          <w:rtl w:val="true"/>
          <w:lang w:bidi="ar-SA"/>
        </w:rPr>
        <w:t>رحمه اللّه يقول بأنّه ورد البحث عن المعاد في القرآن في آيات تربو على الألفين، و لعلّه ضمّ الإشارة إليه، إلى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فهذه الآيات الهائلة، تعرب عن شدّة اهتمام القرآن به</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422194_1280447820"/>
      <w:bookmarkStart w:id="300" w:name="_Toc114"/>
      <w:bookmarkEnd w:id="299"/>
      <w:r>
        <w:rPr>
          <w:rtl w:val="true"/>
        </w:rPr>
        <w:t>أسماء المعاد في القرآن</w:t>
      </w:r>
      <w:bookmarkEnd w:id="300"/>
    </w:p>
    <w:p>
      <w:pPr>
        <w:pStyle w:val="BookText"/>
        <w:rPr/>
      </w:pPr>
      <w:r>
        <w:rPr>
          <w:rFonts w:ascii="Amiri" w:hAnsi="Amiri" w:eastAsia="Amiri" w:cs="Amiri"/>
          <w:color w:val="111111"/>
          <w:sz w:val="28"/>
          <w:sz w:val="28"/>
          <w:szCs w:val="28"/>
          <w:rtl w:val="true"/>
          <w:lang w:bidi="ar-SA"/>
        </w:rPr>
        <w:t>و يعرب عن هذا الاهتمام أنّه سبحانه يسميه بأسماء، و يصفه بصفات خاصة، فيسميه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الدين،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الآخر،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الحسرة،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الوقت المعلوم،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الفصل،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الحساب،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التلاق،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الآزفة،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التناد،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الوعيد،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الخلود،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الجمع،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التغابن،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الموعود،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البعث،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الطامّة الكبرى،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يصفه بأنّه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عظيم،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محيط،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عقيم،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أليم،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مشهود،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عسير،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عبوس قمطرير،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بيع فيه و لا خلّة و لا شفاعة،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مجموع له الناس،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تشخص فيه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على الكافرين عسير،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يجزي والد عن ولده، و لا مولود هو جاز عن والده شيئا،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يجعل الولدان شيبا، و غير ذلك من الأوصاف</w:t>
      </w:r>
      <w:r>
        <w:rPr>
          <w:rFonts w:eastAsia="Amiri" w:cs="Amiri" w:ascii="Amiri" w:hAnsi="Amiri"/>
          <w:color w:val="111111"/>
          <w:sz w:val="28"/>
          <w:szCs w:val="28"/>
          <w:rtl w:val="true"/>
          <w:lang w:bidi="ar-SA"/>
        </w:rPr>
        <w:t xml:space="preserve">. </w:t>
      </w:r>
      <w:bookmarkStart w:id="301" w:name="pg16351_181076"/>
    </w:p>
    <w:p>
      <w:pPr>
        <w:pStyle w:val="BookText"/>
        <w:rPr/>
      </w:pPr>
      <w:bookmarkEnd w:id="301"/>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302" w:name="__RefHeading___Toc6422196_1280447820"/>
      <w:bookmarkStart w:id="303" w:name="_Toc115"/>
      <w:bookmarkEnd w:id="302"/>
      <w:r>
        <w:rPr>
          <w:rtl w:val="true"/>
        </w:rPr>
        <w:t>(</w:t>
      </w:r>
      <w:r>
        <w:rPr/>
        <w:t>2</w:t>
      </w:r>
      <w:r>
        <w:rPr>
          <w:rtl w:val="true"/>
        </w:rPr>
        <w:t xml:space="preserve">) </w:t>
      </w:r>
      <w:r>
        <w:rPr>
          <w:rtl w:val="true"/>
        </w:rPr>
        <w:t>أدلة وجوب المعاد و ضرورته</w:t>
      </w:r>
      <w:bookmarkEnd w:id="303"/>
    </w:p>
    <w:p>
      <w:pPr>
        <w:pStyle w:val="Heading5"/>
        <w:numPr>
          <w:ilvl w:val="4"/>
          <w:numId w:val="1"/>
        </w:numPr>
        <w:rPr/>
      </w:pPr>
      <w:bookmarkStart w:id="304" w:name="__RefHeading___Toc6422198_1280447820"/>
      <w:bookmarkStart w:id="305" w:name="_Toc11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قد تعرفت على أنّ الحياة الأخروية للإنسان، أمر ممكن لا يمنع منه شيء، و إنّما الكلام في وجوب وقوعها و ضرورة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نستدلّ على ضرورة وجود هذه النشأة بوجوه عقلية هدانا إليها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6422200_1280447820"/>
      <w:bookmarkStart w:id="307" w:name="_Toc117"/>
      <w:bookmarkEnd w:id="306"/>
      <w:r>
        <w:rPr>
          <w:rtl w:val="true"/>
        </w:rPr>
        <w:t xml:space="preserve">الدليل الأول </w:t>
      </w:r>
      <w:r>
        <w:rPr>
          <w:rtl w:val="true"/>
        </w:rPr>
        <w:t xml:space="preserve">- </w:t>
      </w:r>
      <w:r>
        <w:rPr>
          <w:rtl w:val="true"/>
        </w:rPr>
        <w:t>صيانة الخلقة عن العبث</w:t>
      </w:r>
      <w:bookmarkEnd w:id="307"/>
    </w:p>
    <w:p>
      <w:pPr>
        <w:pStyle w:val="Heading6"/>
        <w:numPr>
          <w:ilvl w:val="5"/>
          <w:numId w:val="1"/>
        </w:numPr>
        <w:rPr/>
      </w:pPr>
      <w:bookmarkStart w:id="308" w:name="__RefHeading___Toc6422202_1280447820"/>
      <w:bookmarkStart w:id="309" w:name="_Toc118"/>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ذكرنا أنّ أحد الأسئلة التي تلاحق كلّ إنسان و يعاني منها، هو الوقوف على هدف الخلقة، و أنّه لما ذا خلق، و ما هو الغرض من خلق الإنسان، و الإنسان الإلهي بما أنّه يصون فعل الحقّ عن العبث و 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بمعنى أنّ هناك غرضا للخالق يستكمل به، بل بمعنى أنّ فعله ليس بلا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يجيب بأنّه لم يخلق عبثا و لا سدى، بل خلق ليبلغ الكمال الذي يناله في النشأة الأخروية، على وجه لولاها لأصبح خلقه و إيجاده لغوا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الدليل، أي صيانة فعل الباري عن العبث، يمكن بيانه بوجوه، تتحد في الجوهر، و إنّما تختلف في التقرير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و غاية الخلقة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 و الحقّ المطلق</w:t>
      </w:r>
      <w:r>
        <w:rPr>
          <w:rFonts w:eastAsia="IRNazanin" w:cs="IRNazanin"/>
          <w:color w:val="111111"/>
          <w:sz w:val="28"/>
          <w:szCs w:val="28"/>
          <w:rtl w:val="true"/>
          <w:lang w:bidi="fa-IR"/>
        </w:rPr>
        <w:t xml:space="preserve">. </w:t>
      </w:r>
      <w:bookmarkStart w:id="310" w:name="pg16351_181077"/>
    </w:p>
    <w:p>
      <w:pPr>
        <w:pStyle w:val="BookText"/>
        <w:rPr/>
      </w:pPr>
      <w:bookmarkEnd w:id="31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المعاد و النّظم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فيستدلّ على المعاد تارة بأنّه هو غاية الخلقة، و أخرى بأنّ الحقّ تعالى شأنه لا ينفك فعله عن غاية، و ثالثة بأنّ النّظم البديعة السائدة على العالم لا تنفك عن غرض و غاية، و الكلّ صور مختلفة لاستدلال واحد، استوحيناه من الذكر الحكيم، فإليك بيانها</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6422204_1280447820"/>
      <w:bookmarkStart w:id="312" w:name="_Toc119"/>
      <w:bookmarkEnd w:id="311"/>
      <w:r>
        <w:rPr/>
        <w:t>1</w:t>
      </w:r>
      <w:r>
        <w:rPr>
          <w:rtl w:val="true"/>
        </w:rPr>
        <w:t xml:space="preserve"> - </w:t>
      </w:r>
      <w:r>
        <w:rPr>
          <w:rtl w:val="true"/>
        </w:rPr>
        <w:t>المعاد غاية الخلقة</w:t>
      </w:r>
      <w:bookmarkEnd w:id="312"/>
    </w:p>
    <w:p>
      <w:pPr>
        <w:pStyle w:val="BookText"/>
        <w:rPr/>
      </w:pPr>
      <w:r>
        <w:rPr>
          <w:rFonts w:ascii="Amiri" w:hAnsi="Amiri" w:eastAsia="Amiri" w:cs="Amiri"/>
          <w:color w:val="111111"/>
          <w:sz w:val="28"/>
          <w:sz w:val="28"/>
          <w:szCs w:val="28"/>
          <w:rtl w:val="true"/>
          <w:lang w:bidi="ar-SA"/>
        </w:rPr>
        <w:t xml:space="preserve">يستدلّ الذكر الحكيم على لزوم المعاد بأنّ الحياة الأخروية هي الغاية من خلق الإنسان و إنزاله إلى هذه البسيطة، و أنّه لولاها لصارت حياته منحصرة في إطار الدنيا، و لأصح إيجاده و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عبثا و باطلا، و اللّه سبحانه منزّه عن الإيجاد بلا غرض، و إلى ذلك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لطيف البيان في هذا المجال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 اَلْأَرْضَ وَ مٰا بَيْنَهُمٰا لاٰعِبِينَ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Style w:val="FootnoteAnchor"/>
          <w:rtl w:val="true"/>
        </w:rPr>
        <w:footnoteReference w:id="310"/>
      </w:r>
      <w:r>
        <w:rPr>
          <w:rFonts w:ascii="Amiri" w:hAnsi="Amiri" w:eastAsia="Amiri" w:cs="Amiri"/>
          <w:color w:val="111111"/>
          <w:sz w:val="28"/>
          <w:sz w:val="28"/>
          <w:szCs w:val="28"/>
          <w:rtl w:val="true"/>
          <w:lang w:bidi="ar-SA"/>
        </w:rPr>
        <w:t>فترى أنّه يذكر يوم الفصل بعد نفي كون الخلقة لعبا، و ذلك يعرب عن أنّ النّشأة الأخروية تصون الخلقة عن اللغو و اللعب، و بذلك تظهر صلة الآيات</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422206_1280447820"/>
      <w:bookmarkStart w:id="314" w:name="_Toc120"/>
      <w:bookmarkEnd w:id="313"/>
      <w:r>
        <w:rPr/>
        <w:t>2</w:t>
      </w:r>
      <w:r>
        <w:rPr>
          <w:rtl w:val="true"/>
        </w:rPr>
        <w:t xml:space="preserve"> - </w:t>
      </w:r>
      <w:r>
        <w:rPr>
          <w:rtl w:val="true"/>
        </w:rPr>
        <w:t>المعاد و الحق المطلق</w:t>
      </w:r>
      <w:bookmarkEnd w:id="31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لطائف البيان في القرآن الكريم أنّه تعالى يصف نفسه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حقّ سواه، ثم يرتب على ذلك إحياء الموتى و النشأة الآخرة، و ذلك لأنّ الحق المطلق عبارة عن الوجود الذي لا يتطرق البطلان إلى ذاته أوّلا، و صفاته ثانيا، و أفعاله ثالثا، و لو كان فعله بلا غاية و لا هدف، لما كان حقّا مطلقا، </w:t>
      </w:r>
      <w:bookmarkStart w:id="315" w:name="pg16351_181078"/>
    </w:p>
    <w:p>
      <w:pPr>
        <w:pStyle w:val="BookText"/>
        <w:rPr/>
      </w:pPr>
      <w:bookmarkEnd w:id="315"/>
      <w:r>
        <w:rPr>
          <w:rFonts w:ascii="Amiri" w:hAnsi="Amiri" w:eastAsia="Amiri" w:cs="Amiri"/>
          <w:color w:val="111111"/>
          <w:sz w:val="28"/>
          <w:sz w:val="28"/>
          <w:szCs w:val="28"/>
          <w:rtl w:val="true"/>
          <w:lang w:bidi="ar-SA"/>
        </w:rPr>
        <w:t>فيستدلّ بكونه حقّا محضا على لزوم الغاية التي تتمثل في الحياة الأخروية للإنسان،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من هذا الباب وصفه سبحانه نفسه بالحق، ثم ذكره بعد ذلك آيات البعث و القيامة، فكأنّه يشير بذلك إلى أنّ كونه حقّا مطلقا لا يعتريه الباطل، يلازم البعث، و إلاّ لا يكون حقّا مطلقا، نرى هذا البيان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بِأَنَّ اَللّٰهَ هُوَ اَلْحَقُّ وَ أَنَّ مٰا يَدْعُونَ مِنْ دُونِهِ هُوَ اَلْبٰاطِلُ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ثلاث آيات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أَحْيٰاكُمْ ثُمَّ يُمِيتُكُمْ ثُمَّ يُحْيِيكُمْ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آيتين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6" w:name="__RefHeading___Toc6422208_1280447820"/>
      <w:bookmarkStart w:id="317" w:name="_Toc121"/>
      <w:bookmarkEnd w:id="316"/>
      <w:r>
        <w:rPr/>
        <w:t>3</w:t>
      </w:r>
      <w:r>
        <w:rPr>
          <w:rtl w:val="true"/>
        </w:rPr>
        <w:t xml:space="preserve"> - </w:t>
      </w:r>
      <w:r>
        <w:rPr>
          <w:rtl w:val="true"/>
        </w:rPr>
        <w:t>المعاد و النظم البديع</w:t>
      </w:r>
      <w:bookmarkEnd w:id="31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الذكر الحكيم تلويح و إشارة إلى هذا النوع من الاستدلال، حيث نرى أنّه سبحانه يذكر النبأ العظيم و اختلاف الناس فيه بين مثبت و ناف، ثم يبيّن </w:t>
      </w:r>
      <w:bookmarkStart w:id="318" w:name="pg16351_181079"/>
    </w:p>
    <w:p>
      <w:pPr>
        <w:pStyle w:val="BookText"/>
        <w:rPr/>
      </w:pPr>
      <w:bookmarkEnd w:id="318"/>
      <w:r>
        <w:rPr>
          <w:rFonts w:ascii="Amiri" w:hAnsi="Amiri" w:eastAsia="Amiri" w:cs="Amiri"/>
          <w:color w:val="111111"/>
          <w:sz w:val="28"/>
          <w:sz w:val="28"/>
          <w:szCs w:val="28"/>
          <w:rtl w:val="true"/>
          <w:lang w:bidi="ar-SA"/>
        </w:rPr>
        <w:t>النظام البديع السائد في الكون، ببيان رائق مبسوط، معربا عن أنّه لو لا النبأ العظيم، لأصبح خلق العالم بلا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 وَ اَلْجِبٰالَ أَوْتٰاداً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تقف على انسجام الآيات وصلة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كلمات الإمام أمير المؤمنين إشارة إلى هذا النمط من الاستدلال، يقول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الخلق لا مقصر لهم عن القيامة، مرفلين في مضمارها إلى الغاية القصوى</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خطبة أخرى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شخصوا من مستقر الأجداث و صاروا إلى مصائر الغايات</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 w:name="__RefHeading___Toc6422210_1280447820"/>
      <w:bookmarkStart w:id="320" w:name="_Toc122"/>
      <w:bookmarkEnd w:id="319"/>
      <w:r>
        <w:rPr>
          <w:rtl w:val="true"/>
        </w:rPr>
        <w:t xml:space="preserve">الدليل الثاني </w:t>
      </w:r>
      <w:r>
        <w:rPr>
          <w:rtl w:val="true"/>
        </w:rPr>
        <w:t xml:space="preserve">- </w:t>
      </w:r>
      <w:r>
        <w:rPr>
          <w:rtl w:val="true"/>
        </w:rPr>
        <w:t>المعاد مقتضى العدل الإلهي</w:t>
      </w:r>
      <w:bookmarkEnd w:id="32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العمل بالعدل، و الاجتناب عن الظلم، من فروع التحسين و التقبيح العقليين، اللذين هما من أحكام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بلزوم فعل الحسن و اجتناب القبيح، يرى العمل بالعدل واجبا لكل فاعل مريد مختار، من غير فرق </w:t>
      </w:r>
    </w:p>
    <w:p>
      <w:pPr>
        <w:pStyle w:val="BookText"/>
        <w:rPr/>
      </w:pPr>
      <w:r>
        <w:rPr>
          <w:rFonts w:ascii="Amiri" w:hAnsi="Amiri" w:eastAsia="Amiri" w:cs="Amiri"/>
          <w:color w:val="111111"/>
          <w:sz w:val="28"/>
          <w:sz w:val="28"/>
          <w:szCs w:val="28"/>
          <w:rtl w:val="true"/>
          <w:lang w:bidi="ar-SA"/>
        </w:rPr>
        <w:t>بين أن يكون ممكنا، أو واجبا، لأنّ الحسن حسن في كل حال، و القبيح قبيح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جماعة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التحسين و التقبيح العقليين، و يتركون المجال في القضاء بهما للوحي السماوي، و هم أيضا يقولون بلزوم العمل بالعدل و الاجتناب عن الظلم، بحكم أن الشرع قد أمر بهما، و أنّه سبحانه وصف نفسه بالقيام بالقسط</w:t>
      </w:r>
      <w:r>
        <w:rPr>
          <w:rStyle w:val="FootnoteAnchor"/>
          <w:rtl w:val="true"/>
        </w:rPr>
        <w:footnoteReference w:id="319"/>
      </w:r>
      <w:r>
        <w:rPr>
          <w:rFonts w:ascii="Amiri" w:hAnsi="Amiri" w:eastAsia="Amiri" w:cs="Amiri"/>
          <w:color w:val="111111"/>
          <w:sz w:val="28"/>
          <w:sz w:val="28"/>
          <w:szCs w:val="28"/>
          <w:rtl w:val="true"/>
          <w:lang w:bidi="ar-SA"/>
        </w:rPr>
        <w:t>، فتكون النتيجة لزوم معاملة العباد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إثابة المطيعين من باب التفضل منه سبحانه، لأنّهم يطيعونه تعالى بفضل ما أنعمه عليهم من النعم الوجودية، كما أنّ عقاب العصاة، حق محض له، فله أن يعفو عنهم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حكم العقل في كل واحد من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و العاصي، إذا لوحظا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هناك كلام آخر، و هو أنّه لو كان جميع العباد مطيعين سالكين نهج الامتثال، فله التفضل بالثواب، كما له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 جميع العباد، عصاة سالكين نهج المخالفة، فله سبحانه معاقبتهم أو العفو عنهم، و لكنّ العباد، ينقسمون إلى قسمين، فهم بين مطيع و عاص، و التسوية بينهم بصورها المختلفة، خلاف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أثاب الجميع أو عاقب الجميع، أو تركهم سدى من دون أن يحشروا في النشأة الأخرى، كان ذلك كلّه على خلاف العدل، و خلاف ما يحكم به العقل من لزوم كون فعله تعالى حسنا، فهنا يستقل العقل بأنّه يجب التفريق بينهما من حيث المصير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هذا غير متحقق في النشأة الدنيوية، فيجب أن يكون هناك نشأة أخرى يتحقق فيها ذلك الميز، و يفرّق فيه بين المطيعين و العاصين، و هو المعاد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الدليل العقلي يشير إليه القرآن الكريم في لفيف من آياته، و هي على </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يندد بالتسوية و ينكرها، و قسم يصرّح بالفرق بين العاصي و المطيع في النشأة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اِجْتَرَحُوا اَلسَّيِّئٰاتِ أَنْ نَجْعَلَهُمْ كَالَّذِينَ آمَنُوا وَ عَمِلُوا اَلصّٰالِحٰاتِ سَوٰاءً مَحْيٰاهُمْ وَ مَمٰاتُهُمْ، سٰاءَ مٰا يَحْكُمُونَ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القسم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آتِيَةٌ أَكٰادُ أُخْفِيهٰا لِتُجْزىٰ كُلُّ نَفْسٍ بِمٰا </w:t>
      </w:r>
      <w:bookmarkStart w:id="321" w:name="pg16351_181082"/>
    </w:p>
    <w:p>
      <w:pPr>
        <w:pStyle w:val="BookText"/>
        <w:rPr/>
      </w:pPr>
      <w:bookmarkEnd w:id="321"/>
      <w:r>
        <w:rPr>
          <w:rFonts w:ascii="Amiri" w:hAnsi="Amiri" w:eastAsia="Amiri" w:cs="Amiri"/>
          <w:color w:val="111111"/>
          <w:sz w:val="28"/>
          <w:sz w:val="28"/>
          <w:szCs w:val="28"/>
          <w:rtl w:val="true"/>
          <w:lang w:bidi="ar-SA"/>
        </w:rPr>
        <w:t xml:space="preserve">تَسْعىٰ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و لِتُجْزىٰ ، إشارة إلى أنّ قيام القيامة، تحقيق لمسألة الثواب و العقاب، الذين هما مقتضى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الإمام علي إشارة إلى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 اللّه فيه الأوّلين و الآخرين لنقاش الحساب، و جزاء الأعمال</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فجدّدهم بعد إخلاقهم، و جمعهم بعد تفرّقهم، ثمّ ميّزهم لما يريده من مسألتهم عن خفايا الأعمال و خبايا الأفعال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6422212_1280447820"/>
      <w:bookmarkStart w:id="323" w:name="_Toc123"/>
      <w:bookmarkEnd w:id="322"/>
      <w:r>
        <w:rPr>
          <w:rtl w:val="true"/>
        </w:rPr>
        <w:t>الدليل الثالث</w:t>
      </w:r>
      <w:r>
        <w:rPr>
          <w:rtl w:val="true"/>
        </w:rPr>
        <w:t xml:space="preserve">: </w:t>
      </w:r>
      <w:r>
        <w:rPr>
          <w:rtl w:val="true"/>
        </w:rPr>
        <w:t>المعاد مجلى لتحقق وعده و وعيده</w:t>
      </w:r>
      <w:bookmarkEnd w:id="323"/>
    </w:p>
    <w:p>
      <w:pPr>
        <w:pStyle w:val="BookText"/>
        <w:rPr/>
      </w:pPr>
      <w:r>
        <w:rPr>
          <w:rFonts w:ascii="Amiri" w:hAnsi="Amiri" w:eastAsia="Amiri" w:cs="Amiri"/>
          <w:color w:val="111111"/>
          <w:sz w:val="28"/>
          <w:sz w:val="28"/>
          <w:szCs w:val="28"/>
          <w:rtl w:val="true"/>
          <w:lang w:bidi="ar-SA"/>
        </w:rPr>
        <w:t>و هناك دليل ثالث يضفي على المعاد الضرورة و القطعية، و هو مركب من مقدمة شرعية، و حكم عقلي، و ذلك أنّه سبحانه قد وعد المطيعين بالثواب، و العاصين بالعقاب، و هذه صغرى البرهان أخبر عنها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العقل عندئذ واضح، و هو أنّ إنجاز الوعد حسن، و التخلّف عنه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في الدليل السابق أنّ العباد لا يستحقون الثواب بطاعتهم، و إنّما هو جود و تفضّل، لكن هذا بغضّ النظر عن الوعد به، و أمّا معه، فالوفاء به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الواردة في هذا المجال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يذكر فيه وعده بالقيامة و وعده بالثواب و وعيده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يذكر أنّه ينجز وعده و لا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يدلّ عليه كثير، نذكر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يدلّ على الوعد بالقيامة، فمنه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يدل على الوعد بالثواب، فمنه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أُزْلِفَتِ اَلْجَنَّةُ لِلْمُتَّقِينَ غَيْرَ بَعِيدٍ، هٰذٰا مٰا تُوعَدُونَ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يدلّ على الوعيد بالعقاب، فمنه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جَهَنَّمَ لَمَوْعِدُهُمْ أَجْمَعِينَ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يَكْفُرْ بِهِ مِنَ اَلْأَحْزٰابِ فَالنّٰارُ مَوْعِدُهُ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يركّز على حكم العقل و يدعمه، و ينفي الخلف عن وعده، فمنه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تُخْزِنٰا يَوْمَ اَلْقِيٰامَةِ إِنَّكَ لاٰ تُخْلِفُ اَلْمِيعٰادَ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الأساس يستدلّ المحقق الطوسي، على ضرورة المعاد، بقوله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إيفاء الوعد، يقتضي وجوب البعث</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324" w:name="pg16351_181084"/>
    </w:p>
    <w:p>
      <w:pPr>
        <w:pStyle w:val="Heading5"/>
        <w:numPr>
          <w:ilvl w:val="4"/>
          <w:numId w:val="1"/>
        </w:numPr>
        <w:rPr/>
      </w:pPr>
      <w:bookmarkStart w:id="325" w:name="__RefHeading___Toc6422214_1280447820"/>
      <w:bookmarkStart w:id="326" w:name="_Toc124"/>
      <w:bookmarkEnd w:id="324"/>
      <w:bookmarkEnd w:id="325"/>
      <w:r>
        <w:rPr>
          <w:rtl w:val="true"/>
        </w:rPr>
        <w:t>الدليل الرابع</w:t>
      </w:r>
      <w:r>
        <w:rPr>
          <w:rtl w:val="true"/>
        </w:rPr>
        <w:t xml:space="preserve">: </w:t>
      </w:r>
      <w:r>
        <w:rPr>
          <w:rtl w:val="true"/>
        </w:rPr>
        <w:t>المعاد مجلى لرحمته سبحانه</w:t>
      </w:r>
      <w:bookmarkEnd w:id="326"/>
    </w:p>
    <w:p>
      <w:pPr>
        <w:pStyle w:val="BookText"/>
        <w:rPr/>
      </w:pPr>
      <w:r>
        <w:rPr>
          <w:rFonts w:ascii="Amiri" w:hAnsi="Amiri" w:eastAsia="Amiri" w:cs="Amiri"/>
          <w:color w:val="111111"/>
          <w:sz w:val="28"/>
          <w:sz w:val="28"/>
          <w:szCs w:val="28"/>
          <w:rtl w:val="true"/>
          <w:lang w:bidi="ar-SA"/>
        </w:rPr>
        <w:t>و من لطائف الكلام في الذكر الحكيم أنّه عدّ المعاد فرعا لرحمته، و جعله مجلى لها،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 سبحانه يرتّب جمع الناس إلى يوم القيامة،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نَفْسِهِ اَلرَّحْمَةَ ، و ذلك لأنّ هذا اليوم يوم الرحمة للمؤمن و الكافر، غير أنّ الكافر، قد خسر نفسه باقتراف المعاصي و ترك الفرائض في الدنيا، فلا يتوفق لنيل رحمته تعالى، و لعلّه سبحانه إلى ذلك يشير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خَسِرُوا أَنْفُسَهُمْ فَهُمْ لاٰ يُؤْمِنُونَ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يعود معنى الآية إلى أنّ يوم القيامة أشبه بمائدة ممدودة، فيها ما تشتهيه الأنفس و تلذّ الأعين، و لكن الانتفاع منها رهن قيود و شروط هي في وسع كل واحد من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حرم الكافر من الرحمة، فهو بفعل نفسه و ما جنته يداه لا من جانبه سبحانه، و هذا كابتلاء العباد و امتحانهم، فإنّه رحمة، لأنّ الهدف منه خروج الطاقات من القوة إلى الفعل، و الكمالات من الخفاء إلى البروز، و لكن الكافر لا يخرج منه إلاّ راسبا غير مستفيد من أهداف الابتلاء، بل يخسر نفسه بفتور عزمه في مجال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ذلك من الآية التالية، و هي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فللآية دلالتان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المطابقية منهما تهدف إلى تشبيه إحياء الموتى بإحياء الأرض حتى يرجع المنكر عن إنكاره بمشاهدة إحياء محسوس، و هو إحياء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الالتزامية منهما تدلّ على أنّ </w:t>
      </w:r>
      <w:bookmarkStart w:id="327" w:name="pg16351_181085"/>
    </w:p>
    <w:p>
      <w:pPr>
        <w:pStyle w:val="BookText"/>
        <w:rPr/>
      </w:pPr>
      <w:bookmarkEnd w:id="327"/>
      <w:r>
        <w:rPr>
          <w:rFonts w:ascii="Amiri" w:hAnsi="Amiri" w:eastAsia="Amiri" w:cs="Amiri"/>
          <w:color w:val="111111"/>
          <w:sz w:val="28"/>
          <w:sz w:val="28"/>
          <w:szCs w:val="28"/>
          <w:rtl w:val="true"/>
          <w:lang w:bidi="ar-SA"/>
        </w:rPr>
        <w:t>إحياء الموتى يوم القيامة، رحمة من اللّه سبحانه لهم، كما أنّ إحياء الأرض رحمة من اللّه سبحانه لعباده</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422216_1280447820"/>
      <w:bookmarkStart w:id="329" w:name="_Toc125"/>
      <w:bookmarkEnd w:id="328"/>
      <w:r>
        <w:rPr>
          <w:rtl w:val="true"/>
        </w:rPr>
        <w:t>الدليل الخامس</w:t>
      </w:r>
      <w:r>
        <w:rPr>
          <w:rtl w:val="true"/>
        </w:rPr>
        <w:t xml:space="preserve">: </w:t>
      </w:r>
      <w:r>
        <w:rPr>
          <w:rtl w:val="true"/>
        </w:rPr>
        <w:t>المعاد خاتمة المطاف في تكامل الإنسان</w:t>
      </w:r>
      <w:bookmarkEnd w:id="329"/>
    </w:p>
    <w:p>
      <w:pPr>
        <w:pStyle w:val="BookText"/>
        <w:rPr/>
      </w:pPr>
      <w:r>
        <w:rPr>
          <w:rFonts w:ascii="Amiri" w:hAnsi="Amiri" w:eastAsia="Amiri" w:cs="Amiri"/>
          <w:color w:val="111111"/>
          <w:sz w:val="28"/>
          <w:sz w:val="28"/>
          <w:szCs w:val="28"/>
          <w:rtl w:val="true"/>
          <w:lang w:bidi="ar-SA"/>
        </w:rPr>
        <w:t>إنّ الحركة تتقوم بأمور ستة، منها الغاية،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الغاية في حقيقة الحركة ينشأ من تصوّر مفهومها، فإنّ الحركة جهد و سعي، يتطلب صاحبها غاية يفقدها، من غير بين أن تكون الغاية عقلائية، كحركة الطالب لتحصيل العلم، أو غير عقلائية، كاللعب بالسّبحة لترويح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أنّ الإنسان منذ تكونه نطفة فعلقة فمضغة، إلى أن يفتح عينه على الوجود، في حال حركة دائمة و سعي متواصل ليس له ثبات و لا قرار، و هو يطلب بحركته و سعيه شيئا يفقده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لا بدّ من وجود يوم يزول فيه وصف اللاقرار، و يدخل منزلا فيه القرار و الثبات، يكون غاية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الحركة و إن كانت تتوقف بالموت و لا يرى بعدها في الإنسان سعي، لكنّ تفسير الموت ببطلان الإنسان و شخصيته الساعية، إبطال للغاية التي كان يتوخاها من حركته، فلا بدّ أن يكون الموت ورودا إلى منزل آخر، يصل فيه إلى الغاية المتوخاة من سعيه و جهاده، و ذلك المنزل هو النشأة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أن يقال إنّ الغاية من الحركة و السعي و الكدح، هو نيل اللذائذ المادية و التجمّلات الظاهرية، لوضوح أنّ الإنسان مهما نال منها، لا يخمد عطشه، بل يستمر في سعيه و طلبه، و هذا يدلّ على أنّ له ضالة أخرى يتوجّه نحوها، و إن لم يعرف حقيقتها، فهو يطلب الكمال اللائق بحاله، و يتصور أنّ ملاذّ الحياة غايته، و منتهى سعيه، و لكنه سوف يرجع عن كل غاية يصل إليها و يعطف توجهه إلى شيء آخر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ذكرت فيها النطفة و أطوارها الكمالية، </w:t>
      </w:r>
    </w:p>
    <w:p>
      <w:pPr>
        <w:pStyle w:val="BookText"/>
        <w:rPr/>
      </w:pPr>
      <w:r>
        <w:rPr>
          <w:rFonts w:ascii="Amiri" w:hAnsi="Amiri" w:eastAsia="Amiri" w:cs="Amiri"/>
          <w:color w:val="111111"/>
          <w:sz w:val="28"/>
          <w:sz w:val="28"/>
          <w:szCs w:val="28"/>
          <w:rtl w:val="true"/>
          <w:lang w:bidi="ar-SA"/>
        </w:rPr>
        <w:t>و تقلّباتها من صورة النقص إلى صورة أكمل، و من حال أدون إلى حال أعلى، فالغرض من ذكرها، إثبات أنّ لهذه الأطوار و التحولات غاية أخيرة، فللإنسان توجّه طبيعي نحو الكمال، و دين إلهي فطري في التقرّب إلى المبدأ الفعّال، و الكمال اللائق بحال الإنسان المخلوق أوّلا من هذه الطبيعة، و إلاّ كان لا يوجد في هذا العالم الأدنى، بل في عالم الآخرة التي إليها الرجعي، و فيها الغاية و المنتهى، فبالضرورة إذا استوفى الإنسان جميع المراتب الخلقية الواقعة في حدود حركته الجوهرية الفطرية، من الجمادية و النباتية، و الحيوانية، و بلغ أشدّه الصوري، و تمّ وجوده الدنيوي الحيواني، فلا بدّ أن يتوجه نحو النشأة الآخرة، و يخرج من القوة إلى الفعل، و من الدنيا إلى الأخرى، ثم المولى، و هو غاية الغايات، و منتهى الأشواق و الحركات</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الآيات الكريمات إشارات إلى هذا البرهان، يفهمها الراسخون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لاحظت هذه الآيات و ما تقدمها ممّا يتكفل ببيان خلقة الإنسان، ترى لها انسجاما و ترابطا خاصّا، فاللّه سبحانه يصف الإنسان بأنّه كان نطفة فعلقة فمضغة، إلى أن أنشأه خلقا آخر، ثم يوافيه الموت، ثم يبعث يوم القيامة، فكأنّ الآية تبيّن تطور الإنسان تدريجا من النقص إلى الكمال، و من القوة إلى الفعل، و أنّه منذ تكوّن يسير في مدارج الكمال، إلى نهاية المطاف و هو البعث يوم القيامة، فهذا غاية الغايات، و منتهى الكمال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استظهار ذلك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Style w:val="FootnoteAnchor"/>
          <w:rtl w:val="true"/>
        </w:rPr>
        <w:footnoteReference w:id="340"/>
      </w:r>
      <w:r>
        <w:rPr>
          <w:rFonts w:ascii="Amiri" w:hAnsi="Amiri" w:eastAsia="Amiri" w:cs="Amiri"/>
          <w:color w:val="111111"/>
          <w:sz w:val="28"/>
          <w:sz w:val="28"/>
          <w:szCs w:val="28"/>
          <w:rtl w:val="true"/>
          <w:lang w:bidi="ar-SA"/>
        </w:rPr>
        <w:t>، بالبيان الماضي في الآية السابقة</w:t>
      </w:r>
      <w:r>
        <w:rPr>
          <w:rFonts w:eastAsia="Amiri" w:cs="Amiri" w:ascii="Amiri" w:hAnsi="Amiri"/>
          <w:color w:val="111111"/>
          <w:sz w:val="28"/>
          <w:szCs w:val="28"/>
          <w:rtl w:val="true"/>
          <w:lang w:bidi="ar-SA"/>
        </w:rPr>
        <w:t xml:space="preserve">. </w:t>
      </w:r>
      <w:bookmarkStart w:id="330" w:name="pg16351_181087"/>
    </w:p>
    <w:p>
      <w:pPr>
        <w:pStyle w:val="BookText"/>
        <w:rPr/>
      </w:pPr>
      <w:bookmarkEnd w:id="330"/>
      <w:r>
        <w:rPr>
          <w:rFonts w:ascii="Amiri" w:hAnsi="Amiri" w:eastAsia="Amiri" w:cs="Amiri"/>
          <w:color w:val="111111"/>
          <w:sz w:val="28"/>
          <w:sz w:val="28"/>
          <w:szCs w:val="28"/>
          <w:rtl w:val="true"/>
          <w:lang w:bidi="ar-SA"/>
        </w:rPr>
        <w:t xml:space="preserve">و لعلّه لأجل ذلك يصف القرآن يوم البعث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Style w:val="FootnoteAnchor"/>
          <w:rtl w:val="true"/>
        </w:rPr>
        <w:footnoteReference w:id="341"/>
      </w:r>
      <w:r>
        <w:rPr>
          <w:rFonts w:ascii="Amiri" w:hAnsi="Amiri" w:eastAsia="Amiri" w:cs="Amiri"/>
          <w:color w:val="111111"/>
          <w:sz w:val="28"/>
          <w:sz w:val="28"/>
          <w:szCs w:val="28"/>
          <w:rtl w:val="true"/>
          <w:lang w:bidi="ar-SA"/>
        </w:rPr>
        <w:t xml:space="preserve">، و إِنَّ إِلىٰ رَبِّكَ اَلرُّجْعىٰ </w:t>
      </w:r>
      <w:r>
        <w:rPr>
          <w:rStyle w:val="FootnoteAnchor"/>
          <w:rtl w:val="true"/>
        </w:rPr>
        <w:footnoteReference w:id="342"/>
      </w:r>
      <w:r>
        <w:rPr>
          <w:rFonts w:ascii="Amiri" w:hAnsi="Amiri" w:eastAsia="Amiri" w:cs="Amiri"/>
          <w:color w:val="111111"/>
          <w:sz w:val="28"/>
          <w:sz w:val="28"/>
          <w:szCs w:val="28"/>
          <w:rtl w:val="true"/>
          <w:lang w:bidi="ar-SA"/>
        </w:rPr>
        <w:t xml:space="preserve">، و إِنَّمٰا هٰذِهِ اَلْحَيٰاةُ اَلدُّنْيٰا مَتٰاعٌ وَ إِنَّ اَلْآخِرَةَ هِيَ دٰارُ اَلْقَرٰارِ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6422218_1280447820"/>
      <w:bookmarkStart w:id="332" w:name="_Toc126"/>
      <w:bookmarkEnd w:id="331"/>
      <w:r>
        <w:rPr>
          <w:rtl w:val="true"/>
        </w:rPr>
        <w:t xml:space="preserve">الدليل السادس </w:t>
      </w:r>
      <w:r>
        <w:rPr>
          <w:rtl w:val="true"/>
        </w:rPr>
        <w:t xml:space="preserve">- </w:t>
      </w:r>
      <w:r>
        <w:rPr>
          <w:rtl w:val="true"/>
        </w:rPr>
        <w:t>المعاد مقتضى الربوبية</w:t>
      </w:r>
      <w:bookmarkEnd w:id="332"/>
    </w:p>
    <w:p>
      <w:pPr>
        <w:pStyle w:val="BookText"/>
        <w:rPr/>
      </w:pPr>
      <w:r>
        <w:rPr>
          <w:rFonts w:ascii="Amiri" w:hAnsi="Amiri" w:eastAsia="Amiri" w:cs="Amiri"/>
          <w:color w:val="111111"/>
          <w:sz w:val="28"/>
          <w:sz w:val="28"/>
          <w:szCs w:val="28"/>
          <w:rtl w:val="true"/>
          <w:lang w:bidi="ar-SA"/>
        </w:rPr>
        <w:t>إنّ الربّ في اللغة بمعنى الصاحب،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و ربّ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فالربوبية تحكي عن مالكية الرّبّ، و مملوكية المربوب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العلاقة المتّسمة بالربوبية، تقتضي كون المربوب ذا مسئولية أمام ربّه، و أنّ الربّ لا يتركه سدى، بل يحاسبه على أعماله و يجازيه بما أتى تجاهه، و بما أنّ هذه المحاسبة لا تتحقق في النشأة الدنيوية، فيجب أن يكون هناك نشأة أخرى تتحقق فيها لوازم الربوبية، فلا معنى لربّ بلا مربوب، كما لا معنى لمربوب يترك سدى، و لا يحاسب على أعماله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لهذا الوجه، يركّز القرآن على كلمة الرّبّ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الآية الثانية، أصرح في المطلوب، و هو أنّ كفرانهم بربّهم جعلهم </w:t>
      </w:r>
    </w:p>
    <w:p>
      <w:pPr>
        <w:pStyle w:val="BookText"/>
        <w:rPr/>
      </w:pPr>
      <w:r>
        <w:rPr>
          <w:rFonts w:ascii="Amiri" w:hAnsi="Amiri" w:eastAsia="Amiri" w:cs="Amiri"/>
          <w:color w:val="111111"/>
          <w:sz w:val="28"/>
          <w:sz w:val="28"/>
          <w:szCs w:val="28"/>
          <w:rtl w:val="true"/>
          <w:lang w:bidi="ar-SA"/>
        </w:rPr>
        <w:t>منكرين للمعاد، فلو عرفوا حقيقة الربوبية، و عرفوا ربّهم، لأذعنوا بأنّ مقتضى الربوبية، لزوم وجود يوم تطرح فيه أعمال العباد على طاولة الحساب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البراهين الستة تضفي على المعاد ضرورة، و قطعيّة، و وجوبا، و حتمية، و كلّها براهين عقلية أرشدنا إليها الذّكر الحكيم في محكم آياته</w:t>
      </w:r>
      <w:r>
        <w:rPr>
          <w:rFonts w:eastAsia="Amiri" w:cs="Amiri" w:ascii="Amiri" w:hAnsi="Amiri"/>
          <w:color w:val="111111"/>
          <w:sz w:val="28"/>
          <w:szCs w:val="28"/>
          <w:rtl w:val="true"/>
          <w:lang w:bidi="ar-SA"/>
        </w:rPr>
        <w:t>.</w:t>
      </w:r>
      <w:bookmarkStart w:id="333" w:name="pg16351_181089"/>
    </w:p>
    <w:p>
      <w:pPr>
        <w:pStyle w:val="BookText"/>
        <w:rPr/>
      </w:pPr>
      <w:bookmarkEnd w:id="333"/>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334" w:name="__RefHeading___Toc6422220_1280447820"/>
      <w:bookmarkStart w:id="335" w:name="_Toc127"/>
      <w:bookmarkEnd w:id="334"/>
      <w:r>
        <w:rPr>
          <w:rtl w:val="true"/>
        </w:rPr>
        <w:t>(</w:t>
      </w:r>
      <w:r>
        <w:rPr/>
        <w:t>3</w:t>
      </w:r>
      <w:r>
        <w:rPr>
          <w:rtl w:val="true"/>
        </w:rPr>
        <w:t xml:space="preserve">) </w:t>
      </w:r>
      <w:r>
        <w:rPr>
          <w:rtl w:val="true"/>
        </w:rPr>
        <w:t>بواعث إنكار المعاد و شبهات المنكرين</w:t>
      </w:r>
      <w:bookmarkEnd w:id="335"/>
    </w:p>
    <w:p>
      <w:pPr>
        <w:pStyle w:val="Heading5"/>
        <w:numPr>
          <w:ilvl w:val="4"/>
          <w:numId w:val="1"/>
        </w:numPr>
        <w:rPr/>
      </w:pPr>
      <w:bookmarkStart w:id="336" w:name="__RefHeading___Toc6422222_1280447820"/>
      <w:bookmarkStart w:id="337" w:name="_Toc128"/>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الناس أمام دعوة الأنبياء إلى البعث في النشأة الأخرى كانوا على صنفين معتنق يشكل الأقليّة في المجتمع الإنساني، و منكر يشكّلون الأكثرية الساحقة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المشركون من العرب، المعاصرون للنبي، أكثر عنادا و لجاجا في المعارف، خصوصا ما يرجع منها إلى البعث و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كانت لهم بواعث للإنكار، كما كانت لهم شبهات، و لم تكن شبهاتهم إلاّ واجهة لإنكارهم، فيبرروا بها جحودهم، و يعطوه صبغة الحجة، 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بواعث الإنكار أوّلا، ثم نردفها بالشّبهات ثانيا، و نعتمد في ذلك على الذكر الحكيم الذي ينقل ذلك عن المنكرين، سواء كانوا من الأمم السالفة، أو من المعاصرين لنزول الرسالة</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6422224_1280447820"/>
      <w:bookmarkStart w:id="339" w:name="_Toc129"/>
      <w:bookmarkEnd w:id="338"/>
      <w:r>
        <w:rPr>
          <w:rtl w:val="true"/>
        </w:rPr>
        <w:t>بواعث إنكار المعاد</w:t>
      </w:r>
      <w:bookmarkEnd w:id="339"/>
    </w:p>
    <w:p>
      <w:pPr>
        <w:pStyle w:val="Heading6"/>
        <w:numPr>
          <w:ilvl w:val="5"/>
          <w:numId w:val="1"/>
        </w:numPr>
        <w:rPr/>
      </w:pPr>
      <w:bookmarkStart w:id="340" w:name="__RefHeading___Toc6422226_1280447820"/>
      <w:bookmarkStart w:id="341" w:name="_Toc130"/>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كثيرا ما نرى أناسا يتبنّون شيئا و يحتجون له بأدلة واهية، و هم يعلمون بوهنها، و أنّ المخاطبين يقفون على سقمها، و مع ذلك، يصرّون على مواقفهم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 الأمور التي تمكّن من استكشاف الباعث أو البواعث الواقعية لهذا التبني من خلال أفعالهم و سيرتهم و معاشراتهم، و الذكر الحكيم كشف عن تلك البواعث </w:t>
      </w:r>
      <w:bookmarkStart w:id="342" w:name="pg16351_181090"/>
    </w:p>
    <w:p>
      <w:pPr>
        <w:pStyle w:val="BookText"/>
        <w:rPr/>
      </w:pPr>
      <w:bookmarkEnd w:id="342"/>
      <w:r>
        <w:rPr>
          <w:rFonts w:ascii="Amiri" w:hAnsi="Amiri" w:eastAsia="Amiri" w:cs="Amiri"/>
          <w:color w:val="111111"/>
          <w:sz w:val="28"/>
          <w:sz w:val="28"/>
          <w:szCs w:val="28"/>
          <w:rtl w:val="true"/>
          <w:lang w:bidi="ar-SA"/>
        </w:rPr>
        <w:t>التي كانت تدفع المشركين إلى إنكار المعاد، ثم التعلل له بحجج واهية، و إليك بيانها</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6422228_1280447820"/>
      <w:bookmarkStart w:id="344" w:name="_Toc131"/>
      <w:bookmarkEnd w:id="343"/>
      <w:r>
        <w:rPr>
          <w:rtl w:val="true"/>
        </w:rPr>
        <w:t xml:space="preserve">الباعث الأول </w:t>
      </w:r>
      <w:r>
        <w:rPr>
          <w:rtl w:val="true"/>
        </w:rPr>
        <w:t xml:space="preserve">- </w:t>
      </w:r>
      <w:r>
        <w:rPr>
          <w:rtl w:val="true"/>
        </w:rPr>
        <w:t>التحلل من القيود و الحدود</w:t>
      </w:r>
      <w:bookmarkEnd w:id="344"/>
    </w:p>
    <w:p>
      <w:pPr>
        <w:pStyle w:val="BookText"/>
        <w:rPr/>
      </w:pPr>
      <w:r>
        <w:rPr>
          <w:rFonts w:ascii="Amiri" w:hAnsi="Amiri" w:eastAsia="Amiri" w:cs="Amiri"/>
          <w:color w:val="111111"/>
          <w:sz w:val="28"/>
          <w:sz w:val="28"/>
          <w:szCs w:val="28"/>
          <w:rtl w:val="true"/>
          <w:lang w:bidi="ar-SA"/>
        </w:rPr>
        <w:t>إنّ الإيمان بالمبدإ، و المعاد، لا يتلخص في الإقرار اللساني، بل المؤمن يحمل مسئولية خاصة أمام اللّه سبحانه في الحياة الدنيوية، و لازم هذه المسئولية، الالتزام بحدود و قيود، تصدّه عن التحلل و الإفراط في الملاذ و الشهوات و الانهماك في إشباع الغرائز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الالتذاذ و اتّباع الهوى، غاية المنى لأكثر المنكرين، و كان يسود عليهم سيادة الإله على خلقه،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اِتَّخَذَ إِلٰهَهُ هَوٰاهُ أَ فَأَنْتَ تَكُونُ عَلَيْهِ وَكِيلاً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الاعتقاد بالمعاد، مناف لهذا المبدأ الحيواني، أنكروه بحجج واهية يأتي الإشارة إليها، و يشير الذكر الحكيم إلى هذا الباعث،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الأولى تذكر معتقدهم و إنكارهم، و الآية الثانية تذكر باعث إنكارهم، و أنّه ليس هو ما يتظاهرون به من عدم إمكان جمع العظام، و إنّما هو رغبتهم في أن يرفعوا كل عائق يحدّ من انغماسهم في الملذات، و كل رادع يصدّهم عن إرضاء الغرائز البهيميّة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لِيَفْجُرَ أَمٰامَهُ ، بمعنى ليشقّ أمامه، و لا يرتدع بشيء من القوانين و التشريعات</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6422230_1280447820"/>
      <w:bookmarkStart w:id="346" w:name="_Toc132"/>
      <w:bookmarkEnd w:id="345"/>
      <w:r>
        <w:rPr>
          <w:rtl w:val="true"/>
        </w:rPr>
        <w:t xml:space="preserve">الباعث الثاني </w:t>
      </w:r>
      <w:r>
        <w:rPr>
          <w:rtl w:val="true"/>
        </w:rPr>
        <w:t xml:space="preserve">- </w:t>
      </w:r>
      <w:r>
        <w:rPr>
          <w:rtl w:val="true"/>
        </w:rPr>
        <w:t>صيانة السلطة</w:t>
      </w:r>
      <w:bookmarkEnd w:id="34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السّنة السائدة عند أصحاب السلطة هي استعباد غيرهم و اضطهاد حقوقهم، كما أنّ السّنّة السائدة على المترفين في الحياة الدنيا، هي الانهماك في </w:t>
      </w:r>
      <w:bookmarkStart w:id="347" w:name="pg16351_181091"/>
    </w:p>
    <w:p>
      <w:pPr>
        <w:pStyle w:val="BookText"/>
        <w:rPr/>
      </w:pPr>
      <w:bookmarkEnd w:id="347"/>
      <w:r>
        <w:rPr>
          <w:rFonts w:ascii="Amiri" w:hAnsi="Amiri" w:eastAsia="Amiri" w:cs="Amiri"/>
          <w:color w:val="111111"/>
          <w:sz w:val="28"/>
          <w:sz w:val="28"/>
          <w:szCs w:val="28"/>
          <w:rtl w:val="true"/>
          <w:lang w:bidi="ar-SA"/>
        </w:rPr>
        <w:t>اللذائذ، و كلاهما لا يتّفقان مع الاعتقاد بالمعاد و يوم الحساب،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مِنْ قَوْمِهِ اَلَّذِينَ كَفَرُوا وَ كَذَّبُوا بِلِقٰاءِ اَلْآخِرَةِ، وَ أَتْرَفْنٰاهُمْ فِي اَلْحَيٰاةِ اَلدُّنْيٰا، مٰا هٰذٰا إِلاّٰ بَشَرٌ مِثْلُكُمْ يَأْكُلُ مِمّٰا تَأْكُلُونَ مِنْهُ وَ يَشْرَبُ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الأولى تشير إلى باعثين من بواعث الإنكار، بينهما صلة قوية، و لذلك أدمجناهما و جعلناهما باعثا واحدا، أحدهما باعث نفسي هو الإتراف و التّمتّع بأسباب الشهوات، و الآخر باعث سياسي، هو ما كان للمنكرين من علية القوم و أشرافهم من تسلّط على أقوامهم فانكروا المعاد لئلا تتزعزع عروش سلطتهم بانتشار هذه العقيدة بين أتباعهم و مرءوسيهم، فكانوا يدعون الناس إلى إنكار المعاد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6422232_1280447820"/>
      <w:bookmarkStart w:id="349" w:name="_Toc133"/>
      <w:bookmarkEnd w:id="348"/>
      <w:r>
        <w:rPr>
          <w:rtl w:val="true"/>
        </w:rPr>
        <w:t xml:space="preserve">الباعث الثالث </w:t>
      </w:r>
      <w:r>
        <w:rPr>
          <w:rtl w:val="true"/>
        </w:rPr>
        <w:t xml:space="preserve">- </w:t>
      </w:r>
      <w:r>
        <w:rPr>
          <w:rtl w:val="true"/>
        </w:rPr>
        <w:t>التكذيب بالحق</w:t>
      </w:r>
      <w:bookmarkEnd w:id="349"/>
    </w:p>
    <w:p>
      <w:pPr>
        <w:pStyle w:val="BookText"/>
        <w:rPr/>
      </w:pPr>
      <w:r>
        <w:rPr>
          <w:rFonts w:ascii="Amiri" w:hAnsi="Amiri" w:eastAsia="Amiri" w:cs="Amiri"/>
          <w:color w:val="111111"/>
          <w:sz w:val="28"/>
          <w:sz w:val="28"/>
          <w:szCs w:val="28"/>
          <w:rtl w:val="true"/>
          <w:lang w:bidi="ar-SA"/>
        </w:rPr>
        <w:t>إنّ هناك آيات تعرب عن أنّ المنكرين، من أول يوم واجهوا فيه دعوة الرسل، أنكروها و لم يعتنقوها، فجرّهم ذلك إلى إنكار المعارف كلّها و بالأخص المعاد، و حشر الإنسان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ينفك عنادهم أمام الأنبياء عن علّة نفسية أو اجتماعية أو سياسية، جرّتهم إلى اتّخاذ ذلك الموقف السلبي في بدء الدعوة في كلّ ما يقوله الأنبياء و يدعون إليه، و إن كان بعضه موافقا لطبعهم و شعورهم و الذكر الحكيم يشير إلى هذا الباعث بقوله حاكيا عنهم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إِذٰا مِتْنٰا وَ كُنّٰا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50" w:name="pg16351_181092"/>
    </w:p>
    <w:p>
      <w:pPr>
        <w:pStyle w:val="BookText"/>
        <w:rPr/>
      </w:pPr>
      <w:bookmarkEnd w:id="350"/>
      <w:r>
        <w:rPr>
          <w:rFonts w:ascii="Amiri" w:hAnsi="Amiri" w:eastAsia="Amiri" w:cs="Amiri"/>
          <w:color w:val="111111"/>
          <w:sz w:val="28"/>
          <w:sz w:val="28"/>
          <w:szCs w:val="28"/>
          <w:rtl w:val="true"/>
          <w:lang w:bidi="ar-SA"/>
        </w:rPr>
        <w:t xml:space="preserve">فيذكر في الآيتين الأوليين 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سرعان ما بيّن في الآية الثالثة أنّ هذه الشبهة واجهة و غطاء لها، و أنّ الباعث الواقعي هو تكذيبهم بالحق من أول الأمر، و لأجل ذلك هم في أمر مريج 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البواعث التي كانت تدفع إلى إنكار المعاد، و نحت الأعذار و الشبهات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فيما يلي بيان شبهاتهم أوّلا، و أجوبتها ثانيا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6422234_1280447820"/>
      <w:bookmarkStart w:id="352" w:name="_Toc134"/>
      <w:bookmarkEnd w:id="351"/>
      <w:r>
        <w:rPr>
          <w:rtl w:val="true"/>
        </w:rPr>
        <w:t>شبهات المنكرين للمعاد</w:t>
      </w:r>
      <w:bookmarkEnd w:id="352"/>
    </w:p>
    <w:p>
      <w:pPr>
        <w:pStyle w:val="Heading6"/>
        <w:numPr>
          <w:ilvl w:val="5"/>
          <w:numId w:val="1"/>
        </w:numPr>
        <w:rPr/>
      </w:pPr>
      <w:bookmarkStart w:id="353" w:name="__RefHeading___Toc6422236_1280447820"/>
      <w:bookmarkStart w:id="354" w:name="_Toc135"/>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الشبهات التي ينقلها الذكر الحكيم عنهم تبلغ عشر شبهات، غير أنّ كثيرا منها ضئيل، ليس له دليل سوى البواعث التي قدّمناها، و مع ذلك لم يتركها القرآن بلا جواب، إمّا مقارن لذكرها أو في مواضع أخرى، و فيما يلي نذكر رءوس الشبهات الواهية، ثم نتبعها بذكر الشبهات القابلة للبحث، فنطرحها و نناقشها</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6422238_1280447820"/>
      <w:bookmarkStart w:id="356" w:name="_Toc136"/>
      <w:bookmarkEnd w:id="355"/>
      <w:r>
        <w:rPr/>
        <w:t>1</w:t>
      </w:r>
      <w:r>
        <w:rPr>
          <w:rtl w:val="true"/>
        </w:rPr>
        <w:t xml:space="preserve"> - </w:t>
      </w:r>
      <w:r>
        <w:rPr>
          <w:rtl w:val="true"/>
        </w:rPr>
        <w:t>لا دليل على المعاد</w:t>
      </w:r>
      <w:bookmarkEnd w:id="356"/>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قائل الشبهة يتظاهر بأنّه لا دليل على النّشأة الأخرى و إحياء الموتى فيها، و لو كان لاتّبعه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يتركه القرآن بلا جواب، فقد أقام براهين دامغة على إمكانه و ضرورته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كون المعاد مقرونا بالبراهين، يتعجّب القرآن من إنكارهم و يقول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تَعْجَبْ، فَعَجَبٌ قَوْلُهُمْ أَ إِذٰا كُنّٰا تُرٰاباً أَ إِنّٰا لَفِي خَلْقٍ جَدِيدٍ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57" w:name="pg16351_181093"/>
    </w:p>
    <w:p>
      <w:pPr>
        <w:pStyle w:val="Heading6"/>
        <w:numPr>
          <w:ilvl w:val="5"/>
          <w:numId w:val="1"/>
        </w:numPr>
        <w:rPr/>
      </w:pPr>
      <w:bookmarkStart w:id="358" w:name="__RefHeading___Toc6422240_1280447820"/>
      <w:bookmarkStart w:id="359" w:name="_Toc137"/>
      <w:bookmarkEnd w:id="357"/>
      <w:bookmarkEnd w:id="358"/>
      <w:r>
        <w:rPr/>
        <w:t>2</w:t>
      </w:r>
      <w:r>
        <w:rPr>
          <w:rtl w:val="true"/>
        </w:rPr>
        <w:t xml:space="preserve"> - </w:t>
      </w:r>
      <w:r>
        <w:rPr>
          <w:rtl w:val="true"/>
        </w:rPr>
        <w:t>المعاد من أساطير الأولين</w:t>
      </w:r>
      <w:bookmarkEnd w:id="359"/>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الشرائع السماوية، متّحدة في الأصول، و إنّما اختلافها في الشرع و المنهاج</w:t>
      </w:r>
      <w:r>
        <w:rPr>
          <w:rStyle w:val="FootnoteAnchor"/>
          <w:rtl w:val="true"/>
        </w:rPr>
        <w:footnoteReference w:id="353"/>
      </w:r>
      <w:r>
        <w:rPr>
          <w:rFonts w:ascii="Amiri" w:hAnsi="Amiri" w:eastAsia="Amiri" w:cs="Amiri"/>
          <w:color w:val="111111"/>
          <w:sz w:val="28"/>
          <w:sz w:val="28"/>
          <w:szCs w:val="28"/>
          <w:rtl w:val="true"/>
          <w:lang w:bidi="ar-SA"/>
        </w:rPr>
        <w:t>، كانت الدعوة إلى المعاد موجودة في الشرائع السالفة، فحسبها المشركون أسطورة من أساطير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الدعوة إلى عقيدة قديمة لا يكون دليلا على بطلانها، كما أنّ استحداث عقيدة لا يكون دليلا على صحتها، و إنّما الضابط هو الدليل</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6422242_1280447820"/>
      <w:bookmarkStart w:id="361" w:name="_Toc138"/>
      <w:bookmarkEnd w:id="360"/>
      <w:r>
        <w:rPr/>
        <w:t>3</w:t>
      </w:r>
      <w:r>
        <w:rPr>
          <w:rtl w:val="true"/>
        </w:rPr>
        <w:t xml:space="preserve"> - </w:t>
      </w:r>
      <w:r>
        <w:rPr>
          <w:rtl w:val="true"/>
        </w:rPr>
        <w:t>المعاد افتراء على اللّه أو جنون من القول</w:t>
      </w:r>
      <w:bookmarkEnd w:id="361"/>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المنكرون لأجل التظاهر بالحرية في القضاء، و ابتعادهم عن العصبية، فسّروا الدعوة إلى المعاد بأنّ الداعي إمّا رجل غير صالح، افترى على اللّه كذبا، أو أنّه معذور في هذا القول و قاصر، لأنّ به جنة، و هذا نوع من الخداع، إذ كيف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مفتريا على اللّه الكذب، و متى كان الإنسان العاقل الذي أثبت الزمان عقله و ذكاءه و درايته و أمانته حتى قمع أصول الشرك عن أديم الجزيرة، متى كان مجنونا؟</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6422244_1280447820"/>
      <w:bookmarkStart w:id="363" w:name="_Toc139"/>
      <w:bookmarkEnd w:id="362"/>
      <w:r>
        <w:rPr/>
        <w:t>4</w:t>
      </w:r>
      <w:r>
        <w:rPr>
          <w:rtl w:val="true"/>
        </w:rPr>
        <w:t xml:space="preserve"> - </w:t>
      </w:r>
      <w:r>
        <w:rPr>
          <w:rtl w:val="true"/>
        </w:rPr>
        <w:t>إعادة الأموات سحر</w:t>
      </w:r>
      <w:bookmarkEnd w:id="3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قُلْتَ إِنَّكُمْ مَبْعُوثُونَ مِنْ بَعْدِ اَلْمَوْتِ لَيَقُولَنَّ اَلَّذِينَ </w:t>
      </w:r>
      <w:bookmarkStart w:id="364" w:name="pg16351_181094"/>
    </w:p>
    <w:p>
      <w:pPr>
        <w:pStyle w:val="BookText"/>
        <w:rPr/>
      </w:pPr>
      <w:bookmarkEnd w:id="364"/>
      <w:r>
        <w:rPr>
          <w:rFonts w:ascii="Amiri" w:hAnsi="Amiri" w:eastAsia="Amiri" w:cs="Amiri"/>
          <w:color w:val="111111"/>
          <w:sz w:val="28"/>
          <w:sz w:val="28"/>
          <w:szCs w:val="28"/>
          <w:rtl w:val="true"/>
          <w:lang w:bidi="ar-SA"/>
        </w:rPr>
        <w:t xml:space="preserve">كَفَرُوا إِنْ هٰذٰا إِلاّٰ سِحْرٌ مُبِينٌ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بلغ عنادهم في إنكار الحقيقة مبلغا لو قام النبي معه بإحياء الموتى أمامهم، و رأوه بأمّ أعينهم، لقالوا إنّه سحر مبين، و إنّك سحرت أعيننا، و لا حقيقة لما فعلت</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6422246_1280447820"/>
      <w:bookmarkStart w:id="366" w:name="_Toc140"/>
      <w:bookmarkEnd w:id="365"/>
      <w:r>
        <w:rPr/>
        <w:t>5</w:t>
      </w:r>
      <w:r>
        <w:rPr>
          <w:rtl w:val="true"/>
        </w:rPr>
        <w:t xml:space="preserve"> - </w:t>
      </w:r>
      <w:r>
        <w:rPr>
          <w:rtl w:val="true"/>
        </w:rPr>
        <w:t>إذا كان المعاد حقّا فأحيوا آباءنا</w:t>
      </w:r>
      <w:bookmarkEnd w:id="366"/>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طلبهم إحياء آبائهم لم يكن إلاّ تعلّلا أمام دعوة النبي، فلو قام النبي بهذا العمل، لطلبت كل قبيلة، بل كلّ إنسان نفس ذلك العمل من النبي، حتى يؤمن به، فتنقلب الدعوة لعبة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يضرب القرآن عن الجواب صفحا، و يكتفي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7" w:name="__RefHeading___Toc6422248_1280447820"/>
      <w:bookmarkStart w:id="368" w:name="_Toc141"/>
      <w:bookmarkEnd w:id="367"/>
      <w:r>
        <w:rPr/>
        <w:t>6</w:t>
      </w:r>
      <w:r>
        <w:rPr>
          <w:rtl w:val="true"/>
        </w:rPr>
        <w:t xml:space="preserve"> - </w:t>
      </w:r>
      <w:r>
        <w:rPr>
          <w:rtl w:val="true"/>
        </w:rPr>
        <w:t>حشر الإنسان عسير</w:t>
      </w:r>
      <w:bookmarkEnd w:id="368"/>
    </w:p>
    <w:p>
      <w:pPr>
        <w:pStyle w:val="BookText"/>
        <w:rPr/>
      </w:pPr>
      <w:r>
        <w:rPr>
          <w:rFonts w:ascii="Amiri" w:hAnsi="Amiri" w:eastAsia="Amiri" w:cs="Amiri"/>
          <w:color w:val="111111"/>
          <w:sz w:val="28"/>
          <w:sz w:val="28"/>
          <w:szCs w:val="28"/>
          <w:rtl w:val="true"/>
          <w:lang w:bidi="ar-SA"/>
        </w:rPr>
        <w:t>إنّ هذا الاعتراض و إن لم ينقل عنهم صريحا و لكن يعلم من الآيات الواردة حول المعاد، أنّه كان أحد شبهاتهم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 في أمر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حَشْرٌ عَلَيْنٰا يَسِيرٌ </w:t>
      </w:r>
      <w:r>
        <w:rPr>
          <w:rStyle w:val="FootnoteAnchor"/>
          <w:rtl w:val="true"/>
        </w:rPr>
        <w:footnoteReference w:id="358"/>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عَلَى اَللّٰهِ يَسِيرٌ </w:t>
      </w:r>
      <w:r>
        <w:rPr>
          <w:rStyle w:val="FootnoteAnchor"/>
          <w:rtl w:val="true"/>
        </w:rPr>
        <w:footnoteReference w:id="359"/>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اَلسّٰاعَةِ إِلاّٰ كَلَمْحِ اَلْبَصَرِ أَوْ هُوَ </w:t>
      </w:r>
      <w:bookmarkStart w:id="369" w:name="pg16351_181095"/>
    </w:p>
    <w:p>
      <w:pPr>
        <w:pStyle w:val="BookText"/>
        <w:rPr/>
      </w:pPr>
      <w:bookmarkEnd w:id="369"/>
      <w:r>
        <w:rPr>
          <w:rFonts w:ascii="Amiri" w:hAnsi="Amiri" w:eastAsia="Amiri" w:cs="Amiri"/>
          <w:color w:val="111111"/>
          <w:sz w:val="28"/>
          <w:sz w:val="28"/>
          <w:szCs w:val="28"/>
          <w:rtl w:val="true"/>
          <w:lang w:bidi="ar-SA"/>
        </w:rPr>
        <w:t xml:space="preserve">أَقْرَبُ </w:t>
      </w:r>
      <w:r>
        <w:rPr>
          <w:rStyle w:val="FootnoteAnchor"/>
          <w:rtl w:val="true"/>
        </w:rPr>
        <w:footnoteReference w:id="36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الشبهة صورة خفيفة للشبهة السابعة الآتية التي سيوافيك الجواب عنها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الإجابة عن تلك يغني عن الإجابة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الجليل و اللّطيف، و الثّقيل و الخفيف، و القويّ و الضّعيف في خلقه إلاّ سواء</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شبهاتهم الضئيلة الواهية التي لا يخفى بطلانها و كانت لهم معها شبهات أخرى أجدر بالبحث و التحليل، و هي أربع، نذكرها أوّلا ثم نجيب عنها بالتفصيل</w:t>
      </w:r>
      <w:r>
        <w:rPr>
          <w:rFonts w:eastAsia="Amiri" w:cs="Amiri" w:ascii="Amiri" w:hAnsi="Amiri"/>
          <w:color w:val="111111"/>
          <w:sz w:val="28"/>
          <w:szCs w:val="28"/>
          <w:rtl w:val="true"/>
          <w:lang w:bidi="ar-SA"/>
        </w:rPr>
        <w:t>.</w:t>
      </w:r>
    </w:p>
    <w:p>
      <w:pPr>
        <w:pStyle w:val="Heading6"/>
        <w:numPr>
          <w:ilvl w:val="5"/>
          <w:numId w:val="1"/>
        </w:numPr>
        <w:rPr/>
      </w:pPr>
      <w:bookmarkStart w:id="370" w:name="__RefHeading___Toc6422250_1280447820"/>
      <w:bookmarkStart w:id="371" w:name="_Toc142"/>
      <w:bookmarkEnd w:id="370"/>
      <w:r>
        <w:rPr/>
        <w:t>7</w:t>
      </w:r>
      <w:r>
        <w:rPr>
          <w:rtl w:val="true"/>
        </w:rPr>
        <w:t xml:space="preserve"> - </w:t>
      </w:r>
      <w:r>
        <w:rPr>
          <w:rtl w:val="true"/>
        </w:rPr>
        <w:t>إحياء الموتى خارج عن إطار القدرة</w:t>
      </w:r>
      <w:bookmarkEnd w:id="371"/>
    </w:p>
    <w:p>
      <w:pPr>
        <w:pStyle w:val="BookText"/>
        <w:rPr/>
      </w:pPr>
      <w:r>
        <w:rPr>
          <w:rFonts w:ascii="Amiri" w:hAnsi="Amiri" w:eastAsia="Amiri" w:cs="Amiri"/>
          <w:color w:val="111111"/>
          <w:sz w:val="28"/>
          <w:sz w:val="28"/>
          <w:szCs w:val="28"/>
          <w:rtl w:val="true"/>
          <w:lang w:bidi="ar-SA"/>
        </w:rPr>
        <w:t>يظهر من الذكر الحكيم أنّهم كانوا يعتمدون على هذه الشبهة، و يحكيها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2" w:name="__RefHeading___Toc6422252_1280447820"/>
      <w:bookmarkStart w:id="373" w:name="_Toc143"/>
      <w:bookmarkEnd w:id="372"/>
      <w:r>
        <w:rPr/>
        <w:t>8</w:t>
      </w:r>
      <w:r>
        <w:rPr>
          <w:rtl w:val="true"/>
        </w:rPr>
        <w:t xml:space="preserve"> - </w:t>
      </w:r>
      <w:r>
        <w:rPr>
          <w:rtl w:val="true"/>
        </w:rPr>
        <w:t>التعرف على الأجزاء الرميمة غير ممكن</w:t>
      </w:r>
      <w:bookmarkEnd w:id="373"/>
    </w:p>
    <w:p>
      <w:pPr>
        <w:pStyle w:val="BookText"/>
        <w:rPr/>
      </w:pPr>
      <w:r>
        <w:rPr>
          <w:rFonts w:ascii="Amiri" w:hAnsi="Amiri" w:eastAsia="Amiri" w:cs="Amiri"/>
          <w:color w:val="111111"/>
          <w:sz w:val="28"/>
          <w:sz w:val="28"/>
          <w:szCs w:val="28"/>
          <w:rtl w:val="true"/>
          <w:lang w:bidi="ar-SA"/>
        </w:rPr>
        <w:t>إنّ عادة الموتى بأعيانهم يتوقف على التعرف على أجزاء أبدانهم الرميمة المبعثرة، على أديم الأرض و في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أعماق البحار، ليعاد جزء كل إنسان إلى بدنه، و هذا أمر محال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الشبهة و إن لم يصرّح بها القرآن، و لكن يستنبط من إجابة القرآن عليها أنّهم كانوا يعتمدون عليها</w:t>
      </w:r>
      <w:r>
        <w:rPr>
          <w:rFonts w:eastAsia="Amiri" w:cs="Amiri" w:ascii="Amiri" w:hAnsi="Amiri"/>
          <w:color w:val="111111"/>
          <w:sz w:val="28"/>
          <w:szCs w:val="28"/>
          <w:rtl w:val="true"/>
          <w:lang w:bidi="ar-SA"/>
        </w:rPr>
        <w:t xml:space="preserve">. </w:t>
      </w:r>
      <w:bookmarkStart w:id="374" w:name="pg16351_181096"/>
    </w:p>
    <w:p>
      <w:pPr>
        <w:pStyle w:val="BookText"/>
        <w:rPr/>
      </w:pPr>
      <w:bookmarkEnd w:id="374"/>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لاٰ يَعْزُبُ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شبهتهم في إمكان المعاد، هي عدم إمكان التعرّف على أجزاء الموتى المبعثرة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422254_1280447820"/>
      <w:bookmarkStart w:id="376" w:name="_Toc144"/>
      <w:bookmarkEnd w:id="375"/>
      <w:r>
        <w:rPr/>
        <w:t>9</w:t>
      </w:r>
      <w:r>
        <w:rPr>
          <w:rtl w:val="true"/>
        </w:rPr>
        <w:t xml:space="preserve"> - </w:t>
      </w:r>
      <w:r>
        <w:rPr>
          <w:rtl w:val="true"/>
        </w:rPr>
        <w:t>الموت بطلان للشخصية</w:t>
      </w:r>
      <w:bookmarkEnd w:id="376"/>
    </w:p>
    <w:p>
      <w:pPr>
        <w:pStyle w:val="BookText"/>
        <w:rPr/>
      </w:pPr>
      <w:r>
        <w:rPr>
          <w:rFonts w:ascii="Amiri" w:hAnsi="Amiri" w:eastAsia="Amiri" w:cs="Amiri"/>
          <w:color w:val="111111"/>
          <w:sz w:val="28"/>
          <w:sz w:val="28"/>
          <w:szCs w:val="28"/>
          <w:rtl w:val="true"/>
          <w:lang w:bidi="ar-SA"/>
        </w:rPr>
        <w:t>و ممّا كانوا يعتمدون عليه في إنكارهم للمعاد، هو أنّ الموت و صيرورة الإنسان عظاما ثم ترابا، يلازم بطلان شخصيته و انعدامها، و المعدم لا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تلك الشبهة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فِي اَلْأَرْضِ أَ إِنّٰا لَفِي خَلْقٍ جَدِيدٍ </w:t>
      </w:r>
      <w:r>
        <w:rPr>
          <w:rStyle w:val="FootnoteAnchor"/>
          <w:rtl w:val="true"/>
        </w:rPr>
        <w:footnoteReference w:id="365"/>
      </w:r>
      <w:r>
        <w:rPr>
          <w:rFonts w:ascii="Amiri" w:hAnsi="Amiri" w:eastAsia="Amiri" w:cs="Amiri"/>
          <w:color w:val="111111"/>
          <w:sz w:val="28"/>
          <w:sz w:val="28"/>
          <w:szCs w:val="28"/>
          <w:rtl w:val="true"/>
          <w:lang w:bidi="ar-SA"/>
        </w:rPr>
        <w:t>و يحتمل كونه إشارة إلى الشبهة التالية</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6422256_1280447820"/>
      <w:bookmarkStart w:id="378" w:name="_Toc145"/>
      <w:bookmarkEnd w:id="377"/>
      <w:r>
        <w:rPr/>
        <w:t>10</w:t>
      </w:r>
      <w:r>
        <w:rPr>
          <w:rtl w:val="true"/>
        </w:rPr>
        <w:t xml:space="preserve"> - </w:t>
      </w:r>
      <w:r>
        <w:rPr>
          <w:rtl w:val="true"/>
        </w:rPr>
        <w:t>فقدان الصلة بين المبتدأ و المعاد</w:t>
      </w:r>
      <w:bookmarkEnd w:id="378"/>
    </w:p>
    <w:p>
      <w:pPr>
        <w:pStyle w:val="BookText"/>
        <w:rPr/>
      </w:pPr>
      <w:r>
        <w:rPr>
          <w:rFonts w:ascii="Amiri" w:hAnsi="Amiri" w:eastAsia="Amiri" w:cs="Amiri"/>
          <w:color w:val="111111"/>
          <w:sz w:val="28"/>
          <w:sz w:val="28"/>
          <w:szCs w:val="28"/>
          <w:rtl w:val="true"/>
          <w:lang w:bidi="ar-SA"/>
        </w:rPr>
        <w:t>إذا كان الموت و صيرورة الإنسان ترابا، إعداما للشخصية، فالشخصية المحياة في النشأة الأخرى، لا تمت إلى الأولى بصلة، فكيف تكون إحياء لها؟ فإنّ المقصود من المعاد، إحياء الناس لإثابتهم أو معاقبتهم، و هو فرع وحدة المعاد و المبتدأ، و اتّحادهما، و هو منتف، و لعلّ الآية السابقة، تشير إلى هذه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شبهاتهم التي تستحق البحث، و إليك فيما يلي مناقشتها</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6422258_1280447820"/>
      <w:bookmarkStart w:id="380" w:name="_Toc146"/>
      <w:bookmarkEnd w:id="379"/>
      <w:r>
        <w:rPr>
          <w:rtl w:val="true"/>
        </w:rPr>
        <w:t>الإجابة التفصيلية عن شبهاتهم</w:t>
      </w:r>
      <w:bookmarkEnd w:id="380"/>
    </w:p>
    <w:p>
      <w:pPr>
        <w:pStyle w:val="Heading6"/>
        <w:numPr>
          <w:ilvl w:val="5"/>
          <w:numId w:val="1"/>
        </w:numPr>
        <w:rPr/>
      </w:pPr>
      <w:bookmarkStart w:id="381" w:name="__RefHeading___Toc6422260_1280447820"/>
      <w:bookmarkStart w:id="382" w:name="_Toc147"/>
      <w:bookmarkEnd w:id="381"/>
      <w:r>
        <w:rPr>
          <w:rtl w:val="true"/>
        </w:rPr>
        <w:t>اشارة</w:t>
      </w:r>
      <w:bookmarkEnd w:id="3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الاعتقاد بالمعاد اعتقاد بالغيب و إيمان به، و هو فرع معرفة اللّه سبحانه، و معرفة أسمائه و صفاته، و أفعاله، و لو لا تلك المعرفة، لما حصل الإيمان بشيء من </w:t>
      </w:r>
      <w:bookmarkStart w:id="383" w:name="pg16351_181097"/>
    </w:p>
    <w:p>
      <w:pPr>
        <w:pStyle w:val="BookText"/>
        <w:rPr/>
      </w:pPr>
      <w:bookmarkEnd w:id="383"/>
      <w:r>
        <w:rPr>
          <w:rFonts w:ascii="Amiri" w:hAnsi="Amiri" w:eastAsia="Amiri" w:cs="Amiri"/>
          <w:color w:val="111111"/>
          <w:sz w:val="28"/>
          <w:sz w:val="28"/>
          <w:szCs w:val="28"/>
          <w:rtl w:val="true"/>
          <w:lang w:bidi="ar-SA"/>
        </w:rPr>
        <w:t>الأمور الغيبية، فالاعتقاد بمعاجز الأنبياء، و كراماتهم التي يحكيها لنا القرآن الكريم، قائم على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معرفة شئونه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يبتني الجواب عن الشبهتين الأوليين</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422262_1280447820"/>
      <w:bookmarkStart w:id="385" w:name="_Toc148"/>
      <w:bookmarkEnd w:id="384"/>
      <w:r>
        <w:rPr>
          <w:rtl w:val="true"/>
        </w:rPr>
        <w:t xml:space="preserve">جواب الشبهة الأولى </w:t>
      </w:r>
      <w:r>
        <w:rPr>
          <w:rtl w:val="true"/>
        </w:rPr>
        <w:t xml:space="preserve">- </w:t>
      </w:r>
      <w:r>
        <w:rPr>
          <w:rtl w:val="true"/>
        </w:rPr>
        <w:t>القدرة المطلقة و إحياء الموتى</w:t>
      </w:r>
      <w:bookmarkEnd w:id="385"/>
    </w:p>
    <w:p>
      <w:pPr>
        <w:pStyle w:val="Heading6"/>
        <w:numPr>
          <w:ilvl w:val="5"/>
          <w:numId w:val="1"/>
        </w:numPr>
        <w:rPr/>
      </w:pPr>
      <w:bookmarkStart w:id="386" w:name="__RefHeading___Toc6422264_1280447820"/>
      <w:bookmarkStart w:id="387" w:name="_Toc149"/>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إنّ تخيل استحالة المعاد، الناشئ من توهّم أنّ إحياء الموتى خارج عن إطار القدرة، جهل باللّه سبحانه، و جهل بصفاته القدسية، فإنّ قدرته عامة تتعلق بكل أمر ممكن بالذات، و من هنا نجد القرآن الكريم يندد بقصور المشركين و جهلهم في مجال المعرفة،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عدم التقدير هنا، عدم تعرفهم على اللّه سبحانه حقّ التعرف، و لذلك يعقبه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 معربا عن أنّ إنكار المعاد ينشأ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آيات أخرى تصريحات بعموم قدرته،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وَ هُوَ عَلىٰ كُلِّ شَيْ‌ءٍ قَدِيرٌ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الواردة في هذا المجال كثيرة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يسلك طريقا ثانيا في تقرير إمكان المعاد، و ذلك عبر الآتيان بأمور محسوسة أقرب إلى الإذعان و الإيمان</w:t>
      </w:r>
      <w:r>
        <w:rPr>
          <w:rFonts w:eastAsia="Amiri" w:cs="Amiri" w:ascii="Amiri" w:hAnsi="Amiri"/>
          <w:color w:val="111111"/>
          <w:sz w:val="28"/>
          <w:szCs w:val="28"/>
          <w:rtl w:val="true"/>
          <w:lang w:bidi="ar-SA"/>
        </w:rPr>
        <w:t xml:space="preserve">: </w:t>
      </w:r>
      <w:bookmarkStart w:id="388" w:name="pg16351_181098"/>
    </w:p>
    <w:p>
      <w:pPr>
        <w:pStyle w:val="Heading6"/>
        <w:numPr>
          <w:ilvl w:val="5"/>
          <w:numId w:val="1"/>
        </w:numPr>
        <w:rPr/>
      </w:pPr>
      <w:bookmarkStart w:id="389" w:name="__RefHeading___Toc6422266_1280447820"/>
      <w:bookmarkStart w:id="390" w:name="_Toc150"/>
      <w:bookmarkEnd w:id="388"/>
      <w:bookmarkEnd w:id="389"/>
      <w:r>
        <w:rPr>
          <w:rtl w:val="true"/>
        </w:rPr>
        <w:t xml:space="preserve">أ </w:t>
      </w:r>
      <w:r>
        <w:rPr>
          <w:rtl w:val="true"/>
        </w:rPr>
        <w:t xml:space="preserve">- </w:t>
      </w:r>
      <w:r>
        <w:rPr>
          <w:rtl w:val="true"/>
        </w:rPr>
        <w:t>القادر على خلق السموات، قادر على إحياء الموتى</w:t>
      </w:r>
      <w:bookmarkEnd w:id="390"/>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وَ لَمْ يَعْيَ بِخَلْقِهِنَّ بِقٰادِرٍ عَلىٰ أَنْ يُحْيِيَ اَلْمَوْتىٰ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الاستدلال بها واضحة، فإنّ القادر على إبداع هذا النظم البديع، أقدر على إحياء الإنسان</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422268_1280447820"/>
      <w:bookmarkStart w:id="392" w:name="_Toc151"/>
      <w:bookmarkEnd w:id="391"/>
      <w:r>
        <w:rPr>
          <w:rtl w:val="true"/>
        </w:rPr>
        <w:t xml:space="preserve">ب </w:t>
      </w:r>
      <w:r>
        <w:rPr>
          <w:rtl w:val="true"/>
        </w:rPr>
        <w:t xml:space="preserve">- </w:t>
      </w:r>
      <w:r>
        <w:rPr>
          <w:rtl w:val="true"/>
        </w:rPr>
        <w:t>القادر على المبتدأ قادر على المعاد</w:t>
      </w:r>
      <w:bookmarkEnd w:id="392"/>
    </w:p>
    <w:p>
      <w:pPr>
        <w:pStyle w:val="BookText"/>
        <w:rPr/>
      </w:pPr>
      <w:r>
        <w:rPr>
          <w:rFonts w:ascii="Amiri" w:hAnsi="Amiri" w:eastAsia="Amiri" w:cs="Amiri"/>
          <w:color w:val="111111"/>
          <w:sz w:val="28"/>
          <w:sz w:val="28"/>
          <w:szCs w:val="28"/>
          <w:rtl w:val="true"/>
          <w:lang w:bidi="ar-SA"/>
        </w:rPr>
        <w:t>إنّ من الضوابط العقلية المحكمة أنّ أدلّ دليل على إمكان الشيء وقوعه، و أنّ حكم الأمثال فيما يجوز و لا يجوز واحد، فلو كانت الإعادة أمرا محالا، لكان ابتداء الخلقة مثله، لأنّهما يشتركان في كونهما إيجادا للإنسان، و على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كُنّٰا عِظٰاماً وَ رُفٰاتاً أَ إِنّٰا لَمَبْعُوثُونَ خَلْقاً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فَسَيَقُولُونَ مَنْ يُعِيدُنٰا، قُلِ اَلَّذِي فَطَرَكُمْ أَوَّلَ مَرَّةٍ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6422270_1280447820"/>
      <w:bookmarkStart w:id="394" w:name="_Toc152"/>
      <w:bookmarkEnd w:id="393"/>
      <w:r>
        <w:rPr>
          <w:rtl w:val="true"/>
        </w:rPr>
        <w:t xml:space="preserve">ج </w:t>
      </w:r>
      <w:r>
        <w:rPr>
          <w:rtl w:val="true"/>
        </w:rPr>
        <w:t xml:space="preserve">- </w:t>
      </w:r>
      <w:r>
        <w:rPr>
          <w:rtl w:val="true"/>
        </w:rPr>
        <w:t>القادر على إحياء الأرض بعد موتها قادر على إحياء الإنسان بعد موته</w:t>
      </w:r>
      <w:bookmarkEnd w:id="394"/>
    </w:p>
    <w:p>
      <w:pPr>
        <w:pStyle w:val="BookText"/>
        <w:rPr/>
      </w:pPr>
      <w:r>
        <w:rPr>
          <w:rFonts w:ascii="Amiri" w:hAnsi="Amiri" w:eastAsia="Amiri" w:cs="Amiri"/>
          <w:color w:val="111111"/>
          <w:sz w:val="28"/>
          <w:sz w:val="28"/>
          <w:szCs w:val="28"/>
          <w:rtl w:val="true"/>
          <w:lang w:bidi="ar-SA"/>
        </w:rPr>
        <w:t>و يري الذكر الحكيم في آياته إعادة الحياة إلى التراب بشكل ملموس، و ذلك بصورتين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امتنع عود الحياة إلى التراب، فكيف صار التراب إنسانا في </w:t>
      </w:r>
      <w:bookmarkStart w:id="395" w:name="pg16351_181099"/>
    </w:p>
    <w:p>
      <w:pPr>
        <w:pStyle w:val="BookText"/>
        <w:rPr/>
      </w:pPr>
      <w:bookmarkEnd w:id="395"/>
      <w:r>
        <w:rPr>
          <w:rFonts w:ascii="Amiri" w:hAnsi="Amiri" w:eastAsia="Amiri" w:cs="Amiri"/>
          <w:color w:val="111111"/>
          <w:sz w:val="28"/>
          <w:sz w:val="28"/>
          <w:szCs w:val="28"/>
          <w:rtl w:val="true"/>
          <w:lang w:bidi="ar-SA"/>
        </w:rPr>
        <w:t>بدء الخلقة، و في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الميتة تحيا كلّ سنة بنزول الماء عليها فتهتز و تربو بعد جفافها، و تنبت من كل زوج بهيج،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إحياء الإنسان من التراب إلاّ كإحياء التراب الميت، باخضرار نباته، و ازهرار أشجاره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النماذج المحسوسة يثبت القرآن عموم قدرته تعالى، مضافا إلى البراهين العقلية على عموم قدرته تعالى شأنه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6422272_1280447820"/>
      <w:bookmarkStart w:id="397" w:name="_Toc153"/>
      <w:bookmarkEnd w:id="396"/>
      <w:r>
        <w:rPr>
          <w:rtl w:val="true"/>
        </w:rPr>
        <w:t xml:space="preserve">جواب الشبهة الثانية </w:t>
      </w:r>
      <w:r>
        <w:rPr>
          <w:rtl w:val="true"/>
        </w:rPr>
        <w:t xml:space="preserve">- </w:t>
      </w:r>
      <w:r>
        <w:rPr>
          <w:rtl w:val="true"/>
        </w:rPr>
        <w:t>العلم المطلق و التعرف على الأجزاء المندثرة</w:t>
      </w:r>
      <w:bookmarkEnd w:id="3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الشبهة و سابقتها، لهما منشأ واحد هو عدم التعرف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و أفعاله، و هنا يقولون إنّ الأجزاء المتلاشية المبعثرة في أكناف </w:t>
      </w:r>
      <w:bookmarkStart w:id="398" w:name="pg16351_181100"/>
    </w:p>
    <w:p>
      <w:pPr>
        <w:pStyle w:val="BookText"/>
        <w:rPr/>
      </w:pPr>
      <w:bookmarkEnd w:id="398"/>
      <w:r>
        <w:rPr>
          <w:rFonts w:ascii="Amiri" w:hAnsi="Amiri" w:eastAsia="Amiri" w:cs="Amiri"/>
          <w:color w:val="111111"/>
          <w:sz w:val="28"/>
          <w:sz w:val="28"/>
          <w:szCs w:val="28"/>
          <w:rtl w:val="true"/>
          <w:lang w:bidi="ar-SA"/>
        </w:rPr>
        <w:t>الأرض لا يمكن التعرف عليها ليعاد جمع أجزاء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واضح بعد التعرف على علمه الوسيع، سبحانه، و أنّ الممكنات بعامة أجزائها حاضرة لديه غير غائبة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شبهتهم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كُنّٰا تُرٰاباً، ذٰلِكَ رَجْعٌ بَعِيدٌ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عَلِمْنٰا مٰا تَنْقُصُ اَلْأَرْضُ مِنْهُمْ وَ عِنْدَنٰا كِتٰابٌ حَفِيظٌ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فالتركيز في الجواب على علمه سبحانه بما تنقص الأرض منهم، و أنّ عنده كتابا حفيظا لكلّ شيء، يعرب عن أنّ شبهتهم كانت ترجع إلى عدم إمكان التعرف على الأجزاء البالية، حتى يعاد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خَلْقُكُمْ وَ لاٰ بَعْثُكُمْ إِلاّٰ كَنَفْسٍ وٰاحِدَةٍ إِنَّ اَللّٰهَ سَمِيعٌ بَصِيرٌ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فالتركيز على كونه سميعا و بصيرا يعرب عن أنّ المقصود من صدر الآية هو نقل شبهتهم الراجعة إلى علمه سبحانه</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6422274_1280447820"/>
      <w:bookmarkStart w:id="400" w:name="_Toc154"/>
      <w:bookmarkEnd w:id="399"/>
      <w:r>
        <w:rPr>
          <w:rtl w:val="true"/>
        </w:rPr>
        <w:t xml:space="preserve">جواب الشبهة الثالثة </w:t>
      </w:r>
      <w:r>
        <w:rPr>
          <w:rtl w:val="true"/>
        </w:rPr>
        <w:t xml:space="preserve">- </w:t>
      </w:r>
      <w:r>
        <w:rPr>
          <w:rtl w:val="true"/>
        </w:rPr>
        <w:t>الموت ليس إبطالا للشخصية</w:t>
      </w:r>
      <w:bookmarkEnd w:id="400"/>
    </w:p>
    <w:p>
      <w:pPr>
        <w:pStyle w:val="BookText"/>
        <w:rPr/>
      </w:pPr>
      <w:r>
        <w:rPr>
          <w:rFonts w:ascii="Amiri" w:hAnsi="Amiri" w:eastAsia="Amiri" w:cs="Amiri"/>
          <w:color w:val="111111"/>
          <w:sz w:val="28"/>
          <w:sz w:val="28"/>
          <w:szCs w:val="28"/>
          <w:rtl w:val="true"/>
          <w:lang w:bidi="ar-SA"/>
        </w:rPr>
        <w:t>إنّ القائل بأنّ الموت إبطال للشخصية، حسب أنّ الإنسان موجود مادي محض، و ليس هو إلاّ مجموعة خلايا و عروق و أعصاب و عظام و جلود، تعمل بانتظام، فإذا مات الإنسان صار ترابا، و لا يبقى من شخصيته شيء، فكيف يمكن أن يكون المعاد نفس الأول؟ و لعلّه إلى ذلك يشير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 أ إنا لفي 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من الضلال في الأرض بطلان الهوية بطلانا كاملا لا يمكن أن تتسم معه بالإعادة، و يجيب القرآن عن هذه الشبهة بجوابين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بِلِقٰاءِ رَبِّهِمْ كٰافِرُونَ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الأول راجع إلى بيان باعث الإنكار، و هو أنّ السبب الواقعي لإنكار المعاد، ليس ما يتقوّلونه بألسنتهم من الضلالة في الأرض، و إنّما هو ناشئ من تبنّيهم موقفا سلبيا في مجال لقاء اللّه، فصار ذلك مبدأ لطرح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الثاني جواب عقلي عن هذا السؤال، و تعلم حقيقته بالإمعان في معنى لفظ التوفي، فهو و إن كان يفسّر بالموت، و لكنّه تفسير باللازم، و المعنى الحقيقي له هو الأخذ تماما، و قد نصّ على ذلك أئمة أهل اللغة، قال ابن منظور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فلان و توفاه اللّه، إذا قبض نفسه، و توفّيت المال منه، و استوفيته، إذا أخذته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عدد القوم، إذا عددتهم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الأدرد ليسوا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توفّاهم قريش في العدد</w:t>
      </w:r>
    </w:p>
    <w:p>
      <w:pPr>
        <w:pStyle w:val="BookText"/>
        <w:rPr/>
      </w:pPr>
      <w:r>
        <w:rPr>
          <w:rFonts w:ascii="Amiri" w:hAnsi="Amiri" w:eastAsia="Amiri" w:cs="Amiri"/>
          <w:color w:val="111111"/>
          <w:sz w:val="28"/>
          <w:sz w:val="28"/>
          <w:szCs w:val="28"/>
          <w:rtl w:val="true"/>
          <w:lang w:bidi="ar-SA"/>
        </w:rPr>
        <w:t>أي لا تجعلهم قريش تمام عددهم و لا تستوفي بهم عددهم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آيات القرآن الكريم بنفسها كافية في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معطوفة على الأنفس، و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يتوفى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التوفي بمعنى الإماتة، لما استقام معنى الآية، إذ يكون معناها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يميت التي لم تمت في منامها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تناقض؟ فلا مناص من تفسير التوفّي بالأخذ، و له مصاديق تنطبق على الموت تارة، كما في الفقرة الأولى، و على الإنامة أخرى، كما في الفقرة الثانية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فلنرجع إلى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يأخذكم ملك الموت الذي و كلّ بكم ثم إنّكم إلى اللّه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bookmarkStart w:id="401" w:name="pg16351_181102"/>
    </w:p>
    <w:p>
      <w:pPr>
        <w:pStyle w:val="BookText"/>
        <w:rPr/>
      </w:pPr>
      <w:bookmarkEnd w:id="401"/>
      <w:r>
        <w:rPr>
          <w:rFonts w:ascii="Amiri" w:hAnsi="Amiri" w:eastAsia="Amiri" w:cs="Amiri"/>
          <w:color w:val="111111"/>
          <w:sz w:val="28"/>
          <w:sz w:val="28"/>
          <w:szCs w:val="28"/>
          <w:rtl w:val="true"/>
          <w:lang w:bidi="ar-SA"/>
        </w:rPr>
        <w:t>مآله إلى أنّ شخصيتكم الحقيقية لا تضل أبدا في الأرض، و ما يرجع إليها يأخذه و يقبضه ملك الموت، و هو عندنا محفوظ لا يتغير و لا يتبدّل و لا يضلّ، و أمّا الضال، فهو البدن الذي هو بمنزلة اللباس لهذه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 الضال لا يشكل شخصية الإنسان، و ما يشكّلها و يقوّمها فهو محفوظ عند اللّه، الذي لا يضلّ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تعرب عن بقاء الروح بعد الموت و تجرّدها عن المادة و آثارها، و هذا الجواب هو الأساس لدفع أكثر الشبهات التي تطرأ على المعاد الجسماني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تجرد النفس، ممّا شغل بال المنكرين، و اهتمّ به القرآن الكريم، عناية كاملة، فسنبحث عنه بعد الإجابة عن الشبهة الرابعة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6422276_1280447820"/>
      <w:bookmarkStart w:id="403" w:name="_Toc155"/>
      <w:bookmarkEnd w:id="402"/>
      <w:r>
        <w:rPr>
          <w:rtl w:val="true"/>
        </w:rPr>
        <w:t xml:space="preserve">جواب الشبهة الرابعة </w:t>
      </w:r>
      <w:r>
        <w:rPr>
          <w:rtl w:val="true"/>
        </w:rPr>
        <w:t xml:space="preserve">- </w:t>
      </w:r>
      <w:r>
        <w:rPr>
          <w:rtl w:val="true"/>
        </w:rPr>
        <w:t>شخصية المعاد نفس شخصية المبتدأ</w:t>
      </w:r>
      <w:bookmarkEnd w:id="403"/>
    </w:p>
    <w:p>
      <w:pPr>
        <w:pStyle w:val="BookText"/>
        <w:rPr/>
      </w:pPr>
      <w:r>
        <w:rPr>
          <w:rFonts w:ascii="Amiri" w:hAnsi="Amiri" w:eastAsia="Amiri" w:cs="Amiri"/>
          <w:color w:val="111111"/>
          <w:sz w:val="28"/>
          <w:sz w:val="28"/>
          <w:szCs w:val="28"/>
          <w:rtl w:val="true"/>
          <w:lang w:bidi="ar-SA"/>
        </w:rPr>
        <w:t>عرفت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الغاية من المعاد، تحقيق العدل الإلهي، و إثابة المطيع، و عقاب العاصي، فيجب أن يكون المعاد نفس المبتدأ حتى لا يؤخذ البريء بجرم المتعدي، و هو يتوقف على وجود الصلة بين الشخصيتين، و ليس هناك 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الشبهة ناشئة من نفس ما نشأت الشبهة السابقة منه، و هو تخيّل أنّ شخصية الإنسان منحصرة في الإطار المادي،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إذا ضللنا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هذه الشبهة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نفس الجواب السابق، و هو أنّ ما يرجع إلى حقيقة الإنسان محفوظ عند اللّه سبحانه، و هو الصّلة الوثيقة بين المبتدأ و المعاد، و هو الذي يجعل البدن الثاني، إعادة للشخص الأول، لأنّ شخصيته هي روحه و نفسه و هي محفوظة في كلتا الحالتين، و إنّما البدن أداة و لباس لها، و ليس هذا بمعنى أنّ الروح تعاد و لا يعاد البدن، و لا أنّه لا يعاد نفس البدن الأول، بل بمعنى أنّ المناط للشخصية الإنسانية، هو روحه و نفسه، و البدن غير مهتم به، و الغرض من حشره ببدنه، عدم إمكان تعذيب الروح أو تنعيمها إلاّ عن طريق البدن، فإذا كانت الشخصية </w:t>
      </w:r>
    </w:p>
    <w:p>
      <w:pPr>
        <w:pStyle w:val="BookText"/>
        <w:rPr/>
      </w:pPr>
      <w:r>
        <w:rPr>
          <w:rFonts w:ascii="Amiri" w:hAnsi="Amiri" w:eastAsia="Amiri" w:cs="Amiri"/>
          <w:color w:val="111111"/>
          <w:sz w:val="28"/>
          <w:sz w:val="28"/>
          <w:szCs w:val="28"/>
          <w:rtl w:val="true"/>
          <w:lang w:bidi="ar-SA"/>
        </w:rPr>
        <w:t>محفوظة، فلا تنقطع الصلة بين المبتدأ و المعاد، خصوصا أنّ أجزاء البدن المبعثرة، معلومة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يركّب تلك الأجزاء المبعثرة، و تتعلق بها الروح،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فالتعبير ب خَلْقٍ عَلِيمٌ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علمه تعالى بأجزاء بدن كل إنسان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فرغنا من الإجابة عن الشبهات المطروحة حول المعاد التي ذكرها القرآن، و بما أنّ الإجابة عن الشبهتين الأخيرتين مبني على تجرّد الروح و بقائها بعد الموت، نفرده بالبحث و نثبت هذا التجرّد عقلا و نقلا، و هو من مهام البحوث في المعاد</w:t>
      </w:r>
      <w:r>
        <w:rPr>
          <w:rFonts w:eastAsia="Amiri" w:cs="Amiri" w:ascii="Amiri" w:hAnsi="Amiri"/>
          <w:color w:val="111111"/>
          <w:sz w:val="28"/>
          <w:szCs w:val="28"/>
          <w:rtl w:val="true"/>
          <w:lang w:bidi="ar-SA"/>
        </w:rPr>
        <w:t xml:space="preserve">. </w:t>
      </w:r>
      <w:bookmarkStart w:id="404" w:name="pg16351_181104"/>
    </w:p>
    <w:p>
      <w:pPr>
        <w:pStyle w:val="BookText"/>
        <w:rPr/>
      </w:pPr>
      <w:bookmarkEnd w:id="404"/>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405" w:name="__RefHeading___Toc6422278_1280447820"/>
      <w:bookmarkStart w:id="406" w:name="_Toc156"/>
      <w:bookmarkEnd w:id="405"/>
      <w:r>
        <w:rPr>
          <w:rtl w:val="true"/>
        </w:rPr>
        <w:t>(</w:t>
      </w:r>
      <w:r>
        <w:rPr/>
        <w:t>4</w:t>
      </w:r>
      <w:r>
        <w:rPr>
          <w:rtl w:val="true"/>
        </w:rPr>
        <w:t xml:space="preserve">) </w:t>
      </w:r>
      <w:r>
        <w:rPr>
          <w:rtl w:val="true"/>
        </w:rPr>
        <w:t>تجرد الروح الإنسانية</w:t>
      </w:r>
      <w:bookmarkEnd w:id="406"/>
    </w:p>
    <w:p>
      <w:pPr>
        <w:pStyle w:val="Heading5"/>
        <w:numPr>
          <w:ilvl w:val="4"/>
          <w:numId w:val="1"/>
        </w:numPr>
        <w:rPr/>
      </w:pPr>
      <w:bookmarkStart w:id="407" w:name="__RefHeading___Toc6422280_1280447820"/>
      <w:bookmarkStart w:id="408" w:name="_Toc157"/>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لقد شغل أمر تجرد الروح بال المفكرين، و استدلوا عليه بوجوه عقلية عدة، كما اهتمّ القرآن الكريم ببيانه في لفيف من آياته، و فيما يلي نسلك في البحث عن تجرّد الروح هذين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 النقلي</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6422282_1280447820"/>
      <w:bookmarkStart w:id="410" w:name="_Toc158"/>
      <w:bookmarkEnd w:id="409"/>
      <w:r>
        <w:rPr/>
        <w:t>1</w:t>
      </w:r>
      <w:r>
        <w:rPr>
          <w:rtl w:val="true"/>
        </w:rPr>
        <w:t xml:space="preserve"> - </w:t>
      </w:r>
      <w:r>
        <w:rPr>
          <w:rtl w:val="true"/>
        </w:rPr>
        <w:t>البراهين العقلية على تجرد الروح</w:t>
      </w:r>
      <w:bookmarkEnd w:id="410"/>
    </w:p>
    <w:p>
      <w:pPr>
        <w:pStyle w:val="Heading6"/>
        <w:numPr>
          <w:ilvl w:val="5"/>
          <w:numId w:val="1"/>
        </w:numPr>
        <w:rPr/>
      </w:pPr>
      <w:bookmarkStart w:id="411" w:name="__RefHeading___Toc6422284_1280447820"/>
      <w:bookmarkStart w:id="412" w:name="_Toc15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تدلّ براهين كثيرة على أنّ النفس مجرّدة غير مشوبة بالمادة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تجرّدها يعتبر من النوافذ إلى عالم الغيب و نكتفي فيما يلي بإيراد أبرز هذه البراهين و أوضحها، و إلاّ فهي كثيرة تتجاوز العشرة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6422286_1280447820"/>
      <w:bookmarkStart w:id="414" w:name="_Toc160"/>
      <w:bookmarkEnd w:id="413"/>
      <w:r>
        <w:rPr>
          <w:rtl w:val="true"/>
        </w:rPr>
        <w:t xml:space="preserve">البرهان الأول </w:t>
      </w:r>
      <w:r>
        <w:rPr>
          <w:rtl w:val="true"/>
        </w:rPr>
        <w:t xml:space="preserve">- </w:t>
      </w:r>
      <w:r>
        <w:rPr>
          <w:rtl w:val="true"/>
        </w:rPr>
        <w:t>ثبات الشخصية الإنسانية في دوامة التغيّرات الجسدية</w:t>
      </w:r>
      <w:bookmarkEnd w:id="414"/>
    </w:p>
    <w:p>
      <w:pPr>
        <w:pStyle w:val="BookText"/>
        <w:rPr/>
      </w:pPr>
      <w:r>
        <w:rPr>
          <w:rFonts w:ascii="Amiri" w:hAnsi="Amiri" w:eastAsia="Amiri" w:cs="Amiri"/>
          <w:color w:val="111111"/>
          <w:sz w:val="28"/>
          <w:sz w:val="28"/>
          <w:szCs w:val="28"/>
          <w:rtl w:val="true"/>
          <w:lang w:bidi="ar-SA"/>
        </w:rPr>
        <w:t>و هذا البرهان يتألّف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هناك موجودا تنسب إليه جميع الأفعال الصادرة عن الإنسان، ذهنية كانت أو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الموجود حقيقة، و واقعية يشار إليها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أنّ هذه الحقيقة التي تعدّ مصدرا لأفعال الإنسان، ثابتة و باقية </w:t>
      </w:r>
    </w:p>
    <w:p>
      <w:pPr>
        <w:pStyle w:val="BookText"/>
        <w:rPr/>
      </w:pPr>
      <w:r>
        <w:rPr>
          <w:rFonts w:ascii="Amiri" w:hAnsi="Amiri" w:eastAsia="Amiri" w:cs="Amiri"/>
          <w:color w:val="111111"/>
          <w:sz w:val="28"/>
          <w:sz w:val="28"/>
          <w:szCs w:val="28"/>
          <w:rtl w:val="true"/>
          <w:lang w:bidi="ar-SA"/>
        </w:rPr>
        <w:t>و مستمرة في مهبّ التغيرات، و هذا آية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فلا تحتاج إلى بحث كثير، لأنّ كل واحد ينسب أعضاءه إلى نفسه و يقول يدي، رجلي، عيني، أذني،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أفعاله إليها، و يقول قرأت، كتبت، أردت، أحببت، و هذا مما يتساوى فيه الإلهي و المادي و لا ينكره أحد، و هو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يحكي عن حقيقة من الحقائق الكونية، غير أنّ اشتغاله بالأعمال الجسمية، يصرفه عن التعمّق في أمر هذا المصدر و المبدأ، و ربما يتخيل أنّه هو البدن، و لكنه سرعان ما يرجع عنه إذا أمعن قليلا حتى أنّه ينسب مجموع بدنه إلى تلك النفس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 فكل واحد منا يحسّ بأنّ نفسه باقية ثابتة في دوامة التغيرات و التحوّلات التي تطرأ على جسمه، فمع أنّه يتصف تارة بالطفولة، و أخرى بالصبا، و ثالثة بالشباب، و أخيرا بالكهولة، فمع ذلك يبقى هناك شيء واحد تسند إليه جميع هذا الحالات،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طفلا ثم صرت صبيا، فشابا، فكهلا، و كل إنسان يحسّ بأنّ في ذاته حقيقة باقية و ثابتة رغم تغير الأحوال و تصرم الأزمنة، فلو كانت تلك الحقيقة التي يحمل عليها تلك الصفات أمرا ماديا، مشمولا لسنّة التغيّر و التبدّل، لم يصحّ حمل تلك الصفات على شيء واحد،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كتبت هذا الخط يوم كنت صبيا أو شابا، فلو لا وجود شيء ثابت و مستمر إلى زمان النطق، للزم كذب القضية، و عدم صحتها، لأنّ الشخصية التي كانت في أيام الصبا، قد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بعدها شخصية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أثبت العلم أنّ التغيّر و التحوّل من الآثار اللازمة للموجودات المادية، فلا تنفك الخلايا التي يتكون منها الجسم البشري، عن التغير و التبدّل، فهي كالنهر الجاري تخضع لعملية تغيير مستمر، و لا يمضي على الجسم زمن إلاّ و قد احتلّت الخلايا الجديدة مكان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حسب العلماء معدل هذا التجدد، فظهر لهم أنّ التبدّل يحدث بصورة شاملة في البدن، مرة كل عشر سنين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فعملية فناء الجسم المادي الظاهري مستمرة، و لكن </w:t>
      </w:r>
      <w:bookmarkStart w:id="415" w:name="pg16351_181106"/>
    </w:p>
    <w:p>
      <w:pPr>
        <w:pStyle w:val="BookText"/>
        <w:rPr/>
      </w:pPr>
      <w:bookmarkEnd w:id="415"/>
      <w:r>
        <w:rPr>
          <w:rFonts w:ascii="Amiri" w:hAnsi="Amiri" w:eastAsia="Amiri" w:cs="Amiri"/>
          <w:color w:val="111111"/>
          <w:sz w:val="28"/>
          <w:sz w:val="28"/>
          <w:szCs w:val="28"/>
          <w:rtl w:val="true"/>
          <w:lang w:bidi="ar-SA"/>
        </w:rPr>
        <w:t xml:space="preserve">الإنسان، في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حقيقة الإنسان هي نفس هذه الخلايا لوجب أن يكون الإحساس بحضور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الحالات أمرا باطلا، و إحساسا خاطئا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البرهان عبارة عن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لجميع المحمولات، و ثباته في دوامة التحولات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جانب النقيض من كونه ماديا</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6422288_1280447820"/>
      <w:bookmarkStart w:id="417" w:name="_Toc161"/>
      <w:bookmarkEnd w:id="416"/>
      <w:r>
        <w:rPr>
          <w:rtl w:val="true"/>
        </w:rPr>
        <w:t xml:space="preserve">البرهان الثاني </w:t>
      </w:r>
      <w:r>
        <w:rPr>
          <w:rtl w:val="true"/>
        </w:rPr>
        <w:t xml:space="preserve">- </w:t>
      </w:r>
      <w:r>
        <w:rPr>
          <w:rtl w:val="true"/>
        </w:rPr>
        <w:t>علم الإنسان بنفسه مع الغفلة عن بدنه</w:t>
      </w:r>
      <w:bookmarkEnd w:id="417"/>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بنفسه مع الغفلة عن بدنه</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إنّ الإنسان قد يغفل في ظروف خاصة عن كل شيء، عن بدنه و أعضائه، و لكن لا يغفل أبدا عن نفسه، سليما كان أم سقيما و إذا أردت أن تجرب ذلك، فاستمع إلى 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افرض نفسك في حديقة زاهرة غناء، و أنت مستلق لا تبصر أطرافك و لا تتنبّه إلى شيء، و لا تتلامس أعضاؤك، لئلا تحسّ بها، بل تكون منفرجة، و مرتخية في هواء طلق، لا تحسّ فيه بكيفية غريبة من حرّ أو برد أو ما شابه، ممّا هو خارج عن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مثل هذه الحالة تغفل عن كل شيء حتى عن أعضائك الظاهرة، و قواك الداخلية، فضلا عن الأشياء التي حولك، إلاّ عن ذاتك، فلو كانت الروح نفس بدنك و أعضائك و جوارحك و جوانحك، للزم أن تغفل عن نفسك إذا غفلت عنها، و التجربة أثبتت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المغفول عنه، غير اللامغفول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إدراك الإنسان نفسه من أول الإدراكات و أوضحها</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6422290_1280447820"/>
      <w:bookmarkStart w:id="419" w:name="_Toc162"/>
      <w:bookmarkEnd w:id="418"/>
      <w:r>
        <w:rPr>
          <w:rtl w:val="true"/>
        </w:rPr>
        <w:t xml:space="preserve">البرهان الثالث </w:t>
      </w:r>
      <w:r>
        <w:rPr>
          <w:rtl w:val="true"/>
        </w:rPr>
        <w:t xml:space="preserve">- </w:t>
      </w:r>
      <w:r>
        <w:rPr>
          <w:rtl w:val="true"/>
        </w:rPr>
        <w:t>عدم الانقسام آية التجرّد</w:t>
      </w:r>
      <w:bookmarkEnd w:id="4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الانقسام و التجزؤ من آثار المادة، غير المنفكة عنها، فكل موجود مادي </w:t>
      </w:r>
    </w:p>
    <w:p>
      <w:pPr>
        <w:pStyle w:val="BookText"/>
        <w:rPr/>
      </w:pPr>
      <w:r>
        <w:rPr>
          <w:rFonts w:ascii="Amiri" w:hAnsi="Amiri" w:eastAsia="Amiri" w:cs="Amiri"/>
          <w:color w:val="111111"/>
          <w:sz w:val="28"/>
          <w:sz w:val="28"/>
          <w:szCs w:val="28"/>
          <w:rtl w:val="true"/>
          <w:lang w:bidi="ar-SA"/>
        </w:rPr>
        <w:t>خاضع لهما بالقوة، و إذا عجز الإنسان عن تقسيم ذلك الموجود، فلأجل فقدانه أدواته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ذكر الفلاسفة في محلّه، بطلان الجزء الذي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يسميه علم الفيزياء، جزء لا يتجزأ، فإنّما هو غير متجزّئ بالحسّ، لعدم الأدوات اللازمة، و أمّا عقلا فهو منقسم مهما تناهى الانقسام، لأنّه إذا لم يمكن الانقسام، و عجز الوهم عن استحضار ما يريد أن يقسّمه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بالمكبرات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صغره، يفرض العقل فيه شيئا غير شيء، فيحكم بأنّ كل جزء منه يتجزأ إلى غير النهاية، و معنى عدم الوقوف أنّه لا ينتهي انقسامه إلى حدّ إلاّ و يتجاوز عنه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جانب آخر، كلّ واحد منّا إذا رجع إلى ما يشاهده في صميم ذاته،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وجده معنى بسيطا غير قابل للانقسام و التجزّي، فارتفاع أحكام المادة، دليل على أنّه ليس بمادي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الانقسام لا يختص بما يجده الإنسان في صميم ذاته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سائد على وجدانياته أيضا من حبّ، و بغض، و إرادة، و كراهة، و تصديق، و 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الحالات النفسانية، تظهر فينا في ظروف خاصة، و لا يتطرق إليها الانقسام الذي هو من أظهر خواص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اعطف نظرك إلى حبك لولدك، و بغضك لعدوك، فهل تجد فيهما تركّبا؟ و هل ينقسمان إلى جزء فجزء؟ كلا،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الذات و الوجدانيات غير قابلة للانقسام، فلا تكون منتسبة إلى المادة التي يعدّ الانقسام من أظهر خواصّها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ممّا ذكرنا أنّ الروح و آثارها، و النفس و النفسانيات، كلّها موجودات واقعية خارجة عن إطار المادة، و من المضحك قول المادي إنّ التفحص، و التفتيش العلمي في المختبرات لم يصل إلى موجود غير مادي، حتى نذعن بوجوده، فقد عزب عنه أنّ القضاء عن طريق المختبرات يختصّ بالأمور المادية، و أمّا ما يكون </w:t>
      </w:r>
      <w:bookmarkStart w:id="420" w:name="pg16351_181108"/>
    </w:p>
    <w:p>
      <w:pPr>
        <w:pStyle w:val="BookText"/>
        <w:rPr/>
      </w:pPr>
      <w:bookmarkEnd w:id="420"/>
      <w:r>
        <w:rPr>
          <w:rFonts w:ascii="Amiri" w:hAnsi="Amiri" w:eastAsia="Amiri" w:cs="Amiri"/>
          <w:color w:val="111111"/>
          <w:sz w:val="28"/>
          <w:sz w:val="28"/>
          <w:szCs w:val="28"/>
          <w:rtl w:val="true"/>
          <w:lang w:bidi="ar-SA"/>
        </w:rPr>
        <w:t>سنخ وجوده على طرف النقيض منها، فليست المختبرات محلا و ملاكا للقضاء بوجوده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العقلي، في تجرّد الروح مترامي الأطراف مختلف البراهين، اكتفينا بهذا القدر منه، و من أراد التبسّط فليرجع إلى الكتب المعدة لذلك</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6422292_1280447820"/>
      <w:bookmarkStart w:id="422" w:name="_Toc163"/>
      <w:bookmarkEnd w:id="421"/>
      <w:r>
        <w:rPr/>
        <w:t>2</w:t>
      </w:r>
      <w:r>
        <w:rPr>
          <w:rtl w:val="true"/>
        </w:rPr>
        <w:t xml:space="preserve"> - </w:t>
      </w:r>
      <w:r>
        <w:rPr>
          <w:rtl w:val="true"/>
        </w:rPr>
        <w:t>القرآن و تجرّد النفس و خلودها</w:t>
      </w:r>
      <w:bookmarkEnd w:id="422"/>
    </w:p>
    <w:p>
      <w:pPr>
        <w:pStyle w:val="Heading6"/>
        <w:numPr>
          <w:ilvl w:val="5"/>
          <w:numId w:val="1"/>
        </w:numPr>
        <w:rPr/>
      </w:pPr>
      <w:bookmarkStart w:id="423" w:name="__RefHeading___Toc6422294_1280447820"/>
      <w:bookmarkStart w:id="424" w:name="_Toc164"/>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الآيات التي يستظهر منها خلود الروح و تجرّدها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يدلّ عليه بصراحة لا تقبل الإنكار، و قسم آخر يستظهر منه، و إن كان قابلا للحمل على معنى آخر، و إليك نقل القسمين بإيضاح إجمالي</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6422296_1280447820"/>
      <w:bookmarkStart w:id="426" w:name="_Toc165"/>
      <w:bookmarkEnd w:id="425"/>
      <w:r>
        <w:rPr>
          <w:rtl w:val="true"/>
        </w:rPr>
        <w:t>القسم الأول من الآيات</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الدلالة مبنية على إمعان النظر في لفظة التوفّي، و قد عرفت أنّها بمعنى الأخذ و القبض، لا 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فالآية تدلّ على أنّ للإنسان وراء البدن شيئا يأخذه اللّه سبحانه، حين الموت و النوم، فيمسكه إن كتب عليه الموت، و يرسله إن لم يكتب عليه ذلك إلى أجل مسمى، فلو كان الإنسان متمحضا في المادة و آثارها، فلا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w:t>
      </w:r>
    </w:p>
    <w:p>
      <w:pPr>
        <w:pStyle w:val="BookText"/>
        <w:rPr/>
      </w:pPr>
      <w:r>
        <w:rPr>
          <w:rFonts w:ascii="Amiri" w:hAnsi="Amiri" w:eastAsia="Amiri" w:cs="Amiri"/>
          <w:color w:val="111111"/>
          <w:sz w:val="28"/>
          <w:sz w:val="28"/>
          <w:szCs w:val="28"/>
          <w:rtl w:val="true"/>
          <w:lang w:bidi="ar-SA"/>
        </w:rPr>
        <w:t xml:space="preserve">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صراحة الآية غير قابلة للإنكار، 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أحياء أوّلا، و يرزقون ثانيا، و إنّ لهم آثارا نفسانية يفرحون و يستبشرون، لا يخافون و لا يحزنون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تفسير الحياة في الآيتين، بالحياة في شعور الناس و ضمائرهم، و قلوبهم، و في الأندية و المحافل و المناسبات الرسمية، تفسير مادي للآية، جرّت إليه النزعات الإلحادية، و لو كان المراد هو هذا النوع من الحياة، فما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يُرْزَقُونَ ، فَرِحِينَ ، يَسْتَبْشِرُونَ ، و ما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تَشْعُرُونَ ، فإنّ الحياة بالمعنى الذي ذكروه يشعر بها 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 سبحانه يحكم على آل فرعون بأنّهم يعرضون على النار، في كل يوم و ليلة، قبل يوم القيامة، بشهادة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 فإنّه دليل على أنّ العرض على النار قبلها، فلو كان الموت بطلانا للشخصية، و اندثارا لها، فما معنى العرض على النار، صباحا و مساء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دلالة الآية كدلالة سابقتها، و لا يمكن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فَأُدْخِلُوا نٰاراً ، بنار القيامة، و ذلك لأنّ القيامة لم تقع بعد، و الآية تحكي عن الدخول أوّلا، و كونه متصلا بغرقهم لا منفصلا عنه ثانيا، قضاء بحكم الفاء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تقدمت دلالة الآية، فقلنا إنّ محور الدلالة هو الإمعان في معنى التوفّي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الأنفس، في الآية، هو عين ما ورد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 و هي تحكي عن أنّ للظالمين أبدانا و أنفسا و الملائكة موكّلون بأخذ أنفسهم و ترك أبدانهم، و لو كان الإنسان موجودا ماديا محضا، فما معنى أخذ الأنفس، إذ يكون الموت حينئذ خمود الحرارة الغريزية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الآية تدلّ على أن الظالم يعذب يوم خروج نفسه بعذاب الهون، و هذا يدل على أنّ وراء البدن شيء آخر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 عذاب الهون بشدة قبض الروح، تفسير على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عليه السلام بعث رسولين من الحواريين إلى </w:t>
      </w:r>
    </w:p>
    <w:p>
      <w:pPr>
        <w:pStyle w:val="BookText"/>
        <w:rPr/>
      </w:pPr>
      <w:r>
        <w:rPr>
          <w:rFonts w:ascii="Amiri" w:hAnsi="Amiri" w:eastAsia="Amiri" w:cs="Amiri"/>
          <w:color w:val="111111"/>
          <w:sz w:val="28"/>
          <w:sz w:val="28"/>
          <w:szCs w:val="28"/>
          <w:rtl w:val="true"/>
          <w:lang w:bidi="ar-SA"/>
        </w:rPr>
        <w:t>مدينة أنطاكية، فلقيا من أهلها عنفا و ردّا، غير أنّ واحدا من أهلها اسمه حبيب النجار، آمن بهما و أظهر إيمانه،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آمَنْتُ بِرَبِّكُمْ فَاسْمَعُونِ ، فلما سمع القوم إيمانه وطئوه بأرجلهم حتى مات، فأدخله اللّه الجنة، و خوطب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تمنّى أن يعلم قومه بما آتاه اللّه تعالى من المغفرة و جزيل الثواب،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تدل على أنّ الموت ليس فناء للإنسان، بل هو بعد الموت يرزق في الجنة، و يتمنى أن يعلم قومه بما رزق 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 لا يمكن أن يكون خطابا للبدن لأنه يوارى تحت التراب، فالمخاطب به شيء آخر، و هو الروح، فتدخل الجنة و تتنعّم فيها، و كم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لا يدلّ على شيء مما ذكرنا بخلاف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دلالة الآية على أنّ الروح أمر غير مادّي، فيظهر بالإمعان فيها،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تبيّن تكامل خلقة الإنسان من مرحلة إلى مرحلة، و المراحل الموجودة بين السلالة،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فَكَسَوْنَا اَلْعِظٰامَ لَحْماً ، كلّها تكامل من صنف واحد، فمادة الإنسان لن تبرح تتكامل من السلالة إلى العظام المكسوة باللّحم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نرى تغييرا في أسلوب بيان الآية،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 هذه المرحلة على المراحل السابقة، بلفظة ثمّ، بخلاف </w:t>
      </w:r>
      <w:bookmarkStart w:id="427" w:name="pg16351_181112"/>
    </w:p>
    <w:p>
      <w:pPr>
        <w:pStyle w:val="BookText"/>
        <w:rPr/>
      </w:pPr>
      <w:bookmarkEnd w:id="427"/>
      <w:r>
        <w:rPr>
          <w:rFonts w:ascii="Amiri" w:hAnsi="Amiri" w:eastAsia="Amiri" w:cs="Amiri"/>
          <w:color w:val="111111"/>
          <w:sz w:val="28"/>
          <w:sz w:val="28"/>
          <w:szCs w:val="28"/>
          <w:rtl w:val="true"/>
          <w:lang w:bidi="ar-SA"/>
        </w:rPr>
        <w:t>المراحل السابقة، فيعطفها بالفاء، و يقول فخلقنا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فخلقنا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تغاير هائل بين هذه المرحلة و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بيان خلقه هذه المرحلة لفظ الإنشاء، بمعنى الإبداع، و إنشاء شيء بلا مثال قبله، و هو أيضا يدل على مغايرة هذه المرحلة لما سبقها من المراحل، مغايرة 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بعد ما يقرر خلقه هذه المرحلة، يثني على نفسه، مما يعرب عن اختلاف هذه المرحلة مع ما تقدمها، و امتيازها عنها امتيازا جوهريا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تكفي في دلالة الآية على أنّ المنشأ في هذه المرحلة شيء لا يشبه المنشآت السابقة، و يختلف عنها جوهرا، و حيث إنّ المنشآت السابقة من سنخ تكامل المادة، فيكون المنشأ في هذه المرحلة، منشأ غير مادي، و هو تعلّق النفس المجردة بالبدن في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إيراد الآيات الصريحة في المطلوب، و يقع الكلام بعده في القسم الثاني من الآيات، و هي التي يستظهر منها الدلالة على تجرد الروح، و إن كانت قابلة للحمل على معان أخرى</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6422298_1280447820"/>
      <w:bookmarkStart w:id="429" w:name="_Toc166"/>
      <w:bookmarkEnd w:id="428"/>
      <w:r>
        <w:rPr>
          <w:rtl w:val="true"/>
        </w:rPr>
        <w:t>القسم الثاني من الآيات</w:t>
      </w:r>
      <w:bookmarkEnd w:id="42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تتضح الدلالة إذا أمعنّا أنّه سبحانه يخص النجاة ببدن فرعون،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بِبَدَنِكَ و هذا يعرب عن أنّ هناك شيء آخر لا يشمله النجاة، و يقع مورد العذاب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خطابه سبحانه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نُنَجِّيكَ ، فإنّه يدلّ على أنّ </w:t>
      </w:r>
    </w:p>
    <w:p>
      <w:pPr>
        <w:pStyle w:val="BookText"/>
        <w:rPr/>
      </w:pPr>
      <w:r>
        <w:rPr>
          <w:rFonts w:ascii="Amiri" w:hAnsi="Amiri" w:eastAsia="Amiri" w:cs="Amiri"/>
          <w:color w:val="111111"/>
          <w:sz w:val="28"/>
          <w:sz w:val="28"/>
          <w:szCs w:val="28"/>
          <w:rtl w:val="true"/>
          <w:lang w:bidi="ar-SA"/>
        </w:rPr>
        <w:t>هناك واقعية، غير البدن، يكلمها و يخاطبها، و يعلّمها بأنّ النجاة تشمل بدنها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 يدل على أنّ توليه عنهم كان بعد هلاكهم، و يترتب على ذلك أن محاورتهم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لَقَدْ أَبْلَغْتُكُمْ ، كان محاورة بعد الدمار، فالآية تدل على أمرين، خلود الروح بعد الموت، و إمكان الاتصال بالأرواح كما اتصل صالح بها فقال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نقله 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وجه الدلالة في المقامين واحد خصوصا إذا أمعنّا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فَتَوَلّٰى ، المعرب عن تأخّر التولّى و المحاورة عن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جعلنا هما من الآيات غير الصريحة، لاحتمال أن تكون المحاورة تأثّريّة، يتكلم بها الإنسان بلا اختيار عند ما يواجه حادثة مؤلمة حلّت على إنسان عاصي لا يسمع كلام ناصحه، كالمجرم المصلوب فإنه يخاطب، بمثل ما خوطب به هؤلاء، و لكنّ ظاهر الآية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تأمر النبي أن يسأل المتقدمين من الرسل في شأن اختصاص العبادة </w:t>
      </w:r>
    </w:p>
    <w:p>
      <w:pPr>
        <w:pStyle w:val="BookText"/>
        <w:rPr/>
      </w:pPr>
      <w:r>
        <w:rPr>
          <w:rFonts w:ascii="Amiri" w:hAnsi="Amiri" w:eastAsia="Amiri" w:cs="Amiri"/>
          <w:color w:val="111111"/>
          <w:sz w:val="28"/>
          <w:sz w:val="28"/>
          <w:szCs w:val="28"/>
          <w:rtl w:val="true"/>
          <w:lang w:bidi="ar-SA"/>
        </w:rPr>
        <w:t>باللّه سبحانه، الذي يحكي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السؤال فرع وجود المسئول أوّلا، و إمكان الاتصال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وجود أرواح الأنبياء، و إمكان اتصال النبي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يمكن أن يكون المراد هو سؤال علماء أهل الكتاب أو أتباعهم،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Style w:val="FootnoteAnchor"/>
          <w:rtl w:val="true"/>
        </w:rPr>
        <w:footnoteReference w:id="402"/>
      </w:r>
      <w:r>
        <w:rPr>
          <w:rFonts w:ascii="Amiri" w:hAnsi="Amiri" w:eastAsia="Amiri" w:cs="Amiri"/>
          <w:color w:val="111111"/>
          <w:sz w:val="28"/>
          <w:sz w:val="28"/>
          <w:szCs w:val="28"/>
          <w:rtl w:val="true"/>
          <w:lang w:bidi="ar-SA"/>
        </w:rPr>
        <w:t>و الغاية من السؤال هو الاحتجاج، و مع ذلك فهذا الاحتمال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الآيات</w:t>
      </w:r>
      <w:r>
        <w:rPr>
          <w:rStyle w:val="FootnoteAnchor"/>
          <w:rtl w:val="true"/>
        </w:rPr>
        <w:footnoteReference w:id="403"/>
      </w:r>
      <w:r>
        <w:rPr>
          <w:rFonts w:ascii="Amiri" w:hAnsi="Amiri" w:eastAsia="Amiri" w:cs="Amiri"/>
          <w:color w:val="111111"/>
          <w:sz w:val="28"/>
          <w:sz w:val="28"/>
          <w:szCs w:val="28"/>
          <w:rtl w:val="true"/>
          <w:lang w:bidi="ar-SA"/>
        </w:rPr>
        <w:t>ما يدل على أنّ الآية تأمر النبي بالسؤال في ليلة المعراج، و لو تمت الروايات سندا، لما كانت مخالفة لما قلنا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إيراد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خلود الروح بعد الموت، و تجرّدها من آثار المادة، و إمكان الاتصال بها في هذه النشأة و بذلك ثبت بنحو قاطع، من طريقي العقل و النقل، وجود الروح و تجردها و خلودها</w:t>
      </w:r>
      <w:r>
        <w:rPr>
          <w:rStyle w:val="FootnoteAnchor"/>
          <w:rtl w:val="true"/>
        </w:rPr>
        <w:footnoteReference w:id="404"/>
      </w:r>
      <w:r>
        <w:rPr>
          <w:rFonts w:ascii="Amiri" w:hAnsi="Amiri" w:eastAsia="Amiri" w:cs="Amiri"/>
          <w:color w:val="111111"/>
          <w:sz w:val="28"/>
          <w:sz w:val="28"/>
          <w:szCs w:val="28"/>
          <w:rtl w:val="true"/>
          <w:lang w:bidi="ar-SA"/>
        </w:rPr>
        <w:t>، الذي له دور عظيم في حلّ معضلات المعاد، و الإجابة على الأسئلة الواردة حوله</w:t>
      </w:r>
      <w:r>
        <w:rPr>
          <w:rFonts w:eastAsia="Amiri" w:cs="Amiri" w:ascii="Amiri" w:hAnsi="Amiri"/>
          <w:color w:val="111111"/>
          <w:sz w:val="28"/>
          <w:szCs w:val="28"/>
          <w:rtl w:val="true"/>
          <w:lang w:bidi="ar-SA"/>
        </w:rPr>
        <w:t xml:space="preserve">. </w:t>
      </w:r>
      <w:bookmarkStart w:id="430" w:name="pg16351_181115"/>
    </w:p>
    <w:p>
      <w:pPr>
        <w:pStyle w:val="BookText"/>
        <w:rPr/>
      </w:pPr>
      <w:bookmarkEnd w:id="430"/>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431" w:name="__RefHeading___Toc6422300_1280447820"/>
      <w:bookmarkStart w:id="432" w:name="_Toc167"/>
      <w:bookmarkEnd w:id="431"/>
      <w:r>
        <w:rPr>
          <w:rtl w:val="true"/>
        </w:rPr>
        <w:t>(</w:t>
      </w:r>
      <w:r>
        <w:rPr/>
        <w:t>5</w:t>
      </w:r>
      <w:r>
        <w:rPr>
          <w:rtl w:val="true"/>
        </w:rPr>
        <w:t xml:space="preserve">) </w:t>
      </w:r>
      <w:r>
        <w:rPr>
          <w:rtl w:val="true"/>
        </w:rPr>
        <w:t>نماذج من إحياء الموتى في الشرائع السابقة</w:t>
      </w:r>
      <w:bookmarkEnd w:id="432"/>
    </w:p>
    <w:p>
      <w:pPr>
        <w:pStyle w:val="Heading5"/>
        <w:numPr>
          <w:ilvl w:val="4"/>
          <w:numId w:val="1"/>
        </w:numPr>
        <w:rPr/>
      </w:pPr>
      <w:bookmarkStart w:id="433" w:name="__RefHeading___Toc6422302_1280447820"/>
      <w:bookmarkStart w:id="434" w:name="_Toc168"/>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أثبت الحكماء لليقين مراتب و درجات، و لكل منها عندهم اسم خاص، و لتبيين هذه الدرجات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سمع الإنسان اسم النار، و لم يرها، و قيل له إنها موجود عنصري لها هيئة خاصة، و أثر و معيّن في الأعضاء، و أذعن بذلك لكون المخبرين صادقين، فهذه مرتبة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شاهدها من بعيد، و لكن لم تمسّ حرارتها بدنه، و إنما رأى هيئتها، و التهابها، بأم عينه، فهذه مرتبة من اليقين أقوى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أين هذه المرتبة مما إذا شاهدها عن كثب و مسّته حرارتها، ففي هذه المرتبة يتكامل يقينه بها، و يبلغ الدرجة القصوى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لليقين مراتب و درجات، فلا لوم على الأنبياء و الأولياء أن يطلبوا من اللّه سبحانه إحياء الموتى حتى يشاهدوه بأعينهم لإكمال مراتب يقينهم بالقيامة، و تبديل علم اليقين فيهم بعين اليقين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435" w:name="pg16351_181116"/>
    </w:p>
    <w:p>
      <w:pPr>
        <w:pStyle w:val="BookText"/>
        <w:rPr/>
      </w:pPr>
      <w:bookmarkEnd w:id="435"/>
      <w:r>
        <w:rPr>
          <w:rFonts w:ascii="Amiri" w:hAnsi="Amiri" w:eastAsia="Amiri" w:cs="Amiri"/>
          <w:color w:val="111111"/>
          <w:sz w:val="28"/>
          <w:sz w:val="28"/>
          <w:szCs w:val="28"/>
          <w:rtl w:val="true"/>
          <w:lang w:bidi="ar-SA"/>
        </w:rPr>
        <w:t>و من هنا نرى أنّ اللّه سبحانه أحيا الموتى لإبراهيم الخليل، و عزير، و غيرهم كما سيأتي، و الغاية كانت إكمال مراتب اليقين، أو إتمام الحجة على البعيدين عن هذه المعارف، كما هو الحال في إحياء عيسى الموتى لبني إسرائيل، و فيما يلي نورد هذه النماذج من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6422304_1280447820"/>
      <w:bookmarkStart w:id="437" w:name="_Toc169"/>
      <w:bookmarkEnd w:id="436"/>
      <w:r>
        <w:rPr/>
        <w:t>1</w:t>
      </w:r>
      <w:r>
        <w:rPr>
          <w:rtl w:val="true"/>
        </w:rPr>
        <w:t xml:space="preserve"> - </w:t>
      </w:r>
      <w:r>
        <w:rPr>
          <w:rtl w:val="true"/>
        </w:rPr>
        <w:t>إبراهيم و إحياء الموتى</w:t>
      </w:r>
      <w:bookmarkEnd w:id="437"/>
    </w:p>
    <w:p>
      <w:pPr>
        <w:pStyle w:val="BookText"/>
        <w:rPr/>
      </w:pPr>
      <w:r>
        <w:rPr>
          <w:rFonts w:ascii="Amiri" w:hAnsi="Amiri" w:eastAsia="Amiri" w:cs="Amiri"/>
          <w:color w:val="111111"/>
          <w:sz w:val="28"/>
          <w:sz w:val="28"/>
          <w:szCs w:val="28"/>
          <w:rtl w:val="true"/>
          <w:lang w:bidi="ar-SA"/>
        </w:rPr>
        <w:t>ذكر المفسرون أنّ إبراهيم عليه السّلام رأى جيفة تمزقها السباع، فيأكل منها سباع البر، و سباع الهواء و دواب البحر، فسأل اللّه سبحانه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علمت أنّك تجمعها في بطون السباع و الطير و دواب البحر، فأرني كيف تحييها لأعاين ذلك؟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أَرِنِي كَيْفَ تُحْيِ اَلْمَوْتىٰ، قٰالَ أَ وَ لَمْ تُؤْمِنْ قٰالَ بَلىٰ وَ لٰكِنْ لِيَطْمَئِنَّ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ثُمَّ اُدْعُهُنَّ يَأْتِينَكَ سَعْياً، وَ اِعْلَمْ أَنَّ اَللّٰهَ عَزِيزٌ حَكِيمٌ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ذكرنا من سبب النزول يكشف عن أنّه لم يكن غرض إبراهيم إحياء نفس فقط، و إلا لكفى فيه إحياء طير واحد بعد إماتته، و إنما لكان الغرض مشاهدة إعادة أجزاء كلّ طير إليه بعد اختلاطها بأجزاء الطيور الأخر، و هذا لا يتحقق إلا بتعدد الطيور أوّلا، و اختلافها نوعا، ثانيا، و اختلاطها بعد ذبحها، ثالثا، فلأجل ذلك ورد أنّه أخذ طيورا مختلفة الأجناس، قيل 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الطاوس، و الديك، و الحمام، و الغراب، فقطّعها، و خلط ريشها بدمها، ثم فرّقهن على عشرة جبال، ثم أخذ بمناقيرهن، و دعا هن باسمه سبحانه، فأتته سعيا، فكانت تجتمع و يأتلف لحم كلّ واحد و عظمه إلى رأسه، حتى قامت أحياء بين يديه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كمل إيمانه، و تم إذعانه بأنّه سبحانه يمكن أن يعيد أجزاء بدن كل </w:t>
      </w:r>
    </w:p>
    <w:p>
      <w:pPr>
        <w:pStyle w:val="BookText"/>
        <w:rPr/>
      </w:pPr>
      <w:r>
        <w:rPr>
          <w:rFonts w:ascii="Amiri" w:hAnsi="Amiri" w:eastAsia="Amiri" w:cs="Amiri"/>
          <w:color w:val="111111"/>
          <w:sz w:val="28"/>
          <w:sz w:val="28"/>
          <w:szCs w:val="28"/>
          <w:rtl w:val="true"/>
          <w:lang w:bidi="ar-SA"/>
        </w:rPr>
        <w:t xml:space="preserve">حيّ إليه، و أن اختلط بحيّ آخر، كما لو أكلت الإنسان الميت سباع البراري و جوارح الهواء، و حيتان البحار، فإن الاختلاط لا يكون مانعا عن الإحياء و الإعادة، و قد تقدّم في بيان شبهاتهم أنّ المنكرين كانوا يركزون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 اختلاط أجزاء الموتى بعضها ببعض، و قد قال سبحانه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بالآية يتوقف على الإمعان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البلاغة مطابقة الجواب للسؤال، و لما كان سؤاله عن مشاهدة إحياء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اقتضى الحال الإجابة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ما يأمر به سبحانه محققا لإحياء الموتى، و هو لا يتحقق إلا بأن يقوم إبراهيم بتقطيعهن و خلط أجزائهن، و تفريقهن على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الإمعان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 و المصدر الذي اشتقّ منه، و فيه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 عن ابن عباس من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بتشديد الراء، من باب صرّ، يصرّ، من التصرية، و هي الجمع و الضم</w:t>
      </w:r>
      <w:r>
        <w:rPr>
          <w:rStyle w:val="FootnoteAnchor"/>
          <w:rtl w:val="true"/>
        </w:rPr>
        <w:footnoteReference w:id="408"/>
      </w:r>
      <w:r>
        <w:rPr>
          <w:rFonts w:ascii="Amiri" w:hAnsi="Amiri" w:eastAsia="Amiri" w:cs="Amiri"/>
          <w:color w:val="111111"/>
          <w:sz w:val="28"/>
          <w:sz w:val="28"/>
          <w:szCs w:val="28"/>
          <w:rtl w:val="true"/>
          <w:lang w:bidi="ar-SA"/>
        </w:rPr>
        <w:t>، و هذه القراءة غير معروفة، فهذا الاحتمال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مأخوذا من الصّير، معتل العين، فيقال صار يصير صيرا، بمعنى انتهى إليه،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 فسره من أهل اللغة بمعنى الميل أخذه من هذا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معتل اللام، ذكره الفراء في معاني القرآن، فقال إنها إن كانت بمعنى القطع،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صريت، تصري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بقول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صرت نظرة لو صادف جوز دارع غدا و العواصي من دم الجوف تنعر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أملهنّ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عند ذلك تقدير كلمة اقطعهن، لدلالة ظاهر الكلام عليه، 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أملهن إليك، فقطّعهنّ، ثم اجعل على كل جبل منهن جزء،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بِعَصٰاكَ اَلْبَحْرَ، فَانْفَلَقَ </w:t>
      </w:r>
      <w:r>
        <w:rPr>
          <w:rStyle w:val="FootnoteAnchor"/>
          <w:rtl w:val="true"/>
        </w:rPr>
        <w:footnoteReference w:id="410"/>
      </w:r>
      <w:r>
        <w:rPr>
          <w:rFonts w:ascii="Amiri" w:hAnsi="Amiri" w:eastAsia="Amiri" w:cs="Amiri"/>
          <w:color w:val="111111"/>
          <w:sz w:val="28"/>
          <w:sz w:val="28"/>
          <w:szCs w:val="28"/>
          <w:rtl w:val="true"/>
          <w:lang w:bidi="ar-SA"/>
        </w:rPr>
        <w:t>، أي فضرب فانفلق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الكلمة متضمنة معنى الميل بقرينة تعدّيها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اقطعهن متمايلات إليك، كتمايل كل طير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فالآية تدل على أنّ إبراهيم قطّعهن و خلط أجزائهن، ثم فرقها على الجبال، ثم دعاهن، فأتينه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التفسير، ما ذكره صاحب المنار فقال في معنى الآية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أربعة من الطّير فضمها إليك، و آنسها بك، حتى تستأنس و تصير بحيث تجيب دعوتك إذا دعوتها، فإن الطيور من أشدّ الحيوانات استعدادا لذلك، ثم اجعل كل واحد منها على جبل، ثم ادعها، فإنها تسرع إليك من غير أن يمنعها تفرق أمكنتها و بعدها، كذلك أمر ربك إذا أراد إحياء الموتى، يدعوهم لكلمة التكوين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فيكونون أحياء، كما كان شأنه في بدء الخلقة، ذلك إذ قال للسماوات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طَوْعاً أَوْ كَرْهاً، قٰالَتٰا أَتَيْنٰا طٰائِعِينَ </w:t>
      </w:r>
      <w:r>
        <w:rPr>
          <w:rStyle w:val="FootnoteAnchor"/>
          <w:rtl w:val="true"/>
        </w:rPr>
        <w:footnoteReference w:id="4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من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 فإن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أوجد ميلا بها، و آنسها بك و يشهد به تعديته بإلى، فإنّ صار إذا تعدى بإلى كان بمعنى الإمالة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خلاف نصوص الآية، فإن إبراهيم طلب من اللّه سبحانه أن يريه كيف يحيي الموتى أولا، و أراد سبحانه، بقرينة تخلل الفاء في قوله فَخُذْ ، إجراء ذلك بيد إبراهيم ثانيا، ثم أمره سبحانه أن يجعل كل جزء منهن على جبل، لا كل واحد منهن عليه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تدعم صحة النظرية المعروفة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تعدية فَصُرْهُنَّ ب إِلَيْكَ ، فقد عرفت الكلام فيه، و أنّه إن كان بمعنى الميل فالأمر بالتقطيع مقدّر، و إن كان بمعنى القطع، فالكلمة متضمنة لمعنى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المراد ما اختاره من المعنى، لما احتاج إلى هذا التفصيل، بل يكفي في المقام إحالة إبراهيم إلى لاعبي الطيور، الذين يربون الطيور، حتى إذا استأنسوا بأصحابهن، يفرقونهن للطيران، ثم يدعونهن بالصفير و العلامات الخاصة، فيأتين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هذا التفسير يحطّ من عظمة القرآن، و جلالته، و يفتح الباب للملحدين في تأويل ما دلّ عليه القرآن من معاجز و كرامات الأنبياء و الرسل، و لقد أعرب الكاتب عن باعثه في آخر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المتأخرون فهمّهم أن يكون في الكلام خصائص للأنبياء، من الخوارق الكونية، و إن كان المقام، مقام العلم و البيان و الإخراج من الظلمات إلى النور، و هو أكبر الآيات، الخ</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يعرب عن أن المعاجز بنظره، تضاد العلم و لا تصلح للإخراج من الظلمات إلى النور، مع أنه سبحانه أسماها بالبينات،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438" w:name="pg16351_181120"/>
    </w:p>
    <w:p>
      <w:pPr>
        <w:pStyle w:val="Heading5"/>
        <w:numPr>
          <w:ilvl w:val="4"/>
          <w:numId w:val="1"/>
        </w:numPr>
        <w:rPr/>
      </w:pPr>
      <w:bookmarkStart w:id="439" w:name="__RefHeading___Toc6422306_1280447820"/>
      <w:bookmarkStart w:id="440" w:name="_Toc170"/>
      <w:bookmarkEnd w:id="438"/>
      <w:bookmarkEnd w:id="439"/>
      <w:r>
        <w:rPr/>
        <w:t>2</w:t>
      </w:r>
      <w:r>
        <w:rPr>
          <w:rtl w:val="true"/>
        </w:rPr>
        <w:t xml:space="preserve"> - </w:t>
      </w:r>
      <w:r>
        <w:rPr>
          <w:rtl w:val="true"/>
        </w:rPr>
        <w:t>إحياء عزير</w:t>
      </w:r>
      <w:bookmarkEnd w:id="440"/>
    </w:p>
    <w:p>
      <w:pPr>
        <w:pStyle w:val="BookText"/>
        <w:rPr/>
      </w:pPr>
      <w:r>
        <w:rPr>
          <w:rFonts w:ascii="Amiri" w:hAnsi="Amiri" w:eastAsia="Amiri" w:cs="Amiri"/>
          <w:color w:val="111111"/>
          <w:sz w:val="28"/>
          <w:sz w:val="28"/>
          <w:szCs w:val="28"/>
          <w:rtl w:val="true"/>
          <w:lang w:bidi="ar-SA"/>
        </w:rPr>
        <w:t>يحكي الذكر الحكيم أنّ رجلا صالحا مرّ على قرية خربة، و قد سقطت سقوفها، فتساءل في نفسه، كيف يحيي اللّه أهلها بعد ما ماتوا؟، و لم يقل ذلك إنكارا و لا تعجّبا و لا ارتيابا، و لكنه أحبّ أن يريه اللّه إحياءها مشاهدة، مثل قول إبراهيم الذي تقدم، فأماته اللّه مائة سنة ثم أحياه، فسمع نداء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لبثت يوما أو بعض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أماته في أول النهار، و أحياه بعد مائة سنة في آخر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ثم التفت فرأى بقية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النداء بل لبثت مائة سنة، فانظر إلى طعامك و شرابك لم تغيّره السنون، و قيل كان زاده عصيرا، و تينا، و عنبا، و هذه الثلاثة أسرع الأشياء تغيّرا و فسادا فوجد العصير حلوا، و التين و العنب جنيان لم يتغيّرا، ثم أمر بأن ينظر إلى حماره كيف تفرقت أجزاؤه و تبدّدت عظامه، فجعل اللّه سبحانه إحياءه آية للناس و حجة في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اللّه عظام حماره و كساها لحما و أحياه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الإمعان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 يفيد أنه أماته سبحانه، ثم أحياه بعد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الإمعان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إِلَى اَلْعِظٰامِ ، سواء أريد منه عظام حماره أو غيره، يفيد أنّه سبحانه كساها لحما ثم أحياه، فكان هناك إحياء لميّتين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سلك صاحب المنار في تفسير الآية نفس المسلك السابق، فحملها على </w:t>
      </w:r>
      <w:bookmarkStart w:id="441" w:name="pg16351_181121"/>
    </w:p>
    <w:p>
      <w:pPr>
        <w:pStyle w:val="BookText"/>
        <w:rPr/>
      </w:pPr>
      <w:bookmarkEnd w:id="441"/>
      <w:r>
        <w:rPr>
          <w:rFonts w:ascii="Amiri" w:hAnsi="Amiri" w:eastAsia="Amiri" w:cs="Amiri"/>
          <w:color w:val="111111"/>
          <w:sz w:val="28"/>
          <w:sz w:val="28"/>
          <w:szCs w:val="28"/>
          <w:rtl w:val="true"/>
          <w:lang w:bidi="ar-SA"/>
        </w:rPr>
        <w:t>أنّ المراد من الإماتة هنا السّبات، و هو النوم المستغرق الذي سماه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وفاة، و استعان في تقريبه بأنّه قد ثبت في هذا الزّمان أنّ من الناس من تحفظ حياته زمنا طويلا يكون فيه فاقد الحس و الشعور، فلبث الرجل الذي ضرب على سمعه مائة سنة، غير محال في نظر العقل</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الموت بالسّبات يحتاج إلى دليل، و الظاهر منه هو الإماتة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قياس المقام بأصحاب الكهف، قياس مع الفارق، حيث إنه سبحانه يصرّح هناك بالسّبات،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Style w:val="FootnoteAnchor"/>
          <w:rtl w:val="true"/>
        </w:rPr>
        <w:footnoteReference w:id="41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w:t>
      </w:r>
      <w:r>
        <w:rPr>
          <w:rStyle w:val="FootnoteAnchor"/>
          <w:rtl w:val="true"/>
        </w:rPr>
        <w:footnoteReference w:id="418"/>
      </w:r>
      <w:r>
        <w:rPr>
          <w:rFonts w:ascii="IRNazanin" w:hAnsi="IRNazanin" w:eastAsia="IRNazanin"/>
          <w:color w:val="111111"/>
          <w:sz w:val="28"/>
          <w:sz w:val="28"/>
          <w:szCs w:val="28"/>
          <w:rtl w:val="true"/>
          <w:lang w:bidi="fa-IR"/>
        </w:rPr>
        <w:t>، بخلاف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لا يتطرّق في العظام التي أنشزها، ثم كساها لحما و أحياها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مصير لمفسّر كلام اللّه من الإذعان بالغيب، و القدرة المطلقة 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محاولة تفسير المعاجز بما ثبت في العلوم، نوع انسحاب في الصراع مع الماديين المنكرين لكلّ ما لا يتّفق مع أصول العلم الحديث</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6422308_1280447820"/>
      <w:bookmarkStart w:id="443" w:name="_Toc171"/>
      <w:bookmarkEnd w:id="442"/>
      <w:r>
        <w:rPr/>
        <w:t>3</w:t>
      </w:r>
      <w:r>
        <w:rPr>
          <w:rtl w:val="true"/>
        </w:rPr>
        <w:t xml:space="preserve"> - </w:t>
      </w:r>
      <w:r>
        <w:rPr>
          <w:rtl w:val="true"/>
        </w:rPr>
        <w:t>إحياء قوم من بني إسرائيل</w:t>
      </w:r>
      <w:bookmarkEnd w:id="443"/>
    </w:p>
    <w:p>
      <w:pPr>
        <w:pStyle w:val="BookText"/>
        <w:rPr/>
      </w:pPr>
      <w:r>
        <w:rPr>
          <w:rFonts w:ascii="Amiri" w:hAnsi="Amiri" w:eastAsia="Amiri" w:cs="Amiri"/>
          <w:color w:val="111111"/>
          <w:sz w:val="28"/>
          <w:sz w:val="28"/>
          <w:szCs w:val="28"/>
          <w:rtl w:val="true"/>
          <w:lang w:bidi="ar-SA"/>
        </w:rPr>
        <w:t>ذكر المفسرون أنّ قوما من بني إسرائيل فروا من الطاعون أو من الجهاد، لما رأوا أنّ الموت كثر فيهم، فأماتهم اللّه جميعا، و أمات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أحياهم لمصالح مذكورة في الآية التالية، قال سبحانه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الرؤية في الآية بمعنى العلم،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المفسّرون حول فرارهم من الموت، و كيفية إحيائهم، أمورا، يرجع إليها في محلّها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كما تثبت وقوع إحياء الموتى، بعد إمكانه، تثبت إمكان الرجعة إلى الدنيا، على ما يتبنّاه الشيعة الإمامية، كما هو الحال أيضا في إحياء عزير، و سيوافيك الكلام فيها بعد الفراغ من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يثير العجب ما ذكره صاحب المنار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 مسوقة سوق المثل، و المراد بهم قوم هجم عليهم أولو القوة و القدرة من أعدائهم لاستذلالهم و استخدامهم و بسط السلطة عليهم،، فلم يدافعوا عن استقلالهم، و خرجوا من ديارهم و هم ألوف، لهم كثرة و عزة، حذر الموت، فقال 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موتوا موت الخزي و الجهل، و الخزي موت و العلم و إباء الضيم حياة، فهؤلاء ماتوا بالخزي، و تمكّن الأعداء منهم، و بقوا أمواتا ثم أحياهم بإلقاء روح النهضة و الدفاع عن الحق فيهم فقاموا بحقوق أنفسهم و استقلوا في ذلك</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الآية تبيّن قصة واحدة، و هي فرار قوم من الموت، فأماتهم اللّه، ثم أحياهم، لا بيان قصتين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تشبيه من لم يدافعوا عن عزتهم، و غلبوا، و بقوا كذلك حتى نفث في روعهم روح النهضة، فقاموا للدفاع؛ بقوم فروا من الموت الحقيقي، فأماتهم اللّه موتا حقيقيا، ثم أحياهم، و لو كانت الآية جارية مجرى المثل لوجب أن يكون هناك مشبّه و مشبّه به، مع أنّ الآية لا تحتمل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نرى أنّه سبحانه عند ما يريد التمثيل بمضمون آية يأتي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Style w:val="FootnoteAnchor"/>
          <w:rtl w:val="true"/>
        </w:rPr>
        <w:footnoteReference w:id="422"/>
      </w:r>
      <w:r>
        <w:rPr>
          <w:rFonts w:ascii="Amiri" w:hAnsi="Amiri" w:eastAsia="Amiri" w:cs="Amiri"/>
          <w:color w:val="111111"/>
          <w:sz w:val="28"/>
          <w:sz w:val="28"/>
          <w:szCs w:val="28"/>
          <w:rtl w:val="true"/>
          <w:lang w:bidi="ar-SA"/>
        </w:rPr>
        <w:t xml:space="preserve">و إِنَّمٰا مَثَلُ اَلْحَيٰاةِ اَلدُّنْيٰا كَمٰاءٍ أَنْزَلْنٰاهُ </w:t>
      </w:r>
      <w:r>
        <w:rPr>
          <w:rStyle w:val="FootnoteAnchor"/>
          <w:rtl w:val="true"/>
        </w:rPr>
        <w:footnoteReference w:id="423"/>
      </w:r>
      <w:r>
        <w:rPr>
          <w:rFonts w:ascii="Amiri" w:hAnsi="Amiri" w:eastAsia="Amiri" w:cs="Amiri"/>
          <w:color w:val="111111"/>
          <w:sz w:val="28"/>
          <w:sz w:val="28"/>
          <w:szCs w:val="28"/>
          <w:rtl w:val="true"/>
          <w:lang w:bidi="ar-SA"/>
        </w:rPr>
        <w:t xml:space="preserve">و مَثَلُ اَلَّذِينَ حُمِّلُوا اَلتَّوْرٰاةَ ثُمَّ لَمْ يَحْمِلُوهٰا كَمَثَلِ اَلْحِمٰارِ يَحْمِلُ </w:t>
      </w:r>
      <w:bookmarkStart w:id="444" w:name="pg16351_181123"/>
    </w:p>
    <w:p>
      <w:pPr>
        <w:pStyle w:val="BookText"/>
        <w:rPr/>
      </w:pPr>
      <w:bookmarkEnd w:id="444"/>
      <w:r>
        <w:rPr>
          <w:rFonts w:ascii="Amiri" w:hAnsi="Amiri" w:eastAsia="Amiri" w:cs="Amiri"/>
          <w:color w:val="111111"/>
          <w:sz w:val="28"/>
          <w:sz w:val="28"/>
          <w:szCs w:val="28"/>
          <w:rtl w:val="true"/>
          <w:lang w:bidi="ar-SA"/>
        </w:rPr>
        <w:t xml:space="preserve">أَسْفٰاراً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الموت، موت الخزي، و من الحياة، روح النهضة، للزم على اللّه سبحانه مدحهم و ذكرهم بالخير، مع أنّه يذمّهم في ذيل الآية، فإن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لَذُو فَضْلٍ عَلَى اَلنّٰاسِ وَ لَكِنَّ أَكْثَرَهُمْ لاٰ يَشْكُرُونَ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صاحب المنار استعان في ردّ نظرية الجمهور، بقوله سبحانه لاٰ يَذُوقُونَ فِيهَا اَلْمَوْتَ إِلاَّ اَلْمَوْتَةَ اَلْأُولىٰ </w:t>
      </w:r>
      <w:r>
        <w:rPr>
          <w:rStyle w:val="FootnoteAnchor"/>
          <w:rtl w:val="true"/>
        </w:rPr>
        <w:footnoteReference w:id="426"/>
      </w:r>
      <w:r>
        <w:rPr>
          <w:rFonts w:ascii="Amiri" w:hAnsi="Amiri" w:eastAsia="Amiri" w:cs="Amiri"/>
          <w:color w:val="111111"/>
          <w:sz w:val="28"/>
          <w:sz w:val="28"/>
          <w:szCs w:val="28"/>
          <w:rtl w:val="true"/>
          <w:lang w:bidi="ar-SA"/>
        </w:rPr>
        <w:t>فلا حياة في هذه الدنيا إلا حياة واحدة</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عزب عنه أنّ ما جاء في الآية يدل على سنّة اللّه تعالى في عموم الناس، و هذا لا يخاف اقتضاء مصالح معيّنة، أن يذوق البعض النادر منهم حياتين، و قد وافاك الكلام في ذلك عند البحث في الحياة البرزخية</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6422310_1280447820"/>
      <w:bookmarkStart w:id="446" w:name="_Toc172"/>
      <w:bookmarkEnd w:id="445"/>
      <w:r>
        <w:rPr/>
        <w:t>4</w:t>
      </w:r>
      <w:r>
        <w:rPr>
          <w:rtl w:val="true"/>
        </w:rPr>
        <w:t xml:space="preserve"> - </w:t>
      </w:r>
      <w:r>
        <w:rPr>
          <w:rtl w:val="true"/>
        </w:rPr>
        <w:t>إحياء قتيل بني إسرائيل</w:t>
      </w:r>
      <w:bookmarkEnd w:id="446"/>
    </w:p>
    <w:p>
      <w:pPr>
        <w:pStyle w:val="BookText"/>
        <w:rPr/>
      </w:pPr>
      <w:r>
        <w:rPr>
          <w:rFonts w:ascii="Amiri" w:hAnsi="Amiri" w:eastAsia="Amiri" w:cs="Amiri"/>
          <w:color w:val="111111"/>
          <w:sz w:val="28"/>
          <w:sz w:val="28"/>
          <w:szCs w:val="28"/>
          <w:rtl w:val="true"/>
          <w:lang w:bidi="ar-SA"/>
        </w:rPr>
        <w:t>روى المفسرون أنّ رجلا من بني إسرائيل قتل قريبا له غنيا، ليرثه و أخفى قتله له، و رغب اليهود في معرفة قاتله، فأمرهم اللّه أن يذبحوا بقرة، و يضربوا بعض القتيل ببعض البقرة، ليحيا و يخبر عن قاتله، و قد قاموا بذبح هذه البقرة بعد تساؤلات بينهم و بين موسى تكشف عن لجاجهم و 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ضربوا بعض القتيل بها، فقام حيّا و أوداجه تشخب دما،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فلان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w:t>
      </w:r>
    </w:p>
    <w:p>
      <w:pPr>
        <w:pStyle w:val="BookText"/>
        <w:rPr/>
      </w:pPr>
      <w:r>
        <w:rPr>
          <w:rFonts w:ascii="Amiri" w:hAnsi="Amiri" w:eastAsia="Amiri" w:cs="Amiri"/>
          <w:color w:val="111111"/>
          <w:sz w:val="28"/>
          <w:sz w:val="28"/>
          <w:szCs w:val="28"/>
          <w:rtl w:val="true"/>
          <w:lang w:bidi="ar-SA"/>
        </w:rPr>
        <w:t xml:space="preserve">اَلْمَوْتىٰ وَ يُرِيكُمْ آيٰاتِهِ لَعَلَّكُمْ تَعْقِلُونَ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و إن كان قادرا على إحيائه من دون ذبح البقرة، و لكنه أمرهم بذلك لأنهم سألوا موسى أن يبيّن لهم حال القتيل و هم كانوا يعدّون القربان من أعظم 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اللّه بتقديم هذه القربة تعليما منه لكلّ من اعتاص عليه أمر من الأمور، أن يقدّم نوعا من القرب قبل أن يسأل اللّه تعالى كشف ذلك عنه، ليكون أقرب إلى الإجابة، و إنما أمرهم بضرب بعض القتيل، ببعض البقرة، بعد أن جعل اختيار وقت الإحياء إليهم، ليعلموا أنّ اللّه سبحانه و تعالى قادر على إحياء الموتى في كل وقت من الأوقات، 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 كَذٰلِكَ يُحْيِ اَللّٰهُ اَلْمَوْتىٰ ، إنهم ضربوه فأحيي،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بِعَصٰاكَ اَلْبَحْرَ، فَانْفَلَقَ ، أي فضربه فانفلق،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يُحْيِ اَللّٰهُ ، يراد منه تفهيم قوم موسى بأنّهم إذ عاينوا إحياء الميت، فليعلموا أنّ اللّه قادر على إحياء الموتى للحساب و الجزاء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ذهب إليه الجمهور في تفسير الآية، و هو المتبادر منها، و قد اتخذ صاحب المنار في تفسير الآية، موقفه السلبي في باب المعاجز و الكرامات، فقال بعد ما ذكر نظرية جمهور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مما قدمناه أنّ ذلك العمل كان وسيلة عندهم للفصل في الدماء عند التنازع في القاتل، إذا وجد القتيل قرب بلد و لم يعرف قاتله، ليعرف الجاني من غيره، فمن غسل يده</w:t>
      </w:r>
      <w:r>
        <w:rPr>
          <w:rStyle w:val="FootnoteAnchor"/>
          <w:rtl w:val="true"/>
        </w:rPr>
        <w:footnoteReference w:id="429"/>
      </w:r>
      <w:r>
        <w:rPr>
          <w:rFonts w:ascii="Amiri" w:hAnsi="Amiri" w:eastAsia="Amiri" w:cs="Amiri"/>
          <w:color w:val="111111"/>
          <w:sz w:val="28"/>
          <w:sz w:val="28"/>
          <w:szCs w:val="28"/>
          <w:rtl w:val="true"/>
          <w:lang w:bidi="ar-SA"/>
        </w:rPr>
        <w:t>و فعل ما رسم لذلك في الشريعة، برئ من الدم، و من لم يفعل، تثبت عليه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إحياء الموتى على هذا، حفظ الدماء التي كانت عرضة لأن تسفك بسبب الخلاف في قتل تلك النفس، أي يحييها بمثل هذه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الإحياء على حد قوله تعالى</w:t>
      </w:r>
      <w:r>
        <w:rPr>
          <w:rFonts w:eastAsia="Amiri" w:cs="Amiri" w:ascii="Amiri" w:hAnsi="Amiri"/>
          <w:color w:val="111111"/>
          <w:sz w:val="28"/>
          <w:szCs w:val="28"/>
          <w:rtl w:val="true"/>
          <w:lang w:bidi="ar-SA"/>
        </w:rPr>
        <w:t xml:space="preserve">: </w:t>
      </w:r>
      <w:bookmarkStart w:id="447" w:name="pg16351_181125"/>
    </w:p>
    <w:p>
      <w:pPr>
        <w:pStyle w:val="BookText"/>
        <w:rPr/>
      </w:pPr>
      <w:bookmarkEnd w:id="447"/>
      <w:r>
        <w:rPr>
          <w:rFonts w:ascii="Amiri" w:hAnsi="Amiri" w:eastAsia="Amiri" w:cs="Amiri"/>
          <w:color w:val="111111"/>
          <w:sz w:val="28"/>
          <w:sz w:val="28"/>
          <w:szCs w:val="28"/>
          <w:rtl w:val="true"/>
          <w:lang w:bidi="ar-SA"/>
        </w:rPr>
        <w:t xml:space="preserve">وَ مَنْ أَحْيٰاهٰا فَكَأَنَّمٰا أَحْيَا اَلنّٰاسَ جَمِيعاً </w:t>
      </w:r>
      <w:r>
        <w:rPr>
          <w:rStyle w:val="FootnoteAnchor"/>
          <w:rtl w:val="true"/>
        </w:rPr>
        <w:footnoteReference w:id="43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لا ينطبق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بعض النّفس المقتولة ببعض جسم البقرة، و أين هذا من غسل أيدي المتهمين في دم العجلة المقتولة، فهل غسل الأيدي في دمها عبارة عن ضرب المقتول ببعض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يُحْيِ اَللّٰهُ اَلْمَوْتىٰ وَ يُرِيكُمْ آيٰاتِهِ ، فالقصة تتضمن آية من آيات اللّه، و معجزة من المعاجز، فهل في غسل الأيدي بدم العجلة و درء التهمة عن المتهم، إراءة للآيات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الآية بالاستناد إلى الإسرائيليات و المسيحيات، مسلك ضال في تفسير كتاب اللّه العزيز، و ليس اللجوء إليها إلا لأجل ما اتخذه صاحب المنار من موقف مسبق تجاه المعاجز و خوارق العادات، و إصراره على إرجاع عالم الغيب إلى الشهادة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6422312_1280447820"/>
      <w:bookmarkStart w:id="449" w:name="_Toc173"/>
      <w:bookmarkEnd w:id="448"/>
      <w:r>
        <w:rPr/>
        <w:t>5</w:t>
      </w:r>
      <w:r>
        <w:rPr>
          <w:rtl w:val="true"/>
        </w:rPr>
        <w:t xml:space="preserve"> - </w:t>
      </w:r>
      <w:r>
        <w:rPr>
          <w:rtl w:val="true"/>
        </w:rPr>
        <w:t>إحياء سبعين رجلا من قوم موسى</w:t>
      </w:r>
      <w:bookmarkEnd w:id="449"/>
    </w:p>
    <w:p>
      <w:pPr>
        <w:pStyle w:val="BookText"/>
        <w:rPr/>
      </w:pPr>
      <w:r>
        <w:rPr>
          <w:rFonts w:ascii="Amiri" w:hAnsi="Amiri" w:eastAsia="Amiri" w:cs="Amiri"/>
          <w:color w:val="111111"/>
          <w:sz w:val="28"/>
          <w:sz w:val="28"/>
          <w:szCs w:val="28"/>
          <w:rtl w:val="true"/>
          <w:lang w:bidi="ar-SA"/>
        </w:rPr>
        <w:t>ذكر المفسرون أنّ موسى عليه السلام اختار من قومه سبعين رجلا حين خرج من الميقات ليكلمه اللّه سبحانه بحضرتهم، فيكونوا شهداء له عند بني إسرائيل لعدم وثوقهم بأنّ اللّه سبحانه يكلّمه، فلما حضروا الميقات، و سمعوا كلامه تعالى سألوا الرؤية، فأصابتهم الصاعقة فماتوا، ثم أحياهم اللّه تعالى</w:t>
      </w:r>
      <w:r>
        <w:rPr>
          <w:rStyle w:val="FootnoteAnchor"/>
          <w:rtl w:val="true"/>
        </w:rPr>
        <w:footnoteReference w:id="433"/>
      </w:r>
      <w:r>
        <w:rPr>
          <w:rFonts w:ascii="Amiri" w:hAnsi="Amiri" w:eastAsia="Amiri" w:cs="Amiri"/>
          <w:color w:val="111111"/>
          <w:sz w:val="28"/>
          <w:sz w:val="28"/>
          <w:szCs w:val="28"/>
          <w:rtl w:val="true"/>
          <w:lang w:bidi="ar-SA"/>
        </w:rPr>
        <w:t>، يقول سبحانه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قُلْتُمْ يٰا مُوسىٰ لَنْ نُؤْمِنَ لَكَ حَتّٰى نَرَى اَللّٰهَ جَهْرَةً، فَأَخَذَتْكُمُ </w:t>
      </w:r>
      <w:bookmarkStart w:id="450" w:name="pg16351_181126"/>
    </w:p>
    <w:p>
      <w:pPr>
        <w:pStyle w:val="BookText"/>
        <w:rPr/>
      </w:pPr>
      <w:bookmarkEnd w:id="450"/>
      <w:r>
        <w:rPr>
          <w:rFonts w:ascii="Amiri" w:hAnsi="Amiri" w:eastAsia="Amiri" w:cs="Amiri"/>
          <w:color w:val="111111"/>
          <w:sz w:val="28"/>
          <w:sz w:val="28"/>
          <w:szCs w:val="28"/>
          <w:rtl w:val="true"/>
          <w:lang w:bidi="ar-SA"/>
        </w:rPr>
        <w:t xml:space="preserve">اَلصّٰاعِقَةُ وَ أَنْتُمْ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المتبادر من الآية هو إحياؤهم بعد الموت، و الخطاب لليهود و المعاصرين للنبي باعتبار أسلافهم، و لا يفهم أي عربي صميم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الإحياء بعد الإماتة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اتخذ صاحب المنار في تفسير الآية موقفه المعلوم من المعاجز، فذهب إلى أنّ المراد من البعث هو كثرة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بعد ما وقع فيهم الموت بالصاعقة، و ظنّ أن سينقرضون، بارك اللّه في نسلهم، ليعد الشعب بالبلاء السابق للقيام بحق الشكر على النعم التي تمتع بها الآباء الذين حل بهم العذاب بكفرهم لها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أَهْلَكْتَهُمْ مِنْ قَبْلُ ، أنّه سبحانه أجاب دعوته، و أحياهم حتى يدفع عنه عادية اعتراض القوم بأنّه ذهب بهم إلى الميعاد، فأهلكهم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يتم إلا إذا كان المراد هو إحياؤهم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الرجفة لم تأخذ إلا سبعين رجلا من قومه، فليس في إهلاكهم مظنة انقراض 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فالباعث لصاحب المنار على تفسيره، هو جنوحه إلى إنكار المغيبات، و تطبيق ما ورد في الذكر الحكيم على العالم الحسّي التجريبي</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6422314_1280447820"/>
      <w:bookmarkStart w:id="452" w:name="_Toc174"/>
      <w:bookmarkEnd w:id="451"/>
      <w:r>
        <w:rPr/>
        <w:t>6</w:t>
      </w:r>
      <w:r>
        <w:rPr>
          <w:rtl w:val="true"/>
        </w:rPr>
        <w:t xml:space="preserve"> - </w:t>
      </w:r>
      <w:r>
        <w:rPr>
          <w:rtl w:val="true"/>
        </w:rPr>
        <w:t>المسيح يحيي الموتى</w:t>
      </w:r>
      <w:bookmarkEnd w:id="4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الكتاب الحكيم يذكر في غير مورد، إحياء المسيح للموتى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bookmarkStart w:id="453" w:name="pg16351_181127"/>
    </w:p>
    <w:p>
      <w:pPr>
        <w:pStyle w:val="BookText"/>
        <w:rPr/>
      </w:pPr>
      <w:bookmarkEnd w:id="453"/>
      <w:r>
        <w:rPr>
          <w:rFonts w:ascii="Amiri" w:hAnsi="Amiri" w:eastAsia="Amiri" w:cs="Amiri"/>
          <w:color w:val="111111"/>
          <w:sz w:val="28"/>
          <w:sz w:val="28"/>
          <w:szCs w:val="28"/>
          <w:rtl w:val="true"/>
          <w:lang w:bidi="ar-SA"/>
        </w:rPr>
        <w:t xml:space="preserve">حاكيا عنه أَنِّي قَدْ جِئْتُكُمْ بِآيَةٍ مِنْ رَبِّكُمْ، أَنِّي أَخْلُقُ لَكُمْ مِنَ اَلطِّينِ كَهَيْئَةِ اَلطَّيْرِ فَأَنْفُخُ فِيهِ فَيَكُونُ طَيْراً بِإِذْنِ اَللّٰهِ، وَ أُبْرِئُ اَلْأَكْمَهَ وَ اَلْأَبْرَصَ، وَ أُحْيِ اَلْمَوْتىٰ بِإِذْنِ اَللّٰهِ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اِبْنَ مَرْيَمَ اُذْكُرْ نِعْمَتِي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تُبْرِئُ اَلْأَكْمَهَ وَ اَلْأَبْرَصَ بِإِذْنِي وَ إِذْ تُخْرِجُ اَلْمَوْتىٰ بِإِذْنِي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تضافر في التاريخ و الإنجيل و الحديث، قيام المسيح بإحياء الموتى مرات عديدة، بحيث صار المسيح علما و سمة لإحياء الموتى، و علاج الأمراض المستعصية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6422316_1280447820"/>
      <w:bookmarkStart w:id="455" w:name="_Toc175"/>
      <w:bookmarkEnd w:id="454"/>
      <w:r>
        <w:rPr/>
        <w:t>7</w:t>
      </w:r>
      <w:r>
        <w:rPr>
          <w:rtl w:val="true"/>
        </w:rPr>
        <w:t xml:space="preserve"> - </w:t>
      </w:r>
      <w:r>
        <w:rPr>
          <w:rtl w:val="true"/>
        </w:rPr>
        <w:t>إيقاظ أصحاب الكهف</w:t>
      </w:r>
      <w:bookmarkEnd w:id="455"/>
    </w:p>
    <w:p>
      <w:pPr>
        <w:pStyle w:val="BookText"/>
        <w:rPr/>
      </w:pPr>
      <w:r>
        <w:rPr>
          <w:rFonts w:ascii="Amiri" w:hAnsi="Amiri" w:eastAsia="Amiri" w:cs="Amiri"/>
          <w:color w:val="111111"/>
          <w:sz w:val="28"/>
          <w:sz w:val="28"/>
          <w:szCs w:val="28"/>
          <w:rtl w:val="true"/>
          <w:lang w:bidi="ar-SA"/>
        </w:rPr>
        <w:t>روى المفسرون أنّ فتية من قوم آمنوا باللّه تعالى و كانوا يخفون إيمانهم خوفا من ملكهم، الذي كان يعبد الأصنام و يدعو إليها، و يقتل من خالفه، و الفتية كانوا على دين المسيح، و كان كل واحد منهم يكتم إيمانه عن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 أنّهم اجتمعوا و أظهروا أمرهم لبعضهم، و لجئوا إلى كهف، فضرب سبحانه على آذانهم، فناموا في الكهف ثلاثمائة و تسع سنين، ثم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أَوَى اَلْفِتْيَةُ إِلَى اَلْكَهْفِ، فَقٰالُوا رَبَّنٰا آتِنٰا مِنْ لَدُنْكَ رَحْمَةً وَ 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الضرب على الآذان هو إنامتهم، لا سلب حياتهم،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فإنامة اللّه سبحانه هؤلاء الفتية هذه المدّة المديدة، ثم إيقاظهم، لا يقصر عن الإماتة و الإحياء، و القادر عليه قادر على إحياء الموتى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النماذج المحسوسة من إحياء الموتى، إذا انضمت إلى البراهين الناصعة الدالة على إمكان إحياء الموتى، من طريق سعة قدرته سبحانه، توجب القطع بإمكان المعاد، و جمع العباد بعد موتهم، للحساب و الجزاء</w:t>
      </w:r>
      <w:r>
        <w:rPr>
          <w:rFonts w:eastAsia="Amiri" w:cs="Amiri" w:ascii="Amiri" w:hAnsi="Amiri"/>
          <w:color w:val="111111"/>
          <w:sz w:val="28"/>
          <w:szCs w:val="28"/>
          <w:rtl w:val="true"/>
          <w:lang w:bidi="ar-SA"/>
        </w:rPr>
        <w:t xml:space="preserve">. </w:t>
      </w:r>
      <w:bookmarkStart w:id="456" w:name="pg16351_181129"/>
    </w:p>
    <w:p>
      <w:pPr>
        <w:pStyle w:val="BookText"/>
        <w:rPr/>
      </w:pPr>
      <w:bookmarkEnd w:id="456"/>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457" w:name="__RefHeading___Toc6422318_1280447820"/>
      <w:bookmarkStart w:id="458" w:name="_Toc176"/>
      <w:bookmarkEnd w:id="457"/>
      <w:r>
        <w:rPr>
          <w:rtl w:val="true"/>
        </w:rPr>
        <w:t>(</w:t>
      </w:r>
      <w:r>
        <w:rPr/>
        <w:t>6</w:t>
      </w:r>
      <w:r>
        <w:rPr>
          <w:rtl w:val="true"/>
        </w:rPr>
        <w:t xml:space="preserve">) </w:t>
      </w:r>
      <w:r>
        <w:rPr>
          <w:rtl w:val="true"/>
        </w:rPr>
        <w:t>الموت نافذة إلى حياة جديدة</w:t>
      </w:r>
      <w:bookmarkEnd w:id="458"/>
    </w:p>
    <w:p>
      <w:pPr>
        <w:pStyle w:val="Heading5"/>
        <w:numPr>
          <w:ilvl w:val="4"/>
          <w:numId w:val="1"/>
        </w:numPr>
        <w:rPr/>
      </w:pPr>
      <w:bookmarkStart w:id="459" w:name="__RefHeading___Toc6422320_1280447820"/>
      <w:bookmarkStart w:id="460" w:name="_Toc177"/>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الموت آخر مرحلة من مراحل الحياة الدنيوية، و أوّل مرحلة من الحياة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التعرف على ما ورد حوله من الآيات، نبحث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في اللغة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الموت أمر عدمي أو وجودي؟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سنّة من سنن اللّه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ذا يستوحش الإنسان من الموت؟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و أقسامه في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الموت و الأجل المسمى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الإنابة حال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عند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الناس بأوان موتهم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 و الملائكة الموكّلون بقبض الأرواح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نبحث عن كل واحد منها</w:t>
      </w:r>
      <w:r>
        <w:rPr>
          <w:rFonts w:eastAsia="Amiri" w:cs="Amiri" w:ascii="Amiri" w:hAnsi="Amiri"/>
          <w:color w:val="111111"/>
          <w:sz w:val="28"/>
          <w:szCs w:val="28"/>
          <w:rtl w:val="true"/>
          <w:lang w:bidi="ar-SA"/>
        </w:rPr>
        <w:t xml:space="preserve">. </w:t>
      </w:r>
      <w:bookmarkStart w:id="461" w:name="pg16351_181130"/>
    </w:p>
    <w:p>
      <w:pPr>
        <w:pStyle w:val="Heading5"/>
        <w:numPr>
          <w:ilvl w:val="4"/>
          <w:numId w:val="1"/>
        </w:numPr>
        <w:rPr/>
      </w:pPr>
      <w:bookmarkStart w:id="462" w:name="__RefHeading___Toc6422322_1280447820"/>
      <w:bookmarkStart w:id="463" w:name="_Toc178"/>
      <w:bookmarkEnd w:id="461"/>
      <w:bookmarkEnd w:id="462"/>
      <w:r>
        <w:rPr>
          <w:rtl w:val="true"/>
        </w:rPr>
        <w:t xml:space="preserve">الأمر الأول </w:t>
      </w:r>
      <w:r>
        <w:rPr>
          <w:rtl w:val="true"/>
        </w:rPr>
        <w:t>- «</w:t>
      </w:r>
      <w:r>
        <w:rPr>
          <w:rtl w:val="true"/>
        </w:rPr>
        <w:t>الموت</w:t>
      </w:r>
      <w:r>
        <w:rPr>
          <w:rtl w:val="true"/>
        </w:rPr>
        <w:t xml:space="preserve">» </w:t>
      </w:r>
      <w:r>
        <w:rPr>
          <w:rtl w:val="true"/>
        </w:rPr>
        <w:t>في اللغة و القرآن</w:t>
      </w:r>
      <w:bookmarkEnd w:id="463"/>
    </w:p>
    <w:p>
      <w:pPr>
        <w:pStyle w:val="BookText"/>
        <w:rPr/>
      </w:pPr>
      <w:r>
        <w:rPr>
          <w:rFonts w:ascii="Amiri" w:hAnsi="Amiri" w:eastAsia="Amiri" w:cs="Amiri"/>
          <w:color w:val="111111"/>
          <w:sz w:val="28"/>
          <w:sz w:val="28"/>
          <w:szCs w:val="28"/>
          <w:rtl w:val="true"/>
          <w:lang w:bidi="ar-SA"/>
        </w:rPr>
        <w:t>قال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أصل صحيح يدل على ذهاب القوة من الشيء،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خلاف الحياة</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الأصل في استعماله، فلو أطلق لفظ الموت على إطفاء النار، و خروج الأرض من قابلية الزرع و الاستصلاح، أو على النوم، فالكل يرجع إلى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يقع على أنواع بحسب أنواع الحياة، فمنها ما هو بإزاء القوة النامية الموجودة في الحيوان و النبات،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اَلْأَرْضَ بَعْدَ مَوْتِهٰا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زوال القوة الحسيّة،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 مريم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زوال القوة العاقلة، و هي الجهالة،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w:t>
      </w:r>
      <w:r>
        <w:rPr>
          <w:rStyle w:val="FootnoteAnchor"/>
          <w:rtl w:val="true"/>
        </w:rPr>
        <w:footnoteReference w:id="444"/>
      </w:r>
      <w:r>
        <w:rPr>
          <w:rFonts w:ascii="Amiri" w:hAnsi="Amiri" w:eastAsia="Amiri" w:cs="Amiri"/>
          <w:color w:val="111111"/>
          <w:sz w:val="28"/>
          <w:sz w:val="28"/>
          <w:szCs w:val="28"/>
          <w:rtl w:val="true"/>
          <w:lang w:bidi="ar-SA"/>
        </w:rPr>
        <w:t xml:space="preserve">، و إِنَّكَ لاٰ تُسْمِعُ اَلْمَوْتىٰ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الحزن و الخوف المكدر للحياة،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يَأْتِيهِ اَلْمَوْتُ مِنْ كُلِّ مَكٰانٍ وَ مٰا هُوَ بِمَيِّتٍ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يستعار الموت للأحوال الشّاقة، كالفقر و الذّلّ، و السؤال و الهرم، و المعصية</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فالاستعمال في الجميع بأصل واحد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استعمل القرآن لفظ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بهذا الملاك،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يطلقه على المراحل المتقدمة من خلق الإنسان،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أَمْوٰاتاً فَأَحْيٰاكُمْ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في الجميع نوع ذهاب و زوال، إمّا للطاقة كما في </w:t>
      </w:r>
      <w:bookmarkStart w:id="464" w:name="pg16351_181131"/>
    </w:p>
    <w:p>
      <w:pPr>
        <w:pStyle w:val="BookText"/>
        <w:rPr/>
      </w:pPr>
      <w:bookmarkEnd w:id="464"/>
      <w:r>
        <w:rPr>
          <w:rFonts w:ascii="Amiri" w:hAnsi="Amiri" w:eastAsia="Amiri" w:cs="Amiri"/>
          <w:color w:val="111111"/>
          <w:sz w:val="28"/>
          <w:sz w:val="28"/>
          <w:szCs w:val="28"/>
          <w:rtl w:val="true"/>
          <w:lang w:bidi="ar-SA"/>
        </w:rPr>
        <w:t>الأرض، أو للقدرة على الحركة و التكلم، كما في الأصنام، و غير ذلك</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6422324_1280447820"/>
      <w:bookmarkStart w:id="466" w:name="_Toc179"/>
      <w:bookmarkEnd w:id="465"/>
      <w:r>
        <w:rPr>
          <w:rtl w:val="true"/>
        </w:rPr>
        <w:t xml:space="preserve">الأمر الثاني </w:t>
      </w:r>
      <w:r>
        <w:rPr>
          <w:rtl w:val="true"/>
        </w:rPr>
        <w:t xml:space="preserve">- </w:t>
      </w:r>
      <w:r>
        <w:rPr>
          <w:rtl w:val="true"/>
        </w:rPr>
        <w:t>هل الموت أمر عدمي؟</w:t>
      </w:r>
      <w:bookmarkEnd w:id="466"/>
    </w:p>
    <w:p>
      <w:pPr>
        <w:pStyle w:val="BookText"/>
        <w:rPr/>
      </w:pPr>
      <w:r>
        <w:rPr>
          <w:rFonts w:ascii="Amiri" w:hAnsi="Amiri" w:eastAsia="Amiri" w:cs="Amiri"/>
          <w:color w:val="111111"/>
          <w:sz w:val="28"/>
          <w:sz w:val="28"/>
          <w:szCs w:val="28"/>
          <w:rtl w:val="true"/>
          <w:lang w:bidi="ar-SA"/>
        </w:rPr>
        <w:t>إنّ ملاحظة المعنى اللغوي، و الاستعمال القرآني للفظ الموت، يفيد أنّ الموت أمر عدمي، و لكنه من زاوية أخرى، ليس أمرا عدميا في موت الإنسان، و ذلك لو فسّر الموت بقبض الملائكة الطاقات الحسية الموجودة في الإنسان، فإنّه أمر وجوديّ، و إن كانت النتيجة أمرا عدميا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جعله أيضا من الأمور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بمعنى آخر، و هو أنّ الموت نافذة على الحياة الجديدة، و انتقال من منزل إلى منزل، و إلى ذلك لمحات في كلام الأئمة الأطهار من أهل بيت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إنّا خلقنا و إياكم للبقاء، لا للفناء، لكنكم من دار إلى دار تنقلون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سيد الشهداء الحسين بن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أنصاره يوم عاشوراء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الدائمة، فأيّكم يكره أن ينتقل من سجن إلى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جعله أمرا وجوديا أيضا، ببيان ثالث، و هو أنّ الموت حدّ الحياة الدنيوية، و جدارها الذي إليه تنتهي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الموت ربما يوصف بكونه أمرا عدميا إذا نسب إلى الجسم، و أمّا إذا نسب إلى الروح فلا يمكن تفسيره إلاّ بأمر وجودي، و هو انتقالها من مرحلة إلى مرحلة</w:t>
      </w:r>
      <w:r>
        <w:rPr>
          <w:rFonts w:eastAsia="Amiri" w:cs="Amiri" w:ascii="Amiri" w:hAnsi="Amiri"/>
          <w:color w:val="111111"/>
          <w:sz w:val="28"/>
          <w:szCs w:val="28"/>
          <w:rtl w:val="true"/>
          <w:lang w:bidi="ar-SA"/>
        </w:rPr>
        <w:t xml:space="preserve">. </w:t>
      </w:r>
      <w:bookmarkStart w:id="467" w:name="pg16351_181132"/>
    </w:p>
    <w:p>
      <w:pPr>
        <w:pStyle w:val="BookText"/>
        <w:rPr/>
      </w:pPr>
      <w:bookmarkEnd w:id="467"/>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الخلق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التقدير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حياة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6422326_1280447820"/>
      <w:bookmarkStart w:id="469" w:name="_Toc180"/>
      <w:bookmarkEnd w:id="468"/>
      <w:r>
        <w:rPr>
          <w:rtl w:val="true"/>
        </w:rPr>
        <w:t xml:space="preserve">الأمر الثالث </w:t>
      </w:r>
      <w:r>
        <w:rPr>
          <w:rtl w:val="true"/>
        </w:rPr>
        <w:t xml:space="preserve">- </w:t>
      </w:r>
      <w:r>
        <w:rPr>
          <w:rtl w:val="true"/>
        </w:rPr>
        <w:t>الموت سنة عامة في الخلق</w:t>
      </w:r>
      <w:bookmarkEnd w:id="469"/>
    </w:p>
    <w:p>
      <w:pPr>
        <w:pStyle w:val="BookText"/>
        <w:rPr/>
      </w:pPr>
      <w:r>
        <w:rPr>
          <w:rFonts w:ascii="Amiri" w:hAnsi="Amiri" w:eastAsia="Amiri" w:cs="Amiri"/>
          <w:color w:val="111111"/>
          <w:sz w:val="28"/>
          <w:sz w:val="28"/>
          <w:szCs w:val="28"/>
          <w:rtl w:val="true"/>
          <w:lang w:bidi="ar-SA"/>
        </w:rPr>
        <w:t>إن قوانين الديناميكا الحرارية تدلّ على أنّ مكونات هذا الكون تفقد حرارتها تدريجيا، و أنّها سائرة حتما إلى يوم تصير فيه جميع الأجسام تحت درجة من الحرارة البالغة الانخفاض</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تنعدم و تستحيل الحياة، و هذا ما كشف عنه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يصف الموت سنة إلهية عامة، فيقول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45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أحدا يجد إلى البقاء سلّما، أو لدفع الموت سبيلا، لكان ذلك سليمان بن داود عليه السلام، الذي سخّر له ملك الجنّ و الإنس</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470" w:name="pg16351_181133"/>
    </w:p>
    <w:p>
      <w:pPr>
        <w:pStyle w:val="BookText"/>
        <w:rPr/>
      </w:pPr>
      <w:bookmarkEnd w:id="470"/>
      <w:r>
        <w:rPr>
          <w:rFonts w:ascii="Amiri" w:hAnsi="Amiri" w:eastAsia="Amiri" w:cs="Amiri"/>
          <w:color w:val="111111"/>
          <w:sz w:val="28"/>
          <w:sz w:val="28"/>
          <w:szCs w:val="28"/>
          <w:rtl w:val="true"/>
          <w:lang w:bidi="ar-SA"/>
        </w:rPr>
        <w:t>و هناك آيات تدلّ على أنّ انهدام النظام أمر حتمي يوم القيامة، و هو موته و سيجيء الكلام فيه في المباحث الآتية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6422328_1280447820"/>
      <w:bookmarkStart w:id="472" w:name="_Toc181"/>
      <w:bookmarkEnd w:id="471"/>
      <w:r>
        <w:rPr>
          <w:rtl w:val="true"/>
        </w:rPr>
        <w:t xml:space="preserve">الأمر الرابع </w:t>
      </w:r>
      <w:r>
        <w:rPr>
          <w:rtl w:val="true"/>
        </w:rPr>
        <w:t xml:space="preserve">- </w:t>
      </w:r>
      <w:r>
        <w:rPr>
          <w:rtl w:val="true"/>
        </w:rPr>
        <w:t>لما ذا يستوحش الإنسان من الموت؟</w:t>
      </w:r>
      <w:bookmarkEnd w:id="472"/>
    </w:p>
    <w:p>
      <w:pPr>
        <w:pStyle w:val="BookText"/>
        <w:rPr/>
      </w:pPr>
      <w:r>
        <w:rPr>
          <w:rFonts w:ascii="Amiri" w:hAnsi="Amiri" w:eastAsia="Amiri" w:cs="Amiri"/>
          <w:color w:val="111111"/>
          <w:sz w:val="28"/>
          <w:sz w:val="28"/>
          <w:szCs w:val="28"/>
          <w:rtl w:val="true"/>
          <w:lang w:bidi="ar-SA"/>
        </w:rPr>
        <w:t>إنّ للإنسان علاقة شديدة بالبقاء، و هي ميل طبيعي يحسّه بفطرته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الموت يضادّ تلك النّغمة الفطرية، فيجزع الإنسان العادي غير العارف بحقيقة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فالناس في الحياة الدنيا على قسمين، قسم يستوحش من الموت، و يتصوره شبحا مخيفا، يريد أن يقطع أنياط قلبه و يفترس حياته، و هؤلاء بين من يرى الموت آخر الحياة و نفادها، و يتخيّلون أنّ الموت إبطال لذواتهم و شخصياتهم، و من يعتقد أنّ الموت نافذة للحياة الأخرى، من دون أن يستعدوا لتلك المرحلة بصالح الأعمال، بل أثقلوا كواهلهم بالمعاصي و الذنوب؛ فالموت عندهم سمّ يتجرعونه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تنديدا باليهود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آخر، يشتاقون إلى الموت و يتلقونه بصدور رحبة، و وجوه مشرقة، لأنّهم يرونه انتقالا من حياة مرّة إلى حياة حلوة، و هؤلاء هم الأنبياء و الأولياء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الأجل الذي كتب عليهم، لم تستقر أرواحهم في أجسادهم طرفة عين شوقا إلى الثواب، و خوفا من العقاب، عظم الخالق في أنفسهم، فصغر ما دونه في أعينهم</w:t>
      </w:r>
      <w:r>
        <w:rPr>
          <w:rFonts w:eastAsia="Amiri" w:cs="Amiri" w:ascii="Amiri" w:hAnsi="Amiri"/>
          <w:color w:val="111111"/>
          <w:sz w:val="28"/>
          <w:szCs w:val="28"/>
          <w:rtl w:val="true"/>
          <w:lang w:bidi="ar-SA"/>
        </w:rPr>
        <w:t xml:space="preserve">». </w:t>
      </w:r>
      <w:bookmarkStart w:id="473" w:name="pg16351_181134"/>
    </w:p>
    <w:p>
      <w:pPr>
        <w:pStyle w:val="Heading5"/>
        <w:numPr>
          <w:ilvl w:val="4"/>
          <w:numId w:val="1"/>
        </w:numPr>
        <w:rPr/>
      </w:pPr>
      <w:bookmarkStart w:id="474" w:name="__RefHeading___Toc6422330_1280447820"/>
      <w:bookmarkStart w:id="475" w:name="_Toc182"/>
      <w:bookmarkEnd w:id="473"/>
      <w:bookmarkEnd w:id="474"/>
      <w:r>
        <w:rPr>
          <w:rtl w:val="true"/>
        </w:rPr>
        <w:t xml:space="preserve">الأمر الخامس </w:t>
      </w:r>
      <w:r>
        <w:rPr>
          <w:rtl w:val="true"/>
        </w:rPr>
        <w:t xml:space="preserve">- </w:t>
      </w:r>
      <w:r>
        <w:rPr>
          <w:rtl w:val="true"/>
        </w:rPr>
        <w:t>الموت و أقسامه</w:t>
      </w:r>
      <w:bookmarkEnd w:id="475"/>
    </w:p>
    <w:p>
      <w:pPr>
        <w:pStyle w:val="Heading6"/>
        <w:numPr>
          <w:ilvl w:val="5"/>
          <w:numId w:val="1"/>
        </w:numPr>
        <w:rPr/>
      </w:pPr>
      <w:bookmarkStart w:id="476" w:name="__RefHeading___Toc6422332_1280447820"/>
      <w:bookmarkStart w:id="477" w:name="_Toc183"/>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ينقسم الموت إلى أقسام نأتي بها فيما يلي</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422334_1280447820"/>
      <w:bookmarkStart w:id="479" w:name="_Toc184"/>
      <w:bookmarkEnd w:id="478"/>
      <w:r>
        <w:rPr>
          <w:rtl w:val="true"/>
        </w:rPr>
        <w:t xml:space="preserve">أ </w:t>
      </w:r>
      <w:r>
        <w:rPr>
          <w:rtl w:val="true"/>
        </w:rPr>
        <w:t xml:space="preserve">- </w:t>
      </w:r>
      <w:r>
        <w:rPr>
          <w:rtl w:val="true"/>
        </w:rPr>
        <w:t>الموت السهل و الموت العسير</w:t>
      </w:r>
      <w:bookmarkEnd w:id="479"/>
    </w:p>
    <w:p>
      <w:pPr>
        <w:pStyle w:val="BookText"/>
        <w:rPr/>
      </w:pPr>
      <w:r>
        <w:rPr>
          <w:rFonts w:ascii="Amiri" w:hAnsi="Amiri" w:eastAsia="Amiri" w:cs="Amiri"/>
          <w:color w:val="111111"/>
          <w:sz w:val="28"/>
          <w:sz w:val="28"/>
          <w:szCs w:val="28"/>
          <w:rtl w:val="true"/>
          <w:lang w:bidi="ar-SA"/>
        </w:rPr>
        <w:t>لا شكّ أنّ الانتقال من مرحلة إلى مرحلة أخرى، لا يخلو من مشقة، حتى أنّ الطفل عند ما ينتقل من عالم الأجنة إلى عالم الشهود، يتحمل جهدا و مشقة 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للإنسان في إطار حياته في النشأتين مراحل حساسة تعدّ كلّ منها منعطفا في مسيرته الوجودية،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التّولّد، و مرحلة الموت، و مرحلة البعث، و إلى ذلك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عَلَيْهِ يَوْمَ وُلِدَ وَ يَوْمَ يَمُوتُ وَ يَوْمَ يُبْعَثُ حَيًّا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فالموت أحد هذه الحلقات الرئيسية في وجود الإنسان، فهو لا يخلو بطبعه من مشقة و عسر، و لكن لو غضّ البصر عنه، فالموت حسب القرآن ينقسم إلى موت سهل و موت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لصلحاء المؤمنين، و الثاني للعصاة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 في العصاة و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480" w:name="pg16351_181135"/>
    </w:p>
    <w:p>
      <w:pPr>
        <w:pStyle w:val="BookText"/>
        <w:rPr/>
      </w:pPr>
      <w:bookmarkEnd w:id="480"/>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الروايات الإسلامية أخبار كثيرة فيما قدمنا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6422336_1280447820"/>
      <w:bookmarkStart w:id="482" w:name="_Toc185"/>
      <w:bookmarkEnd w:id="481"/>
      <w:r>
        <w:rPr>
          <w:rtl w:val="true"/>
        </w:rPr>
        <w:t xml:space="preserve">ب </w:t>
      </w:r>
      <w:r>
        <w:rPr>
          <w:rtl w:val="true"/>
        </w:rPr>
        <w:t xml:space="preserve">- </w:t>
      </w:r>
      <w:r>
        <w:rPr>
          <w:rtl w:val="true"/>
        </w:rPr>
        <w:t>موت البدن و موت القلب</w:t>
      </w:r>
      <w:bookmarkEnd w:id="482"/>
    </w:p>
    <w:p>
      <w:pPr>
        <w:pStyle w:val="BookText"/>
        <w:rPr/>
      </w:pPr>
      <w:r>
        <w:rPr>
          <w:rFonts w:ascii="Amiri" w:hAnsi="Amiri" w:eastAsia="Amiri" w:cs="Amiri"/>
          <w:color w:val="111111"/>
          <w:sz w:val="28"/>
          <w:sz w:val="28"/>
          <w:szCs w:val="28"/>
          <w:rtl w:val="true"/>
          <w:lang w:bidi="ar-SA"/>
        </w:rPr>
        <w:t>و هناك تقسيم آخر للموت حسب متعلقه، و هو أنّه تارة ينسب إلى الجسم و البدن، و أخرى إلى القلب و مراكز الإدراك، و الأول هو الموت الطبيعي، و الثاني من شئون بعض الأحياء، إذا حلّ الكف محلّ الإيمان، و الجهل مكان العلم في قلوبهم، فهؤلاء أموات بهذا النظر، و إن كانوا أحياء ماديين يأكلون و يشربون و يتحركون،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Style w:val="FootnoteAnchor"/>
          <w:rtl w:val="true"/>
        </w:rPr>
        <w:footnoteReference w:id="46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يختص الموت بهذه الطغمة الظالمة، بل يعمّ المتخاذلين المستبطئين في الدفاع عن عزّهم و كيانهم، ليعيشوا أياما أو أعواما صاغرين، فهؤلاء أموات في منطق الإمام علي عليه السلام، كما أنّ المتفانين في حفظ عزّتهم و كرامتهم أحياء، و إن تضرّجوا بدمائهم في سوح الجهاد،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 في حياتكم مقهورين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الحياة، في موتكم قاهرين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لا يحسّ بالمسئولية أمام المجتمع، و يترك الأمر بالمعروف و النهي عن المنكر بعامة مراتبهما، ميّت الأحياء، يقول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تارك لإنكار المنكر بلسانه، و قلبه و يده، فذلك ميّت الأحياء</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483" w:name="pg16351_181136"/>
    </w:p>
    <w:p>
      <w:pPr>
        <w:pStyle w:val="Heading6"/>
        <w:numPr>
          <w:ilvl w:val="5"/>
          <w:numId w:val="1"/>
        </w:numPr>
        <w:rPr/>
      </w:pPr>
      <w:bookmarkStart w:id="484" w:name="__RefHeading___Toc6422338_1280447820"/>
      <w:bookmarkStart w:id="485" w:name="_Toc186"/>
      <w:bookmarkEnd w:id="483"/>
      <w:bookmarkEnd w:id="484"/>
      <w:r>
        <w:rPr>
          <w:rtl w:val="true"/>
        </w:rPr>
        <w:t xml:space="preserve">ج </w:t>
      </w:r>
      <w:r>
        <w:rPr>
          <w:rtl w:val="true"/>
        </w:rPr>
        <w:t xml:space="preserve">- </w:t>
      </w:r>
      <w:r>
        <w:rPr>
          <w:rtl w:val="true"/>
        </w:rPr>
        <w:t>موت الفرد و المجتمع</w:t>
      </w:r>
      <w:bookmarkEnd w:id="485"/>
    </w:p>
    <w:p>
      <w:pPr>
        <w:pStyle w:val="BookText"/>
        <w:rPr/>
      </w:pPr>
      <w:r>
        <w:rPr>
          <w:rFonts w:ascii="Amiri" w:hAnsi="Amiri" w:eastAsia="Amiri" w:cs="Amiri"/>
          <w:color w:val="111111"/>
          <w:sz w:val="28"/>
          <w:sz w:val="28"/>
          <w:szCs w:val="28"/>
          <w:rtl w:val="true"/>
          <w:lang w:bidi="ar-SA"/>
        </w:rPr>
        <w:t>إنّ للفرد شئونا من أوج و حضيض، و رقيّ و هبوط، و موت و حياة، كما أنّ للمجتمع نفس تلك الشئون،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نواة تنبت و تشتد و تستوي و تأخذ لنفسها حالة الهجوم و الاندفاع، و لا تبرح على تلك السّمة حتى تنتقل إلى حالة أخرى، تأخذ لنفسها حالة الدفاع، و ردّ السّهام الموجهة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تبرح على تلك الحالة حتى ينجرّ أمرها إلى الانكسار و الانقراض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جميع الحضارات البشرية، و المناهج الاقتصادية و السياسية الإنسانية، فلكلّ منها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دفاع، 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لكل فرد حياة و موتا و أجلا حسب القرآن، كذلك إنّ للمجتمع حياة و موتا و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يعود القرآن ليبين، عامل تدمير الحضارات و المجتمعات و الأنظمة البشرية، و يركز منها على الظلم بالأخص، و على الإتراف ثانيا، فالظلم خروج عن الحدّ الوسط، و الإتراف هو الانهماك في المعاصي، و كلاهما يعجل في هلاك المجتمع و اندثاره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فَفَسَقُوا فِيهٰا، فَحَقَّ عَلَيْهَا اَلْقَوْلُ، فَدَمَّرْنٰاهٰا تَدْمِيراً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اَلْقُرُونِ مِنْ بَعْدِ نُوحٍ، وَ كَفىٰ بِرَبِّكَ </w:t>
      </w:r>
      <w:bookmarkStart w:id="486" w:name="pg16351_181137"/>
    </w:p>
    <w:p>
      <w:pPr>
        <w:pStyle w:val="BookText"/>
        <w:rPr/>
      </w:pPr>
      <w:bookmarkEnd w:id="486"/>
      <w:r>
        <w:rPr>
          <w:rFonts w:ascii="Amiri" w:hAnsi="Amiri" w:eastAsia="Amiri" w:cs="Amiri"/>
          <w:color w:val="111111"/>
          <w:sz w:val="28"/>
          <w:sz w:val="28"/>
          <w:szCs w:val="28"/>
          <w:rtl w:val="true"/>
          <w:lang w:bidi="ar-SA"/>
        </w:rPr>
        <w:t xml:space="preserve">بِذُنُوبِ عِبٰادِهِ خَبِيراً بَصِيراً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الإمعان في هذه الآية يفيد أنّ الظلم و الفسق و الذنوب، مد مرات للمجتمع</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 w:name="__RefHeading___Toc6422340_1280447820"/>
      <w:bookmarkStart w:id="488" w:name="_Toc187"/>
      <w:bookmarkEnd w:id="487"/>
      <w:r>
        <w:rPr>
          <w:rtl w:val="true"/>
        </w:rPr>
        <w:t xml:space="preserve">د </w:t>
      </w:r>
      <w:r>
        <w:rPr>
          <w:rtl w:val="true"/>
        </w:rPr>
        <w:t xml:space="preserve">- </w:t>
      </w:r>
      <w:r>
        <w:rPr>
          <w:rtl w:val="true"/>
        </w:rPr>
        <w:t>موت العزّ و موت الهوان</w:t>
      </w:r>
      <w:bookmarkEnd w:id="488"/>
    </w:p>
    <w:p>
      <w:pPr>
        <w:pStyle w:val="BookText"/>
        <w:rPr/>
      </w:pPr>
      <w:r>
        <w:rPr>
          <w:rFonts w:ascii="Amiri" w:hAnsi="Amiri" w:eastAsia="Amiri" w:cs="Amiri"/>
          <w:color w:val="111111"/>
          <w:sz w:val="28"/>
          <w:sz w:val="28"/>
          <w:szCs w:val="28"/>
          <w:rtl w:val="true"/>
          <w:lang w:bidi="ar-SA"/>
        </w:rPr>
        <w:t>ينقسم الموت إلى موت عزّ و موت هوان، فالفادون أنفسهم في طريق نشر القسط و العدل و العلم و سائر المبادي الإلهية يموتون موت عزّ و شرف، و الذين يقاتلون في سبيل الطاغوت و نشر الشرّ و الجهل و الفساد، لغاية نيل أجور ضئيلة و مناصب مؤقتة، يموتون موت الهوان و الذلّ و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فيمن خرج طالبا للعلم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6422342_1280447820"/>
      <w:bookmarkStart w:id="490" w:name="_Toc188"/>
      <w:bookmarkEnd w:id="489"/>
      <w:r>
        <w:rPr>
          <w:rtl w:val="true"/>
        </w:rPr>
        <w:t xml:space="preserve">الأمر السادس </w:t>
      </w:r>
      <w:r>
        <w:rPr>
          <w:rtl w:val="true"/>
        </w:rPr>
        <w:t xml:space="preserve">- </w:t>
      </w:r>
      <w:r>
        <w:rPr>
          <w:rtl w:val="true"/>
        </w:rPr>
        <w:t>الموت و الأجل المسمّى</w:t>
      </w:r>
      <w:bookmarkEnd w:id="490"/>
    </w:p>
    <w:p>
      <w:pPr>
        <w:pStyle w:val="BookText"/>
        <w:rPr/>
      </w:pPr>
      <w:r>
        <w:rPr>
          <w:rFonts w:ascii="Amiri" w:hAnsi="Amiri" w:eastAsia="Amiri" w:cs="Amiri"/>
          <w:color w:val="111111"/>
          <w:sz w:val="28"/>
          <w:sz w:val="28"/>
          <w:szCs w:val="28"/>
          <w:rtl w:val="true"/>
          <w:lang w:bidi="ar-SA"/>
        </w:rPr>
        <w:t>يقسم القرآن الأجل إلى أجل، و أجل مسمى، و بيانه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نوع من أنواع الموجودات الحيّة، بل مطلق الموجودات، قابلية خاصة لإدامة الحياة و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ما يقال إنّ العمر الطبيعي للإنسان هو </w:t>
      </w:r>
      <w:bookmarkStart w:id="491" w:name="pg16351_181138"/>
    </w:p>
    <w:p>
      <w:pPr>
        <w:pStyle w:val="BookText"/>
        <w:rPr/>
      </w:pPr>
      <w:bookmarkEnd w:id="491"/>
      <w:r>
        <w:rPr>
          <w:rFonts w:ascii="Amiri" w:hAnsi="Amiri" w:eastAsia="Amiri" w:cs="Amiri"/>
          <w:color w:val="111111"/>
          <w:sz w:val="28"/>
          <w:sz w:val="28"/>
          <w:szCs w:val="28"/>
          <w:rtl w:val="true"/>
          <w:lang w:bidi="ar-SA"/>
        </w:rPr>
        <w:t xml:space="preserve">مائة و عشرون سنة،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لأن يعيش هذا المقدار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ضوء ذلك، لكلّ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بهذا المعنى، و لكنه ليس أجلا حتميا و قطعيا، بل قد ينقص عنه أو يزيد عليه لعوامل خاصة في حياته، فربّ إنسان يموت في العقد الخامس أو السادس من عمره، و هو أجلّ حتمي و مسمى له، مع أنّ الأجل المطلق كان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إنسان يعيش أزيد من هذا الحدّ الطبيعي، و يموت في العقد الخامس عشر من عمره، و هو أجل حتمي و مسمى له، و إن كان الأجل المطلق أنقص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الأجل المطلق يعرفه غيره سبحانه، و لكنّ الأجل الحتمي عنده، فهو الذي يعرف الحدّ الذي تقف فيه حياة كل إنسان، و لا تتجاوزه قطعا،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6422344_1280447820"/>
      <w:bookmarkStart w:id="493" w:name="_Toc189"/>
      <w:bookmarkEnd w:id="492"/>
      <w:r>
        <w:rPr>
          <w:rtl w:val="true"/>
        </w:rPr>
        <w:t xml:space="preserve">الأمر السابع </w:t>
      </w:r>
      <w:r>
        <w:rPr>
          <w:rtl w:val="true"/>
        </w:rPr>
        <w:t xml:space="preserve">- </w:t>
      </w:r>
      <w:r>
        <w:rPr>
          <w:rtl w:val="true"/>
        </w:rPr>
        <w:t>الإنابة عند الموت</w:t>
      </w:r>
      <w:bookmarkEnd w:id="493"/>
    </w:p>
    <w:p>
      <w:pPr>
        <w:pStyle w:val="BookText"/>
        <w:rPr/>
      </w:pPr>
      <w:r>
        <w:rPr>
          <w:rFonts w:ascii="Amiri" w:hAnsi="Amiri" w:eastAsia="Amiri" w:cs="Amiri"/>
          <w:color w:val="111111"/>
          <w:sz w:val="28"/>
          <w:sz w:val="28"/>
          <w:szCs w:val="28"/>
          <w:rtl w:val="true"/>
          <w:lang w:bidi="ar-SA"/>
        </w:rPr>
        <w:t>قد عرفت أنّ قسما من النّاس يخافون من الموت لما علموا من أنّ كواهلهم مثقلة بعظائم الذنوب، أو لاعتقادهم بأنّه خاتمة المطاف في الحياة البشرية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الصنف الأول، إذا فوجئوا بالموت، يلجئون إلى التوبة و الإنابة، و يندمون، و لكن لات حين مندم، فإنّهم قد ضيّعوا الفرص، و التوبة إنّما تقبل إذا كان الإنسان ذا مقدرة على الفعل و الترك و الطاعة و العصيان، فيرجّح باختياره الانقياد، على المخالفة، و هذا من تقبل توبته، لأنّ الإنابة في هذا المقام، تكشف عن تحول روحي، و ثورة نفسانية على المعصية و التمرد و التجري، و أمّا إذا وصل الإنسان في مدارج حياته إلى نقطة ليس أمامها إلاّ طريق واحد، و هو ترك التمرّد، </w:t>
      </w:r>
      <w:bookmarkStart w:id="494" w:name="pg16351_181139"/>
    </w:p>
    <w:p>
      <w:pPr>
        <w:pStyle w:val="BookText"/>
        <w:rPr/>
      </w:pPr>
      <w:bookmarkEnd w:id="494"/>
      <w:r>
        <w:rPr>
          <w:rFonts w:ascii="Amiri" w:hAnsi="Amiri" w:eastAsia="Amiri" w:cs="Amiri"/>
          <w:color w:val="111111"/>
          <w:sz w:val="28"/>
          <w:sz w:val="28"/>
          <w:szCs w:val="28"/>
          <w:rtl w:val="true"/>
          <w:lang w:bidi="ar-SA"/>
        </w:rPr>
        <w:t>لفقدان القوة و الطاقة، فلا تقبل التوبة عند ذاك، لأنّها لا تكشف عن انقلاب روحي نحو الكمال، و إلى ذلك يشير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ندم طاغية مصر، فرعون، عند ما وافاه الغرق، و أحسّ بالعجز عن استمراره بالعصيان فأسلم،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إِلٰهَ إِلاَّ اَلَّذِي آمَنَتْ بِهِ بَنُوا إِسْرٰائِيلَ، وَ 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الطغاة من الأمم السالفة على هذا النمط، فلا يلجئون إلى الإنابة إلاّ بعد ما يروا بأس اللّه تعالى،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يعضّ يده ندامة على ما أصحر له عند الموت من أمره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6422346_1280447820"/>
      <w:bookmarkStart w:id="496" w:name="_Toc190"/>
      <w:bookmarkEnd w:id="495"/>
      <w:r>
        <w:rPr>
          <w:rtl w:val="true"/>
        </w:rPr>
        <w:t xml:space="preserve">الأمر الثامن </w:t>
      </w:r>
      <w:r>
        <w:rPr>
          <w:rtl w:val="true"/>
        </w:rPr>
        <w:t xml:space="preserve">- </w:t>
      </w:r>
      <w:r>
        <w:rPr>
          <w:rtl w:val="true"/>
        </w:rPr>
        <w:t>الوصية عند الموت</w:t>
      </w:r>
      <w:bookmarkEnd w:id="496"/>
    </w:p>
    <w:p>
      <w:pPr>
        <w:pStyle w:val="BookText"/>
        <w:rPr/>
      </w:pPr>
      <w:r>
        <w:rPr>
          <w:rFonts w:ascii="Amiri" w:hAnsi="Amiri" w:eastAsia="Amiri" w:cs="Amiri"/>
          <w:color w:val="111111"/>
          <w:sz w:val="28"/>
          <w:sz w:val="28"/>
          <w:szCs w:val="28"/>
          <w:rtl w:val="true"/>
          <w:lang w:bidi="ar-SA"/>
        </w:rPr>
        <w:t>لا ينبغي لا مريء مسلم أن يبيت ليلة إلاّ و وصيته تحت رأسه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ذلك ربما يترك الإنسان هذه الفريضة، فله الإيصاء حال الموت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w:t>
      </w:r>
      <w:bookmarkStart w:id="497" w:name="pg16351_181140"/>
    </w:p>
    <w:p>
      <w:pPr>
        <w:pStyle w:val="BookText"/>
        <w:rPr/>
      </w:pPr>
      <w:bookmarkEnd w:id="497"/>
      <w:r>
        <w:rPr>
          <w:rFonts w:ascii="Amiri" w:hAnsi="Amiri" w:eastAsia="Amiri" w:cs="Amiri"/>
          <w:color w:val="111111"/>
          <w:sz w:val="28"/>
          <w:sz w:val="28"/>
          <w:szCs w:val="28"/>
          <w:rtl w:val="true"/>
          <w:lang w:bidi="ar-SA"/>
        </w:rPr>
        <w:t xml:space="preserve">اَلْوَصِيَّةُ </w:t>
      </w:r>
      <w:r>
        <w:rPr>
          <w:rStyle w:val="FootnoteAnchor"/>
          <w:rtl w:val="true"/>
        </w:rPr>
        <w:footnoteReference w:id="484"/>
      </w:r>
      <w:r>
        <w:rPr>
          <w:rFonts w:ascii="Amiri" w:hAnsi="Amiri" w:eastAsia="Amiri" w:cs="Amiri"/>
          <w:color w:val="111111"/>
          <w:sz w:val="28"/>
          <w:sz w:val="28"/>
          <w:szCs w:val="28"/>
          <w:rtl w:val="true"/>
          <w:lang w:bidi="ar-SA"/>
        </w:rPr>
        <w:t>و المراد من الخير 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6422348_1280447820"/>
      <w:bookmarkStart w:id="499" w:name="_Toc191"/>
      <w:bookmarkEnd w:id="498"/>
      <w:r>
        <w:rPr>
          <w:rtl w:val="true"/>
        </w:rPr>
        <w:t xml:space="preserve">الأمر التاسع </w:t>
      </w:r>
      <w:r>
        <w:rPr>
          <w:rtl w:val="true"/>
        </w:rPr>
        <w:t xml:space="preserve">- </w:t>
      </w:r>
      <w:r>
        <w:rPr>
          <w:rtl w:val="true"/>
        </w:rPr>
        <w:t>جهل الناس بأوان موتهم</w:t>
      </w:r>
      <w:bookmarkEnd w:id="499"/>
    </w:p>
    <w:p>
      <w:pPr>
        <w:pStyle w:val="BookText"/>
        <w:rPr/>
      </w:pPr>
      <w:r>
        <w:rPr>
          <w:rFonts w:ascii="Amiri" w:hAnsi="Amiri" w:eastAsia="Amiri" w:cs="Amiri"/>
          <w:color w:val="111111"/>
          <w:sz w:val="28"/>
          <w:sz w:val="28"/>
          <w:szCs w:val="28"/>
          <w:rtl w:val="true"/>
          <w:lang w:bidi="ar-SA"/>
        </w:rPr>
        <w:t>اقتضت الحكمة الإلهية جهل الناس بزمان و مكان موتهم،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الإنسان بزمن موته، فربما يفشل في العمل قبل أن يحلّ أجله، فإنّ العامل الباعث إلى العمل و النشاط في الحياة، هو الأمل، فالأمل رحمة، و لولاه لما أرضعت والدة ولدها، و لا غرس غارس شجرة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لجهل الإنسان بأوان موته و مكانه، تأثيرا تربويا، فإنّه لو علم بأنّه سيموت بعد عام أو أشهر، فترك التمرّد و التجري، فلا يعد ذلك كمالا روحيا، و ثورة للفضائل على الرذائل، و هذا بخلاف ما إذا سلك طريق الطاعة، و ترك المعصية، و هو يرجو العيش أعواما طويلة، فإنّه يكشف عن كمال روحي، يدفعه نحو الفضائل،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بِأَيِّ أَرْضٍ تَمُوتُ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6422350_1280447820"/>
      <w:bookmarkStart w:id="501" w:name="_Toc192"/>
      <w:bookmarkEnd w:id="500"/>
      <w:r>
        <w:rPr>
          <w:rtl w:val="true"/>
        </w:rPr>
        <w:t xml:space="preserve">الأمر العاشر </w:t>
      </w:r>
      <w:r>
        <w:rPr>
          <w:rtl w:val="true"/>
        </w:rPr>
        <w:t xml:space="preserve">- </w:t>
      </w:r>
      <w:r>
        <w:rPr>
          <w:rtl w:val="true"/>
        </w:rPr>
        <w:t>الملائكة الموكّلون بقبض الأرواح</w:t>
      </w:r>
      <w:bookmarkEnd w:id="50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الخلق و التدبير من شئونه سبحانه، فهو القائل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لَهُ اَلْخَلْقُ وَ اَلْأَمْرُ، تَبٰارَكَ اَللّٰهُ رَبُّ اَلْعٰالَمِينَ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كونه مدبّرا لا ينافي أن يكون هناك أسباب غيبيّة أو طبيعية لقبض الأرواح فإنّه أيضا من شئون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الأنفس و أخذها، فعل للّه سبحانه، و في الوقت نفسه فعل لملائكته،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الوقت نفسه ينسبه إلى الملائكة،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ثالث ينسبه إلى ملك الموت،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النّسب كلّها صحيحة، أخذا بما ذكرناه في أقسام التوحيد من أنّ شيئا واحدا يكون فعلا للّه سبحانه، و في الوقت نفسه فعلا لعباده، و قد تقدّم ذلك مفصّلا</w:t>
      </w:r>
      <w:r>
        <w:rPr>
          <w:rFonts w:eastAsia="Amiri" w:cs="Amiri" w:ascii="Amiri" w:hAnsi="Amiri"/>
          <w:color w:val="111111"/>
          <w:sz w:val="28"/>
          <w:szCs w:val="28"/>
          <w:rtl w:val="true"/>
          <w:lang w:bidi="ar-SA"/>
        </w:rPr>
        <w:t>.</w:t>
      </w:r>
      <w:bookmarkStart w:id="502" w:name="pg16351_181142"/>
    </w:p>
    <w:p>
      <w:pPr>
        <w:pStyle w:val="BookText"/>
        <w:rPr/>
      </w:pPr>
      <w:bookmarkEnd w:id="502"/>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503" w:name="__RefHeading___Toc6422352_1280447820"/>
      <w:bookmarkStart w:id="504" w:name="_Toc193"/>
      <w:bookmarkEnd w:id="503"/>
      <w:r>
        <w:rPr>
          <w:rtl w:val="true"/>
        </w:rPr>
        <w:t>(</w:t>
      </w:r>
      <w:r>
        <w:rPr/>
        <w:t>7</w:t>
      </w:r>
      <w:r>
        <w:rPr>
          <w:rtl w:val="true"/>
        </w:rPr>
        <w:t xml:space="preserve">) </w:t>
      </w:r>
      <w:r>
        <w:rPr>
          <w:rtl w:val="true"/>
        </w:rPr>
        <w:t>الحياة البرزخية</w:t>
      </w:r>
      <w:bookmarkEnd w:id="504"/>
    </w:p>
    <w:p>
      <w:pPr>
        <w:pStyle w:val="Heading5"/>
        <w:numPr>
          <w:ilvl w:val="4"/>
          <w:numId w:val="1"/>
        </w:numPr>
        <w:rPr/>
      </w:pPr>
      <w:bookmarkStart w:id="505" w:name="__RefHeading___Toc6422354_1280447820"/>
      <w:bookmarkStart w:id="506" w:name="_Toc194"/>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البرزخ هو المنزل الأول للإنسان بعد مفارقة الدنيا بالموت، و تحقيق الحال يتوقف على تبيين معنى البرزخ، و إثبات الحياة في تلك النشأة التي هي قبل البعث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 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الحائل بين الشيئين، كأنّ بينهما برازا أي متسعا من الأرض، ثم صار كل حائل برزخا فالخاء زائدة لما ذكرنا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منظور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 الحاجز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البرزخ ما بين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الحشر من وقت الموت إلى البعث، فمن مات فقد دخل البرزخ</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معنى البرزخ و به يفسر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إِلىٰ يَوْمِ يُبْعَثُونَ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الوراء في الآية بمعنى الأمام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وَرٰاءَهُمْ مَلِكٌ يَأْخُذُ كُلَّ سَفِينَةٍ غَصْباً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الآية لا تفيد أزيد من وجود الفاصل، و الحاجز بين الدنيا و القيامة،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تدل على وجود حياة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آيات يستفاد منها وجود حياة واقعية للإنسان في تلك النشأة،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Style w:val="FootnoteAnchor"/>
          <w:rtl w:val="true"/>
        </w:rPr>
        <w:footnoteReference w:id="49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الآية تحكي عن تحقيق إحياءين و إماتتين إلى يوم البعث، و قد اختلف المفسّرون في تفسيرهما، و المروي عن ابن عباس أنّ الإماتة الأولى، حال كونهم نطفا، فأحياهم اللّه في الدنيا، ثم أماتهم الموتة الثانية، ثم أحياهم للبعث، فهذان إحياءان و إماتتان 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الثانية ليست نظير الآية الأولى حتى تفسّر بها، فإنّ الآية الثانية، تصف الناس بكونهم أمواتا، و هو ينطبق على الإماتة في حال كون الإنسان نطفة أو قبل ذلك، بخلاف الآية الأولى فإنّها تحكي عن إماتة الإنسان، و الفرق بين الموت و الإماتة واضح، فالأحوال المتقدمة على النطفة، و نفسها، توصف بالموت، دون الإماتة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لا يصح تفسير الإماتة بما جاء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الإماتة الأولى هي الإماتة عن الحياة الدنيا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الإحياء الأوّل هو الإحياء في البرزخ، و تستمر هذه الحياة إلى نفخ الصور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الإماتة الثانية، عند نفخ الصور الأول،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الإحياء الثاني، عند نفخ الصور الثاني،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تعدد نفخ الصور يستفاد من الآيتين، فيترتب على الأول هلاك من في السموات و من في الأرض، إلا من شاء اللّه، و على الثاني قيام الناس من أجداثهم، و في أمر النفخ الثاني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فَجَمَعْنٰاهُمْ جَمْعاً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الآثار يدل على تعدد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فللإنسان حياة بعد الإماتة من الحياة الدنيا، و هي حياة برزخية متوسطة بين النشأتين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تدل على أنهم دخلوا النار بعد الغرق بلا فصل للفاء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المراد هو نار يوم القيامة لكان اللازم الإتيان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 ارتكاب التأويل في قوله فَأُدْخِلُوا ، حيث وضع الماضي مكان المستقبل لأجل كونه محقّق الوقوع، و هو خلاف الظاهر، ثانيا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وَ يَوْمَ تَقُومُ </w:t>
      </w:r>
      <w:bookmarkStart w:id="507" w:name="pg16351_181145"/>
    </w:p>
    <w:p>
      <w:pPr>
        <w:pStyle w:val="BookText"/>
        <w:rPr/>
      </w:pPr>
      <w:bookmarkEnd w:id="507"/>
      <w:r>
        <w:rPr>
          <w:rFonts w:ascii="Amiri" w:hAnsi="Amiri" w:eastAsia="Amiri" w:cs="Amiri"/>
          <w:color w:val="111111"/>
          <w:sz w:val="28"/>
          <w:sz w:val="28"/>
          <w:szCs w:val="28"/>
          <w:rtl w:val="true"/>
          <w:lang w:bidi="ar-SA"/>
        </w:rPr>
        <w:t xml:space="preserve">اَلسّٰاعَةُ، أَدْخِلُوا آلَ فِرْعَوْنَ أَشَدَّ اَلْعَذٰابِ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الآية تحكي عرض آل فرعون على النار صباحا و مساء، قبل يوم القيامة، بشهادة قوله بعد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عبّر عن العذاب الأول بالعرض على النار، و عن العذاب في الآخرة، بإدخال آل فرعون أشدّ العذاب، حاكيا عن كون العذاب في البرزخ، أخفّ وطئا من عذاب يوم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آيات تدلّ على حياة الإنسان في هذا الحدّ الفاصل بين الدنيا و البعث، حياة تناسب هذا الظرف، تقدّم ذكرها عند البحث عن تجرّد النفس، و نكتفي هنا بهذا المقدار، حذرا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السنة، فنكتفي بما جاء عن الصادق عليه السلام، عند ما سئل 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حجرات في الجنة، يأكلون من طعامها، و يشربون من شرابها، و يقولون ربّنا أتمم لنا الساعة و أنجز ما وعدتنا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أرواح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 يعذّبون، يقولون لا تقم لنا الساعة، و لا تنجز لنا ما وعدتنا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6422356_1280447820"/>
      <w:bookmarkStart w:id="509" w:name="_Toc195"/>
      <w:bookmarkEnd w:id="508"/>
      <w:r>
        <w:rPr>
          <w:rtl w:val="true"/>
        </w:rPr>
        <w:t>السؤال في القبر و عذابه و نعيمه</w:t>
      </w:r>
      <w:bookmarkEnd w:id="509"/>
    </w:p>
    <w:p>
      <w:pPr>
        <w:pStyle w:val="BookText"/>
        <w:rPr/>
      </w:pPr>
      <w:r>
        <w:rPr>
          <w:rFonts w:ascii="Amiri" w:hAnsi="Amiri" w:eastAsia="Amiri" w:cs="Amiri"/>
          <w:color w:val="111111"/>
          <w:sz w:val="28"/>
          <w:sz w:val="28"/>
          <w:szCs w:val="28"/>
          <w:rtl w:val="true"/>
          <w:lang w:bidi="ar-SA"/>
        </w:rPr>
        <w:t>إذا كانت الحياة البرزخية هي المرحلة الأولى من الحياة بعد الدنيا، يظهر لنا أنّ ما اتّفق عليه المسلمون من سؤال الميت في قبره، و عذابه إن كان طالحا، و إنعامه إن كان مؤمنا صالحا، صحيح لا غبار عليه، و أنّ الإنسان الحي في البرزخ مسئول عن أمور، ثم معذّب أو منعّم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عقائده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اعتقادنا في المسألة في القبر أنّها حقّ لا بدّ منها، و من أجاب الصواب، فاز بروح و ريحان في قبره، و بجنة النعيم في الآخرة، و من </w:t>
      </w:r>
    </w:p>
    <w:p>
      <w:pPr>
        <w:pStyle w:val="BookText"/>
        <w:rPr/>
      </w:pPr>
      <w:r>
        <w:rPr>
          <w:rFonts w:ascii="Amiri" w:hAnsi="Amiri" w:eastAsia="Amiri" w:cs="Amiri"/>
          <w:color w:val="111111"/>
          <w:sz w:val="28"/>
          <w:sz w:val="28"/>
          <w:szCs w:val="28"/>
          <w:rtl w:val="true"/>
          <w:lang w:bidi="ar-SA"/>
        </w:rPr>
        <w:t>لم يجب بالصواب، فله نزل من حميم في قبره، و تصلية جحيم في الآخرة</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الآثار الصحيحة عن النبي أنّ الملائكة تنزل على المقبورين فتسألهم عن أديانهم، و ألفاظ الأخبار بذلك متقاربة، فمنها أنّ ملكين للّه تعالى، يقال لهما ناكر و نكير، ينزلان على الميت فيسألانه عن ربّه و نبيّه و دينه و إمامه، فإن أجاب بالحق، سلّموه إلى ملائكة النعيم، و إن أرتج سلّموه إلى ملائكة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أن اسمي الملكين الذين ينزلان على الكافر، ناكر و نكير، و اسمي الملكين الذين ينزلان على المؤمن مبشّر و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ينزل الملكان إلاّ على حيّ، و لا يسألان إلاّ من يفهم المسألة و يعرف معناها، و هذا يدلّ على أن اللّه تعالى يحيى العبد بعد موته للمسألة، و يديم حياته لنعيم إن كان يستحقه، أو لعذاب إن كان يستحقه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الطوسي، في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 القبر واقع، للإمكان، و تواتر السمع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ضرار أنّه أنكر عذاب القبر، و الإجماع على خلافه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اتّفاق المسلمين على ذلك، يقول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عذاب القبر حق، يسأل العبد عن دينه و عن ربه، و يرى مقعده من النار و الجنة، و منكر و نكير حق</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نسب إلى المعتزلة إنكار عذاب القبر، و النسبة في غير محلها، و إنّما المنكر واحد منهم، هو ضرار بن عمرو، كما تقدم، و قد تاب عن الاعتزال و لحق بالمجبرة، قال القاضي عبد الجبار في فصل عذاب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جملة ذلك أنه لا </w:t>
      </w:r>
    </w:p>
    <w:p>
      <w:pPr>
        <w:pStyle w:val="BookText"/>
        <w:rPr/>
      </w:pPr>
      <w:r>
        <w:rPr>
          <w:rFonts w:ascii="Amiri" w:hAnsi="Amiri" w:eastAsia="Amiri" w:cs="Amiri"/>
          <w:color w:val="111111"/>
          <w:sz w:val="28"/>
          <w:sz w:val="28"/>
          <w:szCs w:val="28"/>
          <w:rtl w:val="true"/>
          <w:lang w:bidi="ar-SA"/>
        </w:rPr>
        <w:t>خلاف فيه بين الأمّة إلاّ شيء يحكى عن ضرار بن عمرو، و كان من أصحاب المعتزلة ثم التحق بالمجبرة، و لهذا ترى ابن الراوندي يشنع علينا،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ينكرون عذاب القبر و لا يقرّون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استدلّ بآيات على حياة الإنسان في البرزخ</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ممّا لا ريب فيه، إنّما الكلام فيما هو المراد هنا من القبر، و الإمعان في الآيات الماضية التي استدللنا بها على الحياة البرزخية، و الروايات الواردة حول البرزخ، يعرب بوضوح عن أنّ المراد من القبر، ليس هو القبر المادي الذي يدفن فيه الإنسان، و لا يتجاوز جثّته في السّعة، و إنّما المراد منه هو النشأة التي يعيش فيها الإنسان بعد الموت و قبل البعث، و إنّما كنّى بالقبر عنها، لأنّ النزول إلى القبر يلازم أو يكون بدء لوقوع الإنسان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الروايات تعلّق الروح بأبدان تماثل الأبدان الدنيوية، لكن بلطافة تناسب الحياة في تلك النشأة، و ليس التعلق بها ملازما لتجويز التناسخ، لأنّ المراد من التناسخ هو رجوع الشيء من الفعلية إلى القوة، أعني عودة الروح إلى الدنيا عن طريق النطفة فالعلقة، فالمضغة إلى أن تصير إنسانا كاملا، و هذا منفي عقلا و شرعا، كما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هذا في تعلّقها ببدن ألطف من البدن المادي، في النشأة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يتوهم أنّ القول بتعلق الأرواح، بعد مفارقة أبدانها العنصرية، بأشباح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بالتناسخ، و هذا توهّم سخيف، لأنّ التناسخ الذي أطبق المسلمون على بطلانه، هو تعلّق الأرواح بعد خراب أجسادها، بأجسام أخر في هذا العالم، و أمّا القول بتعلّقها في عالم آخر، بأبدان مثالية، مدّة البرزخ، إلى أن نقوم قيامتها الكبرى، فتعود إلى أبدانها الأوّلية بإذن مبدعها، فليس من التناسخ في شيء</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المسلمين يقولون بحدوث الأرواح و ردّها إلى الأبدان، </w:t>
      </w:r>
      <w:bookmarkStart w:id="510" w:name="pg16351_181148"/>
    </w:p>
    <w:p>
      <w:pPr>
        <w:pStyle w:val="BookText"/>
        <w:rPr/>
      </w:pPr>
      <w:bookmarkEnd w:id="510"/>
      <w:r>
        <w:rPr>
          <w:rFonts w:ascii="Amiri" w:hAnsi="Amiri" w:eastAsia="Amiri" w:cs="Amiri"/>
          <w:color w:val="111111"/>
          <w:sz w:val="28"/>
          <w:sz w:val="28"/>
          <w:szCs w:val="28"/>
          <w:rtl w:val="true"/>
          <w:lang w:bidi="ar-SA"/>
        </w:rPr>
        <w:t>لا في هذا العالم، و التناسخية يقولون بقدمها، و ردّها إليها، في هذا العالم، و ينكرون الآخرة و الجنّة و النار، و إنّما كفّروا من أجل هذا الإنكار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6422358_1280447820"/>
      <w:bookmarkStart w:id="512" w:name="_Toc196"/>
      <w:bookmarkEnd w:id="511"/>
      <w:r>
        <w:rPr>
          <w:rtl w:val="true"/>
        </w:rPr>
        <w:t>نفخ الصّور</w:t>
      </w:r>
      <w:bookmarkEnd w:id="512"/>
    </w:p>
    <w:p>
      <w:pPr>
        <w:pStyle w:val="BookText"/>
        <w:rPr/>
      </w:pPr>
      <w:r>
        <w:rPr>
          <w:rFonts w:ascii="Amiri" w:hAnsi="Amiri" w:eastAsia="Amiri" w:cs="Amiri"/>
          <w:color w:val="111111"/>
          <w:sz w:val="28"/>
          <w:sz w:val="28"/>
          <w:szCs w:val="28"/>
          <w:rtl w:val="true"/>
          <w:lang w:bidi="ar-SA"/>
        </w:rPr>
        <w:t>إنّ الإنسان الذي يعيش في هذا الكوكب، بالنسبة إلى المعارف الغيبية، كالجنين في بطن أمّه، فلو قيل له إنّ وراء الرحم أنجما و كواكب و شموسا و أقمارا، و بحارا و محيطات، لا يفقه منها شيئا، لأنّها حقائق خارجة عن عالمه الضيّق، و الإنسان الماديّ القاطن في هذا الكوكب لا يفقه الحقائق الغيبية الموجودة وراء هذا العالم، فلأجل ذلك لا مناص له من الإيمان المجرّد من دون تعمق في حقيقتها، و هذا أصل مفيد جدا في باب المعاد، و على ذلك تبتني مسألة نفخ الصور، فما هو المراد من الصور، أ هو شيء يشابه البوق المتعارف أو شيء غيره؟ و ما هو المراد من النفخ؟ لا مناص لنا من الاعتقاد بوجوده و تحققه، و إن لم نتمكن من التعرف على واقعيته، و مع ذلك فلا بدّ أن تكون هناك حقيقة واقعية، لها صلة بين نفخ الصور في هذا العالم، و نفخه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الآيات على أنّ الإنسان يعيش في البرزخ إلى أن يفاجئه نفخ الصور، فعند ذلك يهلك كل من في السموات و الأرض إلاّ من شاء اللّه،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النفخ الأول موت كل ذي حياة في السّماوات و الأرض، كما أنّ في النّفخ الثاني، إحياءهم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ذكرناه في هذا البحث تصوير و ترسيم للنشأة التي يمرّ بها الإنسان بعد موته إلى أن يقوم من جدثه، و يحشر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البحث القادم تصوير لمشاهد القيامة، من بداية وقوعها إلى أن يحاسب الإنسان و يصير إلى مآله من الجنة أو النار</w:t>
      </w:r>
      <w:r>
        <w:rPr>
          <w:rFonts w:eastAsia="Amiri" w:cs="Amiri" w:ascii="Amiri" w:hAnsi="Amiri"/>
          <w:color w:val="111111"/>
          <w:sz w:val="28"/>
          <w:szCs w:val="28"/>
          <w:rtl w:val="true"/>
          <w:lang w:bidi="ar-SA"/>
        </w:rPr>
        <w:t xml:space="preserve">. </w:t>
      </w:r>
      <w:bookmarkStart w:id="513" w:name="pg16351_181150"/>
    </w:p>
    <w:p>
      <w:pPr>
        <w:pStyle w:val="BookText"/>
        <w:rPr/>
      </w:pPr>
      <w:bookmarkEnd w:id="513"/>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514" w:name="__RefHeading___Toc6422360_1280447820"/>
      <w:bookmarkStart w:id="515" w:name="_Toc197"/>
      <w:bookmarkEnd w:id="514"/>
      <w:r>
        <w:rPr>
          <w:rtl w:val="true"/>
        </w:rPr>
        <w:t>(</w:t>
      </w:r>
      <w:r>
        <w:rPr/>
        <w:t>8</w:t>
      </w:r>
      <w:r>
        <w:rPr>
          <w:rtl w:val="true"/>
        </w:rPr>
        <w:t xml:space="preserve">) </w:t>
      </w:r>
      <w:r>
        <w:rPr>
          <w:rtl w:val="true"/>
        </w:rPr>
        <w:t>أشراط الساعة</w:t>
      </w:r>
      <w:bookmarkEnd w:id="515"/>
    </w:p>
    <w:p>
      <w:pPr>
        <w:pStyle w:val="Heading5"/>
        <w:numPr>
          <w:ilvl w:val="4"/>
          <w:numId w:val="1"/>
        </w:numPr>
        <w:rPr/>
      </w:pPr>
      <w:bookmarkStart w:id="516" w:name="__RefHeading___Toc6422362_1280447820"/>
      <w:bookmarkStart w:id="517" w:name="_Toc198"/>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 الجمع أشراط، و أشراط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أعلامها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أشراط الساعة العلامات و الآيات التي تخبر عن دنو القيامة، و قربها، و هي مأخوذة من الذكر الحكيم،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أَشْرٰاطُهٰا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العلامات بعضها مذكور في الكتاب العزيز، و بعضها مذكور في السّنة فنبحث عن كلا القسمين على وجه الإجمال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مشاهد القيامة، فهي الحوادث الهائلة التي تقع في نفس قيام الساعة، التي وردت في سور التكوير و الانفطار و الانشقاق و غيرها، كتكوير الشمس و انكدار النجوم و انفطار السماء و انتثار الكواكب، و تسجير البحار و تفجيرها،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من مشاهد القيامة التي نأتي بها في بحث خاص و إليك الكلام في أشراط الساعة الواردة في الكتاب</w:t>
      </w:r>
      <w:r>
        <w:rPr>
          <w:rFonts w:eastAsia="Amiri" w:cs="Amiri" w:ascii="Amiri" w:hAnsi="Amiri"/>
          <w:color w:val="111111"/>
          <w:sz w:val="28"/>
          <w:szCs w:val="28"/>
          <w:rtl w:val="true"/>
          <w:lang w:bidi="ar-SA"/>
        </w:rPr>
        <w:t xml:space="preserve">. </w:t>
      </w:r>
      <w:bookmarkStart w:id="518" w:name="pg16351_181151"/>
    </w:p>
    <w:p>
      <w:pPr>
        <w:pStyle w:val="Heading5"/>
        <w:numPr>
          <w:ilvl w:val="4"/>
          <w:numId w:val="1"/>
        </w:numPr>
        <w:rPr/>
      </w:pPr>
      <w:bookmarkStart w:id="519" w:name="__RefHeading___Toc6422364_1280447820"/>
      <w:bookmarkStart w:id="520" w:name="_Toc199"/>
      <w:bookmarkEnd w:id="518"/>
      <w:bookmarkEnd w:id="519"/>
      <w:r>
        <w:rPr>
          <w:rtl w:val="true"/>
        </w:rPr>
        <w:t>أشراط الساعة في الكتاب</w:t>
      </w:r>
      <w:bookmarkEnd w:id="520"/>
    </w:p>
    <w:p>
      <w:pPr>
        <w:pStyle w:val="Heading6"/>
        <w:numPr>
          <w:ilvl w:val="5"/>
          <w:numId w:val="1"/>
        </w:numPr>
        <w:rPr/>
      </w:pPr>
      <w:bookmarkStart w:id="521" w:name="__RefHeading___Toc6422366_1280447820"/>
      <w:bookmarkStart w:id="522" w:name="_Toc20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جاء في الذكر الحكيم أمور يستظهر منها أنّها من أشراط الساعة، و الآيات الواردة في هذا المجال بين واضحة الدلالة و غيرها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6422368_1280447820"/>
      <w:bookmarkStart w:id="524" w:name="_Toc201"/>
      <w:bookmarkEnd w:id="523"/>
      <w:r>
        <w:rPr>
          <w:rtl w:val="true"/>
        </w:rPr>
        <w:t xml:space="preserve">أ </w:t>
      </w:r>
      <w:r>
        <w:rPr>
          <w:rtl w:val="true"/>
        </w:rPr>
        <w:t xml:space="preserve">- </w:t>
      </w:r>
      <w:r>
        <w:rPr>
          <w:rtl w:val="true"/>
        </w:rPr>
        <w:t>بعثة النبي الأكرم</w:t>
      </w:r>
      <w:bookmarkEnd w:id="524"/>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تندد بالمشركين بأنّهم لا يؤمنون، و لا ينتظرون شيئا إلاّ القيامة أن تأتيهم فجأة حتى يؤمنوا، و لكن لا يفيدهم عندها إيمانهم، و من أين لهم التذكّر و الاتعاظ و التوبة إذا جاءتهم الساعة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فليعلموا أنّ الساعة، و إن لم تأتهم، و لكن قد جاءتهم أشراطها و علاماتها، فعليهم أن يتّعظوا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غير متضمنة لتعيين ما جاء من الأشراط، لكن قال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النبيّ من أشراطها، و لقد قال بعثت أنا و الساعة كهاتين</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بعثة النبي من معالم الساعة، لا ينافي وجود هذه الفترة الطويلة بينه و بين القيامة، و ذلك لأنّ ما مضى من عمر الأرض و المجتمع الإنساني أزيد بكثير مما بقي منه، فيصحّ جعل ظهوره من معالم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من أشراط الساعة التي جاءتهم انشقاق القمر بيده، و نزول القرآن الذي هو آخر الكتب</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5" w:name="__RefHeading___Toc6422370_1280447820"/>
      <w:bookmarkStart w:id="526" w:name="_Toc202"/>
      <w:bookmarkEnd w:id="525"/>
      <w:r>
        <w:rPr>
          <w:rtl w:val="true"/>
        </w:rPr>
        <w:t xml:space="preserve">ب </w:t>
      </w:r>
      <w:r>
        <w:rPr>
          <w:rtl w:val="true"/>
        </w:rPr>
        <w:t xml:space="preserve">- </w:t>
      </w:r>
      <w:r>
        <w:rPr>
          <w:rtl w:val="true"/>
        </w:rPr>
        <w:t>اندكاك السدّ و خروج يأجوج و مأجوج</w:t>
      </w:r>
      <w:bookmarkEnd w:id="52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الذكر الحكيم أنّ ذا القرنين وصل في مسيره إلى قوم طلبوا منه أن </w:t>
      </w:r>
      <w:bookmarkStart w:id="527" w:name="pg16351_181152"/>
    </w:p>
    <w:p>
      <w:pPr>
        <w:pStyle w:val="BookText"/>
        <w:rPr/>
      </w:pPr>
      <w:bookmarkEnd w:id="527"/>
      <w:r>
        <w:rPr>
          <w:rFonts w:ascii="Amiri" w:hAnsi="Amiri" w:eastAsia="Amiri" w:cs="Amiri"/>
          <w:color w:val="111111"/>
          <w:sz w:val="28"/>
          <w:sz w:val="28"/>
          <w:szCs w:val="28"/>
          <w:rtl w:val="true"/>
          <w:lang w:bidi="ar-SA"/>
        </w:rPr>
        <w:t xml:space="preserve">يبني لهم سدّا يحجز عنهم يأجوج و مأجوج و يقيهم شرهما، فقام ذو القرنين بعملية كبيرة، حيث سدّ ما بين الجبلين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طريق نفوذهما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بزبر الحديد ثم أنجز عملية بناء السدّ بما يحكيه تعالى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سٰاوىٰ بَيْنَ اَلصَّدَفَيْنِ قٰالَ اُنْفُخُوا، حَتّٰى إِذٰا جَعَلَهُ نٰاراً قٰالَ آتُونِي أُفْرِغْ عَلَيْهِ قِطْراً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فرغ من بناء السدّ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رَحْمَةٌ مِنْ رَبِّي، فَإِذٰا جٰاءَ وَعْدُ رَبِّي جَعَلَهُ دَكّٰاءَ وَ كٰانَ وَعْدُ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فِي بَعْضٍ ، يعرب عن كون اندكاك السّدّ من أشراط الساعة</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بعد انقضاء أمر السّدّ يموج بعض الناس في بعض، فيرتفع من بينهم النّظم، و يحكم فيهم الهرج و المرج، و يظهر هذا أيضا من آية أخرى،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فمفادها أنّه عند ما ينفرج سدّ يأجوج و مأجوج، يتفرق المحجوزون خلف السدّ، في الأرض، فلا ترى أكمة إلاّ و قوم منهم يهبطون منها، و عند ذلك يقترب الوعد الحق، أي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اندكاك السدّ و انتشار يأجوج و مأجوج في الأرض من أشراط الساعة، لحكايته عن اقتراب الوعد الحقّ، و هذا هو المراد من أشراط الساعة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6422372_1280447820"/>
      <w:bookmarkStart w:id="529" w:name="_Toc203"/>
      <w:bookmarkEnd w:id="528"/>
      <w:r>
        <w:rPr>
          <w:rtl w:val="true"/>
        </w:rPr>
        <w:t xml:space="preserve">ج </w:t>
      </w:r>
      <w:r>
        <w:rPr>
          <w:rtl w:val="true"/>
        </w:rPr>
        <w:t xml:space="preserve">- </w:t>
      </w:r>
      <w:r>
        <w:rPr>
          <w:rtl w:val="true"/>
        </w:rPr>
        <w:t>إتيان السماء بدخان مبين</w:t>
      </w:r>
      <w:bookmarkEnd w:id="5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الصناعات البشرية أوجدت قلقا في الحياة، و لوثت البيئة في الأرض </w:t>
      </w:r>
    </w:p>
    <w:p>
      <w:pPr>
        <w:pStyle w:val="BookText"/>
        <w:rPr/>
      </w:pPr>
      <w:r>
        <w:rPr>
          <w:rFonts w:ascii="Amiri" w:hAnsi="Amiri" w:eastAsia="Amiri" w:cs="Amiri"/>
          <w:color w:val="111111"/>
          <w:sz w:val="28"/>
          <w:sz w:val="28"/>
          <w:szCs w:val="28"/>
          <w:rtl w:val="true"/>
          <w:lang w:bidi="ar-SA"/>
        </w:rPr>
        <w:t>بالأدخنة المتصاعدة من معاملها، و الأبخرة المتطايرة من 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إلى اليوم ليست إلى الحدّ الذي يزاحم الحياة، و اللّه يعلم مآل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تعالى يخبر عن حدوث دخان في السماء، يغشى الناس، و يكون عذابا أليما لهم،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تفسير الآية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هذه الآيات راجعة إلى عصر النبي، و ذلك أنّ رسول اللّه دعا على قومه لمّا 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سنينا كسني يوسف، فأجدبت الأرض و أصابت قريشا المجاعة، و كان الرجل لما به من الجوع، يرى بينه و بين السماء كالدخان، فجاءوا إلى النبي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 تأمر بصلة الرحم و قومك قد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تعالى لهم بالخصب و السعة، فكشف عنهم، ثم عادوا إلى الكفر</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ظاهر الآية أنّ السماء تأتي بدخان مبين، و تحدثه، و هو غير تجلّي السماء بصورة الدخان في عين الجائع، الذي هو انخداع الحواس لغلبة الجوع، من دون أن يكون هناك دخان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السّير النبوية لم يذكروا شيئا عن هذا الجوع المدقع الذي أحدق بقريش و أوجد فيهم سنينا كسني يوسف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جاء في القصة، لا يناسب خلق النبيّ و عطفه على قومه، و كونه رحمة للعالمين، كيف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w:t>
      </w:r>
    </w:p>
    <w:p>
      <w:pPr>
        <w:pStyle w:val="BookText"/>
        <w:rPr/>
      </w:pPr>
      <w:r>
        <w:rPr>
          <w:rFonts w:ascii="Amiri" w:hAnsi="Amiri" w:eastAsia="Amiri" w:cs="Amiri"/>
          <w:color w:val="111111"/>
          <w:sz w:val="28"/>
          <w:sz w:val="28"/>
          <w:szCs w:val="28"/>
          <w:rtl w:val="true"/>
          <w:lang w:bidi="ar-SA"/>
        </w:rPr>
        <w:t xml:space="preserve">فِيهِمْ، وَ مٰا كٰانَ اَللّٰهُ مُعَذِّبَهُمْ وَ هُمْ يَسْتَغْفِرُونَ </w:t>
      </w:r>
      <w:r>
        <w:rPr>
          <w:rStyle w:val="FootnoteAnchor"/>
          <w:rtl w:val="true"/>
        </w:rPr>
        <w:footnoteReference w:id="526"/>
      </w:r>
      <w:r>
        <w:rPr>
          <w:rFonts w:ascii="Amiri" w:hAnsi="Amiri" w:eastAsia="Amiri" w:cs="Amiri"/>
          <w:color w:val="111111"/>
          <w:sz w:val="28"/>
          <w:sz w:val="28"/>
          <w:szCs w:val="28"/>
          <w:rtl w:val="true"/>
          <w:lang w:bidi="ar-SA"/>
        </w:rPr>
        <w:t>و هو صلوات اللّه عليه و آله، لم يدع عليهم في غزوة أحد، مع أنّهم شجّوا جبهته و كسروا أسنانه، و ضرّجوا وجهه بالدماء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الأمور، توجب عدم الاطمئنان إلى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يرجع إلى أشراط الساعة، و أنه قبل قيام البعث يغشى الناس 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أنّ الآية تتضمن ذكر 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تأتي السماء فيه بدخان 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يبطش فيه الرب تعالى البطشة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البطشة الكبرى راجعة إلى يوم البعث الذي يأخذ فيه اللّه تعالى الظالمين و الكافرين بشدة و قدرة، يكون ذلك قرينة على أنّ ما يقع في اليوم الأول، من أشراط الساعة، فيوم تظهر فيه آية الساعة و علامتها، و يوم تتحقق فيه نفس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التفسير الأول، فلا مناص، من جعل اليوم الأول يوم طروء الجوع في مكة، و اليوم الثاني يوم غلبة النبي على قريش في بدر، و لا يخفى أن تفسير اليومين بهذا النحو يحتاج إلى دليل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المعنى الثاني ما روي عن حذيفة بن اليمان،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الآيات الدّجال، و نزول عيسى، و نار تخرج من قعر عدن أبين تسوق الناس إلى المحشر، تقيل معهم إذا قالوا، 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الدّخان؟ فتلا رسول اللّه صلى اللّه عليه و آله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يملأ ما بين المشرق و المغرب، يمكث أربعين يوما و ليلة، أما المؤمن فيصيبه منه كهيئة الزكام، و أما الكافر بمنزلة السكران يخرج من منخريه و أذنيه و دبره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530" w:name="pg16351_181155"/>
    </w:p>
    <w:p>
      <w:pPr>
        <w:pStyle w:val="BookText"/>
        <w:rPr/>
      </w:pPr>
      <w:bookmarkEnd w:id="530"/>
      <w:r>
        <w:rPr>
          <w:rFonts w:ascii="Amiri" w:hAnsi="Amiri" w:eastAsia="Amiri" w:cs="Amiri"/>
          <w:color w:val="111111"/>
          <w:sz w:val="28"/>
          <w:sz w:val="28"/>
          <w:szCs w:val="28"/>
          <w:rtl w:val="true"/>
          <w:lang w:bidi="ar-SA"/>
        </w:rPr>
        <w:t>نعم بقي هنا شيء و هو أنّه لو كان صدر الآيات راجعا إلى أشراط الساعة، فما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بالمعنى الأوّل ألصق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متضمنة لقضية شرطية، و هي أنه حتى لو كشفنا عنهم العذاب، لعادوا لما كانوا عليه من العصيان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رُدُّوا لَعٰادُوا لِمٰا نُهُوا عَنْهُ وَ إِنَّهُمْ لَكٰاذِبُونَ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1" w:name="__RefHeading___Toc6422374_1280447820"/>
      <w:bookmarkStart w:id="532" w:name="_Toc204"/>
      <w:bookmarkEnd w:id="531"/>
      <w:r>
        <w:rPr>
          <w:rtl w:val="true"/>
        </w:rPr>
        <w:t xml:space="preserve">د </w:t>
      </w:r>
      <w:r>
        <w:rPr>
          <w:rtl w:val="true"/>
        </w:rPr>
        <w:t xml:space="preserve">- </w:t>
      </w:r>
      <w:r>
        <w:rPr>
          <w:rtl w:val="true"/>
        </w:rPr>
        <w:t>نزول المسيح</w:t>
      </w:r>
      <w:bookmarkEnd w:id="532"/>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لَعِلْمٌ لِلسّٰاعَةِ، فَلاٰ تَمْتَرُنَّ بِهٰا، وَ اِتَّبِعُونِ، هٰذٰا صِرٰاطٌ مُسْتَقِيمٌ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المفسرون أنه لما نزل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Style w:val="FootnoteAnchor"/>
          <w:rtl w:val="true"/>
        </w:rPr>
        <w:footnoteReference w:id="530"/>
      </w:r>
      <w:r>
        <w:rPr>
          <w:rFonts w:ascii="Amiri" w:hAnsi="Amiri" w:eastAsia="Amiri" w:cs="Amiri"/>
          <w:color w:val="111111"/>
          <w:sz w:val="28"/>
          <w:sz w:val="28"/>
          <w:szCs w:val="28"/>
          <w:rtl w:val="true"/>
          <w:lang w:bidi="ar-SA"/>
        </w:rPr>
        <w:t>، أحدثت قريش ضجة، و قاموا يجادلون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بأنّ تكون آلهتنا كذلك، حيث يكون عيسى أيضا مثلهم،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يحكيه سبحانه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آلِهَتُنٰا خَيْرٌ أَمْ هُوَ ، فليست آلهتنا خيرا من عيسى، فإن كان عيسى في النار، فكذلك آلهتنا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سبحانه بأنّهم ما ضربوا هذا المثل إلا للمجادلة و المخاصمة، و أنهم قوم خصمون لا يتطلبون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بتوصيف عيسى بن مريم و تبيين مقامه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 أي إنّ وجود عيسى في ظرف من الظروف، يعلم به قرب الساعة، فلا تكذبوا بها</w:t>
      </w:r>
      <w:r>
        <w:rPr>
          <w:rFonts w:eastAsia="Amiri" w:cs="Amiri" w:ascii="Amiri" w:hAnsi="Amiri"/>
          <w:color w:val="111111"/>
          <w:sz w:val="28"/>
          <w:szCs w:val="28"/>
          <w:rtl w:val="true"/>
          <w:lang w:bidi="ar-SA"/>
        </w:rPr>
        <w:t xml:space="preserve">. </w:t>
      </w:r>
      <w:bookmarkStart w:id="533" w:name="pg16351_181156"/>
    </w:p>
    <w:p>
      <w:pPr>
        <w:pStyle w:val="BookText"/>
        <w:rPr/>
      </w:pPr>
      <w:bookmarkEnd w:id="533"/>
      <w:r>
        <w:rPr>
          <w:rFonts w:ascii="Amiri" w:hAnsi="Amiri" w:eastAsia="Amiri" w:cs="Amiri"/>
          <w:color w:val="111111"/>
          <w:sz w:val="28"/>
          <w:sz w:val="28"/>
          <w:szCs w:val="28"/>
          <w:rtl w:val="true"/>
          <w:lang w:bidi="ar-SA"/>
        </w:rPr>
        <w:t>فالآية تدل على أنّ وجود عيسى في ظرف من الظروف يعلم به دنو السّاعة، و أما ظرفه، فالظاهر من الروايات هو نزوله بعد خروج الإمام المهدي عليه السلام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للآية تفسير آخر، يطلب من مظانّه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4" w:name="__RefHeading___Toc6422376_1280447820"/>
      <w:bookmarkStart w:id="535" w:name="_Toc205"/>
      <w:bookmarkEnd w:id="534"/>
      <w:r>
        <w:rPr>
          <w:rtl w:val="true"/>
        </w:rPr>
        <w:t xml:space="preserve">ه </w:t>
      </w:r>
      <w:r>
        <w:rPr>
          <w:rtl w:val="true"/>
        </w:rPr>
        <w:t xml:space="preserve">- </w:t>
      </w:r>
      <w:r>
        <w:rPr>
          <w:rtl w:val="true"/>
        </w:rPr>
        <w:t>إخراج دابة من الأرض</w:t>
      </w:r>
      <w:bookmarkEnd w:id="5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توضيح الآية يتوقف على إيضاح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المراد من الدابة المخرجة من 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ذا تتكلم هذه الدابة، و ما ذا تقول؟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موضع قوله سبحانه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كانوا بآياتنا لا يوقنون؟ فهل هو يحكي قول الدابة، أو هو تعليل لصدر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القول عليهم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المراد من الآيات؟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الهدف من إخراج الدابة؟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زمان إخراجها؟ و الحقّ أنّ هذه الآية، إحدى الآيات التي يحيق بها الإبهام من جهة أو جهات، و ليس لها في القرآن ما يشابهها في المضمون، حتى يستعان به على </w:t>
      </w:r>
    </w:p>
    <w:p>
      <w:pPr>
        <w:pStyle w:val="BookText"/>
        <w:rPr/>
      </w:pPr>
      <w:r>
        <w:rPr>
          <w:rFonts w:ascii="Amiri" w:hAnsi="Amiri" w:eastAsia="Amiri" w:cs="Amiri"/>
          <w:color w:val="111111"/>
          <w:sz w:val="28"/>
          <w:sz w:val="28"/>
          <w:szCs w:val="28"/>
          <w:rtl w:val="true"/>
          <w:lang w:bidi="ar-SA"/>
        </w:rPr>
        <w:t>تفسيرها، فلا مناص من الإمعان فيها نفسها، أو اللجوء إلى الروايات الواردة حولها،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السؤال الأول، فالمراد من وقوع القول عليهم، هو استحقاقهم للعذاب، يظهر ذلك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القول، القول اللفظي، بل القول التكويني المساوق لتحقّق العذاب، و حصوله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العالم فعل اللّه سبحانه، و فعله كلامه، و الآيتان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عَلَيْهِ كَلِمَةُ اَلْعَذٰابِ، أَ فَأَنْتَ تُنْقِذُ مَنْ فِي اَلنّٰارِ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فالدابة في اللغة و القرآن تطلق على كل ما يدبّ على الأرض،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يظهر من نفس الآية أنّه من أي نوع من الدواب، أ هو إنسان أو حيوان، فلا مناص من الرجوع إلى الروايات التي نشير إلى مصادرها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يمكن أن 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القرآن كثيرا في المعنى العام، فإطلاقها على نوع خاص منه كالإنسان، 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ربما استعمل في مقابل الإنسان،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اَلدَّوَابُّ وَ كَثِيرٌ مِنَ اَلنّٰاسِ </w:t>
      </w:r>
      <w:r>
        <w:rPr>
          <w:rStyle w:val="FootnoteAnchor"/>
          <w:rtl w:val="true"/>
        </w:rPr>
        <w:footnoteReference w:id="537"/>
      </w: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يدفعنا إلى القول بأنّ المراد من الدابة هو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يظهر من الآية شيء في جوابه إلاّ احتمال أن يكون مقول كلامها هو ما جاء في ذيل الآية من قوله أَنَّ اَلنّٰاسَ كٰانُوا بِآيٰاتِنٰا لاٰ يُوقِنُونَ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بعض الروايات مضمون كلامها الذي تتكلم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الرابع، فيحتمل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مقولا لكلامها، كما يحتمل أن يكون تعليلا لفرض العذاب عليهم، الذي يدل عليه صدر الآية،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عليهم العذاب لأنهم كانوا بآياتنا لا يوقنون، و يؤيّد هذا الوجه قراءة أَنَّ بالكسر، التي تجعلها جملة مستأنفة، واقعة موقع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 فيحتمل أن يكون المراد من الآيات هو الآيات الكونية و الأنفسية الواردة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يحتمل أن يكون المراد من الآيات، المعاجز و خوارق الآيات التي جاءت بها الأنبياء، و إطلاق الآية على المعجزة في القرآن،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الكتب السماوية، فإنها آيات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يظهر من الآية شيء في تعيين أحد هذه الاحتمالات، إلاّ أنّه يمكن تاييد الاحتمال الثالث بقوله سبحانه في آية 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السادس، و هو الهدف من إخراج الدابة، فيمكن أن يكون إعلام دنوّ السّاعة، كما يمكن أن يكون لأجل تمييز المؤمن من الكافر، و غير ذلك من الأهداف التي وردت فيها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 و هو زمان الإخراج فسياق الآيات يثبت أنّها تقع قبل يوم القيامة، عند دنوّها لقوله سبحانه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الثانية تقع قبل القيامة، فسياق الكلام يقتضي كون الأولى كذلك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يتحصّل من الإمعان في الآيات أنّه سبحانه يحكي في لفيف منها عن أمور </w:t>
      </w:r>
      <w:bookmarkStart w:id="536" w:name="pg16351_181159"/>
    </w:p>
    <w:p>
      <w:pPr>
        <w:pStyle w:val="BookText"/>
        <w:rPr/>
      </w:pPr>
      <w:bookmarkEnd w:id="536"/>
      <w:r>
        <w:rPr>
          <w:rFonts w:ascii="Amiri" w:hAnsi="Amiri" w:eastAsia="Amiri" w:cs="Amiri"/>
          <w:color w:val="111111"/>
          <w:sz w:val="28"/>
          <w:sz w:val="28"/>
          <w:szCs w:val="28"/>
          <w:rtl w:val="true"/>
          <w:lang w:bidi="ar-SA"/>
        </w:rPr>
        <w:t>ثلاثة، الأولين راجعان إلى ما قبل القيامة، و يعدّان من أشراطها، و الثالث إلى نفس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هو وقع القول على الكافرين و خروج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حشر فوج من كلّ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هو نفخ الصّور، أعني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ذلك يمكن عدّ الأوّل و الثاني من أشراط الساعة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6422378_1280447820"/>
      <w:bookmarkStart w:id="538" w:name="_Toc206"/>
      <w:bookmarkEnd w:id="537"/>
      <w:r>
        <w:rPr>
          <w:rtl w:val="true"/>
        </w:rPr>
        <w:t xml:space="preserve">و </w:t>
      </w:r>
      <w:r>
        <w:rPr>
          <w:rtl w:val="true"/>
        </w:rPr>
        <w:t xml:space="preserve">- </w:t>
      </w:r>
      <w:r>
        <w:rPr>
          <w:rtl w:val="true"/>
        </w:rPr>
        <w:t>مجيء بعض آيات الربّ تعالى</w:t>
      </w:r>
      <w:bookmarkEnd w:id="538"/>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الاستفهام في الآية إنكاري، وقع في مقام يعرب عن عدم نفع العظة و نجاح الدعوة، و أنّ المخاطبين كانوا في عناد و لجاج إزاء دعوة النبي الأكرم، كما هو الظاهر من الآيات المتقدمة عليها، 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إِنَّمٰا أُنْزِلَ اَلْكِتٰابُ عَلىٰ طٰائِفَتَيْنِ مِنْ قَبْلِنٰا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تَقُولُوا لَوْ أَنّٰا أُنْزِلَ عَلَيْنَا اَلْكِتٰابُ، لَكُنّٰا أَهْدىٰ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هذا السياق ورد قوله سبحانه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يَنْظُرُونَ ، أي هؤلاء لا ينتظرون إلا أمورا تترجح بين كونها موجبة لهلاكهم أو كونها أمرا محالا في نفسه، أو غير ناجعة في إيمانهم عند وقوعها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تَأْتِيَهُمُ اَلْمَلاٰئِكَةُ ، فإنّ نزول الملائكة عليهم يلازم 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اَلْمَلاٰئِكَةَ إِلاّٰ بِالْحَقِّ وَ مٰا كٰانُوا إِذاً مُنْظَرِينَ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هو مجيء الربّ و مشاهدته بأمّ أعينهم، و هو 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منه يوم اللقاء، الذي ينكشف منه الغطاء، و يتجلى سبحانه بأسمائه و صفاته، تجلّيا لا يبقى معه ريب و لا شك، فلا ينجع إيمانهم عند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و هو مجيء بعض آياته، فهو مردد بين أن يكون المراد منه الموت الذي تتبدل فيه نشأة الحياة إلى نشأة أخرى، أو يكون المراد هو خروج الدابة عند دنو الساعة الذي مضى البحث عنه، و عند ذلك تكون الآية ناظرة إلى بعض أشراط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المرادين، لا ينفع بعدهما الإيمان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الآيات التي تضطرهم إلى المعرفة، و يزول التكليف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ينسد باب التوبة بظهور آيات القيامة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عن أبي جعفر و أبي عبد اللّه عليهما السلام، في تفسير الآية،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من المغرب، و خروج الدابة، و الدخان، و الرّجل يكون مصرا و لم يعمل على الإيمان ثم تجيء الآيات، فلا ينفعه إيمانه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الكلام حول أشراط الساعة الواردة في آيات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فنقتبس منها ما يلي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مسلم في صحيحه عن حذيفة بن أسيد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رسول اللّه صلى اللّه عليه و آله علينا و نحن نتذاكر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w:t>
      </w:r>
    </w:p>
    <w:p>
      <w:pPr>
        <w:pStyle w:val="BookText"/>
        <w:rPr/>
      </w:pPr>
      <w:r>
        <w:rPr>
          <w:rFonts w:ascii="Amiri" w:hAnsi="Amiri" w:eastAsia="Amiri" w:cs="Amiri"/>
          <w:color w:val="111111"/>
          <w:sz w:val="28"/>
          <w:sz w:val="28"/>
          <w:szCs w:val="28"/>
          <w:rtl w:val="true"/>
          <w:lang w:bidi="ar-SA"/>
        </w:rPr>
        <w:t>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 تقوم حتى تروا قبلها عشر آيات،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و الدجّال، و الدابّة، و طلوع الشمس من مغربها، و نزول عيسى بن مريم، و يأجوج و مأجوج،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آخر ذلك نار تطرد النّاس إلى محشرهم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القمي في تفسيره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حجة الوداع، فأخذ باب الكعبة، ثم أقبل علينا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بأشراط الساعة، و كان أدنى الناس منه يومئذ سلمان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القيامة، إضاعة الصلاة، و اتباع الشهوات، و الميل مع الأهواء، و تعظيم أصحاب المال، و بيع الدين بالدنيا، فعندها يذاب قلب المؤمن و جوفه كما يذوب الملح في الماء مما يرى من المنكر فلا يستطيع أن يغيّره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بقية الحديث</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539" w:name="pg16351_181162"/>
    </w:p>
    <w:p>
      <w:pPr>
        <w:pStyle w:val="BookText"/>
        <w:rPr/>
      </w:pPr>
      <w:bookmarkEnd w:id="539"/>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540" w:name="__RefHeading___Toc6422380_1280447820"/>
      <w:bookmarkStart w:id="541" w:name="_Toc207"/>
      <w:bookmarkEnd w:id="540"/>
      <w:r>
        <w:rPr>
          <w:rtl w:val="true"/>
        </w:rPr>
        <w:t>(</w:t>
      </w:r>
      <w:r>
        <w:rPr/>
        <w:t>9</w:t>
      </w:r>
      <w:r>
        <w:rPr>
          <w:rtl w:val="true"/>
        </w:rPr>
        <w:t xml:space="preserve">) </w:t>
      </w:r>
      <w:r>
        <w:rPr>
          <w:rtl w:val="true"/>
        </w:rPr>
        <w:t>مشاهد البعث و القيامة</w:t>
      </w:r>
      <w:bookmarkEnd w:id="541"/>
    </w:p>
    <w:p>
      <w:pPr>
        <w:pStyle w:val="Heading5"/>
        <w:numPr>
          <w:ilvl w:val="4"/>
          <w:numId w:val="1"/>
        </w:numPr>
        <w:rPr/>
      </w:pPr>
      <w:bookmarkStart w:id="542" w:name="__RefHeading___Toc6422382_1280447820"/>
      <w:bookmarkStart w:id="543" w:name="_Toc208"/>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لقد تعرّفت على أشراط الساعة التي تخبر عن دنوّها، كتابا و سنة، و هي غير نفس القيامة، فإنها الأمور الكونية التي تدبّر النظام السائد، ليؤسس بعده نظام جديد لمحاسبة العباد، و جزائهم، و قد أكثر الذكر الحكيم من نقل و تصوير مشاهد القيامة في سوره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تلك الحوادث المريعة، تتلاحق مواقف العالم الأخروي، إلى أن يرد الخلق إلى مثواهم الأخير، و فيما يلي نستعرضها واحدة بعد الأخرى</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6422384_1280447820"/>
      <w:bookmarkStart w:id="545" w:name="_Toc209"/>
      <w:bookmarkEnd w:id="544"/>
      <w:r>
        <w:rPr/>
        <w:t>1</w:t>
      </w:r>
      <w:r>
        <w:rPr>
          <w:rtl w:val="true"/>
        </w:rPr>
        <w:t xml:space="preserve"> - </w:t>
      </w:r>
      <w:r>
        <w:rPr>
          <w:rtl w:val="true"/>
        </w:rPr>
        <w:t>انهدام النظام</w:t>
      </w:r>
      <w:bookmarkEnd w:id="545"/>
    </w:p>
    <w:p>
      <w:pPr>
        <w:pStyle w:val="BookText"/>
        <w:rPr/>
      </w:pPr>
      <w:r>
        <w:rPr>
          <w:rFonts w:ascii="Amiri" w:hAnsi="Amiri" w:eastAsia="Amiri" w:cs="Amiri"/>
          <w:color w:val="111111"/>
          <w:sz w:val="28"/>
          <w:sz w:val="28"/>
          <w:szCs w:val="28"/>
          <w:rtl w:val="true"/>
          <w:lang w:bidi="ar-SA"/>
        </w:rPr>
        <w:t>تظافرت الآيات القرآنية على أن البعث لا يقوم على هذا النظام السائد، و إنما يقوم على نظام جديد، و هو لا يتحقق إلا بتلاشي النظام الموجود و انهدامه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يخبر عن مشاهد ذاك الانهدام الكوني العام، فيحدّث عن انشقاق السماء و انفطارها، و تكوير الشمس، و انكدار النجوم و تناثرها، و امتداد الأرض، و تفجير البحار و تسجيرها، و تسيير الجبال حتى تكون كالعهن المنفوش، و غير ذلك من المشاهد المروعة للقلوب</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546" w:name="pg16351_181163"/>
    </w:p>
    <w:p>
      <w:pPr>
        <w:pStyle w:val="Heading5"/>
        <w:numPr>
          <w:ilvl w:val="4"/>
          <w:numId w:val="1"/>
        </w:numPr>
        <w:rPr/>
      </w:pPr>
      <w:bookmarkStart w:id="547" w:name="__RefHeading___Toc6422386_1280447820"/>
      <w:bookmarkStart w:id="548" w:name="_Toc210"/>
      <w:bookmarkEnd w:id="546"/>
      <w:bookmarkEnd w:id="547"/>
      <w:r>
        <w:rPr/>
        <w:t>2</w:t>
      </w:r>
      <w:r>
        <w:rPr>
          <w:rtl w:val="true"/>
        </w:rPr>
        <w:t xml:space="preserve"> - </w:t>
      </w:r>
      <w:r>
        <w:rPr>
          <w:rtl w:val="true"/>
        </w:rPr>
        <w:t>خروج الناس من القبور</w:t>
      </w:r>
      <w:bookmarkEnd w:id="548"/>
    </w:p>
    <w:p>
      <w:pPr>
        <w:pStyle w:val="BookText"/>
        <w:rPr/>
      </w:pPr>
      <w:r>
        <w:rPr>
          <w:rFonts w:ascii="Amiri" w:hAnsi="Amiri" w:eastAsia="Amiri" w:cs="Amiri"/>
          <w:color w:val="111111"/>
          <w:sz w:val="28"/>
          <w:sz w:val="28"/>
          <w:szCs w:val="28"/>
          <w:rtl w:val="true"/>
          <w:lang w:bidi="ar-SA"/>
        </w:rPr>
        <w:t>و يستعقب ذلك مشهد آخر، ألا و هو خروج الناس من الأجداث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يدعى الناس إلى الحساب، و موقف العرض، و هو مشهد أشدّ في النفس هولا ممّا سبق، لعظم الحسرة و الخوف الحاكمين على القلوب آنئذ،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يَدْعُ اَلدّٰاعِ إِلىٰ شَيْ‌ءٍ 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Style w:val="FootnoteAnchor"/>
          <w:rtl w:val="true"/>
        </w:rPr>
        <w:footnoteReference w:id="552"/>
      </w:r>
      <w:r>
        <w:rPr>
          <w:rFonts w:ascii="Amiri" w:hAnsi="Amiri" w:eastAsia="Amiri" w:cs="Amiri"/>
          <w:color w:val="111111"/>
          <w:sz w:val="28"/>
          <w:sz w:val="28"/>
          <w:szCs w:val="28"/>
          <w:rtl w:val="true"/>
          <w:lang w:bidi="ar-SA"/>
        </w:rPr>
        <w:t xml:space="preserve">لِكُلِّ اِمْرِئٍ مِنْهُمْ يَوْمَئِذٍ شَأْنٌ يُغْنِيهِ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6422388_1280447820"/>
      <w:bookmarkStart w:id="550" w:name="_Toc211"/>
      <w:bookmarkEnd w:id="549"/>
      <w:r>
        <w:rPr/>
        <w:t>3</w:t>
      </w:r>
      <w:r>
        <w:rPr>
          <w:rtl w:val="true"/>
        </w:rPr>
        <w:t xml:space="preserve"> - </w:t>
      </w:r>
      <w:r>
        <w:rPr>
          <w:rtl w:val="true"/>
        </w:rPr>
        <w:t>إعطاء الكتب</w:t>
      </w:r>
      <w:bookmarkEnd w:id="550"/>
    </w:p>
    <w:p>
      <w:pPr>
        <w:pStyle w:val="BookText"/>
        <w:rPr/>
      </w:pPr>
      <w:r>
        <w:rPr>
          <w:rFonts w:ascii="Amiri" w:hAnsi="Amiri" w:eastAsia="Amiri" w:cs="Amiri"/>
          <w:color w:val="111111"/>
          <w:sz w:val="28"/>
          <w:sz w:val="28"/>
          <w:szCs w:val="28"/>
          <w:rtl w:val="true"/>
          <w:lang w:bidi="ar-SA"/>
        </w:rPr>
        <w:t xml:space="preserve">و بعد خروج الناس من القبور، و إحضارهم إلى موقف المحاكمة، و وقوفهم على صعيد الحساب، تنشر الصحف وَ إِذَا اَلصُّحُفُ نُشِرَتْ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فيأخذ كلّ إنسان كتابه الذي دوّن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الحفظة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عمله من صغير و كبير، فمنهم من يتلقاه بيمينه، و منهم من يتلقاه بشماله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w:t>
      </w:r>
      <w:bookmarkStart w:id="551" w:name="pg16351_181164"/>
    </w:p>
    <w:p>
      <w:pPr>
        <w:pStyle w:val="BookText"/>
        <w:rPr/>
      </w:pPr>
      <w:bookmarkEnd w:id="551"/>
      <w:r>
        <w:rPr>
          <w:rFonts w:ascii="Amiri" w:hAnsi="Amiri" w:eastAsia="Amiri" w:cs="Amiri"/>
          <w:color w:val="111111"/>
          <w:sz w:val="28"/>
          <w:sz w:val="28"/>
          <w:szCs w:val="28"/>
          <w:rtl w:val="true"/>
          <w:lang w:bidi="ar-SA"/>
        </w:rPr>
        <w:t xml:space="preserve">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6422390_1280447820"/>
      <w:bookmarkStart w:id="553" w:name="_Toc212"/>
      <w:bookmarkEnd w:id="552"/>
      <w:r>
        <w:rPr/>
        <w:t>4</w:t>
      </w:r>
      <w:r>
        <w:rPr>
          <w:rtl w:val="true"/>
        </w:rPr>
        <w:t xml:space="preserve"> - </w:t>
      </w:r>
      <w:r>
        <w:rPr>
          <w:rtl w:val="true"/>
        </w:rPr>
        <w:t>الحساب و الشهود</w:t>
      </w:r>
      <w:bookmarkEnd w:id="553"/>
    </w:p>
    <w:p>
      <w:pPr>
        <w:pStyle w:val="Heading6"/>
        <w:numPr>
          <w:ilvl w:val="5"/>
          <w:numId w:val="1"/>
        </w:numPr>
        <w:rPr/>
      </w:pPr>
      <w:bookmarkStart w:id="554" w:name="__RefHeading___Toc6422392_1280447820"/>
      <w:bookmarkStart w:id="555" w:name="_Toc213"/>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و بعد تناول الصحف يبدأ الحساب، و هو مشهد مروّع للقلوب و مقطّع للأرواح، إنّه مشهد القضاء على الناس بشهود لا يتطرق إلى شهادتهم ريب و لا يتّهمون 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بين شاهد خارجي كاللّه سبحانه، و الأنبياء، و الملائكة، و الأرض، و داخلي كالأعضاء و الجوارح حتى جلد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نوع آخر من الشهود لا يشابه القسمين، و هو تجسّم أعمال الإنسان بوجود يناسب تلك النشأة و هذا نظير عرض صور الجريمة و وقائعها التي التقطت عند ارتكاب المجرم لها، أو بثّ الشريط الذي سجل فيه كلام المعتدي بالسبّ و الوقيعة، و إن كان هناك فرق بين الممثّل و الممثّل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لا يجد المجرم لنفسه إلا الاعتراف بالذنب و التقصير و الجرأة، لثبوت الجرم عليه بوجه لا يقبل الإنكار، و إليك عرض هؤلاء الشهود في ضوء آيات القرآن الكريم، مقدّمين الشهود الخارجيين على الداخليين</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6422394_1280447820"/>
      <w:bookmarkStart w:id="557" w:name="_Toc214"/>
      <w:bookmarkEnd w:id="556"/>
      <w:r>
        <w:rPr>
          <w:rtl w:val="true"/>
        </w:rPr>
        <w:t xml:space="preserve">الشاهد الأول </w:t>
      </w:r>
      <w:r>
        <w:rPr>
          <w:rtl w:val="true"/>
        </w:rPr>
        <w:t xml:space="preserve">- </w:t>
      </w:r>
      <w:r>
        <w:rPr>
          <w:rtl w:val="true"/>
        </w:rPr>
        <w:t>اللّه سبحانه</w:t>
      </w:r>
      <w:bookmarkEnd w:id="557"/>
    </w:p>
    <w:p>
      <w:pPr>
        <w:pStyle w:val="BookText"/>
        <w:rPr/>
      </w:pPr>
      <w:r>
        <w:rPr>
          <w:rFonts w:ascii="Amiri" w:hAnsi="Amiri" w:eastAsia="Amiri" w:cs="Amiri"/>
          <w:color w:val="111111"/>
          <w:sz w:val="28"/>
          <w:sz w:val="28"/>
          <w:szCs w:val="28"/>
          <w:rtl w:val="true"/>
          <w:lang w:bidi="ar-SA"/>
        </w:rPr>
        <w:t>من عجيب الأمر أنّ اللّه سبحانه هو القاضي و الحاكم بين العباد، و هو بنفسه أيضا شاهد على أعمالهم،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يَفْصِلُ بَيْنَهُمْ يَوْمَ اَلْقِيٰامَةِ إِنَّ اَللّٰهَ عَلىٰ كُلِّ شَيْ‌ءٍ شَهِيدٌ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تَكْفُرُونَ بِآيٰاتِ اَللّٰهِ وَ اَللّٰهُ شَهِيدٌ عَلىٰ مٰا تَعْمَلُونَ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58" w:name="pg16351_181165"/>
    </w:p>
    <w:p>
      <w:pPr>
        <w:pStyle w:val="Heading6"/>
        <w:numPr>
          <w:ilvl w:val="5"/>
          <w:numId w:val="1"/>
        </w:numPr>
        <w:rPr/>
      </w:pPr>
      <w:bookmarkStart w:id="559" w:name="__RefHeading___Toc6422396_1280447820"/>
      <w:bookmarkStart w:id="560" w:name="_Toc215"/>
      <w:bookmarkEnd w:id="558"/>
      <w:bookmarkEnd w:id="559"/>
      <w:r>
        <w:rPr>
          <w:rtl w:val="true"/>
        </w:rPr>
        <w:t xml:space="preserve">الشاهد الثاني </w:t>
      </w:r>
      <w:r>
        <w:rPr>
          <w:rtl w:val="true"/>
        </w:rPr>
        <w:t xml:space="preserve">- </w:t>
      </w:r>
      <w:r>
        <w:rPr>
          <w:rtl w:val="true"/>
        </w:rPr>
        <w:t>نبيّ كلّ أمّة</w:t>
      </w:r>
      <w:bookmarkEnd w:id="560"/>
    </w:p>
    <w:p>
      <w:pPr>
        <w:pStyle w:val="BookText"/>
        <w:rPr/>
      </w:pPr>
      <w:r>
        <w:rPr>
          <w:rFonts w:ascii="Amiri" w:hAnsi="Amiri" w:eastAsia="Amiri" w:cs="Amiri"/>
          <w:color w:val="111111"/>
          <w:sz w:val="28"/>
          <w:sz w:val="28"/>
          <w:szCs w:val="28"/>
          <w:rtl w:val="true"/>
          <w:lang w:bidi="ar-SA"/>
        </w:rPr>
        <w:t>يدل القرآن الكريم على أنّ لكلّ أمّة شهيدا من أنفسهم، و قد جاء ذلك في عدة آيات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كُلِّ أُمَّةٍ شَهِيداً</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هذا الشاهد من كل أمّة هو نبيهم، و إن لم يصرح به في الآيات، و ذلك للزوم كون الشهادة القائمة هناك مشتملة على حقائق لا سبيل للمناقشة فيها، فيجب أن يكون هذا الشاهد عالما بحقائق الأعمال التي يشهد عليها، لا بظاهر صورها و هيئاتها المحسوسة لأنّ صورها مشتركة بين الطاعة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هذا إلاّ بأن يستوي عنده الحاضر و الغائب، و يعاين حقيقة ما انعقدت عليه القلوب فيتميز هذا الشاهد بخصوصيتين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محيط إحاطة علمية تامة على حقائق الأعمال و ما يجري في القلوب، و يختلج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عصمة إلهية ليمتنع عليه الخطأ و الاشتباه عند تحمّل الشهادة، و الكذب و الخيانة عند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يتصور هذا المقام إلا لنبيّ كلّ أمّة، و سيأتي تتميم لذلك في الشاهد الرابع</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6422398_1280447820"/>
      <w:bookmarkStart w:id="562" w:name="_Toc216"/>
      <w:bookmarkEnd w:id="561"/>
      <w:r>
        <w:rPr>
          <w:rtl w:val="true"/>
        </w:rPr>
        <w:t>الشاهد الثالث</w:t>
      </w:r>
      <w:r>
        <w:rPr>
          <w:rtl w:val="true"/>
        </w:rPr>
        <w:t xml:space="preserve">: </w:t>
      </w:r>
      <w:r>
        <w:rPr>
          <w:rtl w:val="true"/>
        </w:rPr>
        <w:t>نبيّ الإسلام</w:t>
      </w:r>
      <w:bookmarkEnd w:id="56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القرآن نبيّ الإسلام شاهد أمّته،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w:t>
      </w:r>
      <w:bookmarkStart w:id="563" w:name="pg16351_181166"/>
    </w:p>
    <w:p>
      <w:pPr>
        <w:pStyle w:val="BookText"/>
        <w:rPr/>
      </w:pPr>
      <w:bookmarkEnd w:id="563"/>
      <w:r>
        <w:rPr>
          <w:rFonts w:ascii="Amiri" w:hAnsi="Amiri" w:eastAsia="Amiri" w:cs="Amiri"/>
          <w:color w:val="111111"/>
          <w:sz w:val="28"/>
          <w:sz w:val="28"/>
          <w:szCs w:val="28"/>
          <w:rtl w:val="true"/>
          <w:lang w:bidi="ar-SA"/>
        </w:rPr>
        <w:t xml:space="preserve">كُلِّ أُمَّةٍ بِشَهِيدٍ، وَ جِئْنٰا بِكَ عَلىٰ هٰؤُلاٰءِ شَهِيداً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أنّ هذه الشهادة تستلزم من الكفاءات شيئا عظيما، و بهذا يظهر عظم مقام هذا الشاهد، لوقوفه على ضمائر القلوب و أعمال الأمّة، و إن كانوا بعيدين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له هذا المقام، فتعرّفه على الغيب من أهون الأمور، و مع ذلك نرى بعض القشريين ينزعجون من إثبات علم الغيب للنبيّ، و يزعمون أنّ نسبته إليه و إلى اللّه سبحانه يستلزم الشرك، و لكن عزب عنهم الفرق بين العلم الكسبي و الذاتي، و المحدود و اللامحدود، و القائم بالغير و القائم بالنفس</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6422400_1280447820"/>
      <w:bookmarkStart w:id="565" w:name="_Toc217"/>
      <w:bookmarkEnd w:id="564"/>
      <w:r>
        <w:rPr>
          <w:rtl w:val="true"/>
        </w:rPr>
        <w:t>الشاهد الرابع</w:t>
      </w:r>
      <w:r>
        <w:rPr>
          <w:rtl w:val="true"/>
        </w:rPr>
        <w:t xml:space="preserve">: </w:t>
      </w:r>
      <w:r>
        <w:rPr>
          <w:rtl w:val="true"/>
        </w:rPr>
        <w:t>بعض الأمّة الإسلامية</w:t>
      </w:r>
      <w:bookmarkEnd w:id="565"/>
    </w:p>
    <w:p>
      <w:pPr>
        <w:pStyle w:val="BookText"/>
        <w:rPr/>
      </w:pPr>
      <w:r>
        <w:rPr>
          <w:rFonts w:ascii="Amiri" w:hAnsi="Amiri" w:eastAsia="Amiri" w:cs="Amiri"/>
          <w:color w:val="111111"/>
          <w:sz w:val="28"/>
          <w:sz w:val="28"/>
          <w:szCs w:val="28"/>
          <w:rtl w:val="true"/>
          <w:lang w:bidi="ar-SA"/>
        </w:rPr>
        <w:t>يقوله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الخطاب في الآية للأمّة الإسلامية، و لكن المراد قسم منها،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جَعَلَكُمْ مُلُوكاً </w:t>
      </w:r>
      <w:r>
        <w:rPr>
          <w:rStyle w:val="FootnoteAnchor"/>
          <w:rtl w:val="true"/>
        </w:rPr>
        <w:footnoteReference w:id="563"/>
      </w:r>
      <w:r>
        <w:rPr>
          <w:rFonts w:ascii="Amiri" w:hAnsi="Amiri" w:eastAsia="Amiri" w:cs="Amiri"/>
          <w:color w:val="111111"/>
          <w:sz w:val="28"/>
          <w:sz w:val="28"/>
          <w:szCs w:val="28"/>
          <w:rtl w:val="true"/>
          <w:lang w:bidi="ar-SA"/>
        </w:rPr>
        <w:t>، مخاطبا بني إسرائيل، و المراد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وجود الصّلة القوية بين القبيلة و ملوكها، نسب الملوكية إلى الجميع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أنّ المراد بعض الأمّة، هو أنّ أكثر أبناء الأمّة، مجهزون بحواس عادية لا تتحمل إلاّ صور الأفعال و الأعمال إذا كانوا في محضر المشهود عليهم، و هو لا يفي في مقام الشهادة، لأنّ المراد من الشهادة هو الشهادة على حقائق الأعمال، و المعاني النفسانية من الكفر و الإيمان و الفوز و الخسران، و على كل خفي عن الحسّ، و مستبطن عن الإنسان، و على كل ما تكسبه القلوب، الذي يدور عليه حساب ربّ العالمين،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w:t>
      </w:r>
    </w:p>
    <w:p>
      <w:pPr>
        <w:pStyle w:val="BookText"/>
        <w:rPr/>
      </w:pPr>
      <w:r>
        <w:rPr>
          <w:rFonts w:ascii="Amiri" w:hAnsi="Amiri" w:eastAsia="Amiri" w:cs="Amiri"/>
          <w:color w:val="111111"/>
          <w:sz w:val="28"/>
          <w:sz w:val="28"/>
          <w:szCs w:val="28"/>
          <w:rtl w:val="true"/>
          <w:lang w:bidi="ar-SA"/>
        </w:rPr>
        <w:t xml:space="preserve">قُلُوبُكُمْ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ذلك في وسع الإنسان العادي إذا كان حاضرا عند المشهود عليه، فضلا عن كونه غائبا، و هذا يدلّنا على أنّ المراد رجال من الأمّة لهم تلك القابلية، بعناية من اللّه تعالى، فيقفون على حقائق أعمال الناس من إخلاص و رياء، و انقياد و تمرد، و يؤدّون ذلك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الكرامة ليس ينالها جميع الأمّة، بل الأولياء الطاهرون منهم، لا المتوسطون في الإيمان، فضلا عن الملوثين بالمعاصي و الملطخين بالجرائم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التجأ بعضهم إلى جعل متعلق الشهادة كون الأمّة على دين جامع و وسط، و هو بمعزل عن التحقيق، إذ ليس ذلك شهادة بشيء، و قد وردت لفظة الشهادة بمعنى واحد في جميع القرآن، في آياته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معنى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مِلَّةَ أَبِيكُمْ إِبْرٰاهِيمَ، هُوَ سَمّٰاكُمُ اَلْمُسْلِمِينَ مِنْ قَبْلُ وَ فِي هٰذٰا لِيَكُونَ اَلرَّسُولُ شَهِيداً عَلَيْكُمْ، وَ تَكُونُوا شُهَدٰاءَ عَلَى اَلنّٰاسِ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متوجّه إلى الأمّة، و المراد بعضهم ممن أعطيت لهم هذه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لما ذكرنا، و هو أنّ أقلّ ما يعتبر في الشهود هو العدالة و التقوى، و الصدق و الأمانة، و الأكثرية الساحقة من الأمّة، يفقدون ذلك، و هم لا تقبل شهادتهم على صاع من تمر أو باقة من بقل، فكيف تقبل شهادتهم يوم القيامة؟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تشير رواية الزبيري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566"/>
      </w:r>
      <w:r>
        <w:rPr>
          <w:rFonts w:ascii="Amiri" w:hAnsi="Amiri" w:eastAsia="Amiri" w:cs="Amiri"/>
          <w:color w:val="111111"/>
          <w:sz w:val="28"/>
          <w:sz w:val="28"/>
          <w:szCs w:val="28"/>
          <w:rtl w:val="true"/>
          <w:lang w:bidi="ar-SA"/>
        </w:rPr>
        <w:t>، فإن ظننت بأنّ اللّه عنى بهذه الآية جميع أهل القبلة من الموحّدين، أ فترى أنّ من لا تجوز شهادته في الدنيا على صاع من تمر، يطلب اللّه شهادته يوم القيامة، و يقبلها منه بحضرة جميع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 يعن اللّه </w:t>
      </w:r>
      <w:bookmarkStart w:id="566" w:name="pg16351_181168"/>
    </w:p>
    <w:p>
      <w:pPr>
        <w:pStyle w:val="BookText"/>
        <w:rPr/>
      </w:pPr>
      <w:bookmarkEnd w:id="566"/>
      <w:r>
        <w:rPr>
          <w:rFonts w:ascii="IRNazanin" w:hAnsi="IRNazanin" w:eastAsia="IRNazanin"/>
          <w:color w:val="111111"/>
          <w:sz w:val="28"/>
          <w:sz w:val="28"/>
          <w:szCs w:val="28"/>
          <w:rtl w:val="true"/>
          <w:lang w:bidi="fa-IR"/>
        </w:rPr>
        <w:t>مثل هذا من خلقه</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إلى هنا تمّ الكلام حول الشهود الخارجيين، و إليك الكلام في الشهود الداخليين، الذين لا ينفكون عن نفس المجرم</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6422402_1280447820"/>
      <w:bookmarkStart w:id="568" w:name="_Toc218"/>
      <w:bookmarkEnd w:id="567"/>
      <w:r>
        <w:rPr>
          <w:rtl w:val="true"/>
        </w:rPr>
        <w:t>الشاهد الخامس</w:t>
      </w:r>
      <w:r>
        <w:rPr>
          <w:rtl w:val="true"/>
        </w:rPr>
        <w:t xml:space="preserve">: </w:t>
      </w:r>
      <w:r>
        <w:rPr>
          <w:rtl w:val="true"/>
        </w:rPr>
        <w:t>الأعضاء و الجوارح</w:t>
      </w:r>
      <w:bookmarkEnd w:id="568"/>
    </w:p>
    <w:p>
      <w:pPr>
        <w:pStyle w:val="BookText"/>
        <w:rPr/>
      </w:pPr>
      <w:r>
        <w:rPr>
          <w:rFonts w:ascii="Amiri" w:hAnsi="Amiri" w:eastAsia="Amiri" w:cs="Amiri"/>
          <w:color w:val="111111"/>
          <w:sz w:val="28"/>
          <w:sz w:val="28"/>
          <w:szCs w:val="28"/>
          <w:rtl w:val="true"/>
          <w:lang w:bidi="ar-SA"/>
        </w:rPr>
        <w:t>من عجيب الأمر أن تشهد أعضاء الإنسان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يده و رجله،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كيفية الشهادة فهي من الأمور الغيبية نؤمن بها، و ما إنطاقها عليه بعزيز، و قد وسعت قدرته تعالى كلّ شيء</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6422404_1280447820"/>
      <w:bookmarkStart w:id="570" w:name="_Toc219"/>
      <w:bookmarkEnd w:id="569"/>
      <w:r>
        <w:rPr>
          <w:rtl w:val="true"/>
        </w:rPr>
        <w:t>الشاهد السادس</w:t>
      </w:r>
      <w:r>
        <w:rPr>
          <w:rtl w:val="true"/>
        </w:rPr>
        <w:t xml:space="preserve">: </w:t>
      </w:r>
      <w:r>
        <w:rPr>
          <w:rtl w:val="true"/>
        </w:rPr>
        <w:t>الجلود</w:t>
      </w:r>
      <w:bookmarkEnd w:id="570"/>
    </w:p>
    <w:p>
      <w:pPr>
        <w:pStyle w:val="BookText"/>
        <w:rPr/>
      </w:pPr>
      <w:r>
        <w:rPr>
          <w:rFonts w:ascii="Amiri" w:hAnsi="Amiri" w:eastAsia="Amiri" w:cs="Amiri"/>
          <w:color w:val="111111"/>
          <w:sz w:val="28"/>
          <w:sz w:val="28"/>
          <w:szCs w:val="28"/>
          <w:rtl w:val="true"/>
          <w:lang w:bidi="ar-SA"/>
        </w:rPr>
        <w:t>و تشهد على الناس جلودهم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أَنْطَقَنَا اَللّٰهُ اَلَّذِي أَنْطَقَ كُلَّ شَيْ‌ءٍ ، يشير إلى سعة قدرته سبحانه </w:t>
      </w:r>
      <w:bookmarkStart w:id="571" w:name="pg16351_181169"/>
    </w:p>
    <w:p>
      <w:pPr>
        <w:pStyle w:val="BookText"/>
        <w:rPr/>
      </w:pPr>
      <w:bookmarkEnd w:id="571"/>
      <w:r>
        <w:rPr>
          <w:rFonts w:ascii="IRNazanin" w:hAnsi="IRNazanin" w:eastAsia="IRNazanin"/>
          <w:color w:val="111111"/>
          <w:sz w:val="28"/>
          <w:sz w:val="28"/>
          <w:szCs w:val="28"/>
          <w:rtl w:val="true"/>
          <w:lang w:bidi="fa-IR"/>
        </w:rPr>
        <w:t>على إنطاق الجلود</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6422406_1280447820"/>
      <w:bookmarkStart w:id="573" w:name="_Toc220"/>
      <w:bookmarkEnd w:id="572"/>
      <w:r>
        <w:rPr>
          <w:rtl w:val="true"/>
        </w:rPr>
        <w:t>الشاهد السابع</w:t>
      </w:r>
      <w:r>
        <w:rPr>
          <w:rtl w:val="true"/>
        </w:rPr>
        <w:t xml:space="preserve">: </w:t>
      </w:r>
      <w:r>
        <w:rPr>
          <w:rtl w:val="true"/>
        </w:rPr>
        <w:t>الملائكة</w:t>
      </w:r>
      <w:bookmarkEnd w:id="573"/>
    </w:p>
    <w:p>
      <w:pPr>
        <w:pStyle w:val="BookText"/>
        <w:rPr/>
      </w:pPr>
      <w:r>
        <w:rPr>
          <w:rFonts w:ascii="Amiri" w:hAnsi="Amiri" w:eastAsia="Amiri" w:cs="Amiri"/>
          <w:color w:val="111111"/>
          <w:sz w:val="28"/>
          <w:sz w:val="28"/>
          <w:szCs w:val="28"/>
          <w:rtl w:val="true"/>
          <w:lang w:bidi="ar-SA"/>
        </w:rPr>
        <w:t>إنّ للإنسان حفظة يصحبونه منذ بلوغه التكليف فيسجّلون أعماله خيرها و شرّها، و هذا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الرقيب العتيد يشهد أعمال من وكّل به يوم القيامة، عند ما يرد الإنسان صعيد الحساب مع سائقه،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فأحد الملائكة يسوق الإنسان، و آخر يشهد على أعماله</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6422408_1280447820"/>
      <w:bookmarkStart w:id="575" w:name="_Toc221"/>
      <w:bookmarkEnd w:id="574"/>
      <w:r>
        <w:rPr>
          <w:rtl w:val="true"/>
        </w:rPr>
        <w:t>الشاهد الثامن</w:t>
      </w:r>
      <w:r>
        <w:rPr>
          <w:rtl w:val="true"/>
        </w:rPr>
        <w:t xml:space="preserve">: </w:t>
      </w:r>
      <w:r>
        <w:rPr>
          <w:rtl w:val="true"/>
        </w:rPr>
        <w:t>صحيفة الأعمال</w:t>
      </w:r>
      <w:bookmarkEnd w:id="575"/>
    </w:p>
    <w:p>
      <w:pPr>
        <w:pStyle w:val="BookText"/>
        <w:rPr/>
      </w:pPr>
      <w:r>
        <w:rPr>
          <w:rFonts w:ascii="Amiri" w:hAnsi="Amiri" w:eastAsia="Amiri" w:cs="Amiri"/>
          <w:color w:val="111111"/>
          <w:sz w:val="28"/>
          <w:sz w:val="28"/>
          <w:szCs w:val="28"/>
          <w:rtl w:val="true"/>
          <w:lang w:bidi="ar-SA"/>
        </w:rPr>
        <w:t>هناك آيات تدلّ على وجود صحف تضبط فيها أعمال العباد خيرها و شرّها، و كتبة يمارسون كتابتها، و يوم الحساب تعرض على الإنسان، فيقرؤها، فيرى المجرم مشفقا منها، يغلبه التعجب من إحاطة الكتاب بدقيق أعماله و 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مَكْراً، إِنَّ رُسُلَنٰا يَكْتُبُونَ مٰا تَمْكُرُونَ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576" w:name="pg16351_181170"/>
    </w:p>
    <w:p>
      <w:pPr>
        <w:pStyle w:val="BookText"/>
        <w:rPr/>
      </w:pPr>
      <w:bookmarkEnd w:id="576"/>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مصوّرا حال المجرم عند الحساب و شهادة الكتاب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 اَلْكِتٰابُ فَتَرَى اَلْمُجْرِمِينَ مُشْفِقِينَ مِمّٰا فِيهِ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 حاكيا تعجّب المجرمين من إحاطته بعظائم الأعمال و دقائقها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اَلْكِتٰابِ لاٰ يُغٰادِرُ صَغِيرَةً وَ لاٰ كَبِيرَةً إِلاّٰ أَحْصٰاهٰا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كفى في إذعان الإنسان بجرمه و عصيانه، كتابه،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6422410_1280447820"/>
      <w:bookmarkStart w:id="578" w:name="_Toc222"/>
      <w:bookmarkEnd w:id="577"/>
      <w:r>
        <w:rPr>
          <w:rtl w:val="true"/>
        </w:rPr>
        <w:t>الشاهد التاسع</w:t>
      </w:r>
      <w:r>
        <w:rPr>
          <w:rtl w:val="true"/>
        </w:rPr>
        <w:t xml:space="preserve">: </w:t>
      </w:r>
      <w:r>
        <w:rPr>
          <w:rtl w:val="true"/>
        </w:rPr>
        <w:t>الأرض</w:t>
      </w:r>
      <w:bookmarkEnd w:id="578"/>
    </w:p>
    <w:p>
      <w:pPr>
        <w:pStyle w:val="BookText"/>
        <w:rPr/>
      </w:pPr>
      <w:r>
        <w:rPr>
          <w:rFonts w:ascii="Amiri" w:hAnsi="Amiri" w:eastAsia="Amiri" w:cs="Amiri"/>
          <w:color w:val="111111"/>
          <w:sz w:val="28"/>
          <w:sz w:val="28"/>
          <w:szCs w:val="28"/>
          <w:rtl w:val="true"/>
          <w:lang w:bidi="ar-SA"/>
        </w:rPr>
        <w:t>إنّ كلّ عمل طالحا كان أو صالحا، إذا كان بدنيا، يصدر من الإنسان في نقطة و بقعة من بقاع الأرض، و هي تشهد يوم القيامة على الحوادث التي وقعت فيها،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كيفية شهادتها من الأمور الغيبية، و لكن يمكن أن نستعين على تقريبها بالأمور المحسوسة ببيان أنّ المجرم و المحسن يتركان بعد العمل آثارا يستدلّ بها على كيفية عمله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الخبراء يستدلّون بالمستندات الحفرية، على كيفية حياة الماضين و حضارتهم و علومهم، و سائر شئون حياتهم، و قد ورد عن النبي أنّه لم يرتحل من منزل إلاّ صلى فيه ركعتين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يشهد عليّ بالصلاة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579" w:name="pg16351_181171"/>
    </w:p>
    <w:p>
      <w:pPr>
        <w:pStyle w:val="BookText"/>
        <w:rPr/>
      </w:pPr>
      <w:bookmarkEnd w:id="579"/>
      <w:r>
        <w:rPr>
          <w:rFonts w:ascii="Amiri" w:hAnsi="Amiri" w:eastAsia="Amiri" w:cs="Amiri"/>
          <w:color w:val="111111"/>
          <w:sz w:val="28"/>
          <w:sz w:val="28"/>
          <w:szCs w:val="28"/>
          <w:rtl w:val="true"/>
          <w:lang w:bidi="ar-SA"/>
        </w:rPr>
        <w:t>روى الشيخ الطوسي بإسناده عن أبي ذرّ عن النبي صلى اللّه عليه و آله، في وصيته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ما من رجل يجعل جبهته في بقعة من بقاع الأرض، إلاّ شهدت له بها يوم القيامة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6422412_1280447820"/>
      <w:bookmarkStart w:id="581" w:name="_Toc223"/>
      <w:bookmarkEnd w:id="580"/>
      <w:r>
        <w:rPr>
          <w:rtl w:val="true"/>
        </w:rPr>
        <w:t>الشاهد العاشر</w:t>
      </w:r>
      <w:r>
        <w:rPr>
          <w:rtl w:val="true"/>
        </w:rPr>
        <w:t xml:space="preserve">: </w:t>
      </w:r>
      <w:r>
        <w:rPr>
          <w:rtl w:val="true"/>
        </w:rPr>
        <w:t>تجسم العمل بهويّته الأخروية</w:t>
      </w:r>
      <w:bookmarkEnd w:id="581"/>
    </w:p>
    <w:p>
      <w:pPr>
        <w:pStyle w:val="BookText"/>
        <w:rPr/>
      </w:pPr>
      <w:r>
        <w:rPr>
          <w:rFonts w:ascii="Amiri" w:hAnsi="Amiri" w:eastAsia="Amiri" w:cs="Amiri"/>
          <w:color w:val="111111"/>
          <w:sz w:val="28"/>
          <w:sz w:val="28"/>
          <w:szCs w:val="28"/>
          <w:rtl w:val="true"/>
          <w:lang w:bidi="ar-SA"/>
        </w:rPr>
        <w:t>دلّ القرآن و الأحاديث على أنّ لكل عمل يرتكبه الإنسان في هذه النشأة، صورتين و ظهورين و هويتين، يتمثل بإحداهما في هذه النشأة، و بالأخرى في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في هذه الدنيا عبارة عن الأذكار و الحركات، و هي هويتها الدنيوية، و لكنها لها في النشأة الأخروية ظهورا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الأعمال الإجرامية، فإنّ لكلّ منها صورتين، يتمثّل بإحداهما في الدنيا، و بالأخرى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Style w:val="FootnoteAnchor"/>
          <w:rtl w:val="true"/>
        </w:rPr>
        <w:footnoteReference w:id="583"/>
      </w:r>
      <w:r>
        <w:rPr>
          <w:rFonts w:ascii="Amiri" w:hAnsi="Amiri" w:eastAsia="Amiri" w:cs="Amiri"/>
          <w:color w:val="111111"/>
          <w:sz w:val="28"/>
          <w:sz w:val="28"/>
          <w:szCs w:val="28"/>
          <w:rtl w:val="true"/>
          <w:lang w:bidi="ar-SA"/>
        </w:rPr>
        <w:t>، و ظاهر الآية هو مشاهدة نفس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تأويله بمشاهدة الجزاء، على خلاف الظاهر، و الآيات الواردة في مجال تجسّم الأعمال كثيرة، نكتفي بواحدة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تعرب عن تجسم الذهب و الفضة الذي كنز بصورة النار المحمّاة، بحيث يطلق عليها أنّها نفس ما كنزوه</w:t>
      </w:r>
      <w:r>
        <w:rPr>
          <w:rFonts w:eastAsia="Amiri" w:cs="Amiri" w:ascii="Amiri" w:hAnsi="Amiri"/>
          <w:color w:val="111111"/>
          <w:sz w:val="28"/>
          <w:szCs w:val="28"/>
          <w:rtl w:val="true"/>
          <w:lang w:bidi="ar-SA"/>
        </w:rPr>
        <w:t xml:space="preserve">. </w:t>
      </w:r>
      <w:bookmarkStart w:id="582" w:name="pg16351_181172"/>
    </w:p>
    <w:p>
      <w:pPr>
        <w:pStyle w:val="Heading5"/>
        <w:numPr>
          <w:ilvl w:val="4"/>
          <w:numId w:val="1"/>
        </w:numPr>
        <w:rPr/>
      </w:pPr>
      <w:bookmarkStart w:id="583" w:name="__RefHeading___Toc6422414_1280447820"/>
      <w:bookmarkStart w:id="584" w:name="_Toc224"/>
      <w:bookmarkEnd w:id="582"/>
      <w:bookmarkEnd w:id="583"/>
      <w:r>
        <w:rPr/>
        <w:t>5</w:t>
      </w:r>
      <w:r>
        <w:rPr>
          <w:rtl w:val="true"/>
        </w:rPr>
        <w:t xml:space="preserve"> - </w:t>
      </w:r>
      <w:r>
        <w:rPr>
          <w:rtl w:val="true"/>
        </w:rPr>
        <w:t>مشهد الميزان</w:t>
      </w:r>
      <w:bookmarkEnd w:id="584"/>
    </w:p>
    <w:p>
      <w:pPr>
        <w:pStyle w:val="BookText"/>
        <w:rPr/>
      </w:pPr>
      <w:r>
        <w:rPr>
          <w:rFonts w:ascii="Amiri" w:hAnsi="Amiri" w:eastAsia="Amiri" w:cs="Amiri"/>
          <w:color w:val="111111"/>
          <w:sz w:val="28"/>
          <w:sz w:val="28"/>
          <w:szCs w:val="28"/>
          <w:rtl w:val="true"/>
          <w:lang w:bidi="ar-SA"/>
        </w:rPr>
        <w:t>إنّ هؤلاء الشهود الكثيرون يكفون في مقام القضاء و إتمام الحجة، غير أنّه سبحانه، لا يكتفي بهم، كما لا يكتفي بصحائف الأعمال التي ضبطت فيها جميع أفعال العبد جليلها، و دقيقها، بل يجسد وضع الإنسان بتوزين أعماله بالميزان الذي يضعه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الناس بين ثقيل الميزان و خفيفه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الكلام في تبيين حقيقة هذا الميزان الذي توزن به الأعمال، فهل هو كهذه الموازين الحسية الموضوعة فوق مناضد البقالين و العطارين، أو شيء غيرها،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النشأة الآخرة، أكمل من هذه النشأة، و أنّه لا طريق لتفهيم الإنسان حقائق ذاك العالم و غيوبه المستورة عنّا، إلاّ باستخدام الألفاظ التي يستعملها الإنسان في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وجه لحمل الميزان على الميزان المتعارف خصوصا بعد استعمال الميزان في القرآن في غير هذا الميزان المحسوس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الميزان في اللغة اسم آلة يوزن بها الشيء،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اَلْمِيزٰانَ </w:t>
      </w:r>
      <w:r>
        <w:rPr>
          <w:rStyle w:val="FootnoteAnchor"/>
          <w:rtl w:val="true"/>
        </w:rPr>
        <w:footnoteReference w:id="587"/>
      </w:r>
      <w:r>
        <w:rPr>
          <w:rFonts w:ascii="Amiri" w:hAnsi="Amiri" w:eastAsia="Amiri" w:cs="Amiri"/>
          <w:color w:val="111111"/>
          <w:sz w:val="28"/>
          <w:sz w:val="28"/>
          <w:szCs w:val="28"/>
          <w:rtl w:val="true"/>
          <w:lang w:bidi="ar-SA"/>
        </w:rPr>
        <w:t xml:space="preserve">، فاللّه سبحانه يخبر فيها عن رفع السماء و خلقها مرفوعة، كما يخبر عن أنّه وضع لكل شيء ميزانا يقدّر به، من غير فرق بين أن يكون جسما أو قولا أو فعلا أو عقيدة، فلكلّ شيء ميزان يميّز به الحقّ من </w:t>
      </w:r>
    </w:p>
    <w:p>
      <w:pPr>
        <w:pStyle w:val="BookText"/>
        <w:rPr/>
      </w:pPr>
      <w:r>
        <w:rPr>
          <w:rFonts w:ascii="Amiri" w:hAnsi="Amiri" w:eastAsia="Amiri" w:cs="Amiri"/>
          <w:color w:val="111111"/>
          <w:sz w:val="28"/>
          <w:sz w:val="28"/>
          <w:szCs w:val="28"/>
          <w:rtl w:val="true"/>
          <w:lang w:bidi="ar-SA"/>
        </w:rPr>
        <w:t>الباطل، و الصدق من الكذب، و العدل من الظلم، و الرذيلة من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هذه السّعة في معنى الميزان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Style w:val="FootnoteAnchor"/>
          <w:rtl w:val="true"/>
        </w:rPr>
        <w:footnoteReference w:id="588"/>
      </w:r>
      <w:r>
        <w:rPr>
          <w:rFonts w:ascii="Amiri" w:hAnsi="Amiri" w:eastAsia="Amiri" w:cs="Amiri"/>
          <w:color w:val="111111"/>
          <w:sz w:val="28"/>
          <w:sz w:val="28"/>
          <w:szCs w:val="28"/>
          <w:rtl w:val="true"/>
          <w:lang w:bidi="ar-SA"/>
        </w:rPr>
        <w:t>، فلا معنى لتخصيص الميزان هنا بما توزن به الأثقال، مع أنّ الهدف من إرسال الرسل و إنزال الكتب و الميزان هو قيام الناس بالقسط في جميع شئونهم العقيدية و السياسية و الاجتماعية و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يعلم أنّ تفسير الميزان بالعدل، أو بالنبي، أو بالقرآن، كلّها تفاسير بالمصداق، فليس للميزان إلاّ معنى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يوزن به الشيء، و هو يختلف حسب اختلاف الموزون من كونه جسما أو حرارة أو نورا أو ضغطا أو رطوبة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المتأهلين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تأملوا قليلا في نفس معنى الميزان، و جرّدوا حقيقة معناه عن الزوائد و الخصوصيات، لعلموا أنّ حقيقة الميزان ليس يجب أن يكون البتة مما له شكل مخصوص، أو صورة جسمانية، فإنّ حقيقة معناه و روحه و سرّه، هو ما يقاس و يوزن به الشيء، و الشيء أعمّ من أن يكون جسمانيا أو غير جسماني، فكما أنّ القبّان، و ذا الكفتين و غيرهما، ميزان للأثقال، و الاسطرلاب ميزان للارتفاعات و المواقيت، و الشاقول ميزان لمعرفة الأعمدة، و المسطر ميزان لاستقامة الخطوط، فكذلك علم المنطق ميزان للفكر في العلوم النظرية، و علم النحو ميزان للإعراب و البناء، و العروض ميزان للشعر، و الحسّ ميزان لبعض المدركات، و العقل الكامل ميزان لجميع الأشياء، و بالجملة ميزان كل شيء يكون من جنسه، فالموازين مختلفة و الميزان المذكور في القرآن ينبغي أن يحمل على أشرف الموازين و هو ميزان يوم الحساب، كما 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نَضَعُ اَلْمَوٰازِينَ اَلْقِسْطَ لِيَوْمِ اَلْقِيٰامَةِ </w:t>
      </w:r>
      <w:r>
        <w:rPr>
          <w:rStyle w:val="FootnoteAnchor"/>
          <w:rtl w:val="true"/>
        </w:rPr>
        <w:footnoteReference w:id="589"/>
      </w:r>
      <w:r>
        <w:rPr>
          <w:rFonts w:ascii="Amiri" w:hAnsi="Amiri" w:eastAsia="Amiri" w:cs="Amiri"/>
          <w:color w:val="111111"/>
          <w:sz w:val="28"/>
          <w:sz w:val="28"/>
          <w:szCs w:val="28"/>
          <w:rtl w:val="true"/>
          <w:lang w:bidi="ar-SA"/>
        </w:rPr>
        <w:t>و هو ميزان العلوم و ميزان الأعمال القلبية، الناشئة من الأعمال البدنية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أنّه سبحانه يصف الميزان بكونه منزلا من جانبه سبحانه، كما في الآية السابقة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أَنْزَلَ اَلْكِتٰابَ بِالْحَقِّ، وَ اَلْمِيزٰانَ، وَ مٰا يُدْرِيكَ </w:t>
      </w:r>
    </w:p>
    <w:p>
      <w:pPr>
        <w:pStyle w:val="BookText"/>
        <w:rPr/>
      </w:pPr>
      <w:r>
        <w:rPr>
          <w:rFonts w:ascii="Amiri" w:hAnsi="Amiri" w:eastAsia="Amiri" w:cs="Amiri"/>
          <w:color w:val="111111"/>
          <w:sz w:val="28"/>
          <w:sz w:val="28"/>
          <w:szCs w:val="28"/>
          <w:rtl w:val="true"/>
          <w:lang w:bidi="ar-SA"/>
        </w:rPr>
        <w:t xml:space="preserve">لَعَلَّ اَلسّٰاعَةَ قَرِيبٌ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توزين الأعمال بالموازين القسط، من الأمور الغيبية التي لا يقف عليها الإنسان إلاّ بخرق الحجب و حضور ذلك المشهد، يعسّر تبيين حقيقته، و الذي يمكن أن يقال إنّه ليس من قبيل هذه الموازين الحسية التي توزن بها الأجسام الثقيلة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له من التفاسير لا يتجاوز حدّ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القول في ميزان الأعمال، فاعلم أنّ لكل عمل من الأعمال البدنية، تأثيرا في النفس فإن كان من باب الحسنات و الطاعات، كالصلاة و الصيام و الحج و الزكاة و الجهاد، و غيرها، فله تأثير في تنوير النفس و تخليصها من أسر الشهوات و جذبها من الدنيا إلى الأخرى، و من المنزل الأدنى إلى المحل الأعلى، و كذلك فلكل عمل حق مقدار معين من التأثير في التنوير و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تضاعفت و تكثّرت الحسنات، فبقدر تكثرها و تضاعفها، يزداد مقدار التأثير و التنوير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لكل عمل من الأعمال السيئة قدرا معينا من التأثير في إظلام جوهر النفس و تكديرها و تعليقها بالدنيا و شهواتها، فإذا تضاعفت المعاصي و السيئات، ازدادت الظلمة و التكثيف شدّة و قدرا، و كل ذلك محجوب عن مشاهدة الخلق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قيام الساعة و ارتفاع الحجب، ينكشف لهم حقيقة الأمر في ذلك، و يصادف كل أحد مقدار سعيه و عمله، و يرى رجحان إحدى كفتي ميزانه، و قوة مرتبة نور طاعته أو ظلمة كفرانه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هذه النظرية، فليس هنا ميزان وراء انكشاف السرائر و الملكات الحسنة و السيئة، و غاية ما في الأمر أنّ الإنسان يقف بعد رفع الحجاب على قربه و بعده من الربّ، و تتجسد له مرتبة نور طاعته أو ظلمة كفرانه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يقرب منه ما ذكره صاحب المنار،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البشر قد اخترعوا موازين للأعراض كالحرّ و البرد، أ فيعجز الخالق البارئ القادر على كل شيء، </w:t>
      </w:r>
    </w:p>
    <w:p>
      <w:pPr>
        <w:pStyle w:val="BookText"/>
        <w:rPr/>
      </w:pPr>
      <w:r>
        <w:rPr>
          <w:rFonts w:ascii="Amiri" w:hAnsi="Amiri" w:eastAsia="Amiri" w:cs="Amiri"/>
          <w:color w:val="111111"/>
          <w:sz w:val="28"/>
          <w:sz w:val="28"/>
          <w:szCs w:val="28"/>
          <w:rtl w:val="true"/>
          <w:lang w:bidi="ar-SA"/>
        </w:rPr>
        <w:t>عن وضع ميزان للأعمال النفسانية و البدنية، المعبّر عنها بالحسنات و السيئات بما أحدثته في الأنفس من الأخلاق و الصفات، و النقل و العقل متفقان على أنّ الجزاء إنّما يكون بصفات النفس الثابتة، لا بمجرد ما كان سببا لها من الحركات و الأعراض الزائدة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قدمنا يندفع عمدة ما أشكل على المتقدمين من المتكلمين في توزين الأعمال من أنّ العمل عرض غير باق، فكيف يمكن توزينه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إمكان توزين الحرارة و البرودة، و الضغط و الرطوبة، و غيرها من الأعراض الزائلة، بل توزين الطاقة و الحركة و العمل التي هي الوجه الآخر للمادة، إذ ليست هي إلاّ المادة المستهلكة، و هي توزن بالآلات و تقاس، فيقال إن لهذا المحرك جهد كذا من الأحصنة، و غير ذلك من الأقيسة، فبعد إمكان وزن الأعراض و عمل الآلات، ألا يمكن وزن عمل الإنسان في الآخرة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الميزان في النشأة الأخرى، و اعلم أنّه سبحانه لم يترك الإنسان سدى، بل جعل لتشخيص صحة عقائده و أخلاقه و أعماله، موازين كالكتاب و السنّة و العقل، قال الإمام الباقر عليه السلام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نفسك على ما في كتاب اللّه، فإن كنت سالكا سبيله، زاهدا في تزهيده، راغبا في ترغيبه، خائفا من تخويفه، فاثبت و أبشر، فإنّه لا يضرك ما قيل فيك، و إن كنت مبائنا للقرآن، فما ذا الذي يغرّك من نفسك؟</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هذا، فالقرآن ميزان، كما أنّ النبي ميزان، و الإمام المعصوم ميزان، فلا غرو من أن نزور عليا و نقول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يعسوب الإيمان و ميزان الأعمال، و سيف ذي الجلال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585" w:name="pg16351_181176"/>
    </w:p>
    <w:p>
      <w:pPr>
        <w:pStyle w:val="BookText"/>
        <w:rPr/>
      </w:pPr>
      <w:bookmarkEnd w:id="585"/>
      <w:r>
        <w:rPr>
          <w:rFonts w:ascii="Amiri" w:hAnsi="Amiri" w:eastAsia="Amiri" w:cs="Amiri"/>
          <w:color w:val="111111"/>
          <w:sz w:val="28"/>
          <w:sz w:val="28"/>
          <w:szCs w:val="28"/>
          <w:rtl w:val="true"/>
          <w:lang w:bidi="ar-SA"/>
        </w:rPr>
        <w:t>و في الختام نشير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السلف، اغترارا بالظواهر، ذهب إلى أنّ الميزان له كفّتان و لسان و ساقان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تعبّد بالظاهر و تعطيل للتعقل و التدبّر في نفس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الأولى لهم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عبارة عمّا يعرف به مقادير الأعمال و ليس علينا البحث عن كيفيته بل نؤمن به و نفوض كيفيته إلى اللّه تعالى، كما قال المحقق الدواني</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عن المعتزلة</w:t>
      </w:r>
      <w:r>
        <w:rPr>
          <w:rStyle w:val="FootnoteAnchor"/>
          <w:rtl w:val="true"/>
        </w:rPr>
        <w:footnoteReference w:id="597"/>
      </w:r>
      <w:r>
        <w:rPr>
          <w:rFonts w:ascii="Amiri" w:hAnsi="Amiri" w:eastAsia="Amiri" w:cs="Amiri"/>
          <w:color w:val="111111"/>
          <w:sz w:val="28"/>
          <w:sz w:val="28"/>
          <w:szCs w:val="28"/>
          <w:rtl w:val="true"/>
          <w:lang w:bidi="ar-SA"/>
        </w:rPr>
        <w:t>أنّهم ينكرون الميزان قائلين بأنّ الأعمال أعراض و قد عدمت، فلا يمكن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إعادتها، لا يمكن وزنها، و على تقدير إمكانه، مقاديرها معلومة له تعالى فوزنها 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النسبة، فإنّما يرد لو كان المراد من الميزان هو ما نقل عن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ما عرفت من التطور في الميزان فالشبهة 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بأنّها معلومة، فالحكمة في التوزين مثل الحكمة في الحساب، الذي لا شبهة فيه</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422416_1280447820"/>
      <w:bookmarkStart w:id="587" w:name="_Toc225"/>
      <w:bookmarkEnd w:id="586"/>
      <w:r>
        <w:rPr/>
        <w:t>6</w:t>
      </w:r>
      <w:r>
        <w:rPr>
          <w:rtl w:val="true"/>
        </w:rPr>
        <w:t xml:space="preserve"> - </w:t>
      </w:r>
      <w:r>
        <w:rPr>
          <w:rtl w:val="true"/>
        </w:rPr>
        <w:t>الصراط</w:t>
      </w:r>
      <w:bookmarkEnd w:id="5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في اللغة هو الطريق، و يغلب استعماله على الطريق الذي يوصل </w:t>
      </w:r>
    </w:p>
    <w:p>
      <w:pPr>
        <w:pStyle w:val="BookText"/>
        <w:rPr/>
      </w:pPr>
      <w:r>
        <w:rPr>
          <w:rFonts w:ascii="Amiri" w:hAnsi="Amiri" w:eastAsia="Amiri" w:cs="Amiri"/>
          <w:color w:val="111111"/>
          <w:sz w:val="28"/>
          <w:sz w:val="28"/>
          <w:szCs w:val="28"/>
          <w:rtl w:val="true"/>
          <w:lang w:bidi="ar-SA"/>
        </w:rPr>
        <w:t>الإنسان إلى الخير، بخلاف السبيل، فإنّه يطلق على كل سبيل يتوسل به خيرا كان أم شرّا</w:t>
      </w:r>
      <w:r>
        <w:rPr>
          <w:rStyle w:val="FootnoteAnchor"/>
          <w:rtl w:val="true"/>
        </w:rPr>
        <w:footnoteReference w:id="598"/>
      </w:r>
      <w:r>
        <w:rPr>
          <w:rFonts w:ascii="Amiri" w:hAnsi="Amiri" w:eastAsia="Amiri" w:cs="Amiri"/>
          <w:color w:val="111111"/>
          <w:sz w:val="28"/>
          <w:sz w:val="28"/>
          <w:szCs w:val="28"/>
          <w:rtl w:val="true"/>
          <w:lang w:bidi="ar-SA"/>
        </w:rPr>
        <w:t>و إذا كان الصراط بمعنى الطريق، فلكل موجود من الموجودات الإمكانية طريق، لو سلكه، يصل إلى كماله الممكن من غير فرق بين الجماد و النبات و الحيوان 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يسمّى بالصراط التكويني، و هو مجموعة القوانين السائدة على الموجود الإمكاني، بأمر منه سبحانه، التي لو تخلّف عنها 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صراط آخر يختص بالإنسان و هو الصراط التشريعي، أعني القوانين و الأحكام الشرعية التي فرضها سبحانه على عباده، و هداهم إليها، فهم بين شاكر و كفور، و قد نبّه القرآن إلى الصراط التشريعي في عدّة آيات،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هذا الصراط التشريعي، طريق آخر يباينه في المقصد و المآل، و قائده هو الشيطان و من تبعه،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عَلَيْهِ أَنَّهُ مَنْ تَوَلاّٰهُ فَأَنَّهُ يُضِلُّهُ وَ يَهْدِيهِ إِلىٰ عَذٰابِ اَلسَّعِيرِ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ضوء هذا يتبين أنّ للّه سبحانه في هذه النشأة الدنيوية، صراطين </w:t>
      </w:r>
    </w:p>
    <w:p>
      <w:pPr>
        <w:pStyle w:val="BookText"/>
        <w:rPr/>
      </w:pPr>
      <w:r>
        <w:rPr>
          <w:rFonts w:ascii="Amiri" w:hAnsi="Amiri" w:eastAsia="Amiri" w:cs="Amiri"/>
          <w:color w:val="111111"/>
          <w:sz w:val="28"/>
          <w:sz w:val="28"/>
          <w:szCs w:val="28"/>
          <w:rtl w:val="true"/>
          <w:lang w:bidi="ar-SA"/>
        </w:rPr>
        <w:t>أحدهما تكويني، في سلوكه كمال الموجود و بقاؤه، و الآخر تشريعي يختصّ بالإنسان، فيه فوزه و 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يستظهر من الذكر الحكيم، و يدلّ عليه صريح الروايات، وجود صراط آخر، في النشأة الأخروية يسلكه كل مؤمن 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 اَلشَّيٰاطِينَ ثُمَّ لَنُحْضِرَنَّهُمْ حَوْلَ جَهَنَّمَ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 المفسّرون في معنى الورود بين قائل بأنّ المراد منه هو الوصول إليها، و الإشراف عليها لا الدخول، و قائل بأنّ المراد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فلا مناص للمسلم من الاعتقاد بوجود صراط في النشأة الأخروية، و هو طريق المؤمن إلى الجنة، و الكافر إلى النار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 الصراط في الروايات بأنّه أدقّ من الشّعر، و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البحث يتركز على التعرّف على حقيقة هذا الصراط بالمقدار الممكن، و إن كان الوقوف على حقيقته كما هي، غير ممكنة إلاّ بعد رفع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هناك صلة بين الصراطين الدنيوي و الأخروي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سالك الصراط الدنيوي بهداية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من النبي، يسلك الصراط الأخروي بنفس تلك الهداية و يجتازه بأمان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سالكه بهداية الشيطان و ولايته، يسلك الصراط الأخروي، بنفس تلك الهداية، فتزل قدمه و يهوي في عذاب السعير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قيام الإنسان بالوظائف الإلهية، في مجالي العقيدة و العمل، أمر </w:t>
      </w:r>
    </w:p>
    <w:p>
      <w:pPr>
        <w:pStyle w:val="BookText"/>
        <w:rPr/>
      </w:pPr>
      <w:r>
        <w:rPr>
          <w:rFonts w:ascii="Amiri" w:hAnsi="Amiri" w:eastAsia="Amiri" w:cs="Amiri"/>
          <w:color w:val="111111"/>
          <w:sz w:val="28"/>
          <w:sz w:val="28"/>
          <w:szCs w:val="28"/>
          <w:rtl w:val="true"/>
          <w:lang w:bidi="ar-SA"/>
        </w:rPr>
        <w:t>صعب أشبه بسلوك طريق أدقّ من الشعر و أحدّ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فالفائز من الناس، من كانت له قدم راسخة في مجال الإيمان و العقيدة، و تثبّت في مقام العمل و الطاعة، و من المعلوم أنّ الفوز بهذه السعادة ليس أمرا سهلا، فكم من إنسان ضلّ في طريق العقيدة، و عبد النفس و الشيطان و الهوى، مكان عبادة اللّه سبحانه، و كم من إنسان فشل في مقام الطاعة و العمل بالوظائف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الصراط الدنيوي من حيث الصعوبة، و الدقة، فهكذا حال الصراط الأخروي، و إلى ذلك يشير الإمام الحسن بن علي العسكري، عليهما السلام في حديثه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الصّراط المستقيم، صراطان، صراط في الدنيا و صراط في الآخرة، أمّا الصراط المستقيم في الدنيا فهو ما قصر عن الغلو، و ارتفع عن التقصير، و استقام فلم يعدل إلى شيء من الباطل، و أمّا الطريق الآخر فهو طريق المؤمنين إلى الجنة</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فلو قال قائل بأنّ الصراط الأخروي تمثّل لذلك الصراط الدنيوي و تجسّد له، فلم يجازف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لصدر المتأهلين كلاما في تبيين المراد من كون الصراط أدقّ من الشعر و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كمال الإنسان منوط باستعمال قوتيه، أمّا القوة النظرية فلإصابة الحق و نور اليقين في سلوك الأنظار الدقيقة التي هي في الدقة و اللطافة أدقّ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القوة العملية، فبتعديل القوتين الشهوية و الغضبية، لتحصل للنفس حالة اعتدالية متوسطة بين الأطراف غاية التوسط، لأنّ الأطراف كلّها مذمومة، و التوسط الحقيقي بين الأطراف المتضادة منشأ الخلاص عن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من السيف، فإذا الصراط له وجهان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أدقّ من الشعر، و الآخر أحدّ من السيف</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هذا البيان فالدقة راجعة إلى سلوك طريق إصلاح العقل النظري، و الحدّة راجعة إلى سلوك طريق إصلاح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الآخرة تجسد للصراط الدنيوي في الدقة و الحدة، و لا حقيقة له إلاّ ما كان للإنسان في هذه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للإيمان و اليقين درجات كما أنّ للقيام بالوظائف العملية مراتب، فللناس في سلوك الصراط منازل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بين مخلص للّه سبحانه في دينه، لا يرى شيئا إلاّ و يرى اللّه قبله، و بين مقصّر في إعمال القوى النظرية و العملية، كما أنّ بينهما مراتب متوسطة، فالكل يسلك الصراط في النشأة الأخرى، في السرعة و البطء، حسب شدّة سلوكه للصراط الدنيوي، و لأجل ذلك تضافرت روايات عن الفريقين باختلاف مرور الناس، حسب اختلافهم في سلوك صراط الدنيا،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يمرّون على الصراط طبقات، و الصراط أدقّ من الشعر و من حدّ السيف، فمنهم من يمرّ مثل البرق، و منهم مثل عدو الفرس، و منهم من يمرّ حبوا، و منهم من يمرّ مشيا، و منهم من يمرّ متعلّقا قد تأخذ النار منه شيئا و تترك شيئا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فبقدر الكمال الذي يكتسبه الإنسان في هذه النشأة، يتثبت في سلوك الصراط الأخروي، و لا تزل قدمه،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يقتضيه التدبّر في الآيات و الروايات الواردة حول الصراط، و مع ذلك كلّه ليس معنى كون الصراط الأخروي تجسما للصراط الدنيوي، أو سلوكه تمثّلا لسلوكه، إنكار وجود صراط فوق الجحيم، لا محيص لكل إنسان عن سلوكه، بل مقتضي التعبد بظواهر القرآن و الحديث وجود ذلك الصراط بمعناه الحقيقي، و إن لم نفهم حقيقته، و لا بأس بإتمام الكلام بحديث جابر، و هو ينقل عن النبي أنّه قال</w:t>
      </w:r>
      <w:r>
        <w:rPr>
          <w:rFonts w:eastAsia="Amiri" w:cs="Amiri" w:ascii="Amiri" w:hAnsi="Amiri"/>
          <w:color w:val="111111"/>
          <w:sz w:val="28"/>
          <w:szCs w:val="28"/>
          <w:rtl w:val="true"/>
          <w:lang w:bidi="ar-SA"/>
        </w:rPr>
        <w:t xml:space="preserve">: </w:t>
      </w:r>
      <w:bookmarkStart w:id="588" w:name="pg16351_181181"/>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برّ و لا فاجر إلاّ دخلها، فتكون على المؤمن بردا و سلاما، كما كانت على إبراهيم، حتى أنّ للنار ضجيجا من بردهم، ثم ينجّي اللّه الذين اتّقوا و يذر الظالمين فيها جثيّا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6422418_1280447820"/>
      <w:bookmarkStart w:id="590" w:name="_Toc226"/>
      <w:bookmarkEnd w:id="589"/>
      <w:r>
        <w:rPr/>
        <w:t>7</w:t>
      </w:r>
      <w:r>
        <w:rPr>
          <w:rtl w:val="true"/>
        </w:rPr>
        <w:t xml:space="preserve"> - </w:t>
      </w:r>
      <w:r>
        <w:rPr>
          <w:rtl w:val="true"/>
        </w:rPr>
        <w:t>الأعراف</w:t>
      </w:r>
      <w:bookmarkEnd w:id="590"/>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الحجاب هو الستر المتخلل بين الشيئين يستر أحدهما من الآخر، و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 راجع إلى أصحاب الجنة و النار، المذكورين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الأعراف أعالي الحجاب و التلال من الرمل، و العرف للديك، و للفرس، هو الشعر فوق رقبته، و أعلى كل شيء، ففيه معنى العلو، و الآية تدلّ على أنّ في أعالي الحجاب الذي بين الجنة و النار، رجال يعرفون أهل الجنة و النّار بعلائمهم و هم مشرفون على الجانبين، لارتفاع موضعهم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السياق أنّ هؤلاء الرجال منحازون عن الطائفتين متمايزون عن جماعتهم، فيكون بذلك أهل الجمع منقسمين إلى طوائف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و أصحاب النار، و أصحاب الأعراف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وقع الكلام في معرفة من هم هؤلاء الرجال</w:t>
      </w:r>
      <w:r>
        <w:rPr>
          <w:rStyle w:val="FootnoteAnchor"/>
          <w:rtl w:val="true"/>
        </w:rPr>
        <w:footnoteReference w:id="612"/>
      </w:r>
      <w:r>
        <w:rPr>
          <w:rFonts w:ascii="Amiri" w:hAnsi="Amiri" w:eastAsia="Amiri" w:cs="Amiri"/>
          <w:color w:val="111111"/>
          <w:sz w:val="28"/>
          <w:sz w:val="28"/>
          <w:szCs w:val="28"/>
          <w:rtl w:val="true"/>
          <w:lang w:bidi="ar-SA"/>
        </w:rPr>
        <w:t xml:space="preserve">، و التدبّر في الآيات يعطي أنّهم جمع من عباد اللّه من غير الملائكة، هم أرفع مقاما و أعلى منزلة من </w:t>
      </w:r>
      <w:bookmarkStart w:id="591" w:name="pg16351_181182"/>
    </w:p>
    <w:p>
      <w:pPr>
        <w:pStyle w:val="BookText"/>
        <w:rPr/>
      </w:pPr>
      <w:bookmarkEnd w:id="591"/>
      <w:r>
        <w:rPr>
          <w:rFonts w:ascii="Amiri" w:hAnsi="Amiri" w:eastAsia="Amiri" w:cs="Amiri"/>
          <w:color w:val="111111"/>
          <w:sz w:val="28"/>
          <w:sz w:val="28"/>
          <w:szCs w:val="28"/>
          <w:rtl w:val="true"/>
          <w:lang w:bidi="ar-SA"/>
        </w:rPr>
        <w:t>سائر الجمع، يعرفون عامة الفريقين، لهم أن يتكلموا بالحق يوم القيامة، و لهم أن يشهدوا، و لهم أن يشفعوا، و لهم أن يأمروا و يقضوا، كلّ ذلك بإذنه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تضافرت الروايات على أنّ المراد من الرجال هم الأئمة من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الأعراف أنّه سور بين الجنة و النار عليه رجال يعرفون كلاّ بسيماهم، و الرجال هم النبي و أوصياؤه</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6422420_1280447820"/>
      <w:bookmarkStart w:id="593" w:name="_Toc227"/>
      <w:bookmarkEnd w:id="592"/>
      <w:r>
        <w:rPr/>
        <w:t>8</w:t>
      </w:r>
      <w:r>
        <w:rPr>
          <w:rtl w:val="true"/>
        </w:rPr>
        <w:t xml:space="preserve"> - </w:t>
      </w:r>
      <w:r>
        <w:rPr>
          <w:rtl w:val="true"/>
        </w:rPr>
        <w:t>لواء الحمد</w:t>
      </w:r>
      <w:bookmarkEnd w:id="593"/>
    </w:p>
    <w:p>
      <w:pPr>
        <w:pStyle w:val="BookText"/>
        <w:rPr/>
      </w:pPr>
      <w:r>
        <w:rPr>
          <w:rFonts w:ascii="Amiri" w:hAnsi="Amiri" w:eastAsia="Amiri" w:cs="Amiri"/>
          <w:color w:val="111111"/>
          <w:sz w:val="28"/>
          <w:sz w:val="28"/>
          <w:szCs w:val="28"/>
          <w:rtl w:val="true"/>
          <w:lang w:bidi="ar-SA"/>
        </w:rPr>
        <w:t>إذا كان يوم القيامة، و حشر الناس على صعيد واحد، و تميّز الفريقان، يعطى النبي الأكرم لواء الحمد، و يتقدّم به و يأخذ مسيره و من خلفه إلى الجنة، و في روايات الإمامية أنّ النبي الأكرم يدفعه إلى وصيّه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غير واحد من الروايات ذكر لواء الحمد، و أنّه مكتوب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 هم الفائزون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يمشي عليّ و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لوائه حتى يدخل الجنة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حنبل في مسنده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على منبر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نبي إلاّ له دعوة قد تنجزها في الدنيا، و إنّي قد اختبأت دعوتي، شفاعة لأمتي، و أنا سيد ولد آدم يوم القيامة و لا فخر، و أنا أول من تنشق عنه الأرض و لا فخر، و بيدي لواء الحمد و لا فخر، آدم فمن دونه تحت لوائي و لا فخر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594" w:name="pg16351_181183"/>
    </w:p>
    <w:p>
      <w:pPr>
        <w:pStyle w:val="Heading5"/>
        <w:numPr>
          <w:ilvl w:val="4"/>
          <w:numId w:val="1"/>
        </w:numPr>
        <w:rPr/>
      </w:pPr>
      <w:bookmarkStart w:id="595" w:name="__RefHeading___Toc6422422_1280447820"/>
      <w:bookmarkStart w:id="596" w:name="_Toc228"/>
      <w:bookmarkEnd w:id="594"/>
      <w:bookmarkEnd w:id="595"/>
      <w:r>
        <w:rPr/>
        <w:t>9</w:t>
      </w:r>
      <w:r>
        <w:rPr>
          <w:rtl w:val="true"/>
        </w:rPr>
        <w:t xml:space="preserve"> - </w:t>
      </w:r>
      <w:r>
        <w:rPr>
          <w:rtl w:val="true"/>
        </w:rPr>
        <w:t>الحوض</w:t>
      </w:r>
      <w:bookmarkEnd w:id="596"/>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الحوض أنّه حق و أنّ الوالي عليه يوم القيامة أمير المؤمنين علي بن أبي طالب عليه السلام يسقي منه أولياءه، و يذود عنه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منه شربة لم يظمأ بعدها أبدا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الفريقان روايات حول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حازم عن سهل بن سعد، قال 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 شرب، و من شرب لم يظمأ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ليردنّ عليّ أقوام أعرفهم و يعرفونني، ثم يحال بينه و بينهم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الإمام الصادق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يتخلص من هول يوم القيامة فليتول وليّي، و ليتّبع وصيي و خليفتي من بعدي علي بن أبي طالب، فإنّه صاحب حوضي، يذود عنه أعداءه، و يسقي أولياءه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يسق منه لم يزل عطشانا و لم يرو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سقي منه شربة، لم يشق و لم يظمأ</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يوم الغدير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 على الحوض، فانظروا كيف تخلفوني في الثقلين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و الآخر الأصغر عترتي، و إن اللطيف الخبير نبّأني أنهما لن يفترقا حتى يردا عليّ الحوض، فلا تقدموهما فتهلكوا، و لا تقصروا عنهما فتهلكوا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597" w:name="pg16351_181184"/>
    </w:p>
    <w:p>
      <w:pPr>
        <w:pStyle w:val="BookText"/>
        <w:rPr/>
      </w:pPr>
      <w:bookmarkEnd w:id="597"/>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598" w:name="__RefHeading___Toc6422424_1280447820"/>
      <w:bookmarkStart w:id="599" w:name="_Toc229"/>
      <w:bookmarkEnd w:id="598"/>
      <w:r>
        <w:rPr>
          <w:rtl w:val="true"/>
        </w:rPr>
        <w:t>(</w:t>
      </w:r>
      <w:r>
        <w:rPr/>
        <w:t>10</w:t>
      </w:r>
      <w:r>
        <w:rPr>
          <w:rtl w:val="true"/>
        </w:rPr>
        <w:t xml:space="preserve">) </w:t>
      </w:r>
      <w:r>
        <w:rPr>
          <w:rtl w:val="true"/>
        </w:rPr>
        <w:t>المعاد الجسماني و الروحاني</w:t>
      </w:r>
      <w:bookmarkEnd w:id="599"/>
    </w:p>
    <w:p>
      <w:pPr>
        <w:pStyle w:val="Heading5"/>
        <w:numPr>
          <w:ilvl w:val="4"/>
          <w:numId w:val="1"/>
        </w:numPr>
        <w:rPr/>
      </w:pPr>
      <w:bookmarkStart w:id="600" w:name="__RefHeading___Toc6422426_1280447820"/>
      <w:bookmarkStart w:id="601" w:name="_Toc230"/>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قد تعرفت على الدلائل التي أفادت ضرورة وقوع المعاد، كما تعرفت على الآيات التي تشير إلى تلك الدلائل، لكن يقع الكلام في كيفية المعاد، و هل هو جسماني أو روحاني، أو جسماني و روحاني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بيان المراد من الجسمانية و الروحانية، نشير إلى كلمات تذكر الأقوال و الآراء الموجودة في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أقوال أهل العالم في أمر المعاد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ليس إلا للنفس، و هو مذهب الجمهور من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المعاد ليس إلا لهذا البدن، و هو قول نفاة النفس الناطقة، و هم أكثر أهل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المعاد للأمرين، و هم طائفة كبيرة من المسلمين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إعادة الأجسام خلافا للفلاسفة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الدواني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المعاد الجسماني هو المتبادر من إطلاق أهل الشرع، إذ </w:t>
      </w:r>
    </w:p>
    <w:p>
      <w:pPr>
        <w:pStyle w:val="BookText"/>
        <w:rPr/>
      </w:pPr>
      <w:r>
        <w:rPr>
          <w:rFonts w:ascii="Amiri" w:hAnsi="Amiri" w:eastAsia="Amiri" w:cs="Amiri"/>
          <w:color w:val="111111"/>
          <w:sz w:val="28"/>
          <w:sz w:val="28"/>
          <w:szCs w:val="28"/>
          <w:rtl w:val="true"/>
          <w:lang w:bidi="ar-SA"/>
        </w:rPr>
        <w:t>هو الذي يجب الاعتقاد به، و يكفر من أنكره، و هو حق، لشهادة نصوص القرآن في مواضع متعددة بحيث لا تقبل التأويل،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خَلْقٍ عَلِيمٌ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نزلت هذه الآية في أبيّ بن كعب فإنه خاصم رسول اللّه و أتاه بعظم قد رمّ و بلى، ففتّه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ترى اللّه يحيي هذه بعد ما 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يبعثك و يدخلك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مما يقلع عرق التأويل بالكلية، و لذلك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الجمع بين الإيمان بما جاء به النبي و إنكار الحشر الجسماني</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المحققون من الفلاسفة و المليّين على أحقّية المعاد، و ثبوت النشأة الباقية، لكنهم اختلفوا في كيفيته، فذهب جمهور الإسلاميين و عامة الفقهاء و أصحاب الحديث إلى أنه جسماني فقط، بناء على أنّ الروح عندهم جسم سار في البدن سريان النار في الفحم، و الماء في الورد، و الزيت في الزيتونة، و ذهب جمهور الفلاسفة و أتباع المشّائين إلى أنّه روحاني أي عقلي فقط لأنّ البدن ينعدم بصوره و أعراضه لقطع تعلق النفس بها، فلا يعاد بشخصه تارة أخرى، إذ المعدوم لا يعاد، و النفس جوهر باق لا سبيل للفناء إليه، فتعود إلى عالم المفارقات لقطع التعلقات بالموت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كثير من أكابر الحكماء و مشايخ العرفاء و جماعة من المتكلمين كالغزالي و الكعبي و الحليمي و الراغب الأصفهاني و كثير من أصحابنا الإمامية كالشيخ المفيد، و أبي جعفر الطوسي، و السيد المرتضى، و المحقق الطوسي، و العلامة الحلّي، رضوان اللّه تعالى عليهم أجمعين إلى القول بالمعادين، ذهابا إلى أنّ النفس مجرّدة تعود إلى البدن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القول بالمعاد الجسماني مما اتفق عليه جميع المليين و هو من ضروريات الدين و منكره خارج من عداد المسلمين، و الآيات الكريمة على ذلك ناصّة لا يعقل تأويلها، و الأخبار فيه متواترة لا يمكن ردّها و لا </w:t>
      </w:r>
      <w:bookmarkStart w:id="602" w:name="pg16351_181186"/>
    </w:p>
    <w:p>
      <w:pPr>
        <w:pStyle w:val="BookText"/>
        <w:rPr/>
      </w:pPr>
      <w:bookmarkEnd w:id="602"/>
      <w:r>
        <w:rPr>
          <w:rFonts w:ascii="Amiri" w:hAnsi="Amiri" w:eastAsia="Amiri" w:cs="Amiri"/>
          <w:color w:val="111111"/>
          <w:sz w:val="28"/>
          <w:sz w:val="28"/>
          <w:szCs w:val="28"/>
          <w:rtl w:val="true"/>
          <w:lang w:bidi="ar-SA"/>
        </w:rPr>
        <w:t>الطعن فيها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إن القضاء البات في هذه الآراء يتوقف على معرفة ملاك توصيف المعاد بالجسماني و الروحاني، و إليك بيانه</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6422428_1280447820"/>
      <w:bookmarkStart w:id="604" w:name="_Toc231"/>
      <w:bookmarkEnd w:id="603"/>
      <w:r>
        <w:rPr>
          <w:rtl w:val="true"/>
        </w:rPr>
        <w:t>ملاك كون المعاد جسمانيا أو روحانيا</w:t>
      </w:r>
      <w:bookmarkEnd w:id="604"/>
    </w:p>
    <w:p>
      <w:pPr>
        <w:pStyle w:val="BookText"/>
        <w:rPr/>
      </w:pPr>
      <w:r>
        <w:rPr>
          <w:rFonts w:ascii="Amiri" w:hAnsi="Amiri" w:eastAsia="Amiri" w:cs="Amiri"/>
          <w:color w:val="111111"/>
          <w:sz w:val="28"/>
          <w:sz w:val="28"/>
          <w:szCs w:val="28"/>
          <w:rtl w:val="true"/>
          <w:lang w:bidi="ar-SA"/>
        </w:rPr>
        <w:t>إن لتوصيف المعاد بالجسماني أو الروحاني، أو هما معا، ملاكين،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اتخاذ موقف حاسم في حقيقة الإنسان، و أنّها ما هي، فلو قلنا بأن الإنسان عبارة عن هذا الهيكل الجسماني، و ليس للروح حقيقة وراء التفاعلات و الانفعالات المادية الفيزيائية و الكيميائية، و هي سارية في البدن سريان النار في الفحم، و الماء في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للقائل بالمعاد من توصيفه بكونه جسمانيا فقط، إذ ليس هناك وراء الجسم، و التأثير الماديين، شيء آخر حتى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وراء الجسم، و وراء التفاعلات المادية، جوهر حقيقي مدرك، له تعلق بالبدن، تعلّقا تدبيريا ما دامت العلقة باقية، فإذا زالت يكون له البقاء و لا يتطرق إليه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بذلك، ثم قلنا بأنّه سبحانه يبعث الروح مع البدن، فالمعاد يكون جسمانيا من جهة، و روحانيا من جهة أخرى، لكون المبعوث ممزوجا من شيئين و مؤلّفا من أمرين، و لكل معاد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قلنا بأنّ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مفارقتها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إليه، لعلة ما، فعندئذ تبعث الروح وحدها من دون تعلّقها بالبدن، فيكون المعاد روحانيا فقط، و هذا الملاك هو الذي يلوح من كلام صدر المتألهين، و صهره عبد الرزّاق اللاهيجي</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ملاكا آخر لكون المعاد جسمانيا، و روحانيا، يلوح ذلك من كلمات الشيخ الرئيس، و هو تقسيم المعاد إلى الجسماني و الروحاني، حسب الثواب و العقاب الموعودين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إنّ العذاب و العقاب ينحصر ان بالجسماني منهما، كنعيم الجنّة و حرّ الجحيم، فيكون المعاد جسمانيا، فقط، و أما لو قلنا بأنّ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ثوابا و عقابا عقليين لا يمتّان إلى البدن بصلة، بل يلتذ و يعاقب بهما الروح فقط، فيكون المعاد، وراء كونه جسمانيا، روحانيا أيضا،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التذاذ النفس و تألّمها باللذات و الآلام العقلية، فهذا ملاك كون المعاد، روحانيا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يعلم أنّ المعاد منه ما هو مقبول من الشرع، و لا سبيل إلى إثباته إلا من طريق الشريعة و تصديق خبر النبوة، و هو الذي للبدن عند البعث، و خيراته و شروره معلوم لا يحتاج إلى أن يعلم، و قد بسطت الشريعة الحقّة التي أتانا بها سيدنا و مولانا محمد صلى اللّه عليه و آله، حال السعادة و الشقاء التي بحسب البدن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ما هو معلوم مدرك بالعقل و القياس البرهاني، و قد صدقته النبوة و هو السعادة و الشقاوة الثابتتان بالقياس إلى نفس الأمر، و إن كانت الأوهام منّا تقصر عن تصورهما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الحكماء الإلهيون، رغبتهم في إصابة هذه السعادة أكثر من رغبتهم في إصابة السعادة البدنية، بل كأنهم لا يتلفتون إلى تلك و إن أعطوها، فلا يستعظمونها في جنب السعادة التي هي مقاربة الحق الأول</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605" w:name="pg16351_181188"/>
    </w:p>
    <w:p>
      <w:pPr>
        <w:pStyle w:val="BookText"/>
        <w:rPr/>
      </w:pPr>
      <w:bookmarkEnd w:id="605"/>
      <w:r>
        <w:rPr>
          <w:rFonts w:ascii="Amiri" w:hAnsi="Amiri" w:eastAsia="Amiri" w:cs="Amiri"/>
          <w:color w:val="111111"/>
          <w:sz w:val="28"/>
          <w:sz w:val="28"/>
          <w:szCs w:val="28"/>
          <w:rtl w:val="true"/>
          <w:lang w:bidi="ar-SA"/>
        </w:rPr>
        <w:t>و قال الإمام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القائلون بالمعاد الروحاني و الجسماني معا، فقد أرادوا أن يجمعوا بين الحكمة و الشريعة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العقل على أنّ سعادة الأرواح بمعرفة اللّه تعالى و محبّته، و أنّ سعادة الأجساد في إدراك المحسوسات، و الجمع بين هاتين السعادتين في هذه الحياة غير ممكن، لأن الإنسان مع استغراقه في تجلّي أنوار عالم القدس، لا يمكنه أن يلتفت إلى شيء من اللذات الروحانية، و إنما تعذر هذا الجمع، لكون الأرواح البشرية ضعيفة في هذا العالم، فإذا فارقت بالموت، و استمدت من عالم القدس و الطهارة، قويت و صارت قادرة على الجمع بين الأمرين، و لا شبهة في أنّ هذه الحالة هي الحالة القصوى من مراتب السعادات</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الحكيم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الفحل و الرأي الجزل، هو الجمع بين المعادين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الإنسان بدن و نفس، و إن شئت قلت نفس و عقل، فللبدن كمال، و مجازاة، و للنفس كمال و مجازة و كذا للنفس و قواها الجزئية كمالات و غايات تناسبها و للعقل و القوى الكلية كمال و غاية، و لأنّ أكثر الناس لا يناسبهم الغايات الروحانية العقلية، فيلزم التعطيل في حقهم في القول بالروحاني فقط، و في القول بالجسماني فقط يلزم في الأقلين من الخواص و الأخصّين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6422430_1280447820"/>
      <w:bookmarkStart w:id="607" w:name="_Toc232"/>
      <w:bookmarkEnd w:id="606"/>
      <w:r>
        <w:rPr>
          <w:rtl w:val="true"/>
        </w:rPr>
        <w:t>تحليل الملاكين في ضوء القرآن الكريم</w:t>
      </w:r>
      <w:bookmarkEnd w:id="607"/>
    </w:p>
    <w:p>
      <w:pPr>
        <w:pStyle w:val="Heading6"/>
        <w:numPr>
          <w:ilvl w:val="5"/>
          <w:numId w:val="1"/>
        </w:numPr>
        <w:rPr/>
      </w:pPr>
      <w:bookmarkStart w:id="608" w:name="__RefHeading___Toc6422432_1280447820"/>
      <w:bookmarkStart w:id="609" w:name="_Toc233"/>
      <w:bookmarkEnd w:id="608"/>
      <w:r>
        <w:rPr>
          <w:rtl w:val="true"/>
        </w:rPr>
        <w:t>اشارة</w:t>
      </w:r>
      <w:bookmarkEnd w:id="6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الملاك في توصيف المعاد بالجسماني أو الروحاني هو كون المحشور هو الجسم الحي وحده أو الروح وحدها، فالقرآن الكريم يصدّق الأول و ينكر الثاني، و ذلك أنّ من أمعن النظر في الآيات الواردة حول المعاد يقف على أنّ المعاد </w:t>
      </w:r>
    </w:p>
    <w:p>
      <w:pPr>
        <w:pStyle w:val="BookText"/>
        <w:rPr/>
      </w:pPr>
      <w:r>
        <w:rPr>
          <w:rFonts w:ascii="Amiri" w:hAnsi="Amiri" w:eastAsia="Amiri" w:cs="Amiri"/>
          <w:color w:val="111111"/>
          <w:sz w:val="28"/>
          <w:sz w:val="28"/>
          <w:szCs w:val="28"/>
          <w:rtl w:val="true"/>
          <w:lang w:bidi="ar-SA"/>
        </w:rPr>
        <w:t>الذي يصر عليه القرآن هو عود البدن الذي كان الإنسان يعيش به في هذه الدنيا، و لا يصدّق عود الروح وحدها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من ملاحظة أصناف الآيات الواردة حول المعاد، و نحن نأتي فيما يلي بلفيف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في قصة إبراهيم و بقرة بني إسرائيل و إحياء عزير، و أمّة من بني إسرائيل و أصحاب الكهف</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تصرح بأنّ الإنسان خلق من الأرض و إليها يعاد، و منها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 يُخْرِجُكُمْ إِخْرٰاجاً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دَعٰاكُمْ دَعْوَةً مِنَ اَلْأَرْضِ إِذٰا أَنْتُمْ تَخْرُجُونَ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التي تدل على أنّ الحشر عبارة عن الخروج من الأجداث و القبور،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مِنَ اَلْأَجْدٰاثِ إِلىٰ رَبِّهِمْ يَنْسِلُونَ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اَلْأَجْدٰاثِ كَأَنَّهُمْ جَرٰادٌ مُنْتَشِرٌ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w:t>
      </w:r>
    </w:p>
    <w:p>
      <w:pPr>
        <w:pStyle w:val="BookText"/>
        <w:rPr/>
      </w:pPr>
      <w:r>
        <w:rPr>
          <w:rFonts w:ascii="Amiri" w:hAnsi="Amiri" w:eastAsia="Amiri" w:cs="Amiri"/>
          <w:color w:val="111111"/>
          <w:sz w:val="28"/>
          <w:sz w:val="28"/>
          <w:szCs w:val="28"/>
          <w:rtl w:val="true"/>
          <w:lang w:bidi="ar-SA"/>
        </w:rPr>
        <w:t xml:space="preserve">يُوفِضُونَ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يَبْعَثُ مَنْ فِي اَلْقُبُورِ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يَعْلَمُ إِذٰا بُعْثِرَ مٰا فِي اَلْقُبُورِ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شهادة الأعضاء،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بِمٰا كٰانُوا يَعْمَلُونَ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تُكَلِّمُنٰا أَيْدِيهِمْ وَ تَشْهَدُ أَرْجُلُهُمْ بِمٰا كٰانُوا يَكْسِبُونَ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يدل على تبديل الجلود بعد نضجها و تقطّع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سُقُوا مٰاءً حَمِيماً، فَقَطَّعَ أَمْعٰاءَهُمْ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الآيات الواردة في مواقف القيامة، و مشاهدها، و نعيم الجنة و عذاب الجحيم، التي لا تدع لمريب ريبا في أنّ الإنسان سوف يبعث بهذا </w:t>
      </w:r>
      <w:bookmarkStart w:id="610" w:name="pg16351_181191"/>
    </w:p>
    <w:p>
      <w:pPr>
        <w:pStyle w:val="BookText"/>
        <w:rPr/>
      </w:pPr>
      <w:bookmarkEnd w:id="610"/>
      <w:r>
        <w:rPr>
          <w:rFonts w:ascii="Amiri" w:hAnsi="Amiri" w:eastAsia="Amiri" w:cs="Amiri"/>
          <w:color w:val="111111"/>
          <w:sz w:val="28"/>
          <w:sz w:val="28"/>
          <w:szCs w:val="28"/>
          <w:rtl w:val="true"/>
          <w:lang w:bidi="ar-SA"/>
        </w:rPr>
        <w:t>البدن العنصري الذي تكون له الحياة بالنحو الذي كانت له في الدنيا، و هذا مما لا نشك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الملاك الأوّل، و إليك البحث في الملاك الثاني الذي حاصله أنّ اتصاف المعاد بالجسماني أو الروحاني، يرجع إلى كون الثواب و العقاب جسمانيين فقط، أو أنّ هناك لذات و آلام روحية تلتذ بها النفس أو تتألّم، و لا دخالة للجسم في حصول اللّذة و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يصدّق كلا المعادين بهذا الملاك حيث يثبت اللذات و الآلام الجسمانية و الروحانية، و لا يخص الثواب و العقاب بما يعرض للنفس عن طريق البدن، و بواسطته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يدل على الثواب و العقاب الجسمانيين، فحدّث عنه و لا حرج، فالجنة و النار و ما فيهما من النعم و النقم يرجعان إلى اللذات و الآلام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فيما يدل من الآيات على اللذات و الآلام الروحية فقط، و فيما يلي نذكر بعضا منها</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6422434_1280447820"/>
      <w:bookmarkStart w:id="612" w:name="_Toc234"/>
      <w:bookmarkEnd w:id="611"/>
      <w:r>
        <w:rPr/>
        <w:t>1</w:t>
      </w:r>
      <w:r>
        <w:rPr>
          <w:rtl w:val="true"/>
        </w:rPr>
        <w:t xml:space="preserve"> - </w:t>
      </w:r>
      <w:r>
        <w:rPr>
          <w:rtl w:val="true"/>
        </w:rPr>
        <w:t>لذة رضاء المعبود</w:t>
      </w:r>
      <w:bookmarkEnd w:id="612"/>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أنه سبحانه يجعل رضوان اللّه في مقابل سائر اللّذات الجسمانية، و يصفه بكونه أكبر من الأولى، و أنّه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النوع من اللّذة لا يرجع إلى الجسم، بل هي لذّة تدرك بالعقل، و الروح في درجتها القصوى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كلمة مروية عن الإمام الطاهر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أهل </w:t>
      </w:r>
      <w:bookmarkStart w:id="613" w:name="pg16351_181192"/>
    </w:p>
    <w:p>
      <w:pPr>
        <w:pStyle w:val="BookText"/>
        <w:rPr/>
      </w:pPr>
      <w:bookmarkEnd w:id="613"/>
      <w:r>
        <w:rPr>
          <w:rFonts w:ascii="Amiri" w:hAnsi="Amiri" w:eastAsia="Amiri" w:cs="Amiri"/>
          <w:color w:val="111111"/>
          <w:sz w:val="28"/>
          <w:sz w:val="28"/>
          <w:szCs w:val="28"/>
          <w:rtl w:val="true"/>
          <w:lang w:bidi="ar-SA"/>
        </w:rPr>
        <w:t>الجنة، و دخل وليّ اللّه إلى جنانه و مساكنه، و اتكأ كل مؤمن منهم على أريكته، حفته خدّامه و تهدلت عليه الثمار، و تفجرت حوله العيون، و جرت من تحته الأنهار، و بسطت له الزرابي، و صففت له النمارق و أتته الخدام بما شاءت شهوته من قبل أن يسألهم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يخرجون عليهم الحور العين من الجنان فيمكثون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الجبار يشرف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أوليائي و أهل طاعتي و سكان جنتي في جواري، هل أنبئكم بخير مما أنتم فيه، فيقولون ربنا و أي شيء خير مما نحن فيه، نحن فيما اشتهت أنفسنا، و لذّت أعيننا من النعم في جوار الكريم، قال فيعود عليهم بالقول،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فائتنا بخير مما نحن فيه، فيقول لهم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عنكم و محبّتي لكم خير و أعظم مما أنتم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نعم يا ربنا، رضاك عنا و محبتك لنا خير لنا و أطيب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علي بن الحسين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4" w:name="__RefHeading___Toc6422436_1280447820"/>
      <w:bookmarkStart w:id="615" w:name="_Toc235"/>
      <w:bookmarkEnd w:id="614"/>
      <w:r>
        <w:rPr/>
        <w:t>2</w:t>
      </w:r>
      <w:r>
        <w:rPr>
          <w:rtl w:val="true"/>
        </w:rPr>
        <w:t xml:space="preserve"> - </w:t>
      </w:r>
      <w:r>
        <w:rPr>
          <w:rtl w:val="true"/>
        </w:rPr>
        <w:t>ألم الابتعاد عن رحمة اللّه؟</w:t>
      </w:r>
      <w:bookmarkEnd w:id="615"/>
    </w:p>
    <w:p>
      <w:pPr>
        <w:pStyle w:val="BookText"/>
        <w:rPr/>
      </w:pPr>
      <w:r>
        <w:rPr>
          <w:rFonts w:ascii="Amiri" w:hAnsi="Amiri" w:eastAsia="Amiri" w:cs="Amiri"/>
          <w:color w:val="111111"/>
          <w:sz w:val="28"/>
          <w:sz w:val="28"/>
          <w:szCs w:val="28"/>
          <w:rtl w:val="true"/>
          <w:lang w:bidi="ar-SA"/>
        </w:rPr>
        <w:t>إذا كان إدراك رضوان المعبود أعظم اللذات العقلية، فإدراك الابتعاد عن رحمة اللّه التي وسعت كلّ شيء، من أعظم الآلام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أنّه سبحانه يوعد المنافقين و الكفار بالنّار، و يعقّبه بلعنهم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هناك ألمين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هو التعذيب بالنار، و عقلي، و هو إدراكهم ألم الابتعاد عن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وَ لَعَنَهُمُ اَللّٰهُ وَ لَهُمْ عَذٰابٌ مُقِيمٌ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عظم هذا الألم، بوقوع هذه الآية قبل آية الرضوان فكأنّ الآيتين </w:t>
      </w:r>
      <w:bookmarkStart w:id="616" w:name="pg16351_181193"/>
    </w:p>
    <w:p>
      <w:pPr>
        <w:pStyle w:val="BookText"/>
        <w:rPr/>
      </w:pPr>
      <w:bookmarkEnd w:id="616"/>
      <w:r>
        <w:rPr>
          <w:rFonts w:ascii="Amiri" w:hAnsi="Amiri" w:eastAsia="Amiri" w:cs="Amiri"/>
          <w:color w:val="111111"/>
          <w:sz w:val="28"/>
          <w:sz w:val="28"/>
          <w:szCs w:val="28"/>
          <w:rtl w:val="true"/>
          <w:lang w:bidi="ar-SA"/>
        </w:rPr>
        <w:t>تعربان عن اللذات و الآلام العقلية التي تدركها الروح بلا حاجة إلى الجسم و البدن</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6422438_1280447820"/>
      <w:bookmarkStart w:id="618" w:name="_Toc236"/>
      <w:bookmarkEnd w:id="617"/>
      <w:r>
        <w:rPr/>
        <w:t>3</w:t>
      </w:r>
      <w:r>
        <w:rPr>
          <w:rtl w:val="true"/>
        </w:rPr>
        <w:t xml:space="preserve"> - </w:t>
      </w:r>
      <w:r>
        <w:rPr>
          <w:rtl w:val="true"/>
        </w:rPr>
        <w:t>الحسرة يوم القيامة</w:t>
      </w:r>
      <w:bookmarkEnd w:id="618"/>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تَبَرَّؤُا مِنّٰا كَذٰلِكَ يُرِيهِمُ اَللّٰهُ أَعْمٰالَهُمْ حَسَرٰاتٍ عَلَيْهِمْ، وَ مٰا هُمْ بِخٰارِجِينَ مِنَ اَلنّٰارِ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أصحاب الجحيم عند ما يقفون على درجات الجنة و مقامات أصحابها، و ما حلّ بهم من السعادة و الكرامة و الراحة و الاستظلال برحمة اللّه تبارك و تعالى، و تفرغهم عن كل همّ و حزن، ثم ينظرون إلى ما حلّ بهم من عذاب أليم، و طعام من غسلين</w:t>
      </w:r>
      <w:r>
        <w:rPr>
          <w:rStyle w:val="FootnoteAnchor"/>
          <w:rtl w:val="true"/>
        </w:rPr>
        <w:footnoteReference w:id="650"/>
      </w:r>
      <w:r>
        <w:rPr>
          <w:rFonts w:ascii="Amiri" w:hAnsi="Amiri" w:eastAsia="Amiri" w:cs="Amiri"/>
          <w:color w:val="111111"/>
          <w:sz w:val="28"/>
          <w:sz w:val="28"/>
          <w:szCs w:val="28"/>
          <w:rtl w:val="true"/>
          <w:lang w:bidi="ar-SA"/>
        </w:rPr>
        <w:t>، و ضريع</w:t>
      </w:r>
      <w:r>
        <w:rPr>
          <w:rStyle w:val="FootnoteAnchor"/>
          <w:rtl w:val="true"/>
        </w:rPr>
        <w:footnoteReference w:id="651"/>
      </w:r>
      <w:r>
        <w:rPr>
          <w:rFonts w:ascii="Amiri" w:hAnsi="Amiri" w:eastAsia="Amiri" w:cs="Amiri"/>
          <w:color w:val="111111"/>
          <w:sz w:val="28"/>
          <w:sz w:val="28"/>
          <w:szCs w:val="28"/>
          <w:rtl w:val="true"/>
          <w:lang w:bidi="ar-SA"/>
        </w:rPr>
        <w:t>، و شراب من حميم</w:t>
      </w:r>
      <w:r>
        <w:rPr>
          <w:rStyle w:val="FootnoteAnchor"/>
          <w:rtl w:val="true"/>
        </w:rPr>
        <w:footnoteReference w:id="652"/>
      </w:r>
      <w:r>
        <w:rPr>
          <w:rFonts w:ascii="Amiri" w:hAnsi="Amiri" w:eastAsia="Amiri" w:cs="Amiri"/>
          <w:color w:val="111111"/>
          <w:sz w:val="28"/>
          <w:sz w:val="28"/>
          <w:szCs w:val="28"/>
          <w:rtl w:val="true"/>
          <w:lang w:bidi="ar-SA"/>
        </w:rPr>
        <w:t>، يتحسرون على ما ضيّعوا من الفرض، و يندمون على ما فوّتوا في الدنيا و فرطوا في حياتهم، و لكنها الحسرة في وقت لا تنفع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النفس مما يحل بها من عذاب البدن، و لأجل ذلك يسمى يوم القيامة بيوم الحسرة،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قيل يا أهل الجنة، فيشرئبون و ينظرون، و قيل يا أهل النار، فيشرئبون و ينظرون، فيجاء بالموت، كأنّه كبش أملح،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الموت،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قد عرفه، </w:t>
      </w:r>
      <w:bookmarkStart w:id="619" w:name="pg16351_181194"/>
    </w:p>
    <w:p>
      <w:pPr>
        <w:pStyle w:val="BookText"/>
        <w:rPr/>
      </w:pPr>
      <w:bookmarkEnd w:id="6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فيذبح،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فلا موت، و يا أهل النار خلود فلا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الإمامين الصادقين عليهما السلام، بزيادة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فيفرح أهل الجنة فرحا، لو كان أحد يومئذ ميتا، لماتوا فرحا، و يشهق أهل النار شهقة، لو كان أحد ميّتا، لماتوا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0" w:name="__RefHeading___Toc6422440_1280447820"/>
      <w:bookmarkStart w:id="621" w:name="_Toc237"/>
      <w:bookmarkEnd w:id="620"/>
      <w:r>
        <w:rPr/>
        <w:t>4</w:t>
      </w:r>
      <w:r>
        <w:rPr>
          <w:rtl w:val="true"/>
        </w:rPr>
        <w:t xml:space="preserve"> - </w:t>
      </w:r>
      <w:r>
        <w:rPr>
          <w:rtl w:val="true"/>
        </w:rPr>
        <w:t>لقاء اللّه و مشاهدته العقلية</w:t>
      </w:r>
      <w:bookmarkEnd w:id="621"/>
    </w:p>
    <w:p>
      <w:pPr>
        <w:pStyle w:val="BookText"/>
        <w:rPr/>
      </w:pPr>
      <w:r>
        <w:rPr>
          <w:rFonts w:ascii="Amiri" w:hAnsi="Amiri" w:eastAsia="Amiri" w:cs="Amiri"/>
          <w:color w:val="111111"/>
          <w:sz w:val="28"/>
          <w:sz w:val="28"/>
          <w:szCs w:val="28"/>
          <w:rtl w:val="true"/>
          <w:lang w:bidi="ar-SA"/>
        </w:rPr>
        <w:t>إن هناك لفيفا من الآيات تعرب عن تمكن المؤمن من لقائه سبحانه يوم القيامة،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الوافرة تشير إلى لقائه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له سبحانه عن الجسم و الجسمانيات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أوّلوها إلى لقاء جزائه سبحانه و ثوابه و عقابه، و رضاه و سخطه، و هذا المعنى مع صحته في نفسه، و مع التركيز على تنزيهه سبحانه عن المشاهدة بالعيون المادية، لا يمكن أن يكون معربا عن كلّ ما تهدف إليه الآية، فإن لهذه الآيات معنى دقيقا يدركه العارفون الراسخون في معرفته سبحانه، القائلين بأنّ المعرفة، بذر المشاهدة، لكن لا مشاهدة جسمانية، بل مشاهدة قلبية و عقلية، و لمّا كان بيان هذا النوع من اللّذة العقلية، خارجا عن موضوع الكتاب نقتصر على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التفصيل فليرجع إلى محله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622" w:name="pg16351_181195"/>
    </w:p>
    <w:p>
      <w:pPr>
        <w:pStyle w:val="Heading5"/>
        <w:numPr>
          <w:ilvl w:val="4"/>
          <w:numId w:val="1"/>
        </w:numPr>
        <w:rPr/>
      </w:pPr>
      <w:bookmarkStart w:id="623" w:name="__RefHeading___Toc6422442_1280447820"/>
      <w:bookmarkStart w:id="624" w:name="_Toc238"/>
      <w:bookmarkEnd w:id="622"/>
      <w:bookmarkEnd w:id="623"/>
      <w:r>
        <w:rPr>
          <w:rtl w:val="true"/>
        </w:rPr>
        <w:t>المعاد الروحاني عند الحكماء</w:t>
      </w:r>
      <w:bookmarkEnd w:id="624"/>
    </w:p>
    <w:p>
      <w:pPr>
        <w:pStyle w:val="BookText"/>
        <w:rPr/>
      </w:pPr>
      <w:r>
        <w:rPr>
          <w:rFonts w:ascii="Amiri" w:hAnsi="Amiri" w:eastAsia="Amiri" w:cs="Amiri"/>
          <w:color w:val="111111"/>
          <w:sz w:val="28"/>
          <w:sz w:val="28"/>
          <w:szCs w:val="28"/>
          <w:rtl w:val="true"/>
          <w:lang w:bidi="ar-SA"/>
        </w:rPr>
        <w:t>قد وقفت على تضافر آيات الكتاب و أحاديث السنّة على عدم حصر المعاد في الجسماني، كما تعرفت على حكم العقل في ذلك المجال، و أنّ حصره في المعاد الجسماني يخالف رحمة اللّه الواسعة و حكمته البالغة، و على ذلك فالشرع و العقل متعاضدان على أنّ هناك معادا غير المعاد الجسماني، و لكن يجب إلفات نظر الباحث في المقام إلى نكتة و هي أنّ المعاد الروحاني في الكتاب و السنّة يرجع إلى اللذات و الآلام الروحية التي تلتذ بها النفس أو تتألم من دون حاجة إلى آلة 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هو الوارد في الكتاب في هذا المجال من رضوانه سبحانه و لقائه و الابتعاد عن رحمته و إحاطة الحسرة بالإنسان في تلك النشأة، فهذه هي حقيقة المعاد الروحاني التي تتلخص في غير اللذات و الآلام الجسمانية، و على هذا فهو يعمّ جميع أهل الجنة و النار من غير فرق بين الكاملين و المتوسطين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الجملة هناك لذّات روحية و آلام كذلك تحيط أهل الجنّة و النار من غير فرق بين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المعاد الروحاني عند الحكماء، فهو يختلف عمّا وقفنا عليه في الكتاب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يخصّون المعاد الروحاني باللذات العقلية أي درك العقل الأمور الملائمة و المنافرة له، فإن اللذة عندهم على وجه الإطلاق تفسّر بإدراك الملائم من حيث هو ملائم، كالحلو من المذوقات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الملائم للنفس الناطقة، إدراك المعقولات بأن تتمكن النفس من تصوّر ما يمكن أن يدرك من الحق تعالى، و أنه واجب الوجود، بريء عن النقائص و الشرور و الآفات، منبع فيضان الخير على الوجه الأصوب، ثم إدراك ما يترتب بعده من العقول و النفوس المجرّدة و الأجرام السماوية و الكائنات العنصرية حتى تصير النفس بحيث ترتسم فيها صور جميع الموجودات على الترتيب الذي 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فإدراك الحس، الملائم للحس، معاد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إدراك العقل، الملائم له، من الوجودات العالية، معاد روحاني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العلوم و إن كانت حاصلة لبعض النفوس في هذه النشأة إلا أنّها معرفة </w:t>
      </w:r>
    </w:p>
    <w:p>
      <w:pPr>
        <w:pStyle w:val="BookText"/>
        <w:rPr/>
      </w:pPr>
      <w:r>
        <w:rPr>
          <w:rFonts w:ascii="Amiri" w:hAnsi="Amiri" w:eastAsia="Amiri" w:cs="Amiri"/>
          <w:color w:val="111111"/>
          <w:sz w:val="28"/>
          <w:sz w:val="28"/>
          <w:szCs w:val="28"/>
          <w:rtl w:val="true"/>
          <w:lang w:bidi="ar-SA"/>
        </w:rPr>
        <w:t>ناقصة تتجلى بعد الموت في النشأة الأخرى بصورة كاملة برفع الموانع و الحجب، فكأنّ المعرفة العقلية بذر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فتلتذ النفوس في النشأة الأخرى بإدراك الأكمل فالأكمل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ترى غير ما أشار إليه القرآن من اللذات الروحية، نعم لا مانع من ثبوت كلا النوعين من المعاد الروحاني، و ليس الوارد في القرآن رادا لهذا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 الروحاني الوارد في القرآن الكريم يعمّ جميع النفوس، كاملة كانت أو متوسطة أو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المعاد الروحاني الذي عليه الحكماء يختص بصنف خاص، و هم الكاملون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المعاد الروحاني حسب الكتاب و السنة، يرجع إلى اللذائذ الروحية لا إلى اللذة العقلية التي تختص بالكاملين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النوع من اللذة و السعادة لا تنالها كل نفس و إنما ينالها من عرف العقليات في النشأة الأولى، لأن المعرفة بذر المشاهدة فمعرفة العقليات في النشأة الأولى منشأ الحضور في العقبى</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النفوس مختلفة و منقسمة إلى كاملة و متوسطة و ناقصة، فلا شك أنّ حصر المعاد في الجسماني يخالف رحمته الواسعة و حكمته البالغة إذ النفوس الناقصة و المتوسطة، و إن كانت تلتذ بنعيم الجنة، و لكن النفوس الكاملة لا تلتفت إلى مثلها بل تطلب غاية أعلى منها، و لأجل ذلك يجب أن يكون هناك وراء هذه اللذات الحسية، لذة عقلية تتشوق إليها النفوس الكاملة و تصبو إليها، و ليست هي إلا نيل مقامات القرب من الحق تعالى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حصروا المعاد في الجسماني لكان قصورا حيث عطّلوا النفوس الكاملة عن البلوغ إلى غاياتها، لأنها المستصغرة للغايات الجزئية، الطالبة للاتصال بالأرواح المرسلة، بل لمحض القرب من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طبقات فالمجازات متفاوتة، فكل منها محبوب و مرغوب و جزاء يليق بحالها، و اللذائذ الحسية للكمل في العلم و العمل، كالظلّ غير الملتفت إليه بالذات، و التفاتهم بباطن ذواتهم و ما فوقهم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للحكماء المتألهين في تبيين السعادة و الشقاء الأخرويين العقليين مباحث مهمة لا سيما في تبيين دور العقل النظري و العملي فيهما فمن أراد الوقوف عليها، فليرجع إلى مظانها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625" w:name="pg16351_181198"/>
    </w:p>
    <w:p>
      <w:pPr>
        <w:pStyle w:val="BookText"/>
        <w:rPr/>
      </w:pPr>
      <w:bookmarkEnd w:id="625"/>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626" w:name="__RefHeading___Toc6422444_1280447820"/>
      <w:bookmarkStart w:id="627" w:name="_Toc239"/>
      <w:bookmarkEnd w:id="626"/>
      <w:r>
        <w:rPr>
          <w:rtl w:val="true"/>
        </w:rPr>
        <w:t>(</w:t>
      </w:r>
      <w:r>
        <w:rPr/>
        <w:t>11</w:t>
      </w:r>
      <w:r>
        <w:rPr>
          <w:rtl w:val="true"/>
        </w:rPr>
        <w:t xml:space="preserve">) </w:t>
      </w:r>
      <w:r>
        <w:rPr>
          <w:rtl w:val="true"/>
        </w:rPr>
        <w:t>الرجعة</w:t>
      </w:r>
      <w:bookmarkEnd w:id="627"/>
    </w:p>
    <w:p>
      <w:pPr>
        <w:pStyle w:val="Heading5"/>
        <w:numPr>
          <w:ilvl w:val="4"/>
          <w:numId w:val="1"/>
        </w:numPr>
        <w:rPr/>
      </w:pPr>
      <w:bookmarkStart w:id="628" w:name="__RefHeading___Toc6422446_1280447820"/>
      <w:bookmarkStart w:id="629" w:name="_Toc240"/>
      <w:bookmarkEnd w:id="628"/>
      <w:r>
        <w:rPr>
          <w:rtl w:val="true"/>
        </w:rPr>
        <w:t>اشارة</w:t>
      </w:r>
      <w:bookmarkEnd w:id="629"/>
    </w:p>
    <w:p>
      <w:pPr>
        <w:pStyle w:val="BookText"/>
        <w:rPr/>
      </w:pPr>
      <w:r>
        <w:rPr>
          <w:rFonts w:ascii="Amiri" w:hAnsi="Amiri" w:eastAsia="Amiri" w:cs="Amiri"/>
          <w:color w:val="111111"/>
          <w:sz w:val="28"/>
          <w:sz w:val="28"/>
          <w:szCs w:val="28"/>
          <w:rtl w:val="true"/>
          <w:lang w:bidi="ar-SA"/>
        </w:rPr>
        <w:t>قضية الرجعة التي تحدثت عنها بعض الآيات القرآنية و الأحاديث المروية عن أهل بيت الرسالة، مما تعتقد به الشيعة من بين الأمة الإسلامية، و ليس هذا بمعنى أنّ مبدأ الرجعة يعدّ واحدا من أصول الدين، و في مرتبة الاعتقاد باللّه و توحيده، و النبوة و المعاد بل إنها تعدّ من المسلّمات القطعية، و شأنها في ذلك شأن كثير من القضايا الفقهية و التاريخية التي لا سبيل إلى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كلمة الفقهاء على حرمة مسّ النساء في المحيض، بنص الكتاب العزيز 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الوثائق التاريخية على أنّ معركة بدر وقعت في السنة الثانية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قطعية فقهية، و الثانية قطعية تاريخية، و لكن لا يعدان من أصول العقائد الإسلامية، و شأن الرجعة في هذا المجال شأنهما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في اللّغة ترادف العودة، و تطلق اصطلاحا على عودة الحياة إلى مجموعة من الأموات بعد النهضة العالمية للإمام المهدي عليه السلام و هذه العودة تتم بالطبع قبل حلول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طبقا لهذا المبدأ، فالحديث عن العودة، يعدّ من أشراط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ذلك، فظهور الإمام المهدي عليه السلام شيء، و عودة الحياة إلى مجموعة من الأموات شيء آخر، كما أن البعث يوم القيامة أمر ثالث، فيجب تمييزها و عدم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يحشر قوما من أمة محمد صلى اللّه عليه و آله، بعد موتهم، قبل يوم القيامة، و هذا مذهب يختص به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القرآن شاهد به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المرتضى متحدثا عن الرجعة عند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الذي تذهب الشيعة الإمامية إليه، أنّ اللّه تعالى يعيد عند ظهور إمام الزمان، المهدي عليه السلام، قوما ممن كان قد تقدّم موته من شيعته ليفوزوا بثواب نصرته و معونته، و مشاهدة دولته، و يعيد أيضا قوما من أعدائه لينتقم منهم، فيلتذوا بما يشاهدون من ظهور الحق و علو كلمة أهله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الرجعة إنما هي لممحضي الإيمان من أهل الملّة، و ممحضي النفاق منهم، دون من سلف من الأمم الخالية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فالاعتقاد بالرجعة من الأمور القطعية المسلّم بها، و الروايات الكثيرة الواردة عن الأئمة المعصومين لا تبقي أي مجال للشك في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يشك مؤمن بحقّية الأئمة الأطهار فيما تواتر عنهم فيما يقرب من مائتي حديث صريح، رواها نيّف و ثلاثون من الثقات العظام، في أزيد من خمسين من مؤلفاتهم كثقة الإسلام الكليني و الصدوق و</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وصف الشيخ الحرّ العاملي الروايات المتعلّقة بالرجعة بأنها أكثر من أن </w:t>
      </w:r>
      <w:bookmarkStart w:id="630" w:name="pg16351_181200"/>
    </w:p>
    <w:p>
      <w:pPr>
        <w:pStyle w:val="BookText"/>
        <w:rPr/>
      </w:pPr>
      <w:bookmarkEnd w:id="630"/>
      <w:r>
        <w:rPr>
          <w:rFonts w:ascii="Amiri" w:hAnsi="Amiri" w:eastAsia="Amiri" w:cs="Amiri"/>
          <w:color w:val="111111"/>
          <w:sz w:val="28"/>
          <w:sz w:val="28"/>
          <w:szCs w:val="28"/>
          <w:rtl w:val="true"/>
          <w:lang w:bidi="ar-SA"/>
        </w:rPr>
        <w:t>تعد و تحصى و أنّها متواترة معنى</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كلمات كبار علماء الشيعة و محدثيهم حول الرجعة، و يقع الكلام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وقوعها في هذه الأمة</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6422448_1280447820"/>
      <w:bookmarkStart w:id="632" w:name="_Toc241"/>
      <w:bookmarkEnd w:id="631"/>
      <w:r>
        <w:rPr>
          <w:rtl w:val="true"/>
        </w:rPr>
        <w:t>المقام الأول</w:t>
      </w:r>
      <w:r>
        <w:rPr>
          <w:rtl w:val="true"/>
        </w:rPr>
        <w:t xml:space="preserve">: </w:t>
      </w:r>
      <w:r>
        <w:rPr>
          <w:rtl w:val="true"/>
        </w:rPr>
        <w:t>إمكان الرجعة</w:t>
      </w:r>
      <w:bookmarkEnd w:id="632"/>
    </w:p>
    <w:p>
      <w:pPr>
        <w:pStyle w:val="BookText"/>
        <w:rPr/>
      </w:pPr>
      <w:r>
        <w:rPr>
          <w:rFonts w:ascii="Amiri" w:hAnsi="Amiri" w:eastAsia="Amiri" w:cs="Amiri"/>
          <w:color w:val="111111"/>
          <w:sz w:val="28"/>
          <w:sz w:val="28"/>
          <w:szCs w:val="28"/>
          <w:rtl w:val="true"/>
          <w:lang w:bidi="ar-SA"/>
        </w:rPr>
        <w:t>يكفي في إمكان الرجعة، إمكان بعث الحياة من جديد يوم القيامة، فإنّ الرجعة و المعاد، ظاهرتان متماثلتان و من نوع واحد مع فارق أنّ الرجعة محدودة كيفا و كمّا، و تحدث قبل يوم القيامة، بينما يبعث جميع الناس يوم القيامة ليبدءوا حياتهم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فالاعتراف بإمكان بعث الحياة من جديد يوم القيامة، ملازم للاعتراف بإمكان الرجعة في حياتنا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حديثنا مع المسلمين الذين يعتبرون الإيمان بالمعاد من أصول شريعتهم، فلا بد لهؤلاء إذن من الاعتراف بإمكانية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قد وقعت الرجعة في الأمم السالفة كثيرا، و قد تحدثنا عنه عند ذكر شواهد من إحياء الموتى في الأمم السالفة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جماعة من بني إسرائيل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قتيل بني إسرائيل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633" w:name="pg16351_181201"/>
    </w:p>
    <w:p>
      <w:pPr>
        <w:pStyle w:val="BookText"/>
        <w:rPr/>
      </w:pPr>
      <w:bookmarkEnd w:id="63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ألوف من الناس و بعثهم من جديد</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عزير بعد مائة عام من موته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الموتى على يد عيسى عليه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وقوع الرجعة في الأمم السالفة، هل يبقى مجال للشك في إمكانها؟ و تصوّر أنّ الرجعة من قبيل التناسخ المحال عقلا، تصوّر باطل، لأنّ التناسخ عبارة عن رجوع الفعلية إلى القوة، و رجوع الإنسان إلى الدنيا عن طريق النطفة، و المرور بمراحل التكوّن البشري من جديد، ليصير إنسانا مرة أخرى، سواء أدخلت روحه في جسم إنسان أم حيوان، و أين هذا من الرجعة و عود الروح إلى البدن المتكامل من جميع الجهات، من دون أن يكون هناك رجوع إلى القوة بعد الفعلية</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6422450_1280447820"/>
      <w:bookmarkStart w:id="635" w:name="_Toc242"/>
      <w:bookmarkEnd w:id="634"/>
      <w:r>
        <w:rPr>
          <w:rtl w:val="true"/>
        </w:rPr>
        <w:t xml:space="preserve">المقام الثاني </w:t>
      </w:r>
      <w:r>
        <w:rPr>
          <w:rtl w:val="true"/>
        </w:rPr>
        <w:t xml:space="preserve">- </w:t>
      </w:r>
      <w:r>
        <w:rPr>
          <w:rtl w:val="true"/>
        </w:rPr>
        <w:t>أدلة وقوع الرجعة</w:t>
      </w:r>
      <w:bookmarkEnd w:id="635"/>
    </w:p>
    <w:p>
      <w:pPr>
        <w:pStyle w:val="BookText"/>
        <w:rPr/>
      </w:pPr>
      <w:r>
        <w:rPr>
          <w:rFonts w:ascii="Amiri" w:hAnsi="Amiri" w:eastAsia="Amiri" w:cs="Amiri"/>
          <w:color w:val="111111"/>
          <w:sz w:val="28"/>
          <w:sz w:val="28"/>
          <w:szCs w:val="28"/>
          <w:rtl w:val="true"/>
          <w:lang w:bidi="ar-SA"/>
        </w:rPr>
        <w:t>يدل على وقوع الرجعة في هذه الأمّة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بين المفسّرين من يشك بأنّ الآية الأولى تتعلق بالحوادث التي تقع قبل يوم القيامة، و يدل عليه ما روي عن النبي الأكرم من أنّ خروج دابة الأرض من علامات يوم القيامة، إلا أنّ هناك خلافا بين المفسرين حول المقصود من دابة الأرض، و كيفيّة خروجها، و كيف تتحدث، و غير ذلك ممّا لا نرى حاجة لطرحه؟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مسلم أنّه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لا تكون حتى تكون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في جزيرة العرب، و الدخان، و الدجّال، و دابّة الأرض، و يأجوج و مأجوج، و طلوع الشمس من مغربها، و نار تخرج من قعر عدن ترحل الناس</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إنما الكلام في الآية الثانية، و الحق أنّها ظاهرة في حوادث قبل يوم القيامة، و ذلك لأنّ الآية تركز على حشر فوج من كل جماعة بمعنى عدم حشر الناس جميعا، و من المعلوم أنّ الحشر ليوم القيامة يتعلق بالجميع، لا بالبعض،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Style w:val="FootnoteAnchor"/>
          <w:rtl w:val="true"/>
        </w:rPr>
        <w:footnoteReference w:id="673"/>
      </w:r>
      <w:r>
        <w:rPr>
          <w:rFonts w:ascii="Amiri" w:hAnsi="Amiri" w:eastAsia="Amiri" w:cs="Amiri"/>
          <w:color w:val="111111"/>
          <w:sz w:val="28"/>
          <w:sz w:val="28"/>
          <w:szCs w:val="28"/>
          <w:rtl w:val="true"/>
          <w:lang w:bidi="ar-SA"/>
        </w:rPr>
        <w:t>أ فبعد هذا التصريح، يمكن تفسير ظرف الآية بيوم البعث 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قرينتان أخريان، تحقّقان ظرفها لنا، إن كنّا شاكين،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المتقدمة عليها تذكر للناس علامة من علامات القيامة، و هي خروج دابة الأرض، و من الطبيعي، بعد ذلك أنّ حشر جماعة من الناس يرتبط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الحديث في تلك السورة عن القيامة في الآية السابعة و الثمانين، أي بعد ثلاث آيات،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إِلاّٰ مَنْ شٰاءَ اَللّٰهُ وَ كُلٌّ أَتَوْهُ دٰاخِرِينَ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أنّ ظرف ما تقدم عليها من الحوادث يتعلق بما قبل هذا اليوم، و يحقّق أنّ حشر فوج من الذين يكذبون بآيات اللّه يحدث حتما قبل يوم القيامة، و هو من أشراط هذا اليوم، و سيقع في الوقت الذي تخرج فيها دابة من الأرض تكلم الناس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قول الرازي بأنّ حشر فوج كل من أمّة سيقع بعد قيام </w:t>
      </w:r>
    </w:p>
    <w:p>
      <w:pPr>
        <w:pStyle w:val="BookText"/>
        <w:rPr/>
      </w:pPr>
      <w:r>
        <w:rPr>
          <w:rFonts w:ascii="Amiri" w:hAnsi="Amiri" w:eastAsia="Amiri" w:cs="Amiri"/>
          <w:color w:val="111111"/>
          <w:sz w:val="28"/>
          <w:sz w:val="28"/>
          <w:szCs w:val="28"/>
          <w:rtl w:val="true"/>
          <w:lang w:bidi="ar-SA"/>
        </w:rPr>
        <w:t>الساعة</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الكلام خاو لا يستند إلى أيّ 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ترتيب الآيات و ارتباطها ببعضها، ينفيه، و يؤكّد ما ذهب إليه الشيعة من أنّ الآية تشير إلى حدث سيقع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تخصيص الحشر ببعض، لا يجتمع مع حشر جميع الناس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الآية قد تحدثت عن حشر المكذبين، و أما رجعه جماعة أخرى من الصالحين فهو على عاتق الروايات الواردة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وقوع الرجعة و خصوصياتها فلم يتحدث عنها القرآن، كما هو الحال في تحدثه عن البرزخ و الحياة البرزخية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وقوع الرجعة في هذه الأمّة وقوعها في الأمم السالفة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أبو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شبرا بشبر، و ذراعا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دخلوا جحر ضبّ لتبعتموه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هريرة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تؤخذ أمّتي بأخذ القرون قبلها، شبرا بشبر، و ذراعا بذراع،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كفارس و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إلاّ أولئك؟</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الأمم السابقة فإنه يكون في هذه الأمّة مثله،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636" w:name="pg16351_181204"/>
    </w:p>
    <w:p>
      <w:pPr>
        <w:pStyle w:val="BookText"/>
        <w:rPr/>
      </w:pPr>
      <w:bookmarkEnd w:id="636"/>
      <w:r>
        <w:rPr>
          <w:rFonts w:ascii="Amiri" w:hAnsi="Amiri" w:eastAsia="Amiri" w:cs="Amiri"/>
          <w:color w:val="111111"/>
          <w:sz w:val="28"/>
          <w:sz w:val="28"/>
          <w:szCs w:val="28"/>
          <w:rtl w:val="true"/>
          <w:lang w:bidi="ar-SA"/>
        </w:rPr>
        <w:t>و بما أنّ الرجعة من الحوادث المهمة في الأمم السالفة، فيجب أن يقع نظيرها في هذه الأمة أخذا بالمماثلة، و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المأمون العباسي، الإمام الرضا عليه السلام عن الرجعة فأجابه،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 قد كانت في الأمم السالفة، و نطق بها القرآن،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حقيقة الرجعة و دلائلها، و لا يدّعي المعتقدون بها أكثر من هذا، و حاصله عودة الحياة إلى طائفتين من الصالحين و الطالحين، بعد ظهور الإمام المهدي عليه السلام، و قبل وقوع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ينكرها إلاّ من لم يمعن النظر في أدلتها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6422452_1280447820"/>
      <w:bookmarkStart w:id="638" w:name="_Toc243"/>
      <w:bookmarkEnd w:id="637"/>
      <w:r>
        <w:rPr>
          <w:rtl w:val="true"/>
        </w:rPr>
        <w:t>أسئلة و أجوبتها</w:t>
      </w:r>
      <w:bookmarkEnd w:id="63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إعادة الظالمين مع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Style w:val="FootnoteAnchor"/>
          <w:rtl w:val="true"/>
        </w:rPr>
        <w:footnoteReference w:id="681"/>
      </w:r>
      <w:r>
        <w:rPr>
          <w:rFonts w:ascii="Amiri" w:hAnsi="Amiri" w:eastAsia="Amiri" w:cs="Amiri"/>
          <w:color w:val="111111"/>
          <w:sz w:val="28"/>
          <w:sz w:val="28"/>
          <w:szCs w:val="28"/>
          <w:rtl w:val="true"/>
          <w:lang w:bidi="ar-SA"/>
        </w:rPr>
        <w:t>فإن هذه الآية تنفي رجوعهم بتاتا، و حشر لفيف من الظالمين يخالفها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مختصة بالظالمين الذين أهلكوا في هذه الدنيا و رأوا جزاء عملهم فيها، فهذه الطائفة لا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الظالمون الذين رحلوا عن الدنيا بلا مؤاخذة، فيرجع لفيف منهم ليروا جزاء عملهم فيها، ثم يردّون إلى أشد العذاب في الآخرة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لا تمت إلى مسألة الرجعة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Style w:val="FootnoteAnchor"/>
          <w:rtl w:val="true"/>
        </w:rPr>
        <w:footnoteReference w:id="682"/>
      </w:r>
      <w:r>
        <w:rPr>
          <w:rFonts w:ascii="Amiri" w:hAnsi="Amiri" w:eastAsia="Amiri" w:cs="Amiri"/>
          <w:color w:val="111111"/>
          <w:sz w:val="28"/>
          <w:sz w:val="28"/>
          <w:szCs w:val="28"/>
          <w:rtl w:val="true"/>
          <w:lang w:bidi="ar-SA"/>
        </w:rPr>
        <w:t>، نفي الرجوع إلى الدنيا بعد مجيء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تحكي عن قانون كلّي قابل للتخصيص في مورد دون مورد، و الدليل على ذلك ما عرفت من إحياء الموتى في الأمم السالفة، فلو كان الرجوع إلى هذه الدنيا سنة كلية لا تتبعض و لا تتخصص، لكان عودها إلى الدنيا مناقضا لعموم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كسائر السنن الإلهية الواردة في حق الإنسان، فهي تفيد أنّ الموت بطبعه ليس بعده رجوع، و هذا لا ينافي الرجوع في مورد أو موارد، لمصالح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الرجعة مبني على جعل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نَحْشُرُ مِنْ كُلِّ أُمَّةٍ فَوْجاً مِمَّنْ يُكَذِّبُ بِآيٰاتِنٰا فَهُمْ يُوزَعُونَ ، حاكيا عن حادثة تقع قبل القيامة، و لكن من الممكن جعلها حاكية عن الحادثة التي تقع عند القيامة، غير أنّها تقدمت على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فِي اَلصُّورِ ، و كان طبع القضية تأخيرها عنه، و المراد من الفوج من كل أمّة هو الملأ من الظالمين و رؤسائهم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فرض كونه حاكيا عن ظاهرة تقع يوم القيامة،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 ليس إلاّ إخلال في الكلام، بلا مسوغ</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إن ظاهر الآيات أنّ هناك يومين، يوم حشر فوج من كل أمّة، و يوم نفخ في الصور، و جعل الأول من متمّمات القيامة، يستلزم وحدة اليومين، و هو على خلاف الظاهر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639" w:name="pg16351_181207"/>
    </w:p>
    <w:p>
      <w:pPr>
        <w:pStyle w:val="BookText"/>
        <w:rPr/>
      </w:pPr>
      <w:bookmarkEnd w:id="639"/>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640" w:name="__RefHeading___Toc6422454_1280447820"/>
      <w:bookmarkStart w:id="641" w:name="_Toc244"/>
      <w:bookmarkEnd w:id="640"/>
      <w:r>
        <w:rPr>
          <w:rtl w:val="true"/>
        </w:rPr>
        <w:t>(</w:t>
      </w:r>
      <w:r>
        <w:rPr/>
        <w:t>12</w:t>
      </w:r>
      <w:r>
        <w:rPr>
          <w:rtl w:val="true"/>
        </w:rPr>
        <w:t xml:space="preserve">) </w:t>
      </w:r>
      <w:r>
        <w:rPr>
          <w:rtl w:val="true"/>
        </w:rPr>
        <w:t>التّناسخ و أقسامه و براهين بطلانه</w:t>
      </w:r>
      <w:bookmarkEnd w:id="641"/>
    </w:p>
    <w:p>
      <w:pPr>
        <w:pStyle w:val="Heading5"/>
        <w:numPr>
          <w:ilvl w:val="4"/>
          <w:numId w:val="1"/>
        </w:numPr>
        <w:rPr/>
      </w:pPr>
      <w:bookmarkStart w:id="642" w:name="__RefHeading___Toc6422456_1280447820"/>
      <w:bookmarkStart w:id="643" w:name="_Toc245"/>
      <w:bookmarkEnd w:id="642"/>
      <w:r>
        <w:rPr>
          <w:rtl w:val="true"/>
        </w:rPr>
        <w:t>اشارة</w:t>
      </w:r>
      <w:bookmarkEnd w:id="643"/>
    </w:p>
    <w:p>
      <w:pPr>
        <w:pStyle w:val="BookText"/>
        <w:rPr/>
      </w:pPr>
      <w:r>
        <w:rPr>
          <w:rFonts w:ascii="IRNazanin" w:hAnsi="IRNazanin" w:eastAsia="IRNazanin"/>
          <w:color w:val="111111"/>
          <w:sz w:val="28"/>
          <w:sz w:val="28"/>
          <w:szCs w:val="28"/>
          <w:rtl w:val="true"/>
          <w:lang w:bidi="fa-IR"/>
        </w:rPr>
        <w:t>التناسخ من النسخ بمعنى النقل</w:t>
      </w:r>
      <w:r>
        <w:rPr>
          <w:rStyle w:val="FootnoteAnchor"/>
          <w:rtl w:val="true"/>
        </w:rPr>
        <w:footnoteReference w:id="684"/>
      </w:r>
      <w:r>
        <w:rPr>
          <w:rFonts w:ascii="Amiri" w:hAnsi="Amiri" w:eastAsia="Amiri" w:cs="Amiri"/>
          <w:color w:val="111111"/>
          <w:sz w:val="28"/>
          <w:sz w:val="28"/>
          <w:szCs w:val="28"/>
          <w:rtl w:val="true"/>
          <w:lang w:bidi="ar-SA"/>
        </w:rPr>
        <w:t>، أو بمعنى إزالة بشيء يتعقبه، كنسخ الشمس الظل، و الشيب الشباب</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فالنسخ يعرب عن 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 و التّحوّل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أنّ كلتيهما مأخوذتان في التناسخ المصطلح، الذي يعرب عن حالة نقل و تحوّل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للانتقال أقساما ما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النشأة الدنيوية إلى النشأة الأخروية الذي نسميه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القوة إلى الفعل، كانتقال النفس في ظل الحركة الجوهرية إلى كمالها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النفس بالموت، من البدن المادي إلى بدن مثله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الانتقال هو التناسخ المصطلح الذي ذهب إليه بعض الفلاسفة من البراهمة و الهندوس و غيرهم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تبيين الحق يتوقف على بيان ما يتصور للتناسخ من الأقسام حتى يعلم أيّ </w:t>
      </w:r>
      <w:bookmarkStart w:id="644" w:name="pg16351_181208"/>
    </w:p>
    <w:p>
      <w:pPr>
        <w:pStyle w:val="BookText"/>
        <w:rPr/>
      </w:pPr>
      <w:bookmarkEnd w:id="644"/>
      <w:r>
        <w:rPr>
          <w:rFonts w:ascii="Amiri" w:hAnsi="Amiri" w:eastAsia="Amiri" w:cs="Amiri"/>
          <w:color w:val="111111"/>
          <w:sz w:val="28"/>
          <w:sz w:val="28"/>
          <w:szCs w:val="28"/>
          <w:rtl w:val="true"/>
          <w:lang w:bidi="ar-SA"/>
        </w:rPr>
        <w:t>قسم منها يضاد المعاد و يخالفه،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للتناسخ المطروح من قبل أصحابه صورا ثلاثة</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6422458_1280447820"/>
      <w:bookmarkStart w:id="646" w:name="_Toc246"/>
      <w:bookmarkEnd w:id="645"/>
      <w:r>
        <w:rPr>
          <w:rtl w:val="true"/>
        </w:rPr>
        <w:t>الصورة الأولى</w:t>
      </w:r>
      <w:r>
        <w:rPr>
          <w:rtl w:val="true"/>
        </w:rPr>
        <w:t xml:space="preserve">: </w:t>
      </w:r>
      <w:r>
        <w:rPr>
          <w:rtl w:val="true"/>
        </w:rPr>
        <w:t>التناسخ المطلق</w:t>
      </w:r>
      <w:bookmarkEnd w:id="646"/>
    </w:p>
    <w:p>
      <w:pPr>
        <w:pStyle w:val="BookText"/>
        <w:rPr/>
      </w:pPr>
      <w:r>
        <w:rPr>
          <w:rFonts w:ascii="Amiri" w:hAnsi="Amiri" w:eastAsia="Amiri" w:cs="Amiri"/>
          <w:color w:val="111111"/>
          <w:sz w:val="28"/>
          <w:sz w:val="28"/>
          <w:szCs w:val="28"/>
          <w:rtl w:val="true"/>
          <w:lang w:bidi="ar-SA"/>
        </w:rPr>
        <w:t>و هو انتقال النفس من بدن إلى بدن آخر في هذه النشأة، فإذا مات البدن الثاني انتقلت إلى ثالث، و هكذا بلا توقف أبدا، و البدن المنتقل إليه قد يكون بدن إنسان أو حيوان أو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الانتقال غالبا، هو التعلّق بجنين الإنسان أو الحيوان، أو بالخليّة النباتية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هذا القول إلى القدماء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حكمة الإشراق</w:t>
      </w:r>
      <w:r>
        <w:rPr>
          <w:rStyle w:val="FootnoteAnchor"/>
          <w:rtl w:val="true"/>
        </w:rPr>
        <w:footnoteReference w:id="6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شرذمة قليلة من القدماء ذهبوا إلى امتناع تجرّد شيء من النفوس بعد المفارقة لأنها جسمانية، دائمة الانتقال في الحيوانات و غيرها من الأجسام، و يعرفون بالتناسخية، و هم أقلّ الحكماء تحصيلا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6422460_1280447820"/>
      <w:bookmarkStart w:id="648" w:name="_Toc247"/>
      <w:bookmarkEnd w:id="647"/>
      <w:r>
        <w:rPr>
          <w:rtl w:val="true"/>
        </w:rPr>
        <w:t>الصورة الثانية</w:t>
      </w:r>
      <w:r>
        <w:rPr>
          <w:rtl w:val="true"/>
        </w:rPr>
        <w:t xml:space="preserve">: </w:t>
      </w:r>
      <w:r>
        <w:rPr>
          <w:rtl w:val="true"/>
        </w:rPr>
        <w:t xml:space="preserve">التناسخ المحدود </w:t>
      </w:r>
      <w:r>
        <w:rPr>
          <w:rtl w:val="true"/>
        </w:rPr>
        <w:t>(</w:t>
      </w:r>
      <w:r>
        <w:rPr>
          <w:rtl w:val="true"/>
        </w:rPr>
        <w:t>النزولي</w:t>
      </w:r>
      <w:r>
        <w:rPr>
          <w:rtl w:val="true"/>
        </w:rPr>
        <w:t>)</w:t>
      </w:r>
      <w:bookmarkEnd w:id="648"/>
    </w:p>
    <w:p>
      <w:pPr>
        <w:pStyle w:val="BookText"/>
        <w:rPr/>
      </w:pPr>
      <w:r>
        <w:rPr>
          <w:rFonts w:ascii="Amiri" w:hAnsi="Amiri" w:eastAsia="Amiri" w:cs="Amiri"/>
          <w:color w:val="111111"/>
          <w:sz w:val="28"/>
          <w:sz w:val="28"/>
          <w:szCs w:val="28"/>
          <w:rtl w:val="true"/>
          <w:lang w:bidi="ar-SA"/>
        </w:rPr>
        <w:t>و هو أن يختص الانتقال ببعض النفوس دون بعض آخر، و هذا كما هو محدود من حيث الأفراد، محدود كذلك من حيث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الانتقال قد ينقطع، و لا ترجع النفس إلى النشأة الدنيوية، بل تلتحق بعالم النور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المحدودية من حيث الأفراد، أنّ النفوس المفارقة للأبدان بعد الموت، على قسمين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نفوس كاملة في مجالي العلم و العمل، فهذه لا حاجة لها للانتقال إلى أبدان أخرى، لأنها وصلت إلى كمالها الممكن، فلا تحتاج إلى الرجوع ثانية إلى هذه النشأة</w:t>
      </w:r>
      <w:r>
        <w:rPr>
          <w:rFonts w:eastAsia="Amiri" w:cs="Amiri" w:ascii="Amiri" w:hAnsi="Amiri"/>
          <w:color w:val="111111"/>
          <w:sz w:val="28"/>
          <w:szCs w:val="28"/>
          <w:rtl w:val="true"/>
          <w:lang w:bidi="ar-SA"/>
        </w:rPr>
        <w:t xml:space="preserve">. </w:t>
      </w:r>
      <w:bookmarkStart w:id="649" w:name="pg16351_181209"/>
    </w:p>
    <w:p>
      <w:pPr>
        <w:pStyle w:val="BookText"/>
        <w:rPr/>
      </w:pPr>
      <w:bookmarkEnd w:id="6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نفوس ناقصة في كلا المجالين، فلا مناص لتكاملها من إرجاعها إلى هذه النشأة حتى تكتمل فيهما إلى أن تصير غنية عن الرجوع، فتلحق بعالم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المحدودية من جانب الزمان، فوجهه أنّ الهدف من التناسخ و رجوع النفس إلى البدن في هذه النشأة مجددا، هو إكمالها في مجال العلم، و تهذيبها من الرذائل، و تجريدها من الكدورات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صارت منزهة عنها، فلا وجه لدوام هذا النقل و التحوّل، بل لا مناص من لحوقها بعد الاستكمال بعالم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يسمى التناسخ المحدود من حيث الأفراد و الأزمنة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التناسخ النزولي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صدر المتألهين شارحا هذه العقيدة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منزل للنفس، الصّيصيّة الإنسانية</w:t>
      </w:r>
      <w:r>
        <w:rPr>
          <w:rStyle w:val="FootnoteAnchor"/>
          <w:rtl w:val="true"/>
        </w:rPr>
        <w:footnoteReference w:id="688"/>
      </w:r>
      <w:r>
        <w:rPr>
          <w:rFonts w:ascii="Amiri" w:hAnsi="Amiri" w:eastAsia="Amiri" w:cs="Amiri"/>
          <w:color w:val="111111"/>
          <w:sz w:val="28"/>
          <w:sz w:val="28"/>
          <w:szCs w:val="28"/>
          <w:rtl w:val="true"/>
          <w:lang w:bidi="ar-SA"/>
        </w:rPr>
        <w:t xml:space="preserve">، و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الأبواب لحياة جميع الأبدان الحيوانية و النباتية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رأي يوذاسف التناسخي، قائلا بأن الكاملين من السعداء تتصل نفوسهم بعد المفارقة بالعالم العقلي و الملأ الأعلى، و تنال من السعادة ما لا عين رأت و لا أذن سمعت و 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الكاملين من السعداء كالمتوسطين منهم و الناقصين في الغاية و الأشقياء على طبقاتهم، فتنتقل نفوسهم من هذا البدن إلى تدبير بدن آخر من النوع الإنساني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جوّز ذلك و لكن اشترط أن يكون إلى بدن 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جوّز النقل من البدن الإنساني إلى البدن النباتي أيضا، و بعضهم إلى الجامد أيضا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6422462_1280447820"/>
      <w:bookmarkStart w:id="651" w:name="_Toc248"/>
      <w:bookmarkEnd w:id="650"/>
      <w:r>
        <w:rPr>
          <w:rtl w:val="true"/>
        </w:rPr>
        <w:t>الصورة الثالثة</w:t>
      </w:r>
      <w:r>
        <w:rPr>
          <w:rtl w:val="true"/>
        </w:rPr>
        <w:t xml:space="preserve">: </w:t>
      </w:r>
      <w:r>
        <w:rPr>
          <w:rtl w:val="true"/>
        </w:rPr>
        <w:t>التناسخ الصعودي</w:t>
      </w:r>
      <w:bookmarkEnd w:id="651"/>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قسم ثالث من التناسخ يسمى بالصعودي، يغاير التناسخ النزولي، و حاصله أنّ الحياة إنما تفاض على المستعد فالمستعد، و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w:t>
      </w:r>
      <w:bookmarkStart w:id="652" w:name="pg16351_181210"/>
    </w:p>
    <w:p>
      <w:pPr>
        <w:pStyle w:val="BookText"/>
        <w:rPr/>
      </w:pPr>
      <w:bookmarkEnd w:id="652"/>
      <w:r>
        <w:rPr>
          <w:rFonts w:ascii="Amiri" w:hAnsi="Amiri" w:eastAsia="Amiri" w:cs="Amiri"/>
          <w:color w:val="111111"/>
          <w:sz w:val="28"/>
          <w:sz w:val="28"/>
          <w:szCs w:val="28"/>
          <w:rtl w:val="true"/>
          <w:lang w:bidi="ar-SA"/>
        </w:rPr>
        <w:t>استعدادا و أولى بقبول الفيض الجديد من الحيوان و الإنسان، كما أنّ الإنسان يستدعي نفسا أشرف، و هي التي جاوزت الدرجات النباتية و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فالحياة تفاض على النبات أولا، ثم تنتقل منه إلى الحيوان، ثم إلى الإنسان، و هذا النوع من التناسخ أشبه بالقول بالحركة الجوهرية، و أنّ الأشياء في ظلّها تخرج من القوة إلى الفعل، و من النقص إلى الكمال، و أنّ الموجود النباتي يتحول إلى الحيوان، ثم الإنسان، لكن الفرق بين القول بالتناسخ الصعودي و الحركة الجوهرية، هو أنّ التكامل في القول بالتناسخ على وجه الانفصال دون الاتصال، فالنفس النباتية تنتقل من النبات إلى البدن الحيواني، ثم منه إلى البدن الإنساني، و لكن التحول في الحركة الجوهرية، على وجه الاتصال، و أنّ النطفة الإنسانية تتحول و تتكامل من مرتبة ناقصة إلى مرتبة كاملة حتى يصدق عليها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فَتَبٰارَكَ اَللّٰهُ أَحْسَنُ اَلْخٰالِقِينَ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في التناسخ أقوالا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ينتهي النقل فيه و لا يتوقف و يعم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النزولي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لا يعم الجميع أولا، و يتوقف النقل فيه بعد التصفية و بلوغ مراتب الكمال،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التناسخ الصعودي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يحصل فيه انتقال النفس في جهة الصعود، من النبات إلى الحيوان فالإنسان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تعرفت على المراد من هذه الأقسام، فإليك تحليلها، و بيان بطلانها</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6422464_1280447820"/>
      <w:bookmarkStart w:id="654" w:name="_Toc249"/>
      <w:bookmarkEnd w:id="653"/>
      <w:r>
        <w:rPr>
          <w:rtl w:val="true"/>
        </w:rPr>
        <w:t>العناية الإلهية و التناسخ المطلق</w:t>
      </w:r>
      <w:bookmarkEnd w:id="6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التناسخ المطلق يعاند المعاد معاندة تامة، و القائل به ليس له التفوه بعود </w:t>
      </w:r>
    </w:p>
    <w:p>
      <w:pPr>
        <w:pStyle w:val="BookText"/>
        <w:rPr/>
      </w:pPr>
      <w:r>
        <w:rPr>
          <w:rFonts w:ascii="Amiri" w:hAnsi="Amiri" w:eastAsia="Amiri" w:cs="Amiri"/>
          <w:color w:val="111111"/>
          <w:sz w:val="28"/>
          <w:sz w:val="28"/>
          <w:szCs w:val="28"/>
          <w:rtl w:val="true"/>
          <w:lang w:bidi="ar-SA"/>
        </w:rPr>
        <w:t>الأرواح إلى الأبدان في النشأة الأخرى، لأنّ المفروض أنّ الروح تنتقل إلى الأبد من بدن إلى بدن، بلا توقف، فلا مجال للنفس لكي تبعث في النشأة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أصحاب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لقلّة تدبّرهم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حسبوا هذا النوع من الانتقال للنفس معادا لها، فالمعاد عندهم هو انتقال النفس من بدن إلى بدن في هذه النشأة دون أن تكون هناك نشأة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يردّها أنّ النفس عند هؤلاء لا تخلو من إحدى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منطبعة في البدن، انطباع الأعراض في الجواهر، و الصور الجوهرية في المادة، فهي ممتنعة الانتقال، إذ الانطباع ينافي الانتقال، و الجمع بينهما جمع بين النقيضين، فإنه يستلزم أن تكون النفس في حال الانفصال موجودة بلا موضوع، و متحققة بلا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مجرّدة تجردا تاما، و مع ذلك تكون دائمة الانتقال في الأجسام من غير لحوق بعالم النور و هو باطل أيضا إذ العناية الإلهية، تقتضي إيصال كل ذي كمال إلى كماله، و كما النفس العلمي يتحقق بصيرورتها عقلا مستفادا</w:t>
      </w:r>
      <w:r>
        <w:rPr>
          <w:rStyle w:val="FootnoteAnchor"/>
          <w:rtl w:val="true"/>
        </w:rPr>
        <w:footnoteReference w:id="691"/>
      </w:r>
      <w:r>
        <w:rPr>
          <w:rFonts w:ascii="Amiri" w:hAnsi="Amiri" w:eastAsia="Amiri" w:cs="Amiri"/>
          <w:color w:val="111111"/>
          <w:sz w:val="28"/>
          <w:sz w:val="28"/>
          <w:szCs w:val="28"/>
          <w:rtl w:val="true"/>
          <w:lang w:bidi="ar-SA"/>
        </w:rPr>
        <w:t>، فيه صور جميع الموجودات، و كمال العقل العملي يتحقق بالتخلية عن رذائل الأخلاق، و التحلية بمكارمها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دائمة الانتقال، كانت ممنوعة عن كمالها، أزلا و أبدا، و العناية الأزلية تأبى ذلك</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الإنسانية مستعدة لإفاضة الكمالات عليها، فحبسها في الصياصي البدنية في هذه النشأة، و إيقافها عن الصعود إلى النشأة الأخرى، يخالف الحكمة الإلهية المتعلقة بإبلاغ كل ممكن إلى غايته الممكنة</w:t>
      </w:r>
      <w:r>
        <w:rPr>
          <w:rFonts w:eastAsia="Amiri" w:cs="Amiri" w:ascii="Amiri" w:hAnsi="Amiri"/>
          <w:color w:val="111111"/>
          <w:sz w:val="28"/>
          <w:szCs w:val="28"/>
          <w:rtl w:val="true"/>
          <w:lang w:bidi="ar-SA"/>
        </w:rPr>
        <w:t xml:space="preserve">. </w:t>
      </w:r>
      <w:bookmarkStart w:id="655" w:name="pg16351_181212"/>
    </w:p>
    <w:p>
      <w:pPr>
        <w:pStyle w:val="Heading5"/>
        <w:numPr>
          <w:ilvl w:val="4"/>
          <w:numId w:val="1"/>
        </w:numPr>
        <w:rPr/>
      </w:pPr>
      <w:bookmarkStart w:id="656" w:name="__RefHeading___Toc6422466_1280447820"/>
      <w:bookmarkStart w:id="657" w:name="_Toc250"/>
      <w:bookmarkEnd w:id="655"/>
      <w:bookmarkEnd w:id="656"/>
      <w:r>
        <w:rPr>
          <w:rtl w:val="true"/>
        </w:rPr>
        <w:t>الحركة الرجعية و التناسخ النزولي</w:t>
      </w:r>
      <w:bookmarkEnd w:id="657"/>
    </w:p>
    <w:p>
      <w:pPr>
        <w:pStyle w:val="BookText"/>
        <w:rPr/>
      </w:pPr>
      <w:r>
        <w:rPr>
          <w:rFonts w:ascii="Amiri" w:hAnsi="Amiri" w:eastAsia="Amiri" w:cs="Amiri"/>
          <w:color w:val="111111"/>
          <w:sz w:val="28"/>
          <w:sz w:val="28"/>
          <w:szCs w:val="28"/>
          <w:rtl w:val="true"/>
          <w:lang w:bidi="ar-SA"/>
        </w:rPr>
        <w:t>و الذي يبطل هذا النوع الثاني من التناسخ، استلزامه الحركة الرجعية للنفس من الأشد إلى الأنقص، و من الأقوى إلى الأضعف بحسب الذات، و هو 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التناسخ النزولي تتحقق بتعلق روح الإنسان بعد مفارقة البدن بالموت، بجنين إنسان أو حيوان أو خلية نباتية، و الكل دونها في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هذا القول يتصورون أن النفوس المتوسطة تنتقل بعد فناء أبدانها إلى أجنة الإنسان أو الحيوان، و تعود إلى الدنيا لمتابعة مسيرة الاستكمال، و الارتقاء إلى درجة النفوس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خيال باطل، لأن تعلق تلك النفوس بأجنة الإنسان أو الحيوان لا يخلو من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النفس بالجنين الإنساني أو الحيواني بما لها من الكمال المناسب لمقامه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ممكن عقلا، لأن النفس ما دامت في البدن تزداد في فعليتها شيئا فشيئا حتى تصير أقوى وجودا و أشد تحصّلا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يمكنه أن يتعلق بالموجود الأدنى منه، الذي لا يتحمل ذلك الكمال و تلك الفعليّة، لعدم تحقق التعاضد و الانسجام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واقعية النفس التي عاشت مع البدن أربعين سنة مثلا، واقعية تفتّح القوى و بلوغها مقام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واقعية النفس التي تتعلق بالأجنة، فهي فقدان كلّ فعلية، و انتسابها إلى جميع الكمالات بالقوة،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بتعلق تلك الفعلية بالجنين، جمع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نفس إنسان مرّت عليه أربعون سنة، مستجمعة لجميع الكمالات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أنها تعلقت بالجنين، مستجمعة لها بالقوة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الكمالات في محل واحد و زمان واحد، بالفعل و بالقوة معا، و هذا محال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تلك النفوس بالأجنّة، لكن بعد تنزّلها عن فعليّاتها، و انسلاخها عن كمالاتها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النحو من التعلّق، و إن كان يوجد بين البدن </w:t>
      </w:r>
      <w:bookmarkStart w:id="658" w:name="pg16351_181213"/>
    </w:p>
    <w:p>
      <w:pPr>
        <w:pStyle w:val="BookText"/>
        <w:rPr/>
      </w:pPr>
      <w:bookmarkEnd w:id="658"/>
      <w:r>
        <w:rPr>
          <w:rFonts w:ascii="Amiri" w:hAnsi="Amiri" w:eastAsia="Amiri" w:cs="Amiri"/>
          <w:color w:val="111111"/>
          <w:sz w:val="28"/>
          <w:sz w:val="28"/>
          <w:szCs w:val="28"/>
          <w:rtl w:val="true"/>
          <w:lang w:bidi="ar-SA"/>
        </w:rPr>
        <w:t>و النفس تعاضدا و انسجاما، لكن ذاك الانسلاخ إما ناشئ من ذات النفس و نابع من صميمها، و إما قد حصل بقهر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لا يتصور، لأن الحركة الذاتية من الكمال إلى النقص غير معقولة، و الثاني ينافي الحكمة الإلهية التي تقتضي بلوغ كل ممكن إلى كماله الممكن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القائلين بهذا النوع من التناسخ يخصّونه بالمتوسطين في الكمال و الناقصين فيه، دون الكاملين في مجالي العلم و العمل، فهو على طرف النقيض من المعاد في الصنفين الأوّلين، دون الصنف الثالث الذين لهم الحشر و الانتقال إلى النشأة الأخرى دون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المتوسطون و الناقصون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دورة التناسخ و زمنها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ينتقلون إلى عالم النور فيكون لهم من الحشر ما للكاملين من أفراد الإنسان</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6422468_1280447820"/>
      <w:bookmarkStart w:id="660" w:name="_Toc251"/>
      <w:bookmarkEnd w:id="659"/>
      <w:r>
        <w:rPr>
          <w:rtl w:val="true"/>
        </w:rPr>
        <w:t>التناسخ الصعودي و انتقال النفس</w:t>
      </w:r>
      <w:bookmarkEnd w:id="660"/>
    </w:p>
    <w:p>
      <w:pPr>
        <w:pStyle w:val="BookText"/>
        <w:rPr/>
      </w:pPr>
      <w:r>
        <w:rPr>
          <w:rFonts w:ascii="Amiri" w:hAnsi="Amiri" w:eastAsia="Amiri" w:cs="Amiri"/>
          <w:color w:val="111111"/>
          <w:sz w:val="28"/>
          <w:sz w:val="28"/>
          <w:szCs w:val="28"/>
          <w:rtl w:val="true"/>
          <w:lang w:bidi="ar-SA"/>
        </w:rPr>
        <w:t>ذكرنا أنّ أصحاب التناسخ الصعودي يقولون بأنّ تكامل النفس من بدء حدوثها يتوقف على ظهور الحياة في النبات لتكون نفسا نباتية إلى أن تنتقل إلى بدن الحيوان فتصير نفسا حيوانية، ثم نفسا إنسانية، و عندئذ يقع السؤال في حقيقة هذه النفس،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الموجودة في الحيوان مثلا، إما منطبعة انطباع النقوش في الحجر، و الأعراض في موضوعاتها، و الصور في محالّها، فيكون انتقالها مستحيلا على ما مرّ، أعني استلزامه أن تكون في آن الانتقال بلا موضوع و محل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إمّا مجرّدة، لها من الخصوصيات ما للنفوس الحيوانية، فمن المعلوم أنّ النفس الحيوانية بما لها من الخصوصية يمتنع أن تتحول إلى النفس الإنسانية، فإنّ كمال النفس الأولى عبارة عن القوة الشهوية و حسّ الانتقام، و هما يعدّان كمالا </w:t>
      </w:r>
      <w:bookmarkStart w:id="661" w:name="pg16351_181214"/>
    </w:p>
    <w:p>
      <w:pPr>
        <w:pStyle w:val="BookText"/>
        <w:rPr/>
      </w:pPr>
      <w:bookmarkEnd w:id="661"/>
      <w:r>
        <w:rPr>
          <w:rFonts w:ascii="Amiri" w:hAnsi="Amiri" w:eastAsia="Amiri" w:cs="Amiri"/>
          <w:color w:val="111111"/>
          <w:sz w:val="28"/>
          <w:sz w:val="28"/>
          <w:szCs w:val="28"/>
          <w:rtl w:val="true"/>
          <w:lang w:bidi="ar-SA"/>
        </w:rPr>
        <w:t>لنفوس الدواب و الأنعام و أصلا عظيما للجسمانية و الإخلاد إلى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تعلقت هذه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لوجب أن تنحط درجة إلى نوع نازل من الحيوان المناسب لهذه السجايا و الغرائز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مقتضى الشهوة الغالبة أو الغضب الغالب، شقاء النفس و نزولها إلى مراتب الحيوانات الصامتة، التي كمالها في كمال إحدى هاتين القوتين، فيمتنع أن يكون وجود هاتين القوتين و أفعالهما منشأ لارتفاع النفوس من درجتها البهيمية و السبعية إلى درجة الإنسان الذي كمال نفسه كسر هاتين القوتين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النفس الحيوانية بما لها من الخصوصيات و الغرائز بالإنسان، لا يرفعه بل ينزله إلى درجة تناسب درجة الحيوانات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الجملة فالنفس الحيوانية متشخصة بغرائز خاصة هي التمايلات الشهوية و السبعية و الإخلاد إلى الأرض و المادة، فكيف يمكن أن تكون مثل هذه أساسا لتكامل الإنسان و تعاليه، الذي لا يتحقق له التكامل إلا بتحطيم هذه الغرائز و كسر ثورتها فإن هذا أشبه بجعل وجود الضد شرطا لوجود ضد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الإشكال إنما يتصور في التكامل الصعودي المنفصل المراتب و الدرجات دون متصلها كما في تكامل الإنسان في رحم أمه من الجمادية إلى النفس الإنسانية، في ظل صور متوالية متتالية دون أن يقع بينها 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فهذا القسم من التناسخ باطل في نفسه، و إن كان لا يصادم القول بالمعاد و حشر الإنسان في النشأة الأخرى، بخلاف القسمين السابقين، فإن الأول منهما على طرف النقيض من المعاد مطلقا و القسم الثاني على طرف النقيض منه في مورد غير الكاملين من النفوس الإنسانية</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6422470_1280447820"/>
      <w:bookmarkStart w:id="663" w:name="_Toc252"/>
      <w:bookmarkEnd w:id="662"/>
      <w:r>
        <w:rPr>
          <w:rtl w:val="true"/>
        </w:rPr>
        <w:t>تحليل جامع للقول بالتناسخ</w:t>
      </w:r>
      <w:bookmarkEnd w:id="663"/>
    </w:p>
    <w:p>
      <w:pPr>
        <w:pStyle w:val="Heading6"/>
        <w:numPr>
          <w:ilvl w:val="5"/>
          <w:numId w:val="1"/>
        </w:numPr>
        <w:rPr/>
      </w:pPr>
      <w:bookmarkStart w:id="664" w:name="__RefHeading___Toc6422472_1280447820"/>
      <w:bookmarkStart w:id="665" w:name="_Toc253"/>
      <w:bookmarkEnd w:id="664"/>
      <w:r>
        <w:rPr>
          <w:rtl w:val="true"/>
        </w:rPr>
        <w:t>اشارة</w:t>
      </w:r>
      <w:bookmarkEnd w:id="66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أقسام التناسخ و البراهين التي تهدم أساس كل واحد منها، </w:t>
      </w:r>
      <w:bookmarkStart w:id="666" w:name="pg16351_181215"/>
    </w:p>
    <w:p>
      <w:pPr>
        <w:pStyle w:val="BookText"/>
        <w:rPr/>
      </w:pPr>
      <w:bookmarkEnd w:id="666"/>
      <w:r>
        <w:rPr>
          <w:rFonts w:ascii="Amiri" w:hAnsi="Amiri" w:eastAsia="Amiri" w:cs="Amiri"/>
          <w:color w:val="111111"/>
          <w:sz w:val="28"/>
          <w:sz w:val="28"/>
          <w:szCs w:val="28"/>
          <w:rtl w:val="true"/>
          <w:lang w:bidi="ar-SA"/>
        </w:rPr>
        <w:t>و هناك برهانان آخران على بطلان التناسخ على وجه الإطلاق، من دون أن يختصا بقسم دون قسم، و إليك بيانهما</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6422474_1280447820"/>
      <w:bookmarkStart w:id="668" w:name="_Toc254"/>
      <w:bookmarkEnd w:id="667"/>
      <w:r>
        <w:rPr>
          <w:rtl w:val="true"/>
        </w:rPr>
        <w:t>الأول</w:t>
      </w:r>
      <w:r>
        <w:rPr>
          <w:rtl w:val="true"/>
        </w:rPr>
        <w:t xml:space="preserve">: </w:t>
      </w:r>
      <w:r>
        <w:rPr>
          <w:rtl w:val="true"/>
        </w:rPr>
        <w:t>اجتماع نفسين في بدن واحد</w:t>
      </w:r>
      <w:bookmarkEnd w:id="668"/>
    </w:p>
    <w:p>
      <w:pPr>
        <w:pStyle w:val="Heading6"/>
        <w:numPr>
          <w:ilvl w:val="5"/>
          <w:numId w:val="1"/>
        </w:numPr>
        <w:rPr/>
      </w:pPr>
      <w:bookmarkStart w:id="669" w:name="__RefHeading___Toc6422476_1280447820"/>
      <w:bookmarkStart w:id="670" w:name="_Toc255"/>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و هذا البرهان مبنى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جسم نباتا كان أو حيوانا أو إنسانا، إذا بلغ من الكمال إلى درجة يصير فيها صالحا لتعلّق النفس به، تتعلق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حصل في البدن مزاج صالح لقبول تعلق النفس المدبرة به، فبالضرورة تفاض عليه من الواهب من غير مهلة و لا تراخ، و ذلك مقتضى الحكمة الإلهية التي شاءت إبلاغ كل ممكن إلى كماله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بالتناسخ يستلزم تعلّق النفس المستنسخة المفارقة للبدن، ببدن نوع من الأنواع من نبات أو حيوان أو إنسان، بحيث يتقوم ذلك البدن بالنفس المستنسخة المتعلقة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تسليم هذين الأمرين، تعلّق نفسين ببدن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النفس المفاضة على البدن لأجل صلاحيته للإفاضة، و ثانيتهما النفس المستنسخة المتعلقة بعد المفارقة بمثل هذا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بطلانه و ذلك لأن تشخص كل فرد من الأنواع بنفسه و روحه، و فرض نفسين و روحين مساوق لفرض ذاتين و وجودين لوجود واحد و ذات واحدة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شخص إلا و يشعر بنفس و ذات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تعلم بالضرورة أن ليس معها في هذا البدن نفس أخرى تدبر أمره و أن ليس لها تدبير و تصرّف في بدن آخر، فالنفس مع البدن على التساوي، ليس لبدن واحد إلا نفس واحدة، و لا تتعلق نفس واحدة إلا ببدن واحد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671" w:name="pg16351_181216"/>
    </w:p>
    <w:p>
      <w:pPr>
        <w:pStyle w:val="Heading6"/>
        <w:numPr>
          <w:ilvl w:val="5"/>
          <w:numId w:val="1"/>
        </w:numPr>
        <w:rPr/>
      </w:pPr>
      <w:bookmarkStart w:id="672" w:name="__RefHeading___Toc6422478_1280447820"/>
      <w:bookmarkStart w:id="673" w:name="_Toc256"/>
      <w:bookmarkEnd w:id="671"/>
      <w:bookmarkEnd w:id="672"/>
      <w:r>
        <w:rPr>
          <w:rtl w:val="true"/>
        </w:rPr>
        <w:t>سؤال و جواب</w:t>
      </w:r>
      <w:r>
        <w:rPr>
          <w:rtl w:val="true"/>
        </w:rPr>
        <w:t>:</w:t>
      </w:r>
      <w:bookmarkEnd w:id="673"/>
    </w:p>
    <w:p>
      <w:pPr>
        <w:pStyle w:val="BookText"/>
        <w:rPr/>
      </w:pPr>
      <w:r>
        <w:rPr>
          <w:rFonts w:ascii="Amiri" w:hAnsi="Amiri" w:eastAsia="Amiri" w:cs="Amiri"/>
          <w:color w:val="111111"/>
          <w:sz w:val="28"/>
          <w:sz w:val="28"/>
          <w:szCs w:val="28"/>
          <w:rtl w:val="true"/>
          <w:lang w:bidi="ar-SA"/>
        </w:rPr>
        <w:t>أما السؤال فهو أنّ هذا إنما يتم إذا كان هناك فصل زمني بين صلوح البدن لإفاضة الحياة، و تعلّق النفس المستنسخة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صلوحه و قابليته، مقارنا لتعلق النفس المستنسخة، فلا يلزم اجتماع نفسين في بدن واحد، لأنها تمنع عن إفاضة الحياة عليه، فلا تكون له نفسان و لا حياتان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النفس المستنسخة مانعة من حدوث النفس الأخرى ليس بأولى من منع الأخرى من التعلّق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استعداد المادة البدنية لقبول النفس من الواهب للصور، يجري مجرى استعداد الجدار لقبول نور الشمس مباشرة أو انعكاسا إذا رفع الحجاب من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 ارتفاع الحجاب جسم ثقيل ينعكس فيه نور الشمس الواقع عليه إلى ذلك الجدار، أشرق عليه النوران الشمسيان المباشري و الانعكاسي، و لا يمنع من وقوع الانعكاسي، وقوع النور المباشري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ما نحن فيه، غير أن اجتماع النفسين ممتنع، و مانعية إحداهما عن طروء الأخرى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أنّ التناسخ المبتني على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نفسين أو مانعية إحداهما من طروء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4" w:name="__RefHeading___Toc6422480_1280447820"/>
      <w:bookmarkStart w:id="675" w:name="_Toc257"/>
      <w:bookmarkEnd w:id="674"/>
      <w:r>
        <w:rPr>
          <w:rtl w:val="true"/>
        </w:rPr>
        <w:t>الثاني</w:t>
      </w:r>
      <w:r>
        <w:rPr>
          <w:rtl w:val="true"/>
        </w:rPr>
        <w:t xml:space="preserve">: </w:t>
      </w:r>
      <w:r>
        <w:rPr>
          <w:rtl w:val="true"/>
        </w:rPr>
        <w:t>عدم التناسخ بين النفس و البدن</w:t>
      </w:r>
      <w:bookmarkEnd w:id="675"/>
    </w:p>
    <w:p>
      <w:pPr>
        <w:pStyle w:val="Heading6"/>
        <w:numPr>
          <w:ilvl w:val="5"/>
          <w:numId w:val="1"/>
        </w:numPr>
        <w:rPr/>
      </w:pPr>
      <w:bookmarkStart w:id="676" w:name="__RefHeading___Toc6422482_1280447820"/>
      <w:bookmarkStart w:id="677" w:name="_Toc258"/>
      <w:bookmarkEnd w:id="676"/>
      <w:r>
        <w:rPr>
          <w:rtl w:val="true"/>
        </w:rPr>
        <w:t>اشارة</w:t>
      </w:r>
      <w:bookmarkEnd w:id="677"/>
    </w:p>
    <w:p>
      <w:pPr>
        <w:pStyle w:val="BookText"/>
        <w:rPr/>
      </w:pPr>
      <w:r>
        <w:rPr>
          <w:rFonts w:ascii="Amiri" w:hAnsi="Amiri" w:eastAsia="Amiri" w:cs="Amiri"/>
          <w:color w:val="111111"/>
          <w:sz w:val="28"/>
          <w:sz w:val="28"/>
          <w:szCs w:val="28"/>
          <w:rtl w:val="true"/>
          <w:lang w:bidi="ar-SA"/>
        </w:rPr>
        <w:t>قد ثبت في محله أنّ تركيب البدن و النفس، تركيب طبيعي اتحادي، لا تركيب انضمامي، فليس تركيبهما كتركيب السرير من الأخشاب و المسامير، و لا كتركيب العناصر الكيميائية و تأثير بعضها في بعض</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النفس في أول حدوثها متسمة بالقوة، في كل ما لها من الأحوال، و كذا البدن، و لها في كل وقت شأن آخر من الشئون الذاتية بإزاء سن الطفولة و الصبا </w:t>
      </w:r>
      <w:bookmarkStart w:id="678" w:name="pg16351_181217"/>
    </w:p>
    <w:p>
      <w:pPr>
        <w:pStyle w:val="BookText"/>
        <w:rPr/>
      </w:pPr>
      <w:bookmarkEnd w:id="678"/>
      <w:r>
        <w:rPr>
          <w:rFonts w:ascii="Amiri" w:hAnsi="Amiri" w:eastAsia="Amiri" w:cs="Amiri"/>
          <w:color w:val="111111"/>
          <w:sz w:val="28"/>
          <w:sz w:val="28"/>
          <w:szCs w:val="28"/>
          <w:rtl w:val="true"/>
          <w:lang w:bidi="ar-SA"/>
        </w:rPr>
        <w:t>و الشباب و الشيخوخة و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معا يخرجان من القوة إلى الفعل، و درجات القوة و الفعل في كل نفس معينة بإزاء درجات القوة و الفعل في بدنها الخاص بها ما دامت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صارت بالفعل في نوع من الأنواع استحال صيرورتها تارة أخرى في حد القوة المحضة، كما استحال صيرورة الحيوان بعد بلوغه تمام الخلقة، نطفة و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تعلقت نفس منسلخة ببدن آخر عند كونه جنينا أو غير ذلك، يلزم كون أحدهما بالقوة و الآخر بالفعل، و ذلك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التركيب بينهما طبيعي اتحادي، و التركيب الطبيعي يستحيل بين أمرين، أحدهما بالفعل و الآخر بالقوة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البرهان إنما يتم لو تعلقت النفس ببدن أدون من حيث الدرجات الفعلية من النفس، كما إذا تعلقت بالجنين على مراتبه و أما لو تعلقت ببدن له من الفعلية ما للنفس منها، فالبرهان غير جار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البرهان يغاير البرهان الذي ذكرناه، عند إبطال التناسخ النزولي فإن محور البرهان هنا لزوم التناسق بين البدن و النفس من حيث القوة و الفعل، و هذا الشرط مفقود في أكثر موارد التناسخ، كما إذا تعلقت بالجنين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ذكرناه في إبطال التناسخ النزولي فإن محوره هو لزوم الحركة الرجعية في عالم الكون، و رجوع ما بالفعل إلى ما بالقوة، فلا يختلط عليك الأمران</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6422484_1280447820"/>
      <w:bookmarkStart w:id="680" w:name="_Toc259"/>
      <w:bookmarkEnd w:id="679"/>
      <w:r>
        <w:rPr>
          <w:rtl w:val="true"/>
        </w:rPr>
        <w:t>سؤالان و جوابان</w:t>
      </w:r>
      <w:bookmarkEnd w:id="680"/>
    </w:p>
    <w:p>
      <w:pPr>
        <w:pStyle w:val="Heading6"/>
        <w:numPr>
          <w:ilvl w:val="5"/>
          <w:numId w:val="1"/>
        </w:numPr>
        <w:rPr/>
      </w:pPr>
      <w:bookmarkStart w:id="681" w:name="__RefHeading___Toc6422486_1280447820"/>
      <w:bookmarkStart w:id="682" w:name="_Toc260"/>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قد فرغنا من أقسام التناسخ و أنواعه و ما يمكن أن يستدل به على إبطالها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بقى هنا سؤالان يجب طرحهما و الإجابة عنهما</w:t>
      </w:r>
      <w:r>
        <w:rPr>
          <w:rFonts w:eastAsia="Amiri" w:cs="Amiri" w:ascii="Amiri" w:hAnsi="Amiri"/>
          <w:color w:val="111111"/>
          <w:sz w:val="28"/>
          <w:szCs w:val="28"/>
          <w:rtl w:val="true"/>
          <w:lang w:bidi="ar-SA"/>
        </w:rPr>
        <w:t xml:space="preserve">: </w:t>
      </w:r>
      <w:bookmarkStart w:id="683" w:name="pg16351_181218"/>
    </w:p>
    <w:p>
      <w:pPr>
        <w:pStyle w:val="Heading6"/>
        <w:numPr>
          <w:ilvl w:val="5"/>
          <w:numId w:val="1"/>
        </w:numPr>
        <w:rPr/>
      </w:pPr>
      <w:bookmarkStart w:id="684" w:name="__RefHeading___Toc6422488_1280447820"/>
      <w:bookmarkStart w:id="685" w:name="_Toc261"/>
      <w:bookmarkEnd w:id="683"/>
      <w:bookmarkEnd w:id="684"/>
      <w:r>
        <w:rPr>
          <w:rtl w:val="true"/>
        </w:rPr>
        <w:t>السؤال الأول</w:t>
      </w:r>
      <w:r>
        <w:rPr>
          <w:rtl w:val="true"/>
        </w:rPr>
        <w:t xml:space="preserve">: </w:t>
      </w:r>
      <w:r>
        <w:rPr>
          <w:rtl w:val="true"/>
        </w:rPr>
        <w:t>التناسخ و وقوع المسخ في الأمم السالفة</w:t>
      </w:r>
      <w:bookmarkEnd w:id="685"/>
    </w:p>
    <w:p>
      <w:pPr>
        <w:pStyle w:val="BookText"/>
        <w:rPr/>
      </w:pPr>
      <w:r>
        <w:rPr>
          <w:rFonts w:ascii="Amiri" w:hAnsi="Amiri" w:eastAsia="Amiri" w:cs="Amiri"/>
          <w:color w:val="111111"/>
          <w:sz w:val="28"/>
          <w:sz w:val="28"/>
          <w:szCs w:val="28"/>
          <w:rtl w:val="true"/>
          <w:lang w:bidi="ar-SA"/>
        </w:rPr>
        <w:t>لو كان تعلق النفس الإنسانية ببدن الحيوان بعد مفارقة البدن الإنساني تناسخا ممتنعا، فكيف وقع المسخ في الأمم السالفة، حيث مسخوا إلى القردة و الخنازير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صريح هذه الآيات تحوّل جماعة من البشر إلى قردة و خنازير، و هو لا ينفك عن تعلق نفوسهم البشرية بأبدان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بينه و القول بالتناسخ؟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مقوم التناسخ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البدن، فإن في التناسخ بدنين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البدن الذي تنسلخ عنه الروح،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الذي تتعلق به ثانيا بعد المفارقة سواء كان نباتا أو حيوانا أو جنينا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تراجع النفس الإنسانية من كمالها إلى الحد الذي يناسب بدنها المتعلقة به من نبات أو حيوان أو جنين أو إنسان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الشرطين مفقود في المقام، فإن الأمة الملعونة و المغضوبة مسخت إلى القردة و الخنازير بنفس أبدانها الأولية، فخرجت عن الصورة الإنسانية إلى الصورة القردية و الخنزيرية من دون أن يكون هناك بدنان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نفوسها السابقة بقيت </w:t>
      </w:r>
    </w:p>
    <w:p>
      <w:pPr>
        <w:pStyle w:val="BookText"/>
        <w:rPr/>
      </w:pPr>
      <w:r>
        <w:rPr>
          <w:rFonts w:ascii="Amiri" w:hAnsi="Amiri" w:eastAsia="Amiri" w:cs="Amiri"/>
          <w:color w:val="111111"/>
          <w:sz w:val="28"/>
          <w:sz w:val="28"/>
          <w:szCs w:val="28"/>
          <w:rtl w:val="true"/>
          <w:lang w:bidi="ar-SA"/>
        </w:rPr>
        <w:t>على الحد الذي كانت عليه، و ذلك لتنظر إلى الصورة الجديدة التي عرضت عليها، فتعاقب و تنزجر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لو انقلبت نفوسها من الحد الذي كانت عليه إلى حد النفس الحيوانية، فلا شكّ أنّها ستكون قردة بالحقيقة، و عندئذ لا يترتب عليه عقاب و لا يصدق عليه النكال، مع أنه سبحانه يصفه نكالا،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الأمران يفصلان المسخ في الأمم السالفة عن القول بالتناسخ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تجلت الروحيات الخبيثة التي كانت عليها تلك الأمة، على ظواهر أبدانها، فلبست لباس الخنازير و القردة المعروفة بالحرص الشديد، و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البدن و عدم نزول النفس عن درجتها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تناسخا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المتنازع هو أن النفوس بعد مفارقتها الأبدان، تتعلق في الدنيا بأبدان أخر للتدبير و التصرف و الاكتساب، لا أن تتبدل صور الأبدان، كما في المسخ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تجتمع أجزاؤها الأصلية بعد التفرق، فتردّ إليها النفوس، كما في المعاد على الإطلاق، و كما في إحياء عيسى بعد الأشخاص</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امتياز نوع الإنسان، إذا كان بهذا الهيكل المخصوص، فلا يكون إنسانا بل قردا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امتيازه بالروح المجردة، كانت الإنسانية باقية غير ذاهبة، و كان إنسانا في صورة حيوان، و لم يخرج من نوع الإنسان و لم يدخل في نوع آخر</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إنسانا تغيّرت صورته إلى صورة نوع آخر من أنواع الحيوان كالقرد و الخنزير، فإنما هي صورة على صورة، فهو إنسان خنزير، أو إنسان قرد، لا إنسان بطلت إنسانيته و حلّت الصورة الخنزيرية أو القردية محلها، فالإنسان إذا اكتسب صورة من صور الملكات، تصورت نفسه </w:t>
      </w:r>
      <w:bookmarkStart w:id="686" w:name="pg16351_181220"/>
    </w:p>
    <w:p>
      <w:pPr>
        <w:pStyle w:val="BookText"/>
        <w:rPr/>
      </w:pPr>
      <w:bookmarkEnd w:id="686"/>
      <w:r>
        <w:rPr>
          <w:rFonts w:ascii="Amiri" w:hAnsi="Amiri" w:eastAsia="Amiri" w:cs="Amiri"/>
          <w:color w:val="111111"/>
          <w:sz w:val="28"/>
          <w:sz w:val="28"/>
          <w:szCs w:val="28"/>
          <w:rtl w:val="true"/>
          <w:lang w:bidi="ar-SA"/>
        </w:rPr>
        <w:t>بها، و لا دليل على استحالة خروجها في هذه الدنيا من الكمون إلى البروز على حد ما ستظهر في الآخرة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فالممسوخ من الإنسان، إنسان ممسوخ، لا أنّه ممسوخ فاقد للإنسانية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الفرق بين المقام و التناسخ، فإن التناسخ هو تعلق النفس المستكملة بنوع كمالها بعد مفارقتها البدن، ببدن آخر، بخلاف المقام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7" w:name="__RefHeading___Toc6422490_1280447820"/>
      <w:bookmarkStart w:id="688" w:name="_Toc262"/>
      <w:bookmarkEnd w:id="687"/>
      <w:r>
        <w:rPr>
          <w:rtl w:val="true"/>
        </w:rPr>
        <w:t>السؤال الثاني</w:t>
      </w:r>
      <w:r>
        <w:rPr>
          <w:rtl w:val="true"/>
        </w:rPr>
        <w:t xml:space="preserve">: </w:t>
      </w:r>
      <w:r>
        <w:rPr>
          <w:rtl w:val="true"/>
        </w:rPr>
        <w:t>التناسخ و الرجعة</w:t>
      </w:r>
      <w:bookmarkEnd w:id="688"/>
    </w:p>
    <w:p>
      <w:pPr>
        <w:pStyle w:val="BookText"/>
        <w:rPr/>
      </w:pPr>
      <w:r>
        <w:rPr>
          <w:rFonts w:ascii="Amiri" w:hAnsi="Amiri" w:eastAsia="Amiri" w:cs="Amiri"/>
          <w:color w:val="111111"/>
          <w:sz w:val="28"/>
          <w:sz w:val="28"/>
          <w:szCs w:val="28"/>
          <w:rtl w:val="true"/>
          <w:lang w:bidi="ar-SA"/>
        </w:rPr>
        <w:t>ما هو الفرق بين التناسخ الباطل بالأدلة السابقة، و القول بالرجعة على ما عليه الإمامية، فإن رجوع بعض النفوس بعد مفارقتها أبدانها، إليها في هذه النشأة، أشبه بالتناسخ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عند البحث عن المسخ، أن مجوز التناسخ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تعدد البدن و تراجع النفس عن الحد الذي كانت عليه، و كلاهما مفقودان في الرجعة، فإن النفس ترجع إلى البدن الذي فارقته من دون أن تمس كمال النفس، و تحطها من مقامها، بل هي على ما هي عليه من الكمال عند المفارقة، فتتعلق أخرى بالبدن الذي 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أن القول بالحشر في النشأة الأخرى، على طرف النقيض من التناسخ</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6422492_1280447820"/>
      <w:bookmarkStart w:id="690" w:name="_Toc263"/>
      <w:bookmarkEnd w:id="689"/>
      <w:r>
        <w:rPr>
          <w:rtl w:val="true"/>
        </w:rPr>
        <w:t>خاتمة المطاف</w:t>
      </w:r>
      <w:bookmarkEnd w:id="69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الذكر الحكيم ينصّ على عدم رجوع نفس الإنسان إلى هذه الدنيا بعد مفارقتها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ما خرج بالدليل كما في إحياء الأموات بيد الأنبياء العظام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w:t>
      </w:r>
    </w:p>
    <w:p>
      <w:pPr>
        <w:pStyle w:val="BookText"/>
        <w:rPr/>
      </w:pPr>
      <w:r>
        <w:rPr>
          <w:rFonts w:ascii="Amiri" w:hAnsi="Amiri" w:eastAsia="Amiri" w:cs="Amiri"/>
          <w:color w:val="111111"/>
          <w:sz w:val="28"/>
          <w:sz w:val="28"/>
          <w:szCs w:val="28"/>
          <w:rtl w:val="true"/>
          <w:lang w:bidi="ar-SA"/>
        </w:rPr>
        <w:t xml:space="preserve">يُبْعَثُونَ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ردع لطلب الرجوع إلى الدنيا، فيفيد أنه على خلاف السنة الإلهية، و مع ذلك فهو كسائر السنن التي ربما يخرج عنها بدليل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تعرف قيمة كلمة أحمد أمين المصري ذلك الكاتب المستهتر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 التشيّع ظهر القول بتناسخ الأرواح</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المسكين لا يفرق بين المسخ و التناسخ، كما لا يفرق بين التناسخ و الرجعة، بل بين التناسخ و المعاد</w:t>
      </w:r>
      <w:r>
        <w:rPr>
          <w:rFonts w:eastAsia="Amiri" w:cs="Amiri" w:ascii="Amiri" w:hAnsi="Amiri"/>
          <w:color w:val="111111"/>
          <w:sz w:val="28"/>
          <w:szCs w:val="28"/>
          <w:rtl w:val="true"/>
          <w:lang w:bidi="ar-SA"/>
        </w:rPr>
        <w:t xml:space="preserve">. </w:t>
      </w:r>
      <w:bookmarkStart w:id="691" w:name="pg16351_181222"/>
    </w:p>
    <w:p>
      <w:pPr>
        <w:pStyle w:val="BookText"/>
        <w:rPr/>
      </w:pPr>
      <w:bookmarkEnd w:id="691"/>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692" w:name="__RefHeading___Toc6422494_1280447820"/>
      <w:bookmarkStart w:id="693" w:name="_Toc264"/>
      <w:bookmarkEnd w:id="692"/>
      <w:r>
        <w:rPr>
          <w:rtl w:val="true"/>
        </w:rPr>
        <w:t>(</w:t>
      </w:r>
      <w:r>
        <w:rPr/>
        <w:t>13</w:t>
      </w:r>
      <w:r>
        <w:rPr>
          <w:rtl w:val="true"/>
        </w:rPr>
        <w:t xml:space="preserve">) </w:t>
      </w:r>
      <w:r>
        <w:rPr>
          <w:rtl w:val="true"/>
        </w:rPr>
        <w:t>الإيمان و أحكامه</w:t>
      </w:r>
      <w:bookmarkEnd w:id="693"/>
    </w:p>
    <w:p>
      <w:pPr>
        <w:pStyle w:val="Heading5"/>
        <w:numPr>
          <w:ilvl w:val="4"/>
          <w:numId w:val="1"/>
        </w:numPr>
        <w:rPr/>
      </w:pPr>
      <w:bookmarkStart w:id="694" w:name="__RefHeading___Toc6422496_1280447820"/>
      <w:bookmarkStart w:id="695" w:name="_Toc265"/>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الإيمان، من الأمن، و له في اللغة معنيان متقاربان،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التي هي ضدّ الخيانة، و معناها سكون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و المعنيان متدانيان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هنا هو المعنى الثاني،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إذا أذعن به و سكنت نفسه و اطمأنّت بقوله، و هو تارة يتعدى بالباء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أَنْزَلْتَ </w:t>
      </w:r>
      <w:r>
        <w:rPr>
          <w:rStyle w:val="FootnoteAnchor"/>
          <w:rtl w:val="true"/>
        </w:rPr>
        <w:footnoteReference w:id="707"/>
      </w:r>
      <w:r>
        <w:rPr>
          <w:rFonts w:ascii="Amiri" w:hAnsi="Amiri" w:eastAsia="Amiri" w:cs="Amiri"/>
          <w:color w:val="111111"/>
          <w:sz w:val="28"/>
          <w:sz w:val="28"/>
          <w:szCs w:val="28"/>
          <w:rtl w:val="true"/>
          <w:lang w:bidi="ar-SA"/>
        </w:rPr>
        <w:t>و أخرى باللام،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بِمُؤْمِنٍ لَنٰا </w:t>
      </w:r>
      <w:r>
        <w:rPr>
          <w:rStyle w:val="FootnoteAnchor"/>
          <w:rtl w:val="true"/>
        </w:rPr>
        <w:footnoteReference w:id="708"/>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 لَهُ لُوطٌ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الآيات تدل على أنّ الإيمان هو التصديق القلبي، و يؤكّده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كَتَبَ فِي قُلُوبِهِمُ اَلْإِيمٰانَ </w:t>
      </w:r>
      <w:r>
        <w:rPr>
          <w:rStyle w:val="FootnoteAnchor"/>
          <w:rtl w:val="true"/>
        </w:rPr>
        <w:footnoteReference w:id="710"/>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يَدْخُلِ اَلْإِيمٰانُ فِي قُلُوبِكُمْ </w:t>
      </w:r>
      <w:r>
        <w:rPr>
          <w:rStyle w:val="FootnoteAnchor"/>
          <w:rtl w:val="true"/>
        </w:rPr>
        <w:footnoteReference w:id="711"/>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مُطْمَئِنٌّ بِالْإِيمٰانِ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696" w:name="pg16351_181223"/>
    </w:p>
    <w:p>
      <w:pPr>
        <w:pStyle w:val="BookText"/>
        <w:rPr/>
      </w:pPr>
      <w:bookmarkEnd w:id="696"/>
      <w:r>
        <w:rPr>
          <w:rFonts w:ascii="Amiri" w:hAnsi="Amiri" w:eastAsia="Amiri" w:cs="Amiri"/>
          <w:color w:val="111111"/>
          <w:sz w:val="28"/>
          <w:sz w:val="28"/>
          <w:szCs w:val="28"/>
          <w:rtl w:val="true"/>
          <w:lang w:bidi="ar-SA"/>
        </w:rPr>
        <w:t>و تؤكّده آيات الطبع و الختم، فإنه تعرب عن كون محل الإيمان هو القلب، كما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Style w:val="FootnoteAnchor"/>
          <w:rtl w:val="true"/>
        </w:rPr>
        <w:footnoteReference w:id="713"/>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عَلىٰ سَمْعِهِ وَ قَلْبِهِ وَ جَعَلَ عَلىٰ بَصَرِهِ غِشٰاوَةً فَمَنْ يَهْدِيهِ مِنْ بَعْدِ اَللّٰهِ أَ فَلاٰ تَذَكَّرُونَ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الختم على السمع و البصر لأجل كونهما من أدوات المعرفة التي يستخدمها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المآل هو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فالإمعان في هذه الآيات يثبت أنّ الإيمان هو التصديق القلبي، و أما أنّ هذا المقدار من الإيمان يكفي في نجاة الإنسان أو لا، فهو بحث آخر، إذ من الممكن أن يكون للإيمان في مجال النجاة شروط أخر</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6422498_1280447820"/>
      <w:bookmarkStart w:id="698" w:name="_Toc266"/>
      <w:bookmarkEnd w:id="697"/>
      <w:r>
        <w:rPr>
          <w:rtl w:val="true"/>
        </w:rPr>
        <w:t>سؤال</w:t>
      </w:r>
      <w:r>
        <w:rPr>
          <w:rtl w:val="true"/>
        </w:rPr>
        <w:t>:</w:t>
      </w:r>
      <w:bookmarkEnd w:id="698"/>
    </w:p>
    <w:p>
      <w:pPr>
        <w:pStyle w:val="Heading6"/>
        <w:numPr>
          <w:ilvl w:val="5"/>
          <w:numId w:val="1"/>
        </w:numPr>
        <w:rPr/>
      </w:pPr>
      <w:bookmarkStart w:id="699" w:name="__RefHeading___Toc6422500_1280447820"/>
      <w:bookmarkStart w:id="700" w:name="_Toc267"/>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لو كان الإذعان القلبي كافيا في صدق الإيمان، فلما ذا يندد سبحانه بجماعة من الكفار بأنّهم جحدوا الحقيقة بألسنتهم و إن استيقنوها بقلوبهم، مع أنّهم على التعريف الذي ذكرناه،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فَانْظُرْ كَيْفَ كٰانَ عٰاقِبَةُ اَلْمُفْسِدِينَ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تدلّ على عدم كفاية التصديق القلبي في صدق الإيمان</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6422502_1280447820"/>
      <w:bookmarkStart w:id="702" w:name="_Toc268"/>
      <w:bookmarkEnd w:id="701"/>
      <w:r>
        <w:rPr>
          <w:rtl w:val="true"/>
        </w:rPr>
        <w:t>جوابه</w:t>
      </w:r>
      <w:r>
        <w:rPr>
          <w:rtl w:val="true"/>
        </w:rPr>
        <w:t>:</w:t>
      </w:r>
      <w:bookmarkEnd w:id="7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هو التصديق، و أما التنديد، فلأنّ ظاهرهم كان مخالفا لباطنهم، فكانوا يتظاهرون بالنفاق، و لو لا التظاهر بالخلاف، بأن لا يجحدوا بعد </w:t>
      </w:r>
      <w:bookmarkStart w:id="703" w:name="pg16351_181224"/>
    </w:p>
    <w:p>
      <w:pPr>
        <w:pStyle w:val="BookText"/>
        <w:rPr/>
      </w:pPr>
      <w:bookmarkEnd w:id="703"/>
      <w:r>
        <w:rPr>
          <w:rFonts w:ascii="Amiri" w:hAnsi="Amiri" w:eastAsia="Amiri" w:cs="Amiri"/>
          <w:color w:val="111111"/>
          <w:sz w:val="28"/>
          <w:sz w:val="28"/>
          <w:szCs w:val="28"/>
          <w:rtl w:val="true"/>
          <w:lang w:bidi="ar-SA"/>
        </w:rPr>
        <w:t>الاستيقان، و لا يكفروا باللسان ما عرفوه قبلا، لكانوا مؤمنين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الحكم بإيمانهم في مجال الإثبات إلا إذا دلّ الدليل على إذعانهم قلبا، و هذا خارج عن موضوع البحث</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6422504_1280447820"/>
      <w:bookmarkStart w:id="705" w:name="_Toc269"/>
      <w:bookmarkEnd w:id="704"/>
      <w:r>
        <w:rPr>
          <w:rtl w:val="true"/>
        </w:rPr>
        <w:t>سؤال</w:t>
      </w:r>
      <w:r>
        <w:rPr>
          <w:rtl w:val="true"/>
        </w:rPr>
        <w:t>:</w:t>
      </w:r>
      <w:bookmarkEnd w:id="705"/>
    </w:p>
    <w:p>
      <w:pPr>
        <w:pStyle w:val="Heading6"/>
        <w:numPr>
          <w:ilvl w:val="5"/>
          <w:numId w:val="1"/>
        </w:numPr>
        <w:rPr/>
      </w:pPr>
      <w:bookmarkStart w:id="706" w:name="__RefHeading___Toc6422506_1280447820"/>
      <w:bookmarkStart w:id="707" w:name="_Toc270"/>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ما هو الأثر المترتب على التصديق القلبي؟</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6422508_1280447820"/>
      <w:bookmarkStart w:id="709" w:name="_Toc271"/>
      <w:bookmarkEnd w:id="708"/>
      <w:r>
        <w:rPr>
          <w:rtl w:val="true"/>
        </w:rPr>
        <w:t>جوابه</w:t>
      </w:r>
      <w:r>
        <w:rPr>
          <w:rtl w:val="true"/>
        </w:rPr>
        <w:t>:</w:t>
      </w:r>
      <w:bookmarkEnd w:id="709"/>
    </w:p>
    <w:p>
      <w:pPr>
        <w:pStyle w:val="BookText"/>
        <w:rPr/>
      </w:pPr>
      <w:r>
        <w:rPr>
          <w:rFonts w:ascii="Amiri" w:hAnsi="Amiri" w:eastAsia="Amiri" w:cs="Amiri"/>
          <w:color w:val="111111"/>
          <w:sz w:val="28"/>
          <w:sz w:val="28"/>
          <w:szCs w:val="28"/>
          <w:rtl w:val="true"/>
          <w:lang w:bidi="ar-SA"/>
        </w:rPr>
        <w:t>الإيمان بهذا المعنى، موضوع للأثر في الدنيا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فحرمة دمه و عرضه و ماله، إلا أن يرتكب قتلا أو يأتي بفاحشة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الآخرة، فصحة أعماله، و استحقاق الثواب عليها، و عدم الخلود في النار، و استحقاق العفو و الشفاعة في بعض المراحل</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6422510_1280447820"/>
      <w:bookmarkStart w:id="711" w:name="_Toc272"/>
      <w:bookmarkEnd w:id="710"/>
      <w:r>
        <w:rPr>
          <w:rtl w:val="true"/>
        </w:rPr>
        <w:t>سؤال</w:t>
      </w:r>
      <w:r>
        <w:rPr>
          <w:rtl w:val="true"/>
        </w:rPr>
        <w:t>:</w:t>
      </w:r>
      <w:bookmarkEnd w:id="711"/>
    </w:p>
    <w:p>
      <w:pPr>
        <w:pStyle w:val="Heading6"/>
        <w:numPr>
          <w:ilvl w:val="5"/>
          <w:numId w:val="1"/>
        </w:numPr>
        <w:rPr/>
      </w:pPr>
      <w:bookmarkStart w:id="712" w:name="__RefHeading___Toc6422512_1280447820"/>
      <w:bookmarkStart w:id="713" w:name="_Toc273"/>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إنّ التصديق اللساني، أيضا له أثره الدنيوي من حرمة الدم و العرض و المال</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6422514_1280447820"/>
      <w:bookmarkStart w:id="715" w:name="_Toc274"/>
      <w:bookmarkEnd w:id="714"/>
      <w:r>
        <w:rPr>
          <w:rtl w:val="true"/>
        </w:rPr>
        <w:t>جوابه</w:t>
      </w:r>
      <w:r>
        <w:rPr>
          <w:rtl w:val="true"/>
        </w:rPr>
        <w:t>:</w:t>
      </w:r>
      <w:bookmarkEnd w:id="715"/>
    </w:p>
    <w:p>
      <w:pPr>
        <w:pStyle w:val="BookText"/>
        <w:rPr/>
      </w:pPr>
      <w:r>
        <w:rPr>
          <w:rFonts w:ascii="Amiri" w:hAnsi="Amiri" w:eastAsia="Amiri" w:cs="Amiri"/>
          <w:color w:val="111111"/>
          <w:sz w:val="28"/>
          <w:sz w:val="28"/>
          <w:szCs w:val="28"/>
          <w:rtl w:val="true"/>
          <w:lang w:bidi="ar-SA"/>
        </w:rPr>
        <w:t>إن التصديق اللساني بما أنّه كاشف عن التصديق القلبي، يترتب عليه ذلك الأثر، فالأثر للمكشوف عنه لا للكاشف، و إلا فلو تبين نفاقه، و أنّه يتظاهر بما ليس في القلب، فلا حرمة لدمه و ماله و عرضه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علينا مجازاته حسب إقراره و اعترافه إلا إذا كشف بقوله و إقراره عن سريرته، هذا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السعادة الأخروية رهن العمل، لا يشك فيه من له إلمام بالشريعة </w:t>
      </w:r>
    </w:p>
    <w:p>
      <w:pPr>
        <w:pStyle w:val="BookText"/>
        <w:rPr/>
      </w:pPr>
      <w:r>
        <w:rPr>
          <w:rFonts w:ascii="Amiri" w:hAnsi="Amiri" w:eastAsia="Amiri" w:cs="Amiri"/>
          <w:color w:val="111111"/>
          <w:sz w:val="28"/>
          <w:sz w:val="28"/>
          <w:szCs w:val="28"/>
          <w:rtl w:val="true"/>
          <w:lang w:bidi="ar-SA"/>
        </w:rPr>
        <w:t>و الآيات و الروايات الواردة حول العمل، و التصديق القلبي إذا لم يقترن بالعمل، لا ينجو الإنسان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في الإيمان، و هاهنا أقوال أخر،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التصديق بالقلب و اللسان معا، و لا يكفي التصديق القلبي وحده، و هذا القول للمحقق الطوسي مستدلا بما مضى من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جَحَدُوا بِهٰا وَ اِسْتَيْقَنَتْهٰا أَنْفُسُهُمْ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التنديد بهم سببه نفاقهم، و عدم مطابقة لسانهم لما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مستيقنين غير منكرين بألسنتهم لكانوا مستحقين للثناء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الإقرار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القائل به بأنّ من أعلن بلسانه شهادة الإسلام فهو مسلم محكوم له بحكم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قول رسول اللّه صلى اللّه عليه و آله في السوداء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اعتقها فإنها مؤمنة</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لهم بالإسلام أو بالإيمان إنما هو بحسب الظاهر، و ليس هو حكما بحسب الواقع، ففي هذا المقام يجعل الاعتراف اللساني طريقا إلى التصديق الجنائي، و لو علم خلافه، لحكم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الرسول و أصحابه كانوا مكلفين بالحكم حسب المعايير الظاهرية التي تكشف عادة عن الإيمان القلبي،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أن أقاتل الناس حتى يشهدوا أن لا إله إلاّ اللّه، و يؤمنوا بما أرسلت به، فإذا فعلوا ذلك، عصموا مني </w:t>
      </w:r>
    </w:p>
    <w:p>
      <w:pPr>
        <w:pStyle w:val="BookText"/>
        <w:rPr/>
      </w:pPr>
      <w:r>
        <w:rPr>
          <w:rFonts w:ascii="IRNazanin" w:hAnsi="IRNazanin" w:eastAsia="IRNazanin"/>
          <w:color w:val="111111"/>
          <w:sz w:val="28"/>
          <w:sz w:val="28"/>
          <w:szCs w:val="28"/>
          <w:rtl w:val="true"/>
          <w:lang w:bidi="fa-IR"/>
        </w:rPr>
        <w:t>دماءهم و أموالهم إلاّ بحقها، و حسابهم على اللّه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وجه حكمه صلى اللّه عليه و آله في السوداء بأنها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حزم عن خالد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يقول بلسانه ما ليس في قلبه،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أبعث لأشقّ عن قلوب الناس</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يكتفي القائل بالتصديق اللساني، مع أنّ صريح الكتاب على خلافه،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Style w:val="FootnoteAnchor"/>
          <w:rtl w:val="true"/>
        </w:rPr>
        <w:footnoteReference w:id="723"/>
      </w:r>
      <w:r>
        <w:rPr>
          <w:rFonts w:ascii="Amiri" w:hAnsi="Amiri" w:eastAsia="Amiri" w:cs="Amiri"/>
          <w:color w:val="111111"/>
          <w:sz w:val="28"/>
          <w:sz w:val="28"/>
          <w:szCs w:val="28"/>
          <w:rtl w:val="true"/>
          <w:lang w:bidi="ar-SA"/>
        </w:rPr>
        <w:t>و الأعراب صدّقوا بألسنتهم، و أنكروا بقلوبهم، فرد اللّه عليهم بأنّكم لستم مؤمنين لأنّكم مصدّقون بألسنتكم لا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هو التصديق بالقلب و اللسان مع العمل، فالعمل عنصر حقيقي مقوّم للإيمان، و الفاقد له ليس بمؤمن بتاتا و القائلون بهذا هم الخوارج و المعتزلة</w:t>
      </w:r>
      <w:r>
        <w:rPr>
          <w:rStyle w:val="FootnoteAnchor"/>
          <w:rtl w:val="true"/>
        </w:rPr>
        <w:footnoteReference w:id="724"/>
      </w:r>
      <w:r>
        <w:rPr>
          <w:rFonts w:ascii="Amiri" w:hAnsi="Amiri" w:eastAsia="Amiri" w:cs="Amiri"/>
          <w:color w:val="111111"/>
          <w:sz w:val="28"/>
          <w:sz w:val="28"/>
          <w:szCs w:val="28"/>
          <w:rtl w:val="true"/>
          <w:lang w:bidi="ar-SA"/>
        </w:rPr>
        <w:t>، غير أنّ بينهما فرقا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فالخوارج يرون العمل مقوّما للإيمان، فالمقرّ قلبا و لسانا إذا فقد العمل، ارتكب الكبيرة، فقد صار كافرا، و لأجل ذلك يكفّرون مرتكب الكبيرة، و يحكمون عليه بالخلود في النار، إذا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مع أنّهم يرون العمل مقوّما للإيمان، غير أنّهم لا يكفّرون تارك العمل، و مرتكب الكبيرة، بل يجعلونه في منزلة بين الإيمان و الكفر، و المكلف عندهم على ثلاثة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إذا قام بالتصديقين، و عمل بالوظائف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كفر، إذا فقد التصديق القلبي، أو هو و اللساني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منزلة بين المنزلتين، إذا قام بالتصديقين، و لكن فقد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الكلام مع هؤلاء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هذا المذهب عن طريق الكتاب و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ما تمسكوا به في إثبات 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فالآيات الدالة على أنّ العمل ليس عنصرا مقوّما للإيمان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مؤثرا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 فالعطف يقتضي المغايرة، و لو كان العمل داخلا في الإيمان للزم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المقام من قبيل ذكر الخاص بعد العام، يحتاج إلى نكتة و مسوغ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w:t>
      </w:r>
      <w:r>
        <w:rPr>
          <w:rStyle w:val="FootnoteAnchor"/>
          <w:rtl w:val="true"/>
        </w:rPr>
        <w:footnoteReference w:id="725"/>
      </w:r>
      <w:r>
        <w:rPr>
          <w:rFonts w:ascii="Amiri" w:hAnsi="Amiri" w:eastAsia="Amiri" w:cs="Amiri"/>
          <w:color w:val="111111"/>
          <w:sz w:val="28"/>
          <w:sz w:val="28"/>
          <w:szCs w:val="28"/>
          <w:rtl w:val="true"/>
          <w:lang w:bidi="ar-SA"/>
        </w:rPr>
        <w:t>فالجملة حالية، المقصود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حال كونه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فأطلق المؤمن على الطائفة العاصية، و قال ما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بغت إحدى الطائفتين من المؤمنين على الطائفة الأخرى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يكون إطلاق المؤمن عليهم باعتبار حال التلبس، أي باعتبار كونهم مؤمنين قبل القتال، لا بلحاظ حال صدور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الموصوفين بالإيمان، بتقوى اللّه، و هو الإتيان بالطاعات و الاجتناب عن المحرمات، فدلّ على أنّ الإيمان يجتمع مع عدم التقوى، و إلا كان الأمر به لغوا و تحصيلا للحاصل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احتمال أنّ الآية أمر على الاستدامة،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حسب الآيات، و أمّا السنة فهناك روايات تدل على أنّ الإقرار المقترن بالعرفان،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رواه الصدوق بسند صحيح عن جعفر الكناسي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 محمدا عبده و رسوله، و يقرّ بالطاعة، و يعرف إمام زمانه، فإذا فعل ذلك فهو مؤمن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تحليل ما استدلوا به على أنّ العمل عنصر مقوم للإيمان بحيث لولاه فهو إما كافر أو في 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w:t>
      </w:r>
      <w:r>
        <w:rPr>
          <w:rStyle w:val="FootnoteAnchor"/>
          <w:rtl w:val="true"/>
        </w:rPr>
        <w:footnoteReference w:id="729"/>
      </w:r>
      <w:r>
        <w:rPr>
          <w:rFonts w:ascii="Amiri" w:hAnsi="Amiri" w:eastAsia="Amiri" w:cs="Amiri"/>
          <w:color w:val="111111"/>
          <w:sz w:val="28"/>
          <w:sz w:val="28"/>
          <w:szCs w:val="28"/>
          <w:rtl w:val="true"/>
          <w:lang w:bidi="ar-SA"/>
        </w:rPr>
        <w:t>، فلو كان الإيمان هو التصديق، لما قبل الزيادة و النقيصة، لأن التصديق أمره دائر بين الوجود و العدم، و هذا بخلاف ما لو كان العمل جزء من الإيمان، فإنه عندئذ يزيد و ينقص حسب زيادة العمل و نقيصته، و الزيادة لا تكون إلا في كمية عدد لا فيما سواها، و لا عدد في الاعتقاد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إنّ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مقول بالتشكيك، و لليقين مراتب بشهادة أنّ يقين الإنسان بأنّ الاثنين نصف الأربعة، يفارق يقينه في الشدة و الظهور بأنّ نور القمر مستفاد من الشمس، كما أنّ يقينه الثاني يفارق يقينه بأن كل ممكن فهو زوج تركيبي من ماهية و وجود، و هكذا يتنزل اليقين من القوة إلى الضعف إلى أن يصل إلى أضعف المراتب التي لو تجاوز عنها لزال وصف اليقين و انقلب إلى الظن أو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بأنّ أمر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التصديق و الإذعان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الوجود و العدم، فقد غفل عن حقيقته و مراتبه، فهل يصح لنا أن ندعي أنّ إيمان الأنبياء، كإيمان سائر الناس، كلا، لأنّ الأنبياء معصومون، و عصمتهم ناشئة من يقينهم بآثار المعاصي، الذي يصدهم عن </w:t>
      </w:r>
    </w:p>
    <w:p>
      <w:pPr>
        <w:pStyle w:val="BookText"/>
        <w:rPr/>
      </w:pPr>
      <w:r>
        <w:rPr>
          <w:rFonts w:ascii="Amiri" w:hAnsi="Amiri" w:eastAsia="Amiri" w:cs="Amiri"/>
          <w:color w:val="111111"/>
          <w:sz w:val="28"/>
          <w:sz w:val="28"/>
          <w:szCs w:val="28"/>
          <w:rtl w:val="true"/>
          <w:lang w:bidi="ar-SA"/>
        </w:rPr>
        <w:t>اقترافها، فلو كان إذعانهم كإذعان سائر الناس، لما امتازوا عنهم بالعصمة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ذكروه من أنّ الزيادة تستعمل في الكمية العددية، فهو منقوض بآيات كثيرة استعملت فيها الزيادة في غيرها،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Style w:val="FootnoteAnchor"/>
          <w:rtl w:val="true"/>
        </w:rPr>
        <w:footnoteReference w:id="731"/>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Style w:val="FootnoteAnchor"/>
          <w:rtl w:val="true"/>
        </w:rPr>
        <w:footnoteReference w:id="732"/>
      </w:r>
      <w:r>
        <w:rPr>
          <w:rFonts w:ascii="Amiri" w:hAnsi="Amiri" w:eastAsia="Amiri" w:cs="Amiri"/>
          <w:color w:val="111111"/>
          <w:sz w:val="28"/>
          <w:sz w:val="28"/>
          <w:szCs w:val="28"/>
          <w:rtl w:val="true"/>
          <w:lang w:bidi="ar-SA"/>
        </w:rPr>
        <w:t>و المراد شدة خشوعهم، و شدة نفورهم، لا كثرة 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 التي استعمل فيها ذلك اللفظ فيما يرجع إلى الكيفية لا 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الإيمان، صلاتهم إلى بيت المقدس قبل أن ينسخ بالأمر باستقبال الكعبة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أخذ بظاهر الآية، فيجب أن يكون الإيمان نفس العمل، و هو مجمع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استعمل الإيمان و أريد منه العمل في المقام، و الاستعمال أعم من الحقيقة، و لا شك أنّ العمل أثر الإيمان ورد فعل له، فمن الشائع إطلاق السبب و إرادة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سبحانه بنفسه أنّهم لا يؤمنون إلا بتحكيم النبي و التسليم بحكمه، و عدم وجدان الحرج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التحكيم غير التصديق، بل هو عمل خارجي</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وردت في شأن المنافقين، فإنهم كانوا يتركون النبي و يرجعون في دعاويهم إلى الأحبار، و هم مع ذلك يدّعون الإيمان و الإذعان و التسليم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بأنه لا يقبل منهم ذلك الادعاء حتى يرى أثر الإيمان في حياتهم، و هو تحكيم النبي في المرافعات، و التسليم العملي أمام قضائه، و عدم إحساسهم بالحرج، و هذا هو الظاهر من الآية، لا أنّ التحكيم بما أنّه عمل، جزء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إذا ادّعى إنسان حبّا لرجل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فيجب أن يرى أثر الحب في حياتك، فاعمل له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سبحانه تارك الحج كافرا</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كفران النعمة، حيث إن ترك فريضة الحج مع الاستطاعة، كفران لنعمته سبحانه، و قد استعمل الكفر في مقابل شكر النعم،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رَبُّكُمْ لَئِنْ شَكَرْتُمْ لَأَزِيدَنَّكُمْ، وَ لَئِنْ كَفَرْتُمْ إِنَّ عَذٰابِي لَشَدِيدٌ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ربما يكون المراد من الكفر جحد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استدلوا به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احطت بما ذكرنا، تقدر على الإجابة عن استدلالهم بها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روايات عن أئمة أهل البيت عليهم السلام تعرب عن كون العمل جزء من الإيمان، نظير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 ملعون من </w:t>
      </w:r>
      <w:bookmarkStart w:id="716" w:name="pg16351_181231"/>
    </w:p>
    <w:p>
      <w:pPr>
        <w:pStyle w:val="BookText"/>
        <w:rPr/>
      </w:pPr>
      <w:bookmarkEnd w:id="7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هذه الروايات وردت لرد المرجئة التي تكتفي في الحياة الدينية بالقول و المعرفة، و تؤخر العمل، و ترجو رحمته و غفرانه، مع عدم القيام بالوظائف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تضافرت عن أئمة أهل البيت عليهم السلام لعن المرجئة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6422516_1280447820"/>
      <w:bookmarkStart w:id="718" w:name="_Toc275"/>
      <w:bookmarkEnd w:id="717"/>
      <w:r>
        <w:rPr>
          <w:rtl w:val="true"/>
        </w:rPr>
        <w:t>سؤال</w:t>
      </w:r>
      <w:r>
        <w:rPr>
          <w:rtl w:val="true"/>
        </w:rPr>
        <w:t>:</w:t>
      </w:r>
      <w:bookmarkEnd w:id="718"/>
    </w:p>
    <w:p>
      <w:pPr>
        <w:pStyle w:val="Heading6"/>
        <w:numPr>
          <w:ilvl w:val="5"/>
          <w:numId w:val="1"/>
        </w:numPr>
        <w:rPr/>
      </w:pPr>
      <w:bookmarkStart w:id="719" w:name="__RefHeading___Toc6422518_1280447820"/>
      <w:bookmarkStart w:id="720" w:name="_Toc276"/>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لو كان الإيمان هو التصديق، فهل هو يزيد و ينقص</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6422520_1280447820"/>
      <w:bookmarkStart w:id="722" w:name="_Toc277"/>
      <w:bookmarkEnd w:id="721"/>
      <w:r>
        <w:rPr>
          <w:rtl w:val="true"/>
        </w:rPr>
        <w:t>الجواب</w:t>
      </w:r>
      <w:r>
        <w:rPr>
          <w:rtl w:val="true"/>
        </w:rPr>
        <w:t>:</w:t>
      </w:r>
      <w:bookmarkEnd w:id="722"/>
    </w:p>
    <w:p>
      <w:pPr>
        <w:pStyle w:val="BookText"/>
        <w:rPr/>
      </w:pPr>
      <w:r>
        <w:rPr>
          <w:rFonts w:ascii="Amiri" w:hAnsi="Amiri" w:eastAsia="Amiri" w:cs="Amiri"/>
          <w:color w:val="111111"/>
          <w:sz w:val="28"/>
          <w:sz w:val="28"/>
          <w:szCs w:val="28"/>
          <w:rtl w:val="true"/>
          <w:lang w:bidi="ar-SA"/>
        </w:rPr>
        <w:t>قد علم هذا مما ذكرنا من كون الإيمان ذا مراتب، و أن نفس الإذعان، له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القول بزيادة الإيمان و نقصانه مختصا بمن جعل العمل عنصرا مقوّما للإيمان، بل هو يتحقق أيضا عند من يقول بأنّ الإيمان هو التصديق القلبي، و ليس العمل جزء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تبيّنت حقيقة الأقوال الأربعة في بيان حقيقة الإيمان، و قد عرفت أنّ الصواب هو الأوّل منها، و هو التصديق القلبي</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723" w:name="pg16351_181232"/>
    </w:p>
    <w:p>
      <w:pPr>
        <w:pStyle w:val="BookText"/>
        <w:rPr/>
      </w:pPr>
      <w:bookmarkEnd w:id="723"/>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724" w:name="__RefHeading___Toc6422522_1280447820"/>
      <w:bookmarkStart w:id="725" w:name="_Toc278"/>
      <w:bookmarkEnd w:id="724"/>
      <w:r>
        <w:rPr>
          <w:rtl w:val="true"/>
        </w:rPr>
        <w:t>(</w:t>
      </w:r>
      <w:r>
        <w:rPr/>
        <w:t>14</w:t>
      </w:r>
      <w:r>
        <w:rPr>
          <w:rtl w:val="true"/>
        </w:rPr>
        <w:t xml:space="preserve">) </w:t>
      </w:r>
      <w:r>
        <w:rPr>
          <w:rtl w:val="true"/>
        </w:rPr>
        <w:t>التوبة و شرائطها</w:t>
      </w:r>
      <w:bookmarkEnd w:id="725"/>
    </w:p>
    <w:p>
      <w:pPr>
        <w:pStyle w:val="Heading5"/>
        <w:numPr>
          <w:ilvl w:val="4"/>
          <w:numId w:val="1"/>
        </w:numPr>
        <w:rPr/>
      </w:pPr>
      <w:bookmarkStart w:id="726" w:name="__RefHeading___Toc6422524_1280447820"/>
      <w:bookmarkStart w:id="727" w:name="_Toc279"/>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إن التوبة من المكفّرات التي نص الكتاب و الحديث على تكفير الذنوب بها، تحت شرائط خاصة، و إشباع الكلام فيها يتم بالبحث في أمور</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6422526_1280447820"/>
      <w:bookmarkStart w:id="729" w:name="_Toc280"/>
      <w:bookmarkEnd w:id="728"/>
      <w:r>
        <w:rPr>
          <w:rtl w:val="true"/>
        </w:rPr>
        <w:t xml:space="preserve">الأمر الأول </w:t>
      </w:r>
      <w:r>
        <w:rPr>
          <w:rtl w:val="true"/>
        </w:rPr>
        <w:t xml:space="preserve">- </w:t>
      </w:r>
      <w:r>
        <w:rPr>
          <w:rtl w:val="true"/>
        </w:rPr>
        <w:t>فلسفة التوبة</w:t>
      </w:r>
      <w:bookmarkEnd w:id="729"/>
    </w:p>
    <w:p>
      <w:pPr>
        <w:pStyle w:val="BookText"/>
        <w:rPr/>
      </w:pPr>
      <w:r>
        <w:rPr>
          <w:rFonts w:ascii="Amiri" w:hAnsi="Amiri" w:eastAsia="Amiri" w:cs="Amiri"/>
          <w:color w:val="111111"/>
          <w:sz w:val="28"/>
          <w:sz w:val="28"/>
          <w:szCs w:val="28"/>
          <w:rtl w:val="true"/>
          <w:lang w:bidi="ar-SA"/>
        </w:rPr>
        <w:t>ربما يتوهّم أنّ في تشريع التوبة و الدعوة إليها إغراء بالمعصية و تحريضا على ترك الطاعة، بدعوى أنّ الإنسان إذا أيقن أنّه سبحانه يقبل توبته رغم اقترافه المعاصي، تزيد جرأته على هتك الحرمات، و الانهماك في الذنوب، فيدقّ باب كل قبيح، معتمدا على التوبة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توهم ساقط من أصله، فإنه لو كان باب التوبة موصدا في وجه العصاة، و اعتقد المجرم بأنّ العصيان مرّة واحدة، يدخله في عذاب اللّه، فلا شكّ أنّه سيتمادى في اقتراف السيئات و ارتكاب الذنوب، معتقدا بأنه لو غيّر حاله إلى الأحسن، لما كان له تأثير في تغيير مصيره، فلأي وجه يترك لذات المحرمات في ما يأتي من أيام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اعتقد بأنّ الطريق مفتوح و النوافذ مشرعة، و أنّه لو تاب توبة نصوحا ينقذ من عذابه سبحانه، فهذا يعطيه الأمل برحمة اللّه تعالى و يترك العصيان في مستقبل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و كم من الشباب عادوا إلى الصلاح بعد الفساد في ظل الاعتقاد بالتوبة، بحيث لو لا ذلك الاعتقاد لأسهروا لياليهم في المعاصي، بدل الطاعات</w:t>
      </w:r>
      <w:r>
        <w:rPr>
          <w:rFonts w:eastAsia="Amiri" w:cs="Amiri" w:ascii="Amiri" w:hAnsi="Amiri"/>
          <w:color w:val="111111"/>
          <w:sz w:val="28"/>
          <w:szCs w:val="28"/>
          <w:rtl w:val="true"/>
          <w:lang w:bidi="ar-SA"/>
        </w:rPr>
        <w:t xml:space="preserve">. </w:t>
      </w:r>
      <w:bookmarkStart w:id="730" w:name="pg16351_181233"/>
    </w:p>
    <w:p>
      <w:pPr>
        <w:pStyle w:val="BookText"/>
        <w:rPr/>
      </w:pPr>
      <w:bookmarkEnd w:id="730"/>
      <w:r>
        <w:rPr>
          <w:rFonts w:ascii="Amiri" w:hAnsi="Amiri" w:eastAsia="Amiri" w:cs="Amiri"/>
          <w:color w:val="111111"/>
          <w:sz w:val="28"/>
          <w:sz w:val="28"/>
          <w:szCs w:val="28"/>
          <w:rtl w:val="true"/>
          <w:lang w:bidi="ar-SA"/>
        </w:rPr>
        <w:t>و لأجل ذلك نرى في التشريعات الجنائية العالمية قوانين للعفو عن السجناء المؤبّدين، إذا شوهدت منهم الندامة و التوبة، و تغيير السلوك، فتشريع هذا القانون يكون موجبا لإصلاح السجناء، لا تقوية روح الطغيان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حيّ برجائه، و لو ساد عليه اليأس و القنوت من عفوه و رحمته سبحانه، لزاد في طغيانه في عامة أدوار عمره</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6422528_1280447820"/>
      <w:bookmarkStart w:id="732" w:name="_Toc281"/>
      <w:bookmarkEnd w:id="731"/>
      <w:r>
        <w:rPr>
          <w:rtl w:val="true"/>
        </w:rPr>
        <w:t xml:space="preserve">الأمر الثاني </w:t>
      </w:r>
      <w:r>
        <w:rPr>
          <w:rtl w:val="true"/>
        </w:rPr>
        <w:t xml:space="preserve">- </w:t>
      </w:r>
      <w:r>
        <w:rPr>
          <w:rtl w:val="true"/>
        </w:rPr>
        <w:t>حقيقة التوبة</w:t>
      </w:r>
      <w:bookmarkEnd w:id="732"/>
    </w:p>
    <w:p>
      <w:pPr>
        <w:pStyle w:val="BookText"/>
        <w:rPr/>
      </w:pPr>
      <w:r>
        <w:rPr>
          <w:rFonts w:ascii="Amiri" w:hAnsi="Amiri" w:eastAsia="Amiri" w:cs="Amiri"/>
          <w:color w:val="111111"/>
          <w:sz w:val="28"/>
          <w:sz w:val="28"/>
          <w:szCs w:val="28"/>
          <w:rtl w:val="true"/>
          <w:lang w:bidi="ar-SA"/>
        </w:rPr>
        <w:t>إنّ التوبة كما يستفاد من الآيات و الروايات حالة نفسانية مؤثّر في النفس فتصلحها و تعدها للصلاح الذي فيه سعادة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الغاية لا تحصل إلا بتحقق 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العزم على عدم العودة إليه إذا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انتفى الأمران أو أحدهما لما حصلت تلك الحالة المؤثرة في صلاح النفس و إعدادها لكمالات أخرى، فيلزم في التوبة وجود هذين الأمرين، سواء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مركبة منهما و أنّ كل واحد منهما جزء لها، كما نقل عن أبي هاشم الجبائي،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أمر بسيط هو الندم على ما مضى، و أما العزم فهو من شروطها و لوازمها، كما عليه الشيخ المفيد</w:t>
      </w:r>
      <w:r>
        <w:rPr>
          <w:rStyle w:val="FootnoteAnchor"/>
          <w:rtl w:val="true"/>
        </w:rPr>
        <w:footnoteReference w:id="744"/>
      </w:r>
      <w:r>
        <w:rPr>
          <w:rFonts w:ascii="Amiri" w:hAnsi="Amiri" w:eastAsia="Amiri" w:cs="Amiri"/>
          <w:color w:val="111111"/>
          <w:sz w:val="28"/>
          <w:sz w:val="28"/>
          <w:szCs w:val="28"/>
          <w:rtl w:val="true"/>
          <w:lang w:bidi="ar-SA"/>
        </w:rPr>
        <w:t>، فإن هذا نزاع لفظي لا ثمرة له إلا في موارد نادرة، كما إذا ندم على ما سلف من القبيح و منع من العزم، فعلى القول الأوّل لم تتحقق التوبة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كلام للإمام أمير المؤمنين حول التوبة، و قد سمع من بحضرته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الاستغفار؟ الاستغفار درجة العلّيّين، و هو اسم واقع على ستة معان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r>
        <w:rPr>
          <w:rFonts w:eastAsia="IRNazanin" w:cs="IRNazanin"/>
          <w:color w:val="111111"/>
          <w:sz w:val="28"/>
          <w:szCs w:val="28"/>
          <w:rtl w:val="true"/>
          <w:lang w:bidi="fa-IR"/>
        </w:rPr>
        <w:t xml:space="preserve">. </w:t>
      </w:r>
      <w:bookmarkStart w:id="733" w:name="pg16351_181234"/>
    </w:p>
    <w:p>
      <w:pPr>
        <w:pStyle w:val="BookText"/>
        <w:rPr/>
      </w:pPr>
      <w:bookmarkEnd w:id="733"/>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ليست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ضيّعتها فتؤدّي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w:t>
      </w:r>
      <w:r>
        <w:rPr>
          <w:rStyle w:val="FootnoteAnchor"/>
          <w:rtl w:val="true"/>
        </w:rPr>
        <w:footnoteReference w:id="745"/>
      </w:r>
      <w:r>
        <w:rPr>
          <w:rFonts w:ascii="Amiri" w:hAnsi="Amiri" w:eastAsia="Amiri" w:cs="Amiri"/>
          <w:color w:val="111111"/>
          <w:sz w:val="28"/>
          <w:sz w:val="28"/>
          <w:szCs w:val="28"/>
          <w:rtl w:val="true"/>
          <w:lang w:bidi="ar-SA"/>
        </w:rPr>
        <w:t>فتذيبه بالأحزان حتى تلصق الجلد بالعظم و 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لغاية إزالة السيئات النفسانية التي تجر إلى الإنسان كل شقاء في حياته الأولى و الأخرى، و تمنعه من الاستقرار على أريكة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الغاية لا تحصل إلا بحصول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و 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الأمور الأربعة الواردة في كلام الإمام عليه السلام، فسيوافيك الكلام فيها</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6422530_1280447820"/>
      <w:bookmarkStart w:id="735" w:name="_Toc282"/>
      <w:bookmarkEnd w:id="734"/>
      <w:r>
        <w:rPr>
          <w:rtl w:val="true"/>
        </w:rPr>
        <w:t xml:space="preserve">الأمر الثالث </w:t>
      </w:r>
      <w:r>
        <w:rPr>
          <w:rtl w:val="true"/>
        </w:rPr>
        <w:t xml:space="preserve">- </w:t>
      </w:r>
      <w:r>
        <w:rPr>
          <w:rtl w:val="true"/>
        </w:rPr>
        <w:t>وجوب التوبة</w:t>
      </w:r>
      <w:bookmarkEnd w:id="735"/>
    </w:p>
    <w:p>
      <w:pPr>
        <w:pStyle w:val="BookText"/>
        <w:rPr/>
      </w:pPr>
      <w:r>
        <w:rPr>
          <w:rFonts w:ascii="Amiri" w:hAnsi="Amiri" w:eastAsia="Amiri" w:cs="Amiri"/>
          <w:color w:val="111111"/>
          <w:sz w:val="28"/>
          <w:sz w:val="28"/>
          <w:szCs w:val="28"/>
          <w:rtl w:val="true"/>
          <w:lang w:bidi="ar-SA"/>
        </w:rPr>
        <w:t>اتفقت العدلية على وجوب التوبة و استدلوا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دافعة للضرر الذي هو العقاب، و دفع الضرر الأخروي واجب عقلا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العزم على ارتكاب القبائح و ترك الفرائض قبيح عقلا فيجب اجتنابه، و هو لا يحصل إلا بالتوبة</w:t>
      </w:r>
      <w:r>
        <w:rPr>
          <w:rFonts w:eastAsia="Amiri" w:cs="Amiri" w:ascii="Amiri" w:hAnsi="Amiri"/>
          <w:color w:val="111111"/>
          <w:sz w:val="28"/>
          <w:szCs w:val="28"/>
          <w:rtl w:val="true"/>
          <w:lang w:bidi="ar-SA"/>
        </w:rPr>
        <w:t xml:space="preserve">. </w:t>
      </w:r>
      <w:bookmarkStart w:id="736" w:name="pg16351_181235"/>
    </w:p>
    <w:p>
      <w:pPr>
        <w:pStyle w:val="BookText"/>
        <w:rPr/>
      </w:pPr>
      <w:bookmarkEnd w:id="736"/>
      <w:r>
        <w:rPr>
          <w:rFonts w:ascii="Amiri" w:hAnsi="Amiri" w:eastAsia="Amiri" w:cs="Amiri"/>
          <w:color w:val="111111"/>
          <w:sz w:val="28"/>
          <w:sz w:val="28"/>
          <w:szCs w:val="28"/>
          <w:rtl w:val="true"/>
          <w:lang w:bidi="ar-SA"/>
        </w:rPr>
        <w:t>و الدليل الثاني لا يفيد إلاّ وجوب العزم و هو أحد جزئي التوبة أو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فكل من قال بالحسن و القبح العقليين، لا مناص له عن القول بوجوب التوبة وجوبا عقليا، و ما جاء من طريق السمع يكون مرشدا إلى هذا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المنكرون لهما، فيذهبون إلى وجوبها شرعا،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6422532_1280447820"/>
      <w:bookmarkStart w:id="738" w:name="_Toc283"/>
      <w:bookmarkEnd w:id="737"/>
      <w:r>
        <w:rPr>
          <w:rtl w:val="true"/>
        </w:rPr>
        <w:t xml:space="preserve">الأمر الرابع </w:t>
      </w:r>
      <w:r>
        <w:rPr>
          <w:rtl w:val="true"/>
        </w:rPr>
        <w:t xml:space="preserve">- </w:t>
      </w:r>
      <w:r>
        <w:rPr>
          <w:rtl w:val="true"/>
        </w:rPr>
        <w:t>هل تجب التوبة من الصغائر؟</w:t>
      </w:r>
      <w:bookmarkEnd w:id="738"/>
    </w:p>
    <w:p>
      <w:pPr>
        <w:pStyle w:val="BookText"/>
        <w:rPr/>
      </w:pPr>
      <w:r>
        <w:rPr>
          <w:rFonts w:ascii="Amiri" w:hAnsi="Amiri" w:eastAsia="Amiri" w:cs="Amiri"/>
          <w:color w:val="111111"/>
          <w:sz w:val="28"/>
          <w:sz w:val="28"/>
          <w:szCs w:val="28"/>
          <w:rtl w:val="true"/>
          <w:lang w:bidi="ar-SA"/>
        </w:rPr>
        <w:t>إنّ ارتكاب أي معصية، صغيرة كانت أو كبيرة، جرأة على اللّه و خروج عن رسم العبودية و زيّ الرّقيّة، و هي تترك أثرا سيئا في النفس بلا ريب، فيجب التوبة منها لإزالة أثرها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أبو علي الجبائي، من المعتزلة، و لكن الظاهر من ابنه أبي هاشم، عدم وجوب التوبة من الصغائر إلاّ سمعا، و اختاره القاضي عبد الجبار، قائلا بأنّ التوبة إنّما تجب لدفع الضرر عن النفس، و لا ضرر في المعصية، فلا تجب التوبة منها، غاية الأمر أنّ للصغيرة تأثير في تقليل التواب، و لا ضرر في ذلك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مبني على أمرين غير ثابتين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بالذات تنقسم إلى صغائر و كبائر، و أنّ صغر المعاصي و كبرها ليس من الأمور الإضافية النسبية، بل هناك صنفان من المعاصي لا يتداخل أحدهما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الصغيرة لا يعاقب عليها ما لم يكن عليها إصرار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ذلك مورد تأمّل و تردد</w:t>
      </w:r>
      <w:r>
        <w:rPr>
          <w:rFonts w:eastAsia="Amiri" w:cs="Amiri" w:ascii="Amiri" w:hAnsi="Amiri"/>
          <w:color w:val="111111"/>
          <w:sz w:val="28"/>
          <w:szCs w:val="28"/>
          <w:rtl w:val="true"/>
          <w:lang w:bidi="ar-SA"/>
        </w:rPr>
        <w:t xml:space="preserve">. </w:t>
      </w:r>
      <w:bookmarkStart w:id="739" w:name="pg16351_181236"/>
    </w:p>
    <w:p>
      <w:pPr>
        <w:pStyle w:val="BookText"/>
        <w:rPr/>
      </w:pPr>
      <w:bookmarkEnd w:id="739"/>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تشريع التوبة ليس منحصرا بالاجتناب عن العذاب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عقاب على الصغيرة، بل قد عرفت أنّ 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الخلاص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الندم على كل قبيح أو إخلال بالواجب، و قبح العزم على الاستدامة، و هذا مشترك بين الصغيرة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الجواب عما ربما يقال من أنّ عقاب الصغيرة مكفّر باجتناب الكبيرة إذا لم يصر عليها، لقوله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عندئذ، لا يحتاج إلى التوبة منها، لما عرفت من أنّ وجه التوبة لا ينحصر بالخلاص من العذاب</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6422534_1280447820"/>
      <w:bookmarkStart w:id="741" w:name="_Toc284"/>
      <w:bookmarkEnd w:id="740"/>
      <w:r>
        <w:rPr>
          <w:rtl w:val="true"/>
        </w:rPr>
        <w:t xml:space="preserve">الأمر الخامس </w:t>
      </w:r>
      <w:r>
        <w:rPr>
          <w:rtl w:val="true"/>
        </w:rPr>
        <w:t xml:space="preserve">- </w:t>
      </w:r>
      <w:r>
        <w:rPr>
          <w:rtl w:val="true"/>
        </w:rPr>
        <w:t>التوبة واجب فوري</w:t>
      </w:r>
      <w:bookmarkEnd w:id="741"/>
    </w:p>
    <w:p>
      <w:pPr>
        <w:pStyle w:val="BookText"/>
        <w:rPr/>
      </w:pPr>
      <w:r>
        <w:rPr>
          <w:rFonts w:ascii="Amiri" w:hAnsi="Amiri" w:eastAsia="Amiri" w:cs="Amiri"/>
          <w:color w:val="111111"/>
          <w:sz w:val="28"/>
          <w:sz w:val="28"/>
          <w:szCs w:val="28"/>
          <w:rtl w:val="true"/>
          <w:lang w:bidi="ar-SA"/>
        </w:rPr>
        <w:t>يحكم العقل بوجوب التوبة فورا، لأنها اجتناب عن القبيح بقاء، و ترك للعدوان استدامة، و مثل ذلك لا يصح فيه التأخير 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العقل يحرّض على التوبة فورا ففورا، لئلا يفوت أوانها و يكون ممّن لا تقبل توبته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أُولٰئِكَ أَعْتَدْنٰا لَهُمْ عَذٰاباً أَلِيماً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ذكرناه هو خيرة المعتزلة أيضا حيث قالوا بفورية الوجوب و أنّه يلزم بتأخيرها ساعة إثم آخر يجب التوبة منه أيضا، حتى أن من أخّر التوبة عن الكبيرة ساعة واحدة، فقد فعل كبيرتين، و ساعتين أربع كبائر، الأوليان، و ترك التوبة </w:t>
      </w:r>
      <w:bookmarkStart w:id="742" w:name="pg16351_181237"/>
    </w:p>
    <w:p>
      <w:pPr>
        <w:pStyle w:val="BookText"/>
        <w:rPr/>
      </w:pPr>
      <w:bookmarkEnd w:id="742"/>
      <w:r>
        <w:rPr>
          <w:rFonts w:ascii="Amiri" w:hAnsi="Amiri" w:eastAsia="Amiri" w:cs="Amiri"/>
          <w:color w:val="111111"/>
          <w:sz w:val="28"/>
          <w:sz w:val="28"/>
          <w:szCs w:val="28"/>
          <w:rtl w:val="true"/>
          <w:lang w:bidi="ar-SA"/>
        </w:rPr>
        <w:t>عن كل منهما، و ثلاث ساعات، ثمان و هكذا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دليل على هذا التفصيل</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6422536_1280447820"/>
      <w:bookmarkStart w:id="744" w:name="_Toc285"/>
      <w:bookmarkEnd w:id="743"/>
      <w:r>
        <w:rPr>
          <w:rtl w:val="true"/>
        </w:rPr>
        <w:t xml:space="preserve">الأمر السادس </w:t>
      </w:r>
      <w:r>
        <w:rPr>
          <w:rtl w:val="true"/>
        </w:rPr>
        <w:t xml:space="preserve">- </w:t>
      </w:r>
      <w:r>
        <w:rPr>
          <w:rtl w:val="true"/>
        </w:rPr>
        <w:t>أثر التوبة</w:t>
      </w:r>
      <w:bookmarkEnd w:id="744"/>
    </w:p>
    <w:p>
      <w:pPr>
        <w:pStyle w:val="BookText"/>
        <w:rPr/>
      </w:pPr>
      <w:r>
        <w:rPr>
          <w:rFonts w:ascii="Amiri" w:hAnsi="Amiri" w:eastAsia="Amiri" w:cs="Amiri"/>
          <w:color w:val="111111"/>
          <w:sz w:val="28"/>
          <w:sz w:val="28"/>
          <w:szCs w:val="28"/>
          <w:rtl w:val="true"/>
          <w:lang w:bidi="ar-SA"/>
        </w:rPr>
        <w:t>إن أثر التوبة هو إزالة السيئات النفسانية التي تجر إلى الإنسان كل شقاء في حياته الأولى و الأخرى، فيرجع التائب بعد ندمه و عزمه على الترك في المستقبل، أبيض السريرة، كيوم ولدته أمّه، و بالتالي يسقط عنه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الأحكام الشرعية المترتبة على الأعمال السابقة فتبقى على حالها، إذ ليس للتوبة تأثير إلا في إصلاح النفس و إعدادها للسعادة الأخروية، و لذلك يجب الخروج عن مظالم العباد أوّلا، و تدارك ما فات من الفرائض ثانيا، فإنّ السيئة العارضة على النفس بسبب هضم حقوق الناس لا ترتفع إلا برضاهم، لأنّه سبحانه احترم حقوقهم في أموالهم و أعراضهم و نفوسهم، و عدّ التعدي على واحد منها ظلما، و عدوانا، و حاشاه أن يسلبهم شيئا مما جعله لهم من غير جرم صدر منهم و قد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شرط التوبة إلى اللّه سبحانه من مظالم العباد الخروج إلى المظلومين من حقوقهم بأدائها إليهم أو باستحلالهم منها على طيبة النفس بذلك، و الاختيار له، فمن عدم منهم صاحب المظلمة و فقده خرج إلى أوليائه من ظلامته أو استحلهم منها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قال الإمام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ضيّعتها فتؤدّي حقها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745" w:name="pg16351_181238"/>
    </w:p>
    <w:p>
      <w:pPr>
        <w:pStyle w:val="BookText"/>
        <w:rPr/>
      </w:pPr>
      <w:bookmarkEnd w:id="745"/>
      <w:r>
        <w:rPr>
          <w:rFonts w:ascii="Amiri" w:hAnsi="Amiri" w:eastAsia="Amiri" w:cs="Amiri"/>
          <w:color w:val="111111"/>
          <w:sz w:val="28"/>
          <w:sz w:val="28"/>
          <w:szCs w:val="28"/>
          <w:rtl w:val="true"/>
          <w:lang w:bidi="ar-SA"/>
        </w:rPr>
        <w:t>هذا، و إنّ المتبادر من الآيات و الروايات أنّ التوبة بنفسها مسقطة للعقاب،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 أَصْلَحَ فَأَنَّهُ غَفُورٌ رَحِيمٌ </w:t>
      </w:r>
      <w:r>
        <w:rPr>
          <w:rStyle w:val="FootnoteAnchor"/>
          <w:rtl w:val="true"/>
        </w:rPr>
        <w:footnoteReference w:id="755"/>
      </w:r>
      <w:r>
        <w:rPr>
          <w:rFonts w:ascii="Amiri" w:hAnsi="Amiri" w:eastAsia="Amiri" w:cs="Amiri"/>
          <w:color w:val="111111"/>
          <w:sz w:val="28"/>
          <w:sz w:val="28"/>
          <w:szCs w:val="28"/>
          <w:rtl w:val="true"/>
          <w:lang w:bidi="ar-SA"/>
        </w:rPr>
        <w:t>فإنّ الظاهر منه أنّ نفس التوبة تجرّ الغفران، و غير ذلك من الآيات، و هذا الأمر من المسائل القرآنية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حقوق اللّه، فيتبع هناك لسان الدليل الشرعي، فربما تكون التوبة مسقطة للحدّ كما في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فالاستثناء صريح في أنّ التوبة تسقط الحدّ الوارد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شارب الخمر إذا تاب قبل قيام البينة، يسقط الحد، و إن تاب بعدها لم يسقط</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اللائط قبل قيام البيّنة سقط الحدّ، و لو تاب بعده لم يسقط</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6422538_1280447820"/>
      <w:bookmarkStart w:id="747" w:name="_Toc286"/>
      <w:bookmarkEnd w:id="746"/>
      <w:r>
        <w:rPr>
          <w:rtl w:val="true"/>
        </w:rPr>
        <w:t xml:space="preserve">الأمر السابع </w:t>
      </w:r>
      <w:r>
        <w:rPr>
          <w:rtl w:val="true"/>
        </w:rPr>
        <w:t xml:space="preserve">- </w:t>
      </w:r>
      <w:r>
        <w:rPr>
          <w:rtl w:val="true"/>
        </w:rPr>
        <w:t>قبول التوبة واجب على اللّه أولا؟</w:t>
      </w:r>
      <w:bookmarkEnd w:id="74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التوبة تسقط العقاب، و هو مما أجمع عليه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الخلاف في أنّه هل يجب على اللّه قبولها بحيث لو عاقب بعد التوبة كان ظالما، أو هو تفضل منه سبحانه، و كرم و رحمة منه بعباده؟ </w:t>
      </w:r>
    </w:p>
    <w:p>
      <w:pPr>
        <w:pStyle w:val="BookText"/>
        <w:rPr/>
      </w:pPr>
      <w:r>
        <w:rPr>
          <w:rFonts w:ascii="Amiri" w:hAnsi="Amiri" w:eastAsia="Amiri" w:cs="Amiri"/>
          <w:color w:val="111111"/>
          <w:sz w:val="28"/>
          <w:sz w:val="28"/>
          <w:szCs w:val="28"/>
          <w:rtl w:val="true"/>
          <w:lang w:bidi="ar-SA"/>
        </w:rPr>
        <w:t>فالمعتزلة على الأوّل، و الأشاعرة و الإمامية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المعتزلة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العاصي قد بذل وسعه في التلافي، فيسقط عقابه، كمن بالغ في الاعتذار إلى من أساء إليه، فإنه يسقط ذمه بالضرورة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أساء إلى غيره و اعتذر إليه بأنواع الاعتذارات، و عرف منه الإقلاع عن تلك الإساءة بالكلية فالعقلاء يذمون المظلوم، إذا ذمّه بعد ذلك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يجب إسقاط العقاب لم يحسن تكليف العاصي، و التالي باطل إجماعا،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إنما يحسن للتعريض للنفع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بوجوب العقاب قطعا لا يحصل الثواب، و بغير التوبة لا يسقط العقاب، فلا يبقى للعاصي طريق إلى إسقاط العقاب عنه، و يستحيل اجتماع الثواب و العقاب فيكون التكليف قبيحا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الأول، بأنه لا يجب في منطق العقل قبول المعذرة، بل المظلوم في خيرة بين القبول و الصفح، و ليس رفض المعذرة مخالفا للحكمة و العدل حتى يجب على اللّه سبحانه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فيلاحظ عليه أنّه مبني على الأصل الذي اختاره المعتزلة من أنّ مرتكب الكبيرة مخلّد في النار، و هو لا يجتمع مع الثواب المترتب على التكليف، فاستدلوا بأنّه لو لم تقبل توبته لوجب أن يخلد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بمعصية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يجتمع مع الثواب، فيلزم سقوط تكليف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الأصل مردود لما قلنا من </w:t>
      </w:r>
      <w:bookmarkStart w:id="748" w:name="pg16351_181240"/>
    </w:p>
    <w:p>
      <w:pPr>
        <w:pStyle w:val="BookText"/>
        <w:rPr/>
      </w:pPr>
      <w:bookmarkEnd w:id="748"/>
      <w:r>
        <w:rPr>
          <w:rFonts w:ascii="Amiri" w:hAnsi="Amiri" w:eastAsia="Amiri" w:cs="Amiri"/>
          <w:color w:val="111111"/>
          <w:sz w:val="28"/>
          <w:sz w:val="28"/>
          <w:szCs w:val="28"/>
          <w:rtl w:val="true"/>
          <w:lang w:bidi="ar-SA"/>
        </w:rPr>
        <w:t>أنّ المؤمن لا يخلد في النار و إنما كتب الخلود على الكافر، فلا مانع من أن يعاقب مدّة ثم يخرج فيثاب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دليل على وجوب قبول التوبة على اللّه سبحانه، بل قبولها تفضّل و كرم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وصفه بالرحيم عقيب التوّاب يدل على أنّ إسقاط العقاب بعد التوبة تفضّل منه سبحانه و رحمة من جهته، على ما قاله أصحابنا، و إنّه غير واجب عقلا على خلاف ما ذهب إليه المعتزلة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إذا لوحظ قبول التوبة من حيث هو هو، و أما إذا لوحظ بعد ما وعده سبحانه بقبول توبة التائب، فالوجوب لا محيص عنه، لأنّ خلف الوعد قبيح، من غير فرق بين الواجب و الممكن، و قد أوضحنا لك معنى كون شيء واجبا على اللّه سبحانه، و أنّه لا يراد منه تكليف اللّه سبحانه، بل أنّ العقل يكشف حكما عاما سائدا على الواجب و الممكن، و هو أنّ الحكيم لا يفعل القبيح، لما فيه من المبادي الرافضة لارتكابه فيكون وجوب قبول التوبة سمعيا لا عقليا</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6422540_1280447820"/>
      <w:bookmarkStart w:id="750" w:name="_Toc287"/>
      <w:bookmarkEnd w:id="749"/>
      <w:r>
        <w:rPr>
          <w:rtl w:val="true"/>
        </w:rPr>
        <w:t xml:space="preserve">الأمر الثامن </w:t>
      </w:r>
      <w:r>
        <w:rPr>
          <w:rtl w:val="true"/>
        </w:rPr>
        <w:t xml:space="preserve">- </w:t>
      </w:r>
      <w:r>
        <w:rPr>
          <w:rtl w:val="true"/>
        </w:rPr>
        <w:t>هل يجب في التوبة، الندم على القبيح؟</w:t>
      </w:r>
      <w:bookmarkEnd w:id="750"/>
    </w:p>
    <w:p>
      <w:pPr>
        <w:pStyle w:val="BookText"/>
        <w:rPr/>
      </w:pPr>
      <w:r>
        <w:rPr>
          <w:rFonts w:ascii="Amiri" w:hAnsi="Amiri" w:eastAsia="Amiri" w:cs="Amiri"/>
          <w:color w:val="111111"/>
          <w:sz w:val="28"/>
          <w:sz w:val="28"/>
          <w:szCs w:val="28"/>
          <w:rtl w:val="true"/>
          <w:lang w:bidi="ar-SA"/>
        </w:rPr>
        <w:t>الظاهر من غير واحد من المحققين أنّ التوبة تتقوم بالندم على القبيح لقبحه، و إلا فلو ندم لأجل إضرارها بالبدن أو إخلالها بعرضه أو ماله أو لغرض آخر، لا يكون تائبا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كلام متين، فإنّ التوبة عبارة عن رجوع العبد إلى اللّه سبحانه، و هذا لا يتحقق إلا بأن يكون رجوعه لاستشعاره قبح عمله، و أنّه كان عدوانا على اللّه </w:t>
      </w:r>
    </w:p>
    <w:p>
      <w:pPr>
        <w:pStyle w:val="BookText"/>
        <w:rPr/>
      </w:pPr>
      <w:r>
        <w:rPr>
          <w:rFonts w:ascii="Amiri" w:hAnsi="Amiri" w:eastAsia="Amiri" w:cs="Amiri"/>
          <w:color w:val="111111"/>
          <w:sz w:val="28"/>
          <w:sz w:val="28"/>
          <w:szCs w:val="28"/>
          <w:rtl w:val="true"/>
          <w:lang w:bidi="ar-SA"/>
        </w:rPr>
        <w:t>و جرأة على المولى، و أما من ترك شرب الخمر لا بهذا الاعتقاد بل لأجل صيانة بدنه عن مضارها، فلا تكون توبة منه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تاب عن عمله لأجل الخوف من عقابه سبحانه، فقد ذهب المحقق الطوسي و تبعه العلامة الحلّي، إلى أنّه لو كانت الغاية من التوبة هي الخوف من النار بحيث لو لا خوف النار لم يتب، فلا يصدق عليها أنّها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التوبة خوفا من النار أو من فوات الجنة، لم تصح توبته، و هذا نظير ما لو اعتذر المسيء إلى المظلوم لا لأجل إساءته بل لخوفه من عقوبة السلطان، فإن العقلاء لا يقبلون عذره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الإلهية متوجهة إلى عموم الناس، من غير فرق بين التكليف بالصلاة و الصوم أو التكليف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الأكثرية الساحقة لا يقومون بالفعل لحسنه بالذات، و لا يتركونه لكونه قبيحا كذلك، بل الفعل و الترك يقومان على أساس الرغب و الرهب، و الطمع بالجنّة و الخوف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فالآيات الواردة حول التوبة المقترنة بالثواب تارة و الخلاص من النار أخرى، تعرب عن أنّ التوبة إذا حصلت لإحدى هاتين الغايتين، كفى ذلك في سقوط العقاب،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 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رَبَّكُمْ ثُمَّ تُوبُوا إِلَيْهِ يُمَتِّعْكُمْ مَتٰاعاً حَسَناً إِلىٰ أَجَلٍ مُسَمًّى، وَ يُؤْتِ كُلَّ ذِي فَضْلٍ فَضْلَهُ وَ إِنْ تَوَلَّوْا فَإِنِّي أَخٰافُ عَلَيْكُمْ عَذٰابَ يَوْمٍ كَبِيرٍ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الدعاء الذي علمه علي عليه السلام كميل بن زياد، إيعاز،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اغفر لي الذنوب التي تهتك العصم، اللّهم اغفر لي </w:t>
      </w:r>
    </w:p>
    <w:p>
      <w:pPr>
        <w:pStyle w:val="BookText"/>
        <w:rPr/>
      </w:pPr>
      <w:r>
        <w:rPr>
          <w:rFonts w:ascii="Amiri" w:hAnsi="Amiri" w:eastAsia="Amiri" w:cs="Amiri"/>
          <w:color w:val="111111"/>
          <w:sz w:val="28"/>
          <w:sz w:val="28"/>
          <w:szCs w:val="28"/>
          <w:rtl w:val="true"/>
          <w:lang w:bidi="ar-SA"/>
        </w:rPr>
        <w:t>الذنوب التي تنزل النقم، اللّهمّ اغفر لي الذنوب التي تغيّر النّعم، اللهم اغفر لي الذنوب التي تنزل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خوفا من النار، لا تنفك عن الاعتقاد بكون ما فعل أمرا قبيحا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فالآيات و الروايات الواردة حول التوبة مطلقة، تعم كل توبة يصدق عليها أنها رجوع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يبين علي عليه السلام موقف العباد في عبادة اللّه تعالى، و يقسمهم إلى ثلاثة أقسام،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فكما أنّه تقبل عبادة العباد، رغبة و رهبة، تقبل توبتهم أيضا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للتفكيك بين قبول عبادتهم و قبول توبتهم، و لا أجد فقيها يفتى ببطلان عبادة من عبده سبحانه لإحدى الغايتين،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سبحانه يصف أنبياءه العظام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 يَدْعُونَنٰا رَغَباً وَ رَهَباً وَ كٰانُوا لَنٰا خٰاشِعِينَ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أنّ المسقط ليس هو نفس التوبة، بل كثرة الثواب بعدها بأنها لو أسقطت العقاب بذاتها، لأسقطته في حال المعاينة، و في الدار الآخرة</w:t>
      </w:r>
      <w:r>
        <w:rPr>
          <w:rStyle w:val="FootnoteAnchor"/>
          <w:rtl w:val="true"/>
        </w:rPr>
        <w:footnoteReference w:id="769"/>
      </w:r>
      <w:r>
        <w:rPr>
          <w:rFonts w:ascii="Amiri" w:hAnsi="Amiri" w:eastAsia="Amiri" w:cs="Amiri"/>
          <w:color w:val="111111"/>
          <w:sz w:val="28"/>
          <w:sz w:val="28"/>
          <w:szCs w:val="28"/>
          <w:rtl w:val="true"/>
          <w:lang w:bidi="ar-SA"/>
        </w:rPr>
        <w:t>فيلاحظ عليه أنّ التوبة إنما تقبل لأنها تؤثر في النفس الإنسانية، فتصلحها، أو تعدّها للصلاح، و هذا إنما يتصور فيما إذا كان الإنسان قادرا على الفعل و الترك، و أما في حال المعاينة أو دار الآخرة، فالقدرة مسلوبة عن الإنسان هذا</w:t>
      </w:r>
      <w:r>
        <w:rPr>
          <w:rFonts w:eastAsia="Amiri" w:cs="Amiri" w:ascii="Amiri" w:hAnsi="Amiri"/>
          <w:color w:val="111111"/>
          <w:sz w:val="28"/>
          <w:szCs w:val="28"/>
          <w:rtl w:val="true"/>
          <w:lang w:bidi="ar-SA"/>
        </w:rPr>
        <w:t xml:space="preserve">. </w:t>
      </w:r>
      <w:bookmarkStart w:id="751" w:name="pg16351_181243"/>
    </w:p>
    <w:p>
      <w:pPr>
        <w:pStyle w:val="BookText"/>
        <w:rPr/>
      </w:pPr>
      <w:bookmarkEnd w:id="751"/>
      <w:r>
        <w:rPr>
          <w:rFonts w:ascii="Amiri" w:hAnsi="Amiri" w:eastAsia="Amiri" w:cs="Amiri"/>
          <w:color w:val="111111"/>
          <w:sz w:val="28"/>
          <w:sz w:val="28"/>
          <w:szCs w:val="28"/>
          <w:rtl w:val="true"/>
          <w:lang w:bidi="ar-SA"/>
        </w:rPr>
        <w:t>مع أنّك قد عرفت عند البحث عن أثر التوبة أنّ التوبة بنفسها هي المسقطة للعقاب، فلاحظ</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6422542_1280447820"/>
      <w:bookmarkStart w:id="753" w:name="_Toc288"/>
      <w:bookmarkEnd w:id="752"/>
      <w:r>
        <w:rPr>
          <w:rtl w:val="true"/>
        </w:rPr>
        <w:t xml:space="preserve">الأمر التاسع </w:t>
      </w:r>
      <w:r>
        <w:rPr>
          <w:rtl w:val="true"/>
        </w:rPr>
        <w:t xml:space="preserve">- </w:t>
      </w:r>
      <w:r>
        <w:rPr>
          <w:rtl w:val="true"/>
        </w:rPr>
        <w:t>هل تصحّ التوبة من قبيح دون قبيح؟</w:t>
      </w:r>
      <w:bookmarkEnd w:id="753"/>
    </w:p>
    <w:p>
      <w:pPr>
        <w:pStyle w:val="BookText"/>
        <w:rPr/>
      </w:pPr>
      <w:r>
        <w:rPr>
          <w:rFonts w:ascii="Amiri" w:hAnsi="Amiri" w:eastAsia="Amiri" w:cs="Amiri"/>
          <w:color w:val="111111"/>
          <w:sz w:val="28"/>
          <w:sz w:val="28"/>
          <w:szCs w:val="28"/>
          <w:rtl w:val="true"/>
          <w:lang w:bidi="ar-SA"/>
        </w:rPr>
        <w:t>اختلفت كلمتهم في أنه هل يصح الندم من قبيح دون قبيح؟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تصح ما لم يصر على شيء من ذلك الجنس، فلو أنّه تاب من شرب الخمر و أصرّ على الزنا كانت توبته عن الأول توبة نصوحا صحيحة، و أما إذا أصرّ على شيء من ذلك الجنس لم تصح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أنّه لو تاب عن شرب هذا القدح من الخمر مع إصراره على شرب قدح آخر، فلا إشكال في أن لا تصح توبته هذه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تصح التوبة عن بعض القبائح مع الإصرار على بعض، و اختاره القاضي عبد الجبار، و استدل عليه بأنّ التوبة عن القبيح يجب أن يكون ندما عليه لقبحه، و عزما على أن لا يعود إلى أمثاله في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هذا كذلك، فليس تصح توبته عن بعض القبائح مع الإصرار على البعض، إذ ليس يصح أن يترك أحدنا بعض الأفعال لوجه، ثم لا يترك ما سواه في ذلك الوجه، أ لا ترى أنّه لا يصح أن يتجنّب سلوك طريق لأن فيها سبعا، ثم لا يتجنب سلوك طريق أخرى فيها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يصح أن لا يتناول طعاما لأنّ فيه سما، ثم يتناول طعاما آخر مع أنّ فيه سما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القبيحة تختلف شدة و ضعفا، و إن كانت تشترك في كونها عدوانا على اللّه و خرقا لحدوده، و لكنها مع ذلك تختلف في جهات القبح، و على ذلك فربما يوجد داع إلى الندم في بعض القبائح دون الأخرى، و ذلك بأن يقترن ببعض القبائح قرائن زائدة كعظم الذنب، أو كثرة الزواجر عنه، أو الشناعة على فعله عند العقلاء، دون قبائح أخرى، فعندئذ ربما يرجح الندم </w:t>
      </w:r>
    </w:p>
    <w:p>
      <w:pPr>
        <w:pStyle w:val="BookText"/>
        <w:rPr/>
      </w:pPr>
      <w:r>
        <w:rPr>
          <w:rFonts w:ascii="Amiri" w:hAnsi="Amiri" w:eastAsia="Amiri" w:cs="Amiri"/>
          <w:color w:val="111111"/>
          <w:sz w:val="28"/>
          <w:sz w:val="28"/>
          <w:szCs w:val="28"/>
          <w:rtl w:val="true"/>
          <w:lang w:bidi="ar-SA"/>
        </w:rPr>
        <w:t>على القبائح المحتفة بما يوجد الندم في النفس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اشتركت جميع القبائح في قوة الدواعي اشتركت في وقوع الندم عليها جميعا، و لم يصح الندم على البعض دون الآخر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مما يلمسه الإنسان في حياة المجرمين، فربما يحضر عاص أنديه الوعظ و الإرشاد، فيستمع إلى الخطيب، يندد ببعض المعاصي كشرب الخمر، و أكل الربا، و يذكر قبحهما و شناعتهما، و ما يترتب عليهما من إشاعة البغضاء في المجتمع، فيحصل في نفسه داع قوي يدفعه إلى ترك هذين القبيحين، و في الوقت نفسه قد لا يجد داعيا لترك غير هما من المعاصي التي اعتاد عليها، كالغيبة لا لأنه لا يراها قبيحة، بل لأنها لم تحتف بما يوجد داعي الندم في نفسه، بخلاف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فجميعها، إذن، تشترك في القبح و الشناعة، غير أنّ الأوّلين يتميزان بوجود الداعي إلى التوبة عنهما فتاب،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الجواب عما ذكره أبو هاشم من أنّه إذا كانت توبته عن بعض القبائح لأجل قبحها، فهو موجود في البعض الآخر أيضا، فلم تاب عن الأولى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الجواب أنّ الكل يشترك في القبح، لكن ترك البعض دون الآخر، لا لأجل اعتقاده أنّ واحدا قبيح دون الآخر، بل إنه يعتقد بقبحهما، و لكن الداعي للتوبة موجود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المحقق الطوسي،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ترجيح الداعي إلى الندم على البعض يبعث عليه خاصة، و إن اشترك الداعي في الندم على القبيح لقبحه، كما في الدواعي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اشترك الترجيح، اشترك وقوع الندم، فلا يصح الندم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يوضح ذلك أنّه لو أسلم يهودي و رجع عن كفره، نادما على ما مضى من عمره، و لكنه بقي مصرا على صغيرة من الصغائر، فلو قلنا بأنّ التوبة من </w:t>
      </w:r>
    </w:p>
    <w:p>
      <w:pPr>
        <w:pStyle w:val="BookText"/>
        <w:rPr/>
      </w:pPr>
      <w:r>
        <w:rPr>
          <w:rFonts w:ascii="Amiri" w:hAnsi="Amiri" w:eastAsia="Amiri" w:cs="Amiri"/>
          <w:color w:val="111111"/>
          <w:sz w:val="28"/>
          <w:sz w:val="28"/>
          <w:szCs w:val="28"/>
          <w:rtl w:val="true"/>
          <w:lang w:bidi="ar-SA"/>
        </w:rPr>
        <w:t xml:space="preserve">القبائح لا تتبعض لزم أنّ لا تكون توبته مقبولة، و هو خرق للإجماع، و إلى هذا ينظر قول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لو لا التبعيض، لزم الحكم ببقاء الكفر على التائب منه المقيم على صغيرة</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القاضي عبد الجبار استحسن قول أبي هاشم و أراد التخلص عن هذا الإشكال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يسقط من عقوبته شيء لأنه لم يأت بما يسقط العقوبة عامة، فبقيت عقوبته كما كانت، نعم، لا يجري عليه أحكام اليهود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يقول لا يسقط من عقوبته شيء مع أنّه كان كافرا فصار مؤمنا، و الإيمان يكفر الشرك و عقوبته باتفاق المسلمين، فالقول ببقاء عقوبة الشرك مع أنّه صار مؤمنا بحجة أنّه لم يزل يرتكب صغيرة، مخالف لنص الآيات و اتفاق المسلمين، و معاملة النبي للمشركين الذين آمنوا، و لو كان رفع العقوبة مقيّدا بعدم الإصرار على صغيرة، من الذنوب التي كان يرتكبها المشرك، لأصحر به النبي و بيّنه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أبحاث طفيفة في التوبة، يظهر حالها مما أوضحناه</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سبحانه أن يتوب علينا، و يكتب الغفران في صحائف أعمالنا، بفضله و كرمه</w:t>
      </w:r>
      <w:r>
        <w:rPr>
          <w:rFonts w:eastAsia="Amiri" w:cs="Amiri" w:ascii="Amiri" w:hAnsi="Amiri"/>
          <w:color w:val="111111"/>
          <w:sz w:val="28"/>
          <w:szCs w:val="28"/>
          <w:rtl w:val="true"/>
          <w:lang w:bidi="ar-SA"/>
        </w:rPr>
        <w:t xml:space="preserve">. </w:t>
      </w:r>
      <w:bookmarkStart w:id="754" w:name="pg16351_181246"/>
    </w:p>
    <w:p>
      <w:pPr>
        <w:pStyle w:val="BookText"/>
        <w:rPr/>
      </w:pPr>
      <w:bookmarkEnd w:id="754"/>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755" w:name="__RefHeading___Toc6422544_1280447820"/>
      <w:bookmarkStart w:id="756" w:name="_Toc289"/>
      <w:bookmarkEnd w:id="755"/>
      <w:r>
        <w:rPr>
          <w:rtl w:val="true"/>
        </w:rPr>
        <w:t>(</w:t>
      </w:r>
      <w:r>
        <w:rPr/>
        <w:t>15</w:t>
      </w:r>
      <w:r>
        <w:rPr>
          <w:rtl w:val="true"/>
        </w:rPr>
        <w:t xml:space="preserve">) </w:t>
      </w:r>
      <w:r>
        <w:rPr>
          <w:rtl w:val="true"/>
        </w:rPr>
        <w:t>الشفاعة</w:t>
      </w:r>
      <w:bookmarkEnd w:id="756"/>
    </w:p>
    <w:p>
      <w:pPr>
        <w:pStyle w:val="Heading5"/>
        <w:numPr>
          <w:ilvl w:val="4"/>
          <w:numId w:val="1"/>
        </w:numPr>
        <w:rPr/>
      </w:pPr>
      <w:bookmarkStart w:id="757" w:name="__RefHeading___Toc6422546_1280447820"/>
      <w:bookmarkStart w:id="758" w:name="_Toc290"/>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الشفاعة في الآخرة بصيص من الرجاء، و نافذة من الأمل، فتحتها الشريعة الإسلامية في وجه العصاة حتى لا ييأسوا من روح اللّه و رحمته، و لا يغلبهم الشعور بالحرمان من عفوه فيتمادوا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 في تشريع الشفاعة هو عينه السبب في تشريع التوبة في الحياة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جلاء الحقيقة في الشفاعة، يتم بالبحث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تصنيف آيات الشفاعة و إرجاعها إلى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نماذج مما ورد من السنة عن النبي و 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معنى الشفاعة، و أقسامها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مبررات تشريع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شرائط شمول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الشفاعة و أنّه حطّ الذنوب، لا رفع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الإشكالات المثارة حول الشفاعة، و هي خمسة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طلب الشفاعة من الأولياء</w:t>
      </w:r>
      <w:r>
        <w:rPr>
          <w:rFonts w:eastAsia="Amiri" w:cs="Amiri" w:ascii="Amiri" w:hAnsi="Amiri"/>
          <w:color w:val="111111"/>
          <w:sz w:val="28"/>
          <w:szCs w:val="28"/>
          <w:rtl w:val="true"/>
          <w:lang w:bidi="ar-SA"/>
        </w:rPr>
        <w:t xml:space="preserve">. </w:t>
      </w:r>
      <w:bookmarkStart w:id="759" w:name="pg16351_181247"/>
    </w:p>
    <w:p>
      <w:pPr>
        <w:pStyle w:val="BookText"/>
        <w:rPr/>
      </w:pPr>
      <w:bookmarkEnd w:id="759"/>
      <w:r>
        <w:rPr>
          <w:rFonts w:ascii="Amiri" w:hAnsi="Amiri" w:eastAsia="Amiri" w:cs="Amiri"/>
          <w:color w:val="111111"/>
          <w:sz w:val="28"/>
          <w:sz w:val="28"/>
          <w:szCs w:val="28"/>
          <w:rtl w:val="true"/>
          <w:lang w:bidi="ar-SA"/>
        </w:rPr>
        <w:t>و فيما يلي البحث في كل واحدة منها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6422548_1280447820"/>
      <w:bookmarkStart w:id="761" w:name="_Toc291"/>
      <w:bookmarkEnd w:id="760"/>
      <w:r>
        <w:rPr>
          <w:rtl w:val="true"/>
        </w:rPr>
        <w:t>الأمر الأول</w:t>
      </w:r>
      <w:r>
        <w:rPr>
          <w:rtl w:val="true"/>
        </w:rPr>
        <w:t xml:space="preserve">: </w:t>
      </w:r>
      <w:r>
        <w:rPr>
          <w:rtl w:val="true"/>
        </w:rPr>
        <w:t>آيات الشفاعة و تصنيفها</w:t>
      </w:r>
      <w:bookmarkEnd w:id="761"/>
    </w:p>
    <w:p>
      <w:pPr>
        <w:pStyle w:val="BookText"/>
        <w:rPr/>
      </w:pPr>
      <w:r>
        <w:rPr>
          <w:rFonts w:ascii="Amiri" w:hAnsi="Amiri" w:eastAsia="Amiri" w:cs="Amiri"/>
          <w:color w:val="111111"/>
          <w:sz w:val="28"/>
          <w:sz w:val="28"/>
          <w:szCs w:val="28"/>
          <w:rtl w:val="true"/>
          <w:lang w:bidi="ar-SA"/>
        </w:rPr>
        <w:t>قد ورد ذكر الشفاعة في الكتاب الحكيم في سور مختلفة، لمناسبات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يظهر المراد من المجموع إلا بعرض بعضها على بعض، و تفسير الكل بالكل، و الآيات الواردة في الشفاعة تندرج تحت الأصناف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الشفاعة في بادئ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الصنف من الآيات هو المستمسك لمن اعتقد بأنّ الشفاعة عقيدة اختلقها الكهّان</w:t>
      </w:r>
      <w:r>
        <w:rPr>
          <w:rStyle w:val="FootnoteAnchor"/>
          <w:rtl w:val="true"/>
        </w:rPr>
        <w:footnoteReference w:id="779"/>
      </w:r>
      <w:r>
        <w:rPr>
          <w:rFonts w:ascii="Amiri" w:hAnsi="Amiri" w:eastAsia="Amiri" w:cs="Amiri"/>
          <w:color w:val="111111"/>
          <w:sz w:val="28"/>
          <w:sz w:val="28"/>
          <w:szCs w:val="28"/>
          <w:rtl w:val="true"/>
          <w:lang w:bidi="ar-SA"/>
        </w:rPr>
        <w:t>، و سيوافيك أنّ المنفي قسم خاص منها لا جميع أقسامها بقرينة أنّ المنفي قسم من أواصر الخلة لا جميعها، بشهادة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الشفاعة المزعومة لليهود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الآية خطاب لليهود، و هي تهدف إلى نفي الشفاعة المزعومة عندهم، حيث كانوا يقولون نحن أولاد الأنبياء و أولادنا يشفعون لنا، فصار ذلك ذريعة </w:t>
      </w:r>
    </w:p>
    <w:p>
      <w:pPr>
        <w:pStyle w:val="BookText"/>
        <w:rPr/>
      </w:pPr>
      <w:r>
        <w:rPr>
          <w:rFonts w:ascii="Amiri" w:hAnsi="Amiri" w:eastAsia="Amiri" w:cs="Amiri"/>
          <w:color w:val="111111"/>
          <w:sz w:val="28"/>
          <w:sz w:val="28"/>
          <w:szCs w:val="28"/>
          <w:rtl w:val="true"/>
          <w:lang w:bidi="ar-SA"/>
        </w:rPr>
        <w:t>لارتكاب الموبقات، و ترك الفرائض، فآيسهم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شمول الشفاعة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الصنف ناظر إلى نفي وجود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للكفار الذين انقطعت علاقتهم باللّه لكفرهم به و برسله و كتبه كما انقطعت علاقتهم الروحية بالشفعاء الصالحين، فلم يبق بينهم و بين الشفاعة أية صلة و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صلاحيّة الأصنام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نَرىٰ مَعَكُمْ شُفَعٰاءَكُمُ اَلَّذِينَ زَعَمْتُمْ أَنَّهُمْ فِيكُمْ شُرَكٰاءُ لَقَدْ تَقَطَّعَ بَيْنَكُمْ وَ ضَلَّ عَنْكُمْ مٰا كُنْتُمْ تَزْعُمُونَ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الصنف يرمي إلى نفي صلاحية الأصنام للشفاعة، و ذلك لأنّ العرب الجاهليين كانوا يعبدون الأصنام لاعتقادهم بشفاعتهم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الشفاعة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الشفاعة مختصة باللّه لا ينافي ثبوتها لغيره بإذنه كما يعرب عنه آيات الصنف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الشفاعة لغيره بإذنه سبحانه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 هذا الصنف و ما سبقه واضح، و قد قلنا إنّ مقتضى التوحيد في الخالقية أنّه لا مؤثّر في الكون إلا اللّه، و أنّ تأثير سائر العلل إنما هو على وجه التبعية لإرادته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 من تقبل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يتضمن هذا الصنف أسماء بعض من تقبل شفاعتهم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وَ 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بأنّ الملائكة و حملة العرش تقبل 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يتحصل من جمع الآيات أنّ الشفاعة تنقسم إلى شفاعة مرفوضة، كالشفاعة التي يعتقد بها اليهود، و شفاعة الأصنام، و الشفاعة في حقّ الكفار، و إلى مقبولة و هي شفاعة اللّه سبحانه، و شفاعة من أذن له، و شفاعة الملائكة و حملة العرش، و بالإحاطة بالأصناف السبعة، تقدر على تمييز المرفوضة عن المقبولة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ليست آيات الشفاعة مختصة بالأصناف التي ذكرناها، فإن هناك آيات تخرج عن إطارها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أطبق المفسرون على أنّ المراد من المقام المحمود، هو مقام الشفاعة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762" w:name="pg16351_181250"/>
    </w:p>
    <w:p>
      <w:pPr>
        <w:pStyle w:val="Heading5"/>
        <w:numPr>
          <w:ilvl w:val="4"/>
          <w:numId w:val="1"/>
        </w:numPr>
        <w:rPr/>
      </w:pPr>
      <w:bookmarkStart w:id="763" w:name="__RefHeading___Toc6422550_1280447820"/>
      <w:bookmarkStart w:id="764" w:name="_Toc292"/>
      <w:bookmarkEnd w:id="762"/>
      <w:bookmarkEnd w:id="763"/>
      <w:r>
        <w:rPr>
          <w:rtl w:val="true"/>
        </w:rPr>
        <w:t>الأمر الثاني</w:t>
      </w:r>
      <w:r>
        <w:rPr>
          <w:rtl w:val="true"/>
        </w:rPr>
        <w:t xml:space="preserve">: </w:t>
      </w:r>
      <w:r>
        <w:rPr>
          <w:rtl w:val="true"/>
        </w:rPr>
        <w:t>الشفاعة في السّنة</w:t>
      </w:r>
      <w:r>
        <w:rPr>
          <w:rtl w:val="true"/>
        </w:rPr>
        <w:t>.</w:t>
      </w:r>
      <w:bookmarkEnd w:id="764"/>
    </w:p>
    <w:p>
      <w:pPr>
        <w:pStyle w:val="BookText"/>
        <w:rPr/>
      </w:pPr>
      <w:r>
        <w:rPr>
          <w:rFonts w:ascii="Amiri" w:hAnsi="Amiri" w:eastAsia="Amiri" w:cs="Amiri"/>
          <w:color w:val="111111"/>
          <w:sz w:val="28"/>
          <w:sz w:val="28"/>
          <w:szCs w:val="28"/>
          <w:rtl w:val="true"/>
          <w:lang w:bidi="ar-SA"/>
        </w:rPr>
        <w:t>لقد اهتم الحديث النبوي، و حديث العترة الطاهرة بأمر الشفاعة و حدودها و شرائطها و أسبابها و موانعها، اهتماما بالغا لا يوجد له مثيل إلا في موضوعات خاصة تتمتع بالأهمية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لاحظ المتتبع، الصحاح و المسانيد و الجوامع الحديثية فإنه يقف على جمهرة كبيرة من الأحاديث الواردة في الشفاعة، تدفع به إلى الإذعان بأنّها من الأصول المسلّمة في الشريعة الإسلامية، و نحن نذكر النذر اليسير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فتعجّل كلّ نبيّ دعوته، و إنّي اختبأت دعوتي، شفاعة لأمتي، و هي نائلة من مات منهم لا يشرك باللّه شيئا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خمسا، و أعطيت الشفاعة، فادخرتها لأمتي، فهي لمن لا يشرك باللّه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شفاعتي لأهل الكبائر من أمّتي</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زين العابدين علي بن الحسين عليهما السلام في كلام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شرّف بنيانه، و عظّم برهانه، و ثقّل ميزانه و تقبّل شفاعته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765" w:name="pg16351_181251"/>
    </w:p>
    <w:p>
      <w:pPr>
        <w:pStyle w:val="Heading5"/>
        <w:numPr>
          <w:ilvl w:val="4"/>
          <w:numId w:val="1"/>
        </w:numPr>
        <w:rPr/>
      </w:pPr>
      <w:bookmarkStart w:id="766" w:name="__RefHeading___Toc6422552_1280447820"/>
      <w:bookmarkStart w:id="767" w:name="_Toc293"/>
      <w:bookmarkEnd w:id="765"/>
      <w:bookmarkEnd w:id="766"/>
      <w:r>
        <w:rPr>
          <w:rtl w:val="true"/>
        </w:rPr>
        <w:t>الأمر الثالث</w:t>
      </w:r>
      <w:r>
        <w:rPr>
          <w:rtl w:val="true"/>
        </w:rPr>
        <w:t xml:space="preserve">: </w:t>
      </w:r>
      <w:r>
        <w:rPr>
          <w:rtl w:val="true"/>
        </w:rPr>
        <w:t>حقيقة الشفاعة و أقسامها</w:t>
      </w:r>
      <w:bookmarkEnd w:id="767"/>
    </w:p>
    <w:p>
      <w:pPr>
        <w:pStyle w:val="Heading6"/>
        <w:numPr>
          <w:ilvl w:val="5"/>
          <w:numId w:val="1"/>
        </w:numPr>
        <w:rPr/>
      </w:pPr>
      <w:bookmarkStart w:id="768" w:name="__RefHeading___Toc6422554_1280447820"/>
      <w:bookmarkStart w:id="769" w:name="_Toc294"/>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للشفاعة أصل واحد يدل على مقارنة الشيئين، من ذلك الشفع، خلاف الوتر، تقول كان فردا فشفّعته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مقوّم الشفاعة، انضمام شيء إلى شيء في مقام التأثير، فهي تنقسم الى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شفاعة تكوينية، شفاعة قيادية، و شفاعة مصطلحة بين الناس</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6422556_1280447820"/>
      <w:bookmarkStart w:id="771" w:name="_Toc295"/>
      <w:bookmarkEnd w:id="770"/>
      <w:r>
        <w:rPr/>
        <w:t>1</w:t>
      </w:r>
      <w:r>
        <w:rPr>
          <w:rtl w:val="true"/>
        </w:rPr>
        <w:t xml:space="preserve"> - </w:t>
      </w:r>
      <w:r>
        <w:rPr>
          <w:rtl w:val="true"/>
        </w:rPr>
        <w:t>الشفاعة التكوينية</w:t>
      </w:r>
      <w:bookmarkEnd w:id="771"/>
    </w:p>
    <w:p>
      <w:pPr>
        <w:pStyle w:val="BookText"/>
        <w:rPr/>
      </w:pPr>
      <w:r>
        <w:rPr>
          <w:rFonts w:ascii="Amiri" w:hAnsi="Amiri" w:eastAsia="Amiri" w:cs="Amiri"/>
          <w:color w:val="111111"/>
          <w:sz w:val="28"/>
          <w:sz w:val="28"/>
          <w:szCs w:val="28"/>
          <w:rtl w:val="true"/>
          <w:lang w:bidi="ar-SA"/>
        </w:rPr>
        <w:t>قد عرفت في مباحث التوحيد أنّ المظاهر الكونية، بحكم أنّها ممكنة الوجود، غير مستقلة في ذاتها، و لكنها مع ذلك قائمة على أساس علل و معاليل سائدة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فتأثير كل ظاهرة كونية في أثرها، و معلولها، بإذنه سبحانه، و لا يتحقق إلاّ مقترنا به، و لأجل ذلك سمّى سبحانه السبب الكوني، شفيعا، لأنّ تأثيره مشروط بأن يكون إذنه سبحانه منضما إليه، فيؤثّران معا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Style w:val="FootnoteAnchor"/>
          <w:rtl w:val="true"/>
        </w:rPr>
        <w:footnoteReference w:id="796"/>
      </w:r>
      <w:r>
        <w:rPr>
          <w:rFonts w:ascii="Amiri" w:hAnsi="Amiri" w:eastAsia="Amiri" w:cs="Amiri"/>
          <w:color w:val="111111"/>
          <w:sz w:val="28"/>
          <w:sz w:val="28"/>
          <w:szCs w:val="28"/>
          <w:rtl w:val="true"/>
          <w:lang w:bidi="ar-SA"/>
        </w:rPr>
        <w:t>و المراد من الشفيع هو الأسباب و العلل المادية الواقعة في طريق وجود الأشياء و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العلة شفيعا، لأجل أنّ تأثيرها يتوقف على إذنه سبحانه، فهي مشفوعة إلى إذنه، حتى تؤثّر و تعطي ما تعطي</w:t>
      </w:r>
      <w:r>
        <w:rPr>
          <w:rFonts w:eastAsia="Amiri" w:cs="Amiri" w:ascii="Amiri" w:hAnsi="Amiri"/>
          <w:color w:val="111111"/>
          <w:sz w:val="28"/>
          <w:szCs w:val="28"/>
          <w:rtl w:val="true"/>
          <w:lang w:bidi="ar-SA"/>
        </w:rPr>
        <w:t xml:space="preserve">. </w:t>
      </w:r>
      <w:bookmarkStart w:id="772" w:name="pg16351_181252"/>
    </w:p>
    <w:p>
      <w:pPr>
        <w:pStyle w:val="BookText"/>
        <w:rPr/>
      </w:pPr>
      <w:bookmarkEnd w:id="772"/>
      <w:r>
        <w:rPr>
          <w:rFonts w:ascii="Amiri" w:hAnsi="Amiri" w:eastAsia="Amiri" w:cs="Amiri"/>
          <w:color w:val="111111"/>
          <w:sz w:val="28"/>
          <w:sz w:val="28"/>
          <w:szCs w:val="28"/>
          <w:rtl w:val="true"/>
          <w:lang w:bidi="ar-SA"/>
        </w:rPr>
        <w:t>فالآية خارجة عن الشفاعة المصطلحة بين علماء الكلام، و القرائن الموجودة في نفس الآية تصدّنا عن حملها إلا على هذا القسم من الشفاعة، و قد عرفت أنّ الشفاعة خلاف الوتر، و أنّه يصح في صدقها، انضمام شيء إلى شيء</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6422558_1280447820"/>
      <w:bookmarkStart w:id="774" w:name="_Toc296"/>
      <w:bookmarkEnd w:id="773"/>
      <w:r>
        <w:rPr/>
        <w:t>2</w:t>
      </w:r>
      <w:r>
        <w:rPr>
          <w:rtl w:val="true"/>
        </w:rPr>
        <w:t xml:space="preserve"> - </w:t>
      </w:r>
      <w:r>
        <w:rPr>
          <w:rtl w:val="true"/>
        </w:rPr>
        <w:t>الشفاعة القيادية</w:t>
      </w:r>
      <w:bookmarkEnd w:id="774"/>
    </w:p>
    <w:p>
      <w:pPr>
        <w:pStyle w:val="BookText"/>
        <w:rPr/>
      </w:pPr>
      <w:r>
        <w:rPr>
          <w:rFonts w:ascii="Amiri" w:hAnsi="Amiri" w:eastAsia="Amiri" w:cs="Amiri"/>
          <w:color w:val="111111"/>
          <w:sz w:val="28"/>
          <w:sz w:val="28"/>
          <w:szCs w:val="28"/>
          <w:rtl w:val="true"/>
          <w:lang w:bidi="ar-SA"/>
        </w:rPr>
        <w:t>و المراد من هذا الصنف هو قيام الأنبياء و الأولياء و الأئمة و العلماء، و الكتب السماوية مقام الشفيع، و الشفاعة للبشر لتخليصهم من عواقب أعمالهم و سيئات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هذه الشفاعة و الشفاعة المصطلحة أنّ الثانية توجب رفع العذاب عن العبد بعد استحقاقه له، و هذه توجب أن لا يقع العبد في عداد العصاة، حتى يستحق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من قبيل الرفع، و الثانية من قبيل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فقيادة الأنبياء و الأئمة، تقوم مقام الشفيع و الشفاعة في تجنيب العبد من الوقوع في المعاصي و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فالشفاعة بهذا المعنى، مثلها مثل الوقاية في الطبابة، كما أنّ الشفاعة المصطلحة مثلها مثل المداواة بعد إصابة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إطلاق الشفاعة بهذا المعنى إطلاقا مجازيا، كيف و قد شهد بذلك القرآن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الضمير المجرور في بِهِ يرجع إلى القرآن، و من المعلوم أنّ ظرف شفاعة القرآن، هو الحياة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هدايته تتحقق فيها، و إن كانت نتائجها تظهر في الحياة الأخروية، فمن عمل بالقرآن قاده إلى الجنة</w:t>
      </w:r>
      <w:r>
        <w:rPr>
          <w:rFonts w:eastAsia="Amiri" w:cs="Amiri" w:ascii="Amiri" w:hAnsi="Amiri"/>
          <w:color w:val="111111"/>
          <w:sz w:val="28"/>
          <w:szCs w:val="28"/>
          <w:rtl w:val="true"/>
          <w:lang w:bidi="ar-SA"/>
        </w:rPr>
        <w:t xml:space="preserve">. </w:t>
      </w:r>
      <w:bookmarkStart w:id="775" w:name="pg16351_181253"/>
    </w:p>
    <w:p>
      <w:pPr>
        <w:pStyle w:val="BookText"/>
        <w:rPr/>
      </w:pPr>
      <w:bookmarkEnd w:id="775"/>
      <w:r>
        <w:rPr>
          <w:rFonts w:ascii="Amiri" w:hAnsi="Amiri" w:eastAsia="Amiri" w:cs="Amiri"/>
          <w:color w:val="111111"/>
          <w:sz w:val="28"/>
          <w:sz w:val="28"/>
          <w:szCs w:val="28"/>
          <w:rtl w:val="true"/>
          <w:lang w:bidi="ar-SA"/>
        </w:rPr>
        <w:t>يقول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فالشفاعة هنا بنفس معناها اللغوي، و ذلك أنّ المكلّف يضم هداية القرآن و توجيهات الأنبياء و الأئمة، إلى إرادته و سعيه، فيفوز بالسعادة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الشفاعة المصطلحة فإنّ ظرفها هو الحياة الأخروية، فبين الشفاعتين بون بعيد</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6422560_1280447820"/>
      <w:bookmarkStart w:id="777" w:name="_Toc297"/>
      <w:bookmarkEnd w:id="776"/>
      <w:r>
        <w:rPr/>
        <w:t>3</w:t>
      </w:r>
      <w:r>
        <w:rPr>
          <w:rtl w:val="true"/>
        </w:rPr>
        <w:t xml:space="preserve"> - </w:t>
      </w:r>
      <w:r>
        <w:rPr>
          <w:rtl w:val="true"/>
        </w:rPr>
        <w:t>الشفاعة المصطلحة</w:t>
      </w:r>
      <w:bookmarkEnd w:id="777"/>
    </w:p>
    <w:p>
      <w:pPr>
        <w:pStyle w:val="BookText"/>
        <w:rPr/>
      </w:pPr>
      <w:r>
        <w:rPr>
          <w:rFonts w:ascii="Amiri" w:hAnsi="Amiri" w:eastAsia="Amiri" w:cs="Amiri"/>
          <w:color w:val="111111"/>
          <w:sz w:val="28"/>
          <w:sz w:val="28"/>
          <w:szCs w:val="28"/>
          <w:rtl w:val="true"/>
          <w:lang w:bidi="ar-SA"/>
        </w:rPr>
        <w:t>حقيقة هذه الشفاعة لا تعني إلا أن تصل رحمته سبحانه و مغفرته و فيضه إلى عباده عن طريق أوليائه و صفوة عباده، و ليس هذا بأمر غريب فكما أنّ الهداية الإلهية التي هي من فيوضه سبحانه، تصل إلى عباده في هذه الدنيا عن طريق أنبيائه و كتبه، فهكذا تصل مغفرته سبحانه إلى المذنبين و العصاة من عباده، يوم القيامة، عن ذلك الطريق و لا بعد في أن يصل غفرانه سبحانه إلى عباده يوم القيامة، عن طريق عباده، فإنه سبحانه قد جعل دعاءهم في الحياة الدنيوية سببا لذلك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تتضح هذه الحقيقة إذا وقفنا على أنّ الدعاء بقول مطلق، و بخاصة دعاء الصالحين، من المؤثرات الواقعة في سلسلة نظام العلة و المعلول، و لا تنحصر العلة في المحسوس منها، فإنّ في الكون مؤثرات خارجة عن إحساسنا و حواسنا، بل قد تكون بعيدة عن تفكيرنا، و إليه يشير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778" w:name="pg16351_181254"/>
    </w:p>
    <w:p>
      <w:pPr>
        <w:pStyle w:val="BookText"/>
        <w:rPr/>
      </w:pPr>
      <w:bookmarkEnd w:id="778"/>
      <w:r>
        <w:rPr>
          <w:rFonts w:ascii="Amiri" w:hAnsi="Amiri" w:eastAsia="Amiri" w:cs="Amiri"/>
          <w:color w:val="111111"/>
          <w:sz w:val="28"/>
          <w:sz w:val="28"/>
          <w:szCs w:val="28"/>
          <w:rtl w:val="true"/>
          <w:lang w:bidi="ar-SA"/>
        </w:rPr>
        <w:t>و بالإمعان فيما ذكرنا من وقوع الدعاء في سلسلة العلل، تقدر على إرجاع الشفاعة المصطلحة إلى قسم من الشفاعة التكوينية بمعنى تأثير دعاء النبي في جلب المغفرة</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6422562_1280447820"/>
      <w:bookmarkStart w:id="780" w:name="_Toc298"/>
      <w:bookmarkEnd w:id="779"/>
      <w:r>
        <w:rPr>
          <w:rtl w:val="true"/>
        </w:rPr>
        <w:t xml:space="preserve">الأمر الرابع </w:t>
      </w:r>
      <w:r>
        <w:rPr>
          <w:rtl w:val="true"/>
        </w:rPr>
        <w:t xml:space="preserve">- </w:t>
      </w:r>
      <w:r>
        <w:rPr>
          <w:rtl w:val="true"/>
        </w:rPr>
        <w:t>مبررات الشفاعة</w:t>
      </w:r>
      <w:bookmarkEnd w:id="780"/>
    </w:p>
    <w:p>
      <w:pPr>
        <w:pStyle w:val="Heading6"/>
        <w:numPr>
          <w:ilvl w:val="5"/>
          <w:numId w:val="1"/>
        </w:numPr>
        <w:rPr/>
      </w:pPr>
      <w:bookmarkStart w:id="781" w:name="__RefHeading___Toc6422564_1280447820"/>
      <w:bookmarkStart w:id="782" w:name="_Toc299"/>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المنقذ الوحيد للإنسان يوم القيامة، هو عمله الصالح، كما هو صريح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w:t>
      </w:r>
      <w:r>
        <w:rPr>
          <w:rStyle w:val="FootnoteAnchor"/>
          <w:rtl w:val="true"/>
        </w:rPr>
        <w:footnoteReference w:id="801"/>
      </w:r>
      <w:r>
        <w:rPr>
          <w:rFonts w:ascii="Amiri" w:hAnsi="Amiri" w:eastAsia="Amiri" w:cs="Amiri"/>
          <w:color w:val="111111"/>
          <w:sz w:val="28"/>
          <w:sz w:val="28"/>
          <w:szCs w:val="28"/>
          <w:rtl w:val="true"/>
          <w:lang w:bidi="ar-SA"/>
        </w:rPr>
        <w:t>، فلما ذا جعلت الشفاعة وسيلة للمغفرة؟</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6422566_1280447820"/>
      <w:bookmarkStart w:id="784" w:name="_Toc300"/>
      <w:bookmarkEnd w:id="783"/>
      <w:r>
        <w:rPr>
          <w:rtl w:val="true"/>
        </w:rPr>
        <w:t>و الجواب عن ذلك</w:t>
      </w:r>
      <w:r>
        <w:rPr>
          <w:rtl w:val="true"/>
        </w:rPr>
        <w:t xml:space="preserve">: </w:t>
      </w:r>
      <w:r>
        <w:rPr>
          <w:rtl w:val="true"/>
        </w:rPr>
        <w:t>إنّ لتشريع الشفاعة مبررات عدة، نذكر منها اثنتين</w:t>
      </w:r>
      <w:r>
        <w:rPr>
          <w:rtl w:val="true"/>
        </w:rPr>
        <w:t>:</w:t>
      </w:r>
      <w:bookmarkEnd w:id="784"/>
    </w:p>
    <w:p>
      <w:pPr>
        <w:pStyle w:val="Heading6"/>
        <w:numPr>
          <w:ilvl w:val="5"/>
          <w:numId w:val="1"/>
        </w:numPr>
        <w:rPr/>
      </w:pPr>
      <w:bookmarkStart w:id="785" w:name="__RefHeading___Toc6422568_1280447820"/>
      <w:bookmarkStart w:id="786" w:name="_Toc301"/>
      <w:bookmarkEnd w:id="785"/>
      <w:r>
        <w:rPr>
          <w:rtl w:val="true"/>
        </w:rPr>
        <w:t xml:space="preserve">الأول </w:t>
      </w:r>
      <w:r>
        <w:rPr>
          <w:rtl w:val="true"/>
        </w:rPr>
        <w:t xml:space="preserve">- </w:t>
      </w:r>
      <w:r>
        <w:rPr>
          <w:rtl w:val="true"/>
        </w:rPr>
        <w:t>الحاجة إلى رحمة اللّه الواسعة حتى مع العمل</w:t>
      </w:r>
      <w:bookmarkEnd w:id="786"/>
    </w:p>
    <w:p>
      <w:pPr>
        <w:pStyle w:val="BookText"/>
        <w:rPr/>
      </w:pPr>
      <w:r>
        <w:rPr>
          <w:rFonts w:ascii="Amiri" w:hAnsi="Amiri" w:eastAsia="Amiri" w:cs="Amiri"/>
          <w:color w:val="111111"/>
          <w:sz w:val="28"/>
          <w:sz w:val="28"/>
          <w:szCs w:val="28"/>
          <w:rtl w:val="true"/>
          <w:lang w:bidi="ar-SA"/>
        </w:rPr>
        <w:t>إنّ الفوز بالسعادة و إن كان يعتمد على العمل أشد الاعتماد، غير أنّ صريح الآيات هو أنّ العمل ما لم تنضم إليه رحمة اللّه الواسعة، غير كاف في إنقاذ الإنسان من تبعات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787" w:name="pg16351_181255"/>
    </w:p>
    <w:p>
      <w:pPr>
        <w:pStyle w:val="Heading6"/>
        <w:numPr>
          <w:ilvl w:val="5"/>
          <w:numId w:val="1"/>
        </w:numPr>
        <w:rPr/>
      </w:pPr>
      <w:bookmarkStart w:id="788" w:name="__RefHeading___Toc6422570_1280447820"/>
      <w:bookmarkStart w:id="789" w:name="_Toc302"/>
      <w:bookmarkEnd w:id="787"/>
      <w:bookmarkEnd w:id="788"/>
      <w:r>
        <w:rPr>
          <w:rtl w:val="true"/>
        </w:rPr>
        <w:t xml:space="preserve">الثاني </w:t>
      </w:r>
      <w:r>
        <w:rPr>
          <w:rtl w:val="true"/>
        </w:rPr>
        <w:t xml:space="preserve">- </w:t>
      </w:r>
      <w:r>
        <w:rPr>
          <w:rtl w:val="true"/>
        </w:rPr>
        <w:t>الآثار التربوية للشفاعة</w:t>
      </w:r>
      <w:bookmarkEnd w:id="789"/>
    </w:p>
    <w:p>
      <w:pPr>
        <w:pStyle w:val="BookText"/>
        <w:rPr/>
      </w:pPr>
      <w:r>
        <w:rPr>
          <w:rFonts w:ascii="Amiri" w:hAnsi="Amiri" w:eastAsia="Amiri" w:cs="Amiri"/>
          <w:color w:val="111111"/>
          <w:sz w:val="28"/>
          <w:sz w:val="28"/>
          <w:szCs w:val="28"/>
          <w:rtl w:val="true"/>
          <w:lang w:bidi="ar-SA"/>
        </w:rPr>
        <w:t>بالرغم مما اعترض على الشفاعة من كونها توجب الجرأة، و تحيي روح التمرد في العصاة و المجرمين، فإنّ الشفاعة تتسبب في إصلاح سلوك المجرم و إنابته و التخلّي عن التمادي في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حقيقة الحال إذا لاحظنا مسألة التوبة التي اتفقت الأمة على صحتها، فإنه لو كان باب التوبة موصدا في وجه العصاة و المذنبين، و اعتقد المجرم بأنّ عصيانه مرة واحدة يخلّده في عذاب اللّه، فلا شكّ أنّه يتمادى في اقتراف السيئات باعتقاد أنّ تغييره للوضع الذي هو عليه لن يكون مفيدا في إنقاذه من عذاب اللّه، فلا وجه لأن يترك لذات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وجد الجو مشرقا، و الطريق مفتوحا، و أيقن أنّ رجوعه يغير مصيره في الآخرة، فيترك العصيان و يرجع إلى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التوبة الاعتقاد بالشفاعة المحدودة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شروط خاصة في المشفوع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اعتقد العاصي بأن أولياء اللّه قد يشفعون في حقه إذا لم يهتك الستر، و لم يبلغ إلى الحد الذي لا تكون فيه الشفاعة نافعة، فعند ذلك، ربما يعيد النظر في مسيره، و يحاول تطبيق حياته على شرائط الشفاعة، حتى لا يحرمها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الاعتقاد بالشفاعة المطلقة المحررة من كل قيد، مرفوض في منطق العقل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المطلقة هو أنّ الأنبياء يشفعون للإنسان يوم القيامة، و إن فعل ما فعل، إذ عند ذلك يستمر و يتمادى في أعماله الإجرامية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الشفاعة المحدودة بشرائط في المشفوع له و الشافع، فلا توجب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 هذه الشروط أن لا يقطع الإنسان جميع علاقاته العبودية مع اللّه، و وشائجه الروحية مع الشافعيين، و لا يصل تمرده إلى حد نسف جسور الارتباط بهم</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6422572_1280447820"/>
      <w:bookmarkStart w:id="791" w:name="_Toc303"/>
      <w:bookmarkEnd w:id="790"/>
      <w:r>
        <w:rPr>
          <w:rtl w:val="true"/>
        </w:rPr>
        <w:t xml:space="preserve">الأمر الخامس </w:t>
      </w:r>
      <w:r>
        <w:rPr>
          <w:rtl w:val="true"/>
        </w:rPr>
        <w:t xml:space="preserve">- </w:t>
      </w:r>
      <w:r>
        <w:rPr>
          <w:rtl w:val="true"/>
        </w:rPr>
        <w:t>شرائط شمول الشفاعة</w:t>
      </w:r>
      <w:bookmarkEnd w:id="791"/>
    </w:p>
    <w:p>
      <w:pPr>
        <w:pStyle w:val="Heading6"/>
        <w:numPr>
          <w:ilvl w:val="5"/>
          <w:numId w:val="1"/>
        </w:numPr>
        <w:rPr/>
      </w:pPr>
      <w:bookmarkStart w:id="792" w:name="__RefHeading___Toc6422574_1280447820"/>
      <w:bookmarkStart w:id="793" w:name="_Toc304"/>
      <w:bookmarkEnd w:id="792"/>
      <w:r>
        <w:rPr>
          <w:rtl w:val="true"/>
        </w:rPr>
        <w:t>اشارة</w:t>
      </w:r>
      <w:bookmarkEnd w:id="79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أنّ الشفاعة المشروعة، هي الشفاعة المحدودة بحدود، </w:t>
      </w:r>
      <w:bookmarkStart w:id="794" w:name="pg16351_181256"/>
    </w:p>
    <w:p>
      <w:pPr>
        <w:pStyle w:val="BookText"/>
        <w:rPr/>
      </w:pPr>
      <w:bookmarkEnd w:id="794"/>
      <w:r>
        <w:rPr>
          <w:rFonts w:ascii="Amiri" w:hAnsi="Amiri" w:eastAsia="Amiri" w:cs="Amiri"/>
          <w:color w:val="111111"/>
          <w:sz w:val="28"/>
          <w:sz w:val="28"/>
          <w:szCs w:val="28"/>
          <w:rtl w:val="true"/>
          <w:lang w:bidi="ar-SA"/>
        </w:rPr>
        <w:t>و ليس أمر الشفاعة فوضى بلا قيد و شرط، و نحن نذكر بعض شرائطها كما وردت في الروايات</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6422576_1280447820"/>
      <w:bookmarkStart w:id="796" w:name="_Toc305"/>
      <w:bookmarkEnd w:id="795"/>
      <w:r>
        <w:rPr/>
        <w:t>1</w:t>
      </w:r>
      <w:r>
        <w:rPr>
          <w:rtl w:val="true"/>
        </w:rPr>
        <w:t xml:space="preserve"> - </w:t>
      </w:r>
      <w:r>
        <w:rPr>
          <w:rtl w:val="true"/>
        </w:rPr>
        <w:t>عدم الشرك باللّه شيئا</w:t>
      </w:r>
      <w:bookmarkEnd w:id="79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نائلة إن شاء اللّه من مات و لا يشرك باللّه شيئا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7" w:name="__RefHeading___Toc6422578_1280447820"/>
      <w:bookmarkStart w:id="798" w:name="_Toc306"/>
      <w:bookmarkEnd w:id="797"/>
      <w:r>
        <w:rPr/>
        <w:t>2</w:t>
      </w:r>
      <w:r>
        <w:rPr>
          <w:rtl w:val="true"/>
        </w:rPr>
        <w:t xml:space="preserve"> - </w:t>
      </w:r>
      <w:r>
        <w:rPr>
          <w:rtl w:val="true"/>
        </w:rPr>
        <w:t>شهادة الشهادتين بإخلاص</w:t>
      </w:r>
      <w:bookmarkEnd w:id="79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شفاعتي لمن شهد أن لا إله إلاّ اللّه، مخلصا، يصدق قلبه لسانه، و لسانه قلبه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6422580_1280447820"/>
      <w:bookmarkStart w:id="800" w:name="_Toc307"/>
      <w:bookmarkEnd w:id="799"/>
      <w:r>
        <w:rPr/>
        <w:t>3</w:t>
      </w:r>
      <w:r>
        <w:rPr>
          <w:rtl w:val="true"/>
        </w:rPr>
        <w:t xml:space="preserve"> - </w:t>
      </w:r>
      <w:r>
        <w:rPr>
          <w:rtl w:val="true"/>
        </w:rPr>
        <w:t>عدم الغشّ‌</w:t>
      </w:r>
      <w:bookmarkEnd w:id="800"/>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العرب لم يدخل في شفاعتي و لم تنله مودتي</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1" w:name="__RefHeading___Toc6422582_1280447820"/>
      <w:bookmarkStart w:id="802" w:name="_Toc308"/>
      <w:bookmarkEnd w:id="801"/>
      <w:r>
        <w:rPr/>
        <w:t>4</w:t>
      </w:r>
      <w:r>
        <w:rPr>
          <w:rtl w:val="true"/>
        </w:rPr>
        <w:t xml:space="preserve"> - </w:t>
      </w:r>
      <w:r>
        <w:rPr>
          <w:rtl w:val="true"/>
        </w:rPr>
        <w:t>عدم نصب العداء لأهل البيت عليهم السلام</w:t>
      </w:r>
      <w:bookmarkEnd w:id="80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ليشفع لحميمه، إلا أن يكون ناصبا، و لو أنّ ناصبا شفع له كل نبي مرسل و ملك مقرب ما شفعوا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803" w:name="pg16351_181257"/>
    </w:p>
    <w:p>
      <w:pPr>
        <w:pStyle w:val="Heading6"/>
        <w:numPr>
          <w:ilvl w:val="5"/>
          <w:numId w:val="1"/>
        </w:numPr>
        <w:rPr/>
      </w:pPr>
      <w:bookmarkStart w:id="804" w:name="__RefHeading___Toc6422584_1280447820"/>
      <w:bookmarkStart w:id="805" w:name="_Toc309"/>
      <w:bookmarkEnd w:id="803"/>
      <w:bookmarkEnd w:id="804"/>
      <w:r>
        <w:rPr/>
        <w:t>5</w:t>
      </w:r>
      <w:r>
        <w:rPr>
          <w:rtl w:val="true"/>
        </w:rPr>
        <w:t xml:space="preserve"> - </w:t>
      </w:r>
      <w:r>
        <w:rPr>
          <w:rtl w:val="true"/>
        </w:rPr>
        <w:t>عدم الاستخفاف بالصلاة</w:t>
      </w:r>
      <w:bookmarkEnd w:id="805"/>
    </w:p>
    <w:p>
      <w:pPr>
        <w:pStyle w:val="BookText"/>
        <w:rPr/>
      </w:pPr>
      <w:r>
        <w:rPr>
          <w:rFonts w:ascii="Amiri" w:hAnsi="Amiri" w:eastAsia="Amiri" w:cs="Amiri"/>
          <w:color w:val="111111"/>
          <w:sz w:val="28"/>
          <w:sz w:val="28"/>
          <w:szCs w:val="28"/>
          <w:rtl w:val="true"/>
          <w:lang w:bidi="ar-SA"/>
        </w:rPr>
        <w:t>قال الإمام موسى بن جعفر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6" w:name="__RefHeading___Toc6422586_1280447820"/>
      <w:bookmarkStart w:id="807" w:name="_Toc310"/>
      <w:bookmarkEnd w:id="806"/>
      <w:r>
        <w:rPr/>
        <w:t>6</w:t>
      </w:r>
      <w:r>
        <w:rPr>
          <w:rtl w:val="true"/>
        </w:rPr>
        <w:t xml:space="preserve"> - </w:t>
      </w:r>
      <w:r>
        <w:rPr>
          <w:rtl w:val="true"/>
        </w:rPr>
        <w:t>عدم التكذيب بشفاعة رسول اللّه</w:t>
      </w:r>
      <w:bookmarkEnd w:id="807"/>
    </w:p>
    <w:p>
      <w:pPr>
        <w:pStyle w:val="BookText"/>
        <w:rPr/>
      </w:pP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الشرائط التي يجدها المتتبع في أحاديث الشفاعة من الفريقين</w:t>
      </w:r>
      <w:r>
        <w:rPr>
          <w:rFonts w:eastAsia="Amiri" w:cs="Amiri" w:ascii="Amiri" w:hAnsi="Amiri"/>
          <w:color w:val="111111"/>
          <w:sz w:val="28"/>
          <w:szCs w:val="28"/>
          <w:rtl w:val="true"/>
          <w:lang w:bidi="ar-SA"/>
        </w:rPr>
        <w:t>.</w:t>
      </w:r>
    </w:p>
    <w:p>
      <w:pPr>
        <w:pStyle w:val="Heading5"/>
        <w:numPr>
          <w:ilvl w:val="4"/>
          <w:numId w:val="1"/>
        </w:numPr>
        <w:rPr/>
      </w:pPr>
      <w:bookmarkStart w:id="808" w:name="__RefHeading___Toc6422588_1280447820"/>
      <w:bookmarkStart w:id="809" w:name="_Toc311"/>
      <w:bookmarkEnd w:id="808"/>
      <w:r>
        <w:rPr>
          <w:rtl w:val="true"/>
        </w:rPr>
        <w:t xml:space="preserve">الأمر السادس </w:t>
      </w:r>
      <w:r>
        <w:rPr>
          <w:rtl w:val="true"/>
        </w:rPr>
        <w:t xml:space="preserve">- </w:t>
      </w:r>
      <w:r>
        <w:rPr>
          <w:rtl w:val="true"/>
        </w:rPr>
        <w:t>ما هو أثر الشفاعة</w:t>
      </w:r>
      <w:r>
        <w:rPr>
          <w:rtl w:val="true"/>
        </w:rPr>
        <w:t xml:space="preserve">: </w:t>
      </w:r>
      <w:r>
        <w:rPr>
          <w:rtl w:val="true"/>
        </w:rPr>
        <w:t>إسقاط العقاب أو زيادة الثواب؟</w:t>
      </w:r>
      <w:bookmarkEnd w:id="809"/>
    </w:p>
    <w:p>
      <w:pPr>
        <w:pStyle w:val="BookText"/>
        <w:rPr/>
      </w:pPr>
      <w:r>
        <w:rPr>
          <w:rFonts w:ascii="Amiri" w:hAnsi="Amiri" w:eastAsia="Amiri" w:cs="Amiri"/>
          <w:color w:val="111111"/>
          <w:sz w:val="28"/>
          <w:sz w:val="28"/>
          <w:szCs w:val="28"/>
          <w:rtl w:val="true"/>
          <w:lang w:bidi="ar-SA"/>
        </w:rPr>
        <w:t>لم تكن مسألة الشفاعة فكرة جديدة ابتكرها الإسلام و انفرد بها، بل كانت فكرة رائجة بين أمم العالم من قبل، و خاصة بين الوثنيين و اليهود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هذّبها الإسلام من الخرافات، و قررها على أصول توافق أصول العدل و العقل، و صحّحها تحت شرائط في الشافع و المشفوع له، تجر العصاة إلى الطهارة من الذنوب، و لا توجب فيهم جرأة و جسارة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على من وقف على آراء اليهود و الوثنيين في أمر الشفاعة، و أنّ الشفاعة بينهم كانت رجاء في حط الذنوب و غفران الآثام، و لأجل ذلك كانوا يقترفون الكبائر، تعويلا على ذلك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القرآن يرد تلك العقيدة الباعثة إلى الجرأة،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يشفع إنسان إلا بإذنه تعالى و في حق من ارتضاه سبحانه، فليس لكم أن تقترفوا الذنوب تعويلا على شفاعة الشفيع، لأنّ الأمر ليس في أيديهم بل في ملكه سبحانه و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ضوء هذا، إن الشفاعة عند الأمم، مرفوضها، و مقبولها، يراد منها حط الذنوب، و رفع العقاب، و هي كذلك في الإسلام، بلا فرق، كما يوضحه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المقابل ذهبت المعتزلة إلى تخصيص آيات الشفاعة بأهل الطاعة، دون العصاة، و أن أثرها ينحصر في رفع الدرجة و زيادة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التأويل في آيات الشفاعة إلا لأجل موقف مسبق لهم في مرتكب الكبيرة، حيث حكموا بخلوده في النار إذا مات بلا توبة، فلما رأوا أن القول بالشفاعة التي أثرها هو إسقاط العقاب، ينافي ذلك المبنى، أوّلوا آيات اللّه، فقالوا إنّ أثر الشفاعة إنما هو زيادة الثواب، و رفع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المقام أحد المقامات التي يؤخذ المعتزلة فيها بالعتاب، حيث قدّموا النهج على النقل الصريح، و خالفوا في ذلك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 منكرا شمول الشفاعة للعصاة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شفاعة الفساق الذين ماتوا على الفسوق و لم يتوبوا تتنزل منزلة الشفاعة لمن قتل ولد الغير و ترصد للآخر حتى يقتله، فكما أنّ ذلك يقبح فكذلك هاهنا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القاضي، غفلة منه عن شروط الشفاعة، فإنّ بعض الذنوب الكبيرة، تقطع العلائق الإيمانية باللّه سبحانه، كما تقطع الأواصر الروحية مع النبي الأكرم، فأمثال هؤلاء العصاة لا تشملهم الشفاعة، و قد تقدم ذكر النصوص الدالة على حرمان طوائف منها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 القاضي استدل على أنّ الفاسق لا يخرج من النار بشفاعة النبي،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810" w:name="pg16351_181259"/>
    </w:p>
    <w:p>
      <w:pPr>
        <w:pStyle w:val="BookText"/>
        <w:rPr/>
      </w:pPr>
      <w:bookmarkEnd w:id="810"/>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راجعتان إلى الكفار، فالآية الأولى ناظرة إلى نفي الشفاعة التي كان اليهود يتنبونها، كما هو صريح سياقها، و الآية الثانية ناظرة إلى نفي الشفاعة التي كان المشركون يرجونها من معبوداتهم، يقول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حاكيا قول المجرمين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6422590_1280447820"/>
      <w:bookmarkStart w:id="812" w:name="_Toc312"/>
      <w:bookmarkEnd w:id="811"/>
      <w:r>
        <w:rPr>
          <w:rtl w:val="true"/>
        </w:rPr>
        <w:t xml:space="preserve">الأمر السابع </w:t>
      </w:r>
      <w:r>
        <w:rPr>
          <w:rtl w:val="true"/>
        </w:rPr>
        <w:t xml:space="preserve">- </w:t>
      </w:r>
      <w:r>
        <w:rPr>
          <w:rtl w:val="true"/>
        </w:rPr>
        <w:t>الإشكالات المثارة حول الشفاعة</w:t>
      </w:r>
      <w:bookmarkEnd w:id="812"/>
    </w:p>
    <w:p>
      <w:pPr>
        <w:pStyle w:val="Heading6"/>
        <w:numPr>
          <w:ilvl w:val="5"/>
          <w:numId w:val="1"/>
        </w:numPr>
        <w:rPr/>
      </w:pPr>
      <w:bookmarkStart w:id="813" w:name="__RefHeading___Toc6422592_1280447820"/>
      <w:bookmarkStart w:id="814" w:name="_Toc313"/>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هناك إشكالات مثارة حول الشفاعة، ناشئة من قياس الشفاعة الواردة في الشريعة الإسلامية، بالشفاعة الرائجة بين الناس، و لو عرف المستشكلون الاختلاف الماهوي بين الشفاعتين، لما اجترءوا على إلقاء هذه الشبهات</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6422594_1280447820"/>
      <w:bookmarkStart w:id="816" w:name="_Toc314"/>
      <w:bookmarkEnd w:id="815"/>
      <w:r>
        <w:rPr>
          <w:rtl w:val="true"/>
        </w:rPr>
        <w:t>الإشكال الأول</w:t>
      </w:r>
      <w:r>
        <w:rPr>
          <w:rtl w:val="true"/>
        </w:rPr>
        <w:t>:</w:t>
      </w:r>
      <w:bookmarkEnd w:id="816"/>
    </w:p>
    <w:p>
      <w:pPr>
        <w:pStyle w:val="Heading6"/>
        <w:numPr>
          <w:ilvl w:val="5"/>
          <w:numId w:val="1"/>
        </w:numPr>
        <w:rPr/>
      </w:pPr>
      <w:bookmarkStart w:id="817" w:name="__RefHeading___Toc6422596_1280447820"/>
      <w:bookmarkStart w:id="818" w:name="_Toc315"/>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إنّ جميع المعاصي تشترك في هدم الحدود و الجرأة على المولى، فأي معنى لشمول الشفاعة لبعض ألوان الجرائم و المعاصي دون البعض الآخر؟</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422598_1280447820"/>
      <w:bookmarkStart w:id="820" w:name="_Toc316"/>
      <w:bookmarkEnd w:id="819"/>
      <w:r>
        <w:rPr>
          <w:rtl w:val="true"/>
        </w:rPr>
        <w:t>و الجواب</w:t>
      </w:r>
      <w:r>
        <w:rPr>
          <w:rtl w:val="true"/>
        </w:rPr>
        <w:t>:</w:t>
      </w:r>
      <w:bookmarkEnd w:id="82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للجرم مراتب، كما أنّ المجرمين، على درجات من النفسيات و الروحيات، فلا يستوي من أحرق منديل أحد عدوانا بمن أحرق مصنعا كبيرا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 بين شاب ينظر إلى المرأة الأجنبية نظرا ممزوجا بالسوء، و آخر يعتدي </w:t>
      </w:r>
      <w:bookmarkStart w:id="821" w:name="pg16351_181260"/>
    </w:p>
    <w:p>
      <w:pPr>
        <w:pStyle w:val="BookText"/>
        <w:rPr/>
      </w:pPr>
      <w:bookmarkEnd w:id="821"/>
      <w:r>
        <w:rPr>
          <w:rFonts w:ascii="Amiri" w:hAnsi="Amiri" w:eastAsia="Amiri" w:cs="Amiri"/>
          <w:color w:val="111111"/>
          <w:sz w:val="28"/>
          <w:sz w:val="28"/>
          <w:szCs w:val="28"/>
          <w:rtl w:val="true"/>
          <w:lang w:bidi="ar-SA"/>
        </w:rPr>
        <w:t>عليها بالعنف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اختلف الجرمان، اختلف المجرمان من حيث النفسانيات و الروحيات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مجرم قد حافظ على روابطه الإيمانية مع اللّه، و على علاقاته الروحية مع الشفيع، بحيث لا يعد المجرم غريبا عن كلا المقامين، و مجرم قد قطع كلتا العلاقتين، و صار أجنبيا عنهما، فتشريع الشفاعة في حقّ الأول دون الثاني، لا يعدّ تفريقا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يوضح ذلك أنّ اللّه سبحانه فرّق بين الذنوب، فقال بأنّ الشرك لا يغفر، إلاّ مع التوبة، و أما غيره فيغفر و إن لم تقع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إذا أحطت بما ورد حول الذنوب من العقوبات المختلفة و تقسيمها إلى كبائر و صغائر، تقف على أنّ قبول الشفاعة، في حق بعض دون بعض، ليس ترجيحا بلا مرجّح</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6422600_1280447820"/>
      <w:bookmarkStart w:id="823" w:name="_Toc317"/>
      <w:bookmarkEnd w:id="822"/>
      <w:r>
        <w:rPr>
          <w:rtl w:val="true"/>
        </w:rPr>
        <w:t>الإشكال الثاني</w:t>
      </w:r>
      <w:r>
        <w:rPr>
          <w:rtl w:val="true"/>
        </w:rPr>
        <w:t>:</w:t>
      </w:r>
      <w:bookmarkEnd w:id="823"/>
    </w:p>
    <w:p>
      <w:pPr>
        <w:pStyle w:val="Heading6"/>
        <w:numPr>
          <w:ilvl w:val="5"/>
          <w:numId w:val="1"/>
        </w:numPr>
        <w:rPr/>
      </w:pPr>
      <w:bookmarkStart w:id="824" w:name="__RefHeading___Toc6422602_1280447820"/>
      <w:bookmarkStart w:id="825" w:name="_Toc318"/>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إنّ تشريع الشفاعة يجرّ إلى التمادي في العصيان، و استمرار المجرم في عدوانه، رجاء غفران ذنوبه بالشفاعة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6" w:name="__RefHeading___Toc6422604_1280447820"/>
      <w:bookmarkStart w:id="827" w:name="_Toc319"/>
      <w:bookmarkEnd w:id="826"/>
      <w:r>
        <w:rPr>
          <w:rtl w:val="true"/>
        </w:rPr>
        <w:t>و الجواب، أما نقضا</w:t>
      </w:r>
      <w:r>
        <w:rPr>
          <w:rtl w:val="true"/>
        </w:rPr>
        <w:t>:</w:t>
      </w:r>
      <w:bookmarkEnd w:id="82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فبالوعد بالمغفرة، مع التوبة، بل حتى مع عدمها،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 فلو كانت الشفاعة موجبة للتمادي، فليكن الوعد بالمغفرة مع التوبة بل مع عدمها في غير الشرك موجبا للتمادي،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هنا، هو الجواب هناك</w:t>
      </w:r>
      <w:r>
        <w:rPr>
          <w:rFonts w:eastAsia="Amiri" w:cs="Amiri" w:ascii="Amiri" w:hAnsi="Amiri"/>
          <w:color w:val="111111"/>
          <w:sz w:val="28"/>
          <w:szCs w:val="28"/>
          <w:rtl w:val="true"/>
          <w:lang w:bidi="ar-SA"/>
        </w:rPr>
        <w:t xml:space="preserve">. </w:t>
      </w:r>
      <w:bookmarkStart w:id="828" w:name="pg16351_181261"/>
    </w:p>
    <w:p>
      <w:pPr>
        <w:pStyle w:val="Heading6"/>
        <w:numPr>
          <w:ilvl w:val="5"/>
          <w:numId w:val="1"/>
        </w:numPr>
        <w:rPr/>
      </w:pPr>
      <w:bookmarkStart w:id="829" w:name="__RefHeading___Toc6422606_1280447820"/>
      <w:bookmarkStart w:id="830" w:name="_Toc320"/>
      <w:bookmarkEnd w:id="828"/>
      <w:bookmarkEnd w:id="829"/>
      <w:r>
        <w:rPr>
          <w:rtl w:val="true"/>
        </w:rPr>
        <w:t>و أما حلا</w:t>
      </w:r>
      <w:bookmarkEnd w:id="830"/>
    </w:p>
    <w:p>
      <w:pPr>
        <w:pStyle w:val="BookText"/>
        <w:rPr/>
      </w:pPr>
      <w:r>
        <w:rPr>
          <w:rFonts w:ascii="Amiri" w:hAnsi="Amiri" w:eastAsia="Amiri" w:cs="Amiri"/>
          <w:color w:val="111111"/>
          <w:sz w:val="28"/>
          <w:sz w:val="28"/>
          <w:szCs w:val="28"/>
          <w:rtl w:val="true"/>
          <w:lang w:bidi="ar-SA"/>
        </w:rPr>
        <w:t>فالإشكال ينبع من تصوّر خاطئ و هو اعتقاد كون الشفاعة مطلقة غير مشروطة بشيء، فيكون للإنسان عند ذاك أن يفعل ما يريد تعويلا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عرفت أنّ الشفاعة محدودة، و تشمل بعض العباد، و هم الذين لم تنقطع علاقاتهم باللّه سبحانه و بأوليائه، و مثل هذه الشفاعة لا تبعث على الجرأة، بل تبعث عملا في نفس العاصي، و تدفعه إلى الاحتفاظ بعلاقته و لا ينسفها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الشفاعة التي نطق لها القرآن، ليست أمرا مطلقا من كل قيد و شرط، فإنّ الشفاعة مقيّدة بإذنه سبحانه أوّلا، و كون المشفوع له مرضيا عند اللّه ثانيا، و ليس من الممكن أن يذعن المجرم بأنّه ممن يشمله أذنه سبحانه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إِلاّٰ لِمَنِ اِرْتَضىٰ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في وسع أحد أن يدّعي أنّه من العباد المرضيين، ثم يعتمد على ادّعائه و يتمادى في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لكون الشفاعة محدودة، و هو إبهامها من حيث الجرم، فلا يعلم أي جرم تشمله الشفاعة و أيّه لا تشمله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مبهمة من حيث وقت القيامة، فللعصاة و الطغاة مواقف مختلفة، و هي مواقف رهيبة و مخيفة تهز القلوب، و لم يعين وقت الشفاعة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الإبهامات الثلاثة، تصد المجرم عن الاعتماد على الشفاعة ليتمادى في المعصية، و غاية ما يمكن أن يقال في الشفاعة أنّها بصيص من الرجاء، و نافذة من الأمل فتحها القرآن في وجه العصاة حتى لا ييأسوا من روح اللّه</w:t>
      </w:r>
      <w:r>
        <w:rPr>
          <w:rFonts w:eastAsia="Amiri" w:cs="Amiri" w:ascii="Amiri" w:hAnsi="Amiri"/>
          <w:color w:val="111111"/>
          <w:sz w:val="28"/>
          <w:szCs w:val="28"/>
          <w:rtl w:val="true"/>
          <w:lang w:bidi="ar-SA"/>
        </w:rPr>
        <w:t xml:space="preserve">. </w:t>
      </w:r>
      <w:bookmarkStart w:id="831" w:name="pg16351_181262"/>
    </w:p>
    <w:p>
      <w:pPr>
        <w:pStyle w:val="Heading6"/>
        <w:numPr>
          <w:ilvl w:val="5"/>
          <w:numId w:val="1"/>
        </w:numPr>
        <w:rPr/>
      </w:pPr>
      <w:bookmarkStart w:id="832" w:name="__RefHeading___Toc6422608_1280447820"/>
      <w:bookmarkStart w:id="833" w:name="_Toc321"/>
      <w:bookmarkEnd w:id="831"/>
      <w:bookmarkEnd w:id="832"/>
      <w:r>
        <w:rPr>
          <w:rtl w:val="true"/>
        </w:rPr>
        <w:t>الإشكال الثالث</w:t>
      </w:r>
      <w:r>
        <w:rPr>
          <w:rtl w:val="true"/>
        </w:rPr>
        <w:t>:</w:t>
      </w:r>
      <w:bookmarkEnd w:id="833"/>
    </w:p>
    <w:p>
      <w:pPr>
        <w:pStyle w:val="Heading6"/>
        <w:numPr>
          <w:ilvl w:val="5"/>
          <w:numId w:val="1"/>
        </w:numPr>
        <w:rPr/>
      </w:pPr>
      <w:bookmarkStart w:id="834" w:name="__RefHeading___Toc6422610_1280447820"/>
      <w:bookmarkStart w:id="835" w:name="_Toc322"/>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إنّ الشفاعة لا تتحقق إلا بترك الإرادة و فسخها لطلب الشفيع رفع العقاب عن المشفوع له، من غير فرق بين الحاكم العادل و الحاكم الظالم، غاية الأمر أنّ الحاكم العادل لا يقبل الشفاعة إلا إذا تغيّر علمه بما كان أراده أو حكم به، كأن أخطأ ثم عرف الصواب، و رأى العدل في خلاف ما أراده أو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الحاكم الظالم، فهو يقبل الشهادة لكن مع العلم بصواب الحكم الأول و كونه عدلا، لكنه يفضل مصلحة ارتباطه بالشافع المقرّب عنده على العدالة، و كلا النوعين محال على اللّه، لأن إرادته تعالى على حسب علمه، و علمه أزلي لا يتغير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6" w:name="__RefHeading___Toc6422612_1280447820"/>
      <w:bookmarkStart w:id="837" w:name="_Toc323"/>
      <w:bookmarkEnd w:id="836"/>
      <w:r>
        <w:rPr>
          <w:rtl w:val="true"/>
        </w:rPr>
        <w:t>و الجواب</w:t>
      </w:r>
      <w:r>
        <w:rPr>
          <w:rtl w:val="true"/>
        </w:rPr>
        <w:t>:</w:t>
      </w:r>
      <w:bookmarkEnd w:id="837"/>
    </w:p>
    <w:p>
      <w:pPr>
        <w:pStyle w:val="BookText"/>
        <w:rPr/>
      </w:pPr>
      <w:r>
        <w:rPr>
          <w:rFonts w:ascii="Amiri" w:hAnsi="Amiri" w:eastAsia="Amiri" w:cs="Amiri"/>
          <w:color w:val="111111"/>
          <w:sz w:val="28"/>
          <w:sz w:val="28"/>
          <w:szCs w:val="28"/>
          <w:rtl w:val="true"/>
          <w:lang w:bidi="ar-SA"/>
        </w:rPr>
        <w:t>إن المستشكل لو أمعن في حقيقة الشفاعة التي نطق بها القرآن و الأحاديث لما جعل الشفاعة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من واد آخر، و من باب تغيير الحكم لأجل 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ما دام خمرا حرام، فإذا تبدّل إلى الخل يكون حلالا، و لا يعدّ الحكم الثاني ناقضا للحكم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العاصي و التائب، فإن العصيان حالة نفسانية في الإنسان، فله حكمه الخاص، كما أنّ التوبة حاكية عن حالة نفسانية مغايرة للحالة الأولى، فلها حكمها الخاص، و الاختلاف في الحكمين لأجل الاختلاف في الموضوعين، و لا يعد ذلك تبدّلا في العلم، بل تبدّلا في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فالعاصي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انضمام الشفاعة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بالعقاب،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منضمّة إليه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بحكم آخر من أول الأمر، و اختلاف الحكمين، لأجل اختلاف الموضوعين في الإطلاق و التقييد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العاصي مجردا عما يمر عليه في البرزخ من العذاب، </w:t>
      </w:r>
      <w:bookmarkStart w:id="838" w:name="pg16351_181263"/>
    </w:p>
    <w:p>
      <w:pPr>
        <w:pStyle w:val="BookText"/>
        <w:rPr/>
      </w:pPr>
      <w:bookmarkEnd w:id="838"/>
      <w:r>
        <w:rPr>
          <w:rFonts w:ascii="Amiri" w:hAnsi="Amiri" w:eastAsia="Amiri" w:cs="Amiri"/>
          <w:color w:val="111111"/>
          <w:sz w:val="28"/>
          <w:sz w:val="28"/>
          <w:szCs w:val="28"/>
          <w:rtl w:val="true"/>
          <w:lang w:bidi="ar-SA"/>
        </w:rPr>
        <w:t>و ما يستتبع ذلك العذاب من الصفاء في روحه، و مجردا عن دعاء الشفيع في حقه، محكوم بالعقاب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إلى الضمائم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يتبين أنّ الشفاعة لا توجب اختلافا في علمه و تغييرا في إرادته، كما لا توجب أن يكون أحد الحكمين مطابقا للعدل و الآخر مطابقا للجور، بل الحكمان صدرا من الأزل، على موضوعين مختلفين، من مصدر العدل، تبارك و تعالى</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6422614_1280447820"/>
      <w:bookmarkStart w:id="840" w:name="_Toc324"/>
      <w:bookmarkEnd w:id="839"/>
      <w:r>
        <w:rPr>
          <w:rtl w:val="true"/>
        </w:rPr>
        <w:t>الإشكال الرابع</w:t>
      </w:r>
      <w:r>
        <w:rPr>
          <w:rtl w:val="true"/>
        </w:rPr>
        <w:t>:</w:t>
      </w:r>
      <w:bookmarkEnd w:id="840"/>
    </w:p>
    <w:p>
      <w:pPr>
        <w:pStyle w:val="Heading6"/>
        <w:numPr>
          <w:ilvl w:val="5"/>
          <w:numId w:val="1"/>
        </w:numPr>
        <w:rPr/>
      </w:pPr>
      <w:bookmarkStart w:id="841" w:name="__RefHeading___Toc6422616_1280447820"/>
      <w:bookmarkStart w:id="842" w:name="_Toc32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ليس في القرآن نص قطعي على وقوع الشفاعة و إنما ورد الحديث بإثباتها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نظر المستشكل إلى أنّ الشفاعة مقيدة بإذنه سبحانه و ارتضائه، و لا دليل على أنه يأذن و يرتضي، فهو ممكن لا دليل على وقوعه</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6422618_1280447820"/>
      <w:bookmarkStart w:id="844" w:name="_Toc326"/>
      <w:bookmarkEnd w:id="843"/>
      <w:r>
        <w:rPr>
          <w:rtl w:val="true"/>
        </w:rPr>
        <w:t>و الجواب</w:t>
      </w:r>
      <w:r>
        <w:rPr>
          <w:rtl w:val="true"/>
        </w:rPr>
        <w:t>:</w:t>
      </w:r>
      <w:bookmarkEnd w:id="844"/>
    </w:p>
    <w:p>
      <w:pPr>
        <w:pStyle w:val="BookText"/>
        <w:rPr/>
      </w:pPr>
      <w:r>
        <w:rPr>
          <w:rFonts w:ascii="Amiri" w:hAnsi="Amiri" w:eastAsia="Amiri" w:cs="Amiri"/>
          <w:color w:val="111111"/>
          <w:sz w:val="28"/>
          <w:sz w:val="28"/>
          <w:szCs w:val="28"/>
          <w:rtl w:val="true"/>
          <w:lang w:bidi="ar-SA"/>
        </w:rPr>
        <w:t>إن البحث عن الإمكان و الامتناع يناسب المسائل الفلسفية و الكلامية البحتة، و أما المسائل التربوية، كالشفاعة، فالوعد بها، مقيّدا بالإذن، و الارتضاء، لا يهدف إلا إلى وقوعها في ذلك الإطار، لا إمكانها فيه، و ذلك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Style w:val="FootnoteAnchor"/>
          <w:rtl w:val="true"/>
        </w:rPr>
        <w:footnoteReference w:id="8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هناك قرائن تدل على وقوع الاستثناء و تحققه، منها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سبحانه عبّر عن رضاه، بالجملة الماضية،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w:t>
      </w:r>
      <w:bookmarkStart w:id="845" w:name="pg16351_181264"/>
    </w:p>
    <w:p>
      <w:pPr>
        <w:pStyle w:val="BookText"/>
        <w:rPr/>
      </w:pPr>
      <w:bookmarkEnd w:id="845"/>
      <w:r>
        <w:rPr>
          <w:rFonts w:ascii="Amiri" w:hAnsi="Amiri" w:eastAsia="Amiri" w:cs="Amiri"/>
          <w:color w:val="111111"/>
          <w:sz w:val="28"/>
          <w:sz w:val="28"/>
          <w:szCs w:val="28"/>
          <w:rtl w:val="true"/>
          <w:lang w:bidi="ar-SA"/>
        </w:rPr>
        <w:t>إِلاّٰ لِمَنِ اِرْتَضىٰ ، و هو يدل على تحقق الرضا منه سبحانه في حقّ المشفوع له، و رضاه له لا ينفك عن تحقق إذنه للشفعاء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سبحانه أخبر بخبر قطعيّ عن شهادة من شهد بالحق،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يكشف عن تحقق المراتب المتقدمة عليه، من إذنه سبحانه له و ارتضائه لمن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القرائن التي يستكشف منها كون الشفاعة وعدا مقطوعا وقوعه</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6422620_1280447820"/>
      <w:bookmarkStart w:id="847" w:name="_Toc327"/>
      <w:bookmarkEnd w:id="846"/>
      <w:r>
        <w:rPr>
          <w:rtl w:val="true"/>
        </w:rPr>
        <w:t>الإشكال الخامس</w:t>
      </w:r>
      <w:r>
        <w:rPr>
          <w:rtl w:val="true"/>
        </w:rPr>
        <w:t>:</w:t>
      </w:r>
      <w:bookmarkEnd w:id="847"/>
    </w:p>
    <w:p>
      <w:pPr>
        <w:pStyle w:val="Heading6"/>
        <w:numPr>
          <w:ilvl w:val="5"/>
          <w:numId w:val="1"/>
        </w:numPr>
        <w:rPr/>
      </w:pPr>
      <w:bookmarkStart w:id="848" w:name="__RefHeading___Toc6422622_1280447820"/>
      <w:bookmarkStart w:id="849" w:name="_Toc328"/>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الذي ورد في إثبات الشفاعة، من الآيات المتشابهات، و فيه يقضى بمذهب السلف، بالتفويض و التسليم، و لا نحيط بحقيقتها، مع تنزيه اللّه تعالى جل جلاله عن المعنى المعروف للشفاعة في لسان التخاطب العرفي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0" w:name="__RefHeading___Toc6422624_1280447820"/>
      <w:bookmarkStart w:id="851" w:name="_Toc329"/>
      <w:bookmarkEnd w:id="850"/>
      <w:r>
        <w:rPr>
          <w:rtl w:val="true"/>
        </w:rPr>
        <w:t>و الجواب</w:t>
      </w:r>
      <w:r>
        <w:rPr>
          <w:rtl w:val="true"/>
        </w:rPr>
        <w:t>:</w:t>
      </w:r>
      <w:bookmarkEnd w:id="851"/>
    </w:p>
    <w:p>
      <w:pPr>
        <w:pStyle w:val="BookText"/>
        <w:rPr/>
      </w:pPr>
      <w:r>
        <w:rPr>
          <w:rFonts w:ascii="Amiri" w:hAnsi="Amiri" w:eastAsia="Amiri" w:cs="Amiri"/>
          <w:color w:val="111111"/>
          <w:sz w:val="28"/>
          <w:sz w:val="28"/>
          <w:szCs w:val="28"/>
          <w:rtl w:val="true"/>
          <w:lang w:bidi="ar-SA"/>
        </w:rPr>
        <w:t>قد تعرفت على أصناف الآيات الواردة في الشفاعة، و ليس فيها آية مبهمة مستعصية على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وجودها، يرفع إبهامها بآية أختها، أو بالأحاديث الواردة حولها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ذكره المستشكل من أنّ مذهب السلف في المتشابهات هو التفويض و التسليم، مردود من رأس فإنّ القرآن كتاب الهداية و التربية، نزل للفهم </w:t>
      </w:r>
    </w:p>
    <w:p>
      <w:pPr>
        <w:pStyle w:val="BookText"/>
        <w:rPr/>
      </w:pPr>
      <w:r>
        <w:rPr>
          <w:rFonts w:ascii="Amiri" w:hAnsi="Amiri" w:eastAsia="Amiri" w:cs="Amiri"/>
          <w:color w:val="111111"/>
          <w:sz w:val="28"/>
          <w:sz w:val="28"/>
          <w:szCs w:val="28"/>
          <w:rtl w:val="true"/>
          <w:lang w:bidi="ar-SA"/>
        </w:rPr>
        <w:t>و العبرة، فلا معنى لقراءة الآيات و تفويض مفاهيمها التصديقيّة إلى اللّه، بل يجب رفع إبهام المتشابهات عن طريق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مفاهيم تصورية مبهمة، كحقيقة ذاته تعالى، و صفاته، و حقيقة الميزان و الحساب و الجنة و النار، و لكنها مفاهيم تصورية خارجة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الإشكالات، و بالإحاطة بها و بأجوبتها، تقدر على دفع ما لم نورده مما ذكروه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نشير إلى أن مسألة الشفاعة مسألة إجماعية، اتفق عليها الفريقان، فلا تجد في كتاب كلامي إلاّ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أهل السنة هو جواز الشفاعة عقلا، و وجوبها سمعا بصريح الآيات، و بخبر الصادق، و قد جاءت الآثار التي بلغت بمجموعها التواتر، بصحة الشفاعة في الآخرة لمذنبي المؤمنين، و أجمع السلف الصالح و من بعدهم من أهل السنة، عليها</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أبو حفص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الشفاعة ثابتة للرسل و الأخيار في حق أهل الكبائر، بالمستفيض من الأخبار</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bookmarkStart w:id="852" w:name="pg16351_181266"/>
    </w:p>
    <w:p>
      <w:pPr>
        <w:pStyle w:val="Heading5"/>
        <w:numPr>
          <w:ilvl w:val="4"/>
          <w:numId w:val="1"/>
        </w:numPr>
        <w:rPr/>
      </w:pPr>
      <w:bookmarkStart w:id="853" w:name="__RefHeading___Toc6422626_1280447820"/>
      <w:bookmarkStart w:id="854" w:name="_Toc330"/>
      <w:bookmarkEnd w:id="852"/>
      <w:bookmarkEnd w:id="853"/>
      <w:r>
        <w:rPr>
          <w:rtl w:val="true"/>
        </w:rPr>
        <w:t>الأمر الثامن</w:t>
      </w:r>
      <w:r>
        <w:rPr>
          <w:rtl w:val="true"/>
        </w:rPr>
        <w:t xml:space="preserve">: </w:t>
      </w:r>
      <w:r>
        <w:rPr>
          <w:rtl w:val="true"/>
        </w:rPr>
        <w:t>هل يجوز طلب الشفاعة؟</w:t>
      </w:r>
      <w:bookmarkEnd w:id="854"/>
    </w:p>
    <w:p>
      <w:pPr>
        <w:pStyle w:val="Heading6"/>
        <w:numPr>
          <w:ilvl w:val="5"/>
          <w:numId w:val="1"/>
        </w:numPr>
        <w:rPr/>
      </w:pPr>
      <w:bookmarkStart w:id="855" w:name="__RefHeading___Toc6422628_1280447820"/>
      <w:bookmarkStart w:id="856" w:name="_Toc331"/>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قد تعرفت على أنّ أصل الشفاعة أمر مفروغ عنه، و أنّ المخلصين من عباده يشفعون يوم القيامة بعد إذنه و ارتضائه، لكن يقع الكلام في جواز طلب الشفاعة من الأولياء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ابن تيمية و تبعه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مخالفين الأمة الإسلامية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يجوز طلب الشفاعة من الأولياء في هذه النشأة و لا يجوز للمؤمن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 نبيّنا محمدا فينا يوم القيامة، و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اشفع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استدلا على ذلك بوجوه، لا بأس بذكرها و الإجابة عنها على وجه الإجمال</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6422630_1280447820"/>
      <w:bookmarkStart w:id="858" w:name="_Toc332"/>
      <w:bookmarkEnd w:id="857"/>
      <w:r>
        <w:rPr>
          <w:rtl w:val="true"/>
        </w:rPr>
        <w:t>الوجه الأول</w:t>
      </w:r>
      <w:r>
        <w:rPr>
          <w:rtl w:val="true"/>
        </w:rPr>
        <w:t>:</w:t>
      </w:r>
      <w:bookmarkEnd w:id="858"/>
    </w:p>
    <w:p>
      <w:pPr>
        <w:pStyle w:val="Heading6"/>
        <w:numPr>
          <w:ilvl w:val="5"/>
          <w:numId w:val="1"/>
        </w:numPr>
        <w:rPr/>
      </w:pPr>
      <w:bookmarkStart w:id="859" w:name="__RefHeading___Toc6422632_1280447820"/>
      <w:bookmarkStart w:id="860" w:name="_Toc333"/>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إنّه من أقسام الشرك، أي الشرك بالعبادة، و القائل بهذا الكلام، يعبد الولي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1" w:name="__RefHeading___Toc6422634_1280447820"/>
      <w:bookmarkStart w:id="862" w:name="_Toc334"/>
      <w:bookmarkEnd w:id="861"/>
      <w:r>
        <w:rPr>
          <w:rtl w:val="true"/>
        </w:rPr>
        <w:t>و الجواب، أما نقضا</w:t>
      </w:r>
      <w:bookmarkEnd w:id="86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فبأنّه لو كان طلب الشفاعة في هذه النشأة من الأنبياء و الأولياء شركا، لوجب أن لا يكون هناك فرق بين حياتهم و مماتهم، مع أنّ القرآن يدعو المؤمنين إلى أن يلجئوا إلى حضرة الرسول في حال حياته و يطلبوا منه أن يستغفر لهم،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طلب الاستغفار من النبي إلاّ طلبا للشفاعة، إذ ليس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اشفع لنا عند اللّه، إلاّ أدع لنا عند ربك بالخير و المغفرة</w:t>
      </w:r>
      <w:r>
        <w:rPr>
          <w:rFonts w:eastAsia="Amiri" w:cs="Amiri" w:ascii="Amiri" w:hAnsi="Amiri"/>
          <w:color w:val="111111"/>
          <w:sz w:val="28"/>
          <w:szCs w:val="28"/>
          <w:rtl w:val="true"/>
          <w:lang w:bidi="ar-SA"/>
        </w:rPr>
        <w:t xml:space="preserve">. </w:t>
      </w:r>
      <w:bookmarkStart w:id="863" w:name="pg16351_181267"/>
    </w:p>
    <w:p>
      <w:pPr>
        <w:pStyle w:val="Heading6"/>
        <w:numPr>
          <w:ilvl w:val="5"/>
          <w:numId w:val="1"/>
        </w:numPr>
        <w:rPr/>
      </w:pPr>
      <w:bookmarkStart w:id="864" w:name="__RefHeading___Toc6422636_1280447820"/>
      <w:bookmarkStart w:id="865" w:name="_Toc335"/>
      <w:bookmarkEnd w:id="863"/>
      <w:bookmarkEnd w:id="864"/>
      <w:r>
        <w:rPr>
          <w:rtl w:val="true"/>
        </w:rPr>
        <w:t>و أمّا حلاّ</w:t>
      </w:r>
      <w:r>
        <w:rPr>
          <w:rtl w:val="true"/>
        </w:rPr>
        <w:t>:</w:t>
      </w:r>
      <w:bookmarkEnd w:id="865"/>
    </w:p>
    <w:p>
      <w:pPr>
        <w:pStyle w:val="BookText"/>
        <w:rPr/>
      </w:pPr>
      <w:r>
        <w:rPr>
          <w:rFonts w:ascii="Amiri" w:hAnsi="Amiri" w:eastAsia="Amiri" w:cs="Amiri"/>
          <w:color w:val="111111"/>
          <w:sz w:val="28"/>
          <w:sz w:val="28"/>
          <w:szCs w:val="28"/>
          <w:rtl w:val="true"/>
          <w:lang w:bidi="ar-SA"/>
        </w:rPr>
        <w:t>فقد عرفت أنّ طلب شيء من أي شخص كان، إنما يعد عبادة، إذا اعتقد أنّه إله أو ربّ، أو أنّه مفوّض إليه فعل الخالق و تدبيره و شئونه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طلب من الشخص بما أنّه عبد صالح محبوب عند اللّه، فلا يعدّ عبادة للمدعو سواء أ كان نافعا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معنى العبادة عند البحث عن التوحيد في العبادة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6" w:name="__RefHeading___Toc6422638_1280447820"/>
      <w:bookmarkStart w:id="867" w:name="_Toc336"/>
      <w:bookmarkEnd w:id="866"/>
      <w:r>
        <w:rPr>
          <w:rtl w:val="true"/>
        </w:rPr>
        <w:t>الوجه الثاني</w:t>
      </w:r>
      <w:r>
        <w:rPr>
          <w:rtl w:val="true"/>
        </w:rPr>
        <w:t>:</w:t>
      </w:r>
      <w:bookmarkEnd w:id="867"/>
    </w:p>
    <w:p>
      <w:pPr>
        <w:pStyle w:val="Heading6"/>
        <w:numPr>
          <w:ilvl w:val="5"/>
          <w:numId w:val="1"/>
        </w:numPr>
        <w:rPr/>
      </w:pPr>
      <w:bookmarkStart w:id="868" w:name="__RefHeading___Toc6422640_1280447820"/>
      <w:bookmarkStart w:id="869" w:name="_Toc337"/>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إنّ طلب الشفاعة من النبي يشبه عمل عبدة الأصنام في طلبهم الشفاعة من آلهتهم الكاذبة، و قد حكى القرآن ذاك العمل منهم،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يَعْبُدُونَ مِنْ دُونِ اَللّٰهِ مٰا لاٰ يَضُرُّهُمْ وَ لاٰ يَنْفَعُهُمْ وَ يَقُولُونَ هٰؤُلاٰءِ شُفَعٰاؤُنٰا عِنْدَ اَللّٰهِ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فالاستشفاع من غيره سبحانه، عبادة لهذا الغير</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0" w:name="__RefHeading___Toc6422642_1280447820"/>
      <w:bookmarkStart w:id="871" w:name="_Toc338"/>
      <w:bookmarkEnd w:id="870"/>
      <w:r>
        <w:rPr>
          <w:rtl w:val="true"/>
        </w:rPr>
        <w:t>و الجواب</w:t>
      </w:r>
      <w:r>
        <w:rPr>
          <w:rtl w:val="true"/>
        </w:rPr>
        <w:t>:</w:t>
      </w:r>
      <w:bookmarkEnd w:id="871"/>
    </w:p>
    <w:p>
      <w:pPr>
        <w:pStyle w:val="BookText"/>
        <w:rPr/>
      </w:pPr>
      <w:r>
        <w:rPr>
          <w:rFonts w:ascii="Amiri" w:hAnsi="Amiri" w:eastAsia="Amiri" w:cs="Amiri"/>
          <w:color w:val="111111"/>
          <w:sz w:val="28"/>
          <w:sz w:val="28"/>
          <w:szCs w:val="28"/>
          <w:rtl w:val="true"/>
          <w:lang w:bidi="ar-SA"/>
        </w:rPr>
        <w:t>إنّ المعيار في القضاء ليس هو التشابه الصوري، بل المعيار هو البواطن و العزائم و لو صحّ ما ذكره لوجب أن يكون السعي بين الصفا و المروة، و الطواف حول البيت، شركا، لقيام المشركين به في الجاهلية، و قد عرفت أنّهم كانوا يطلبون الشفاعة من الأوثان باعتقاد أنّها آلهة أو أشياء فوّض إليها أفعال اللّه سبحانه من المغفرة و الشفاعة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هذا من طلب الشفاعة من الأنبياء و الأولياء بما أنّهم عباد اللّه </w:t>
      </w:r>
      <w:bookmarkStart w:id="872" w:name="pg16351_181268"/>
    </w:p>
    <w:p>
      <w:pPr>
        <w:pStyle w:val="BookText"/>
        <w:rPr/>
      </w:pPr>
      <w:bookmarkEnd w:id="872"/>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 هذا على ذلك، جور في القضاء، و عناد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الاستدلال بالآية الثانية، فهو ضعيف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على خلاف ما يدّعيه أدلّ، لأنّ عطف وَ يَقُولُونَ ،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 دليل على أنّ العمل الثاني ليس عبادة، أخذا بحكم العطف الدال على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يقومون بعملين، العبادة أوّلا، و قولهم هم شفعاؤنا، و طلب الشفاعة منهم ثانيا، و علة اتّصافهم بالشرك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الجملة الثانية، جملة تفسيرية للأولى،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طلب الشفاعة من الأوثان بالعبادة لا يستلزم توصيف طلب الشفاعة من الأولياء بها أيضا، لما عرفت من الاختلاف في العقيدة، و أنّ الشافعين كانوا عند عبدة الأصنام آلهة، و عند المؤمنين عبادا صالحين، و أين هذا من ذاك؟</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6422644_1280447820"/>
      <w:bookmarkStart w:id="874" w:name="_Toc339"/>
      <w:bookmarkEnd w:id="873"/>
      <w:r>
        <w:rPr>
          <w:rtl w:val="true"/>
        </w:rPr>
        <w:t>الوجه الثالث</w:t>
      </w:r>
      <w:r>
        <w:rPr>
          <w:rtl w:val="true"/>
        </w:rPr>
        <w:t>:</w:t>
      </w:r>
      <w:bookmarkEnd w:id="874"/>
    </w:p>
    <w:p>
      <w:pPr>
        <w:pStyle w:val="Heading6"/>
        <w:numPr>
          <w:ilvl w:val="5"/>
          <w:numId w:val="1"/>
        </w:numPr>
        <w:rPr/>
      </w:pPr>
      <w:bookmarkStart w:id="875" w:name="__RefHeading___Toc6422646_1280447820"/>
      <w:bookmarkStart w:id="876" w:name="_Toc340"/>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إن طلب الحاجة من غيره سبحانه حرام، فإن ذلك دعاء لغير اللّه،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أنّ الدعاء في الآية عبادة،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عبّر عن العبادة في الآية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 و بلفظ العبادة في ذيلها، و هذا يكشف عن وحدة التعبيرين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 صلى اللّه عليه و آله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bookmarkStart w:id="877" w:name="pg16351_181269"/>
    </w:p>
    <w:p>
      <w:pPr>
        <w:pStyle w:val="Heading6"/>
        <w:numPr>
          <w:ilvl w:val="5"/>
          <w:numId w:val="1"/>
        </w:numPr>
        <w:rPr/>
      </w:pPr>
      <w:bookmarkStart w:id="878" w:name="__RefHeading___Toc6422648_1280447820"/>
      <w:bookmarkStart w:id="879" w:name="_Toc341"/>
      <w:bookmarkEnd w:id="877"/>
      <w:bookmarkEnd w:id="878"/>
      <w:r>
        <w:rPr>
          <w:rtl w:val="true"/>
        </w:rPr>
        <w:t>و الجواب</w:t>
      </w:r>
      <w:bookmarkEnd w:id="879"/>
    </w:p>
    <w:p>
      <w:pPr>
        <w:pStyle w:val="BookText"/>
        <w:rPr/>
      </w:pPr>
      <w:r>
        <w:rPr>
          <w:rFonts w:ascii="Amiri" w:hAnsi="Amiri" w:eastAsia="Amiri" w:cs="Amiri"/>
          <w:color w:val="111111"/>
          <w:sz w:val="28"/>
          <w:sz w:val="28"/>
          <w:szCs w:val="28"/>
          <w:rtl w:val="true"/>
          <w:lang w:bidi="ar-SA"/>
        </w:rPr>
        <w:t>إنّ القول بأنّ دعاء الغير في جميع الظروف مساوق للعبادة، شيء لا أساس له، و إلا يلزم أن لا يسجّل اسم أحد في سجل الموحدين، فإنّ الناس لا ينفكّون عن التعاون، و استعانة بعضهم ببعض، و دعوة الواحد منهم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فيجب أن يقال إنّ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مساوق للعبادة، و هو دعاء الشخص بما أنّه إله، و بما أنّه رب، أو بما أنّه مفوّض إليه أفعاله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فدعاؤه بهذه الخصوصيات، مساوق لعبادته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الآية ناظرة إلى هذا القسم من الدعاء بقرينة قوله مَعَ اَللّٰهِ ، معربا عن أنّ الداعي يرى المدعو مشاركا للّه سبحانه في مقام أو مقامات، و من المعلوم أنّ الدعاء بهذه الخصوصية شرك بلا إشكال، و المشركون في الجاهلية، كانوا يسوون بين الأوثان و رب العالمين، و يدل عليه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قولهم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كلمة أظهر من التعبير عن عقيدة المشركين في حق الأوثان بأنها كانت عندهم و رب العالمين، سواسية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فقياس دعوة الصالحين من الأنبياء و الأولياء، بدعوة الأصنام و الأوثان، قياس مع الفارق البالغ، لا يعتمد عليه إلا من سبق له الرأي في هذا المجال، و يريد التمسك بالطحلب و الحشيش</w:t>
      </w:r>
      <w:r>
        <w:rPr>
          <w:rFonts w:eastAsia="Amiri" w:cs="Amiri" w:ascii="Amiri" w:hAnsi="Amiri"/>
          <w:color w:val="111111"/>
          <w:sz w:val="28"/>
          <w:szCs w:val="28"/>
          <w:rtl w:val="true"/>
          <w:lang w:bidi="ar-SA"/>
        </w:rPr>
        <w:t>.</w:t>
      </w:r>
    </w:p>
    <w:p>
      <w:pPr>
        <w:pStyle w:val="Heading6"/>
        <w:numPr>
          <w:ilvl w:val="5"/>
          <w:numId w:val="1"/>
        </w:numPr>
        <w:rPr/>
      </w:pPr>
      <w:bookmarkStart w:id="880" w:name="__RefHeading___Toc6422650_1280447820"/>
      <w:bookmarkStart w:id="881" w:name="_Toc342"/>
      <w:bookmarkEnd w:id="880"/>
      <w:r>
        <w:rPr>
          <w:rtl w:val="true"/>
        </w:rPr>
        <w:t>الوجه الرابع</w:t>
      </w:r>
      <w:r>
        <w:rPr>
          <w:rtl w:val="true"/>
        </w:rPr>
        <w:t>:</w:t>
      </w:r>
      <w:bookmarkEnd w:id="881"/>
    </w:p>
    <w:p>
      <w:pPr>
        <w:pStyle w:val="Heading6"/>
        <w:numPr>
          <w:ilvl w:val="5"/>
          <w:numId w:val="1"/>
        </w:numPr>
        <w:rPr/>
      </w:pPr>
      <w:bookmarkStart w:id="882" w:name="__RefHeading___Toc6422652_1280447820"/>
      <w:bookmarkStart w:id="883" w:name="_Toc343"/>
      <w:bookmarkEnd w:id="882"/>
      <w:r>
        <w:rPr>
          <w:rtl w:val="true"/>
        </w:rPr>
        <w:t>اشارة</w:t>
      </w:r>
      <w:bookmarkEnd w:id="8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الشفاعة حق مختص باللّه لا يملكه غيره، و على ذلك فطلبها من غير مالكها أمر غير صحيح،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884" w:name="pg16351_181270"/>
    </w:p>
    <w:p>
      <w:pPr>
        <w:pStyle w:val="Heading6"/>
        <w:numPr>
          <w:ilvl w:val="5"/>
          <w:numId w:val="1"/>
        </w:numPr>
        <w:rPr/>
      </w:pPr>
      <w:bookmarkStart w:id="885" w:name="__RefHeading___Toc6422654_1280447820"/>
      <w:bookmarkStart w:id="886" w:name="_Toc344"/>
      <w:bookmarkEnd w:id="884"/>
      <w:bookmarkEnd w:id="885"/>
      <w:r>
        <w:rPr>
          <w:rtl w:val="true"/>
        </w:rPr>
        <w:t>و الجواب</w:t>
      </w:r>
      <w:r>
        <w:rPr>
          <w:rtl w:val="true"/>
        </w:rPr>
        <w:t>:</w:t>
      </w:r>
      <w:bookmarkEnd w:id="886"/>
    </w:p>
    <w:p>
      <w:pPr>
        <w:pStyle w:val="BookText"/>
        <w:rPr/>
      </w:pPr>
      <w:r>
        <w:rPr>
          <w:rFonts w:ascii="Amiri" w:hAnsi="Amiri" w:eastAsia="Amiri" w:cs="Amiri"/>
          <w:color w:val="111111"/>
          <w:sz w:val="28"/>
          <w:sz w:val="28"/>
          <w:szCs w:val="28"/>
          <w:rtl w:val="true"/>
          <w:lang w:bidi="ar-SA"/>
        </w:rPr>
        <w:t>إنّ المراد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 ، ليس أنّه هو الشفيع دون غيره، إذ من الواضح أنّه سبحانه لا يشفع لأحد عند الغير، بل المراد أنّه المالك لمقام الشفاعة دون غيره، فليس في الوجود من يملك المغفرة و الشفاعة و غيرهما مما هو من شئونه سبحانه،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لا ينافي أن يملكها الغير بتمليك منه سبحانه، و في طول ملكه، كما هو صريح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Style w:val="FootnoteAnchor"/>
          <w:rtl w:val="true"/>
        </w:rPr>
        <w:footnoteReference w:id="838"/>
      </w:r>
      <w:r>
        <w:rPr>
          <w:rFonts w:ascii="Amiri" w:hAnsi="Amiri" w:eastAsia="Amiri" w:cs="Amiri"/>
          <w:color w:val="111111"/>
          <w:sz w:val="28"/>
          <w:sz w:val="28"/>
          <w:szCs w:val="28"/>
          <w:rtl w:val="true"/>
          <w:lang w:bidi="ar-SA"/>
        </w:rPr>
        <w:t>، فإن الاستثناء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أنّه يملك من شهد بالحق، الشفاعة، لكن بتمليك منه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المالك بالأصالة، و غيره مالك بالتمليك و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مختصا بالشفاعة المصطلحة بل الشفاعة التكوينية أيضا كذلك، لأن الأثر الطبيعي لجميع الأسباب التكوينية، يرجع إليها لكن بتسبيب منه سبحانه، فلو لا أنّه جعل النار حارة، و الشمس مضيئة، و القمر نورا، لا تجد فيها تلك الآثار</w:t>
      </w:r>
      <w:r>
        <w:rPr>
          <w:rFonts w:eastAsia="Amiri" w:cs="Amiri" w:ascii="Amiri" w:hAnsi="Amiri"/>
          <w:color w:val="111111"/>
          <w:sz w:val="28"/>
          <w:szCs w:val="28"/>
          <w:rtl w:val="true"/>
          <w:lang w:bidi="ar-SA"/>
        </w:rPr>
        <w:t>.</w:t>
      </w:r>
    </w:p>
    <w:p>
      <w:pPr>
        <w:pStyle w:val="Heading6"/>
        <w:numPr>
          <w:ilvl w:val="5"/>
          <w:numId w:val="1"/>
        </w:numPr>
        <w:rPr/>
      </w:pPr>
      <w:bookmarkStart w:id="887" w:name="__RefHeading___Toc6422656_1280447820"/>
      <w:bookmarkStart w:id="888" w:name="_Toc345"/>
      <w:bookmarkEnd w:id="887"/>
      <w:r>
        <w:rPr>
          <w:rtl w:val="true"/>
        </w:rPr>
        <w:t>الوجه الخامس</w:t>
      </w:r>
      <w:r>
        <w:rPr>
          <w:rtl w:val="true"/>
        </w:rPr>
        <w:t>:</w:t>
      </w:r>
      <w:bookmarkEnd w:id="888"/>
    </w:p>
    <w:p>
      <w:pPr>
        <w:pStyle w:val="Heading6"/>
        <w:numPr>
          <w:ilvl w:val="5"/>
          <w:numId w:val="1"/>
        </w:numPr>
        <w:rPr/>
      </w:pPr>
      <w:bookmarkStart w:id="889" w:name="__RefHeading___Toc6422658_1280447820"/>
      <w:bookmarkStart w:id="890" w:name="_Toc346"/>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إنّ طلب الشفاعة من الميت أمر باطل</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6422660_1280447820"/>
      <w:bookmarkStart w:id="892" w:name="_Toc347"/>
      <w:bookmarkEnd w:id="891"/>
      <w:r>
        <w:rPr>
          <w:rtl w:val="true"/>
        </w:rPr>
        <w:t>و الجواب</w:t>
      </w:r>
      <w:r>
        <w:rPr>
          <w:rtl w:val="true"/>
        </w:rPr>
        <w:t>:</w:t>
      </w:r>
      <w:bookmarkEnd w:id="892"/>
    </w:p>
    <w:p>
      <w:pPr>
        <w:pStyle w:val="BookText"/>
        <w:rPr/>
      </w:pPr>
      <w:r>
        <w:rPr>
          <w:rFonts w:ascii="Amiri" w:hAnsi="Amiri" w:eastAsia="Amiri" w:cs="Amiri"/>
          <w:color w:val="111111"/>
          <w:sz w:val="28"/>
          <w:sz w:val="28"/>
          <w:szCs w:val="28"/>
          <w:rtl w:val="true"/>
          <w:lang w:bidi="ar-SA"/>
        </w:rPr>
        <w:t>إنّ هذا آخر سهم في كنانة القائلين بحرمة طلب الشفاعة من أولياء اللّه الصالحين، و الإشكال ناجم من عدم التعرف على مقام الأولياء في كتاب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القرآن يصرّح بحياة جموع كثيرة من الشهداء و غيرهم، كما عرفت أنّ يصرح بكون النبي شهيدا على الأمة في قوله سبحانه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تعقل الشهادة بدون الحياة، و الاطلاع على ما يجري بينهم من الأمور، من كفر و إيمان و طاعة و 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النبي ميّتا كسائر الأموات، فما معنى التسليم </w:t>
      </w:r>
    </w:p>
    <w:p>
      <w:pPr>
        <w:pStyle w:val="BookText"/>
        <w:rPr/>
      </w:pPr>
      <w:r>
        <w:rPr>
          <w:rFonts w:ascii="Amiri" w:hAnsi="Amiri" w:eastAsia="Amiri" w:cs="Amiri"/>
          <w:color w:val="111111"/>
          <w:sz w:val="28"/>
          <w:sz w:val="28"/>
          <w:szCs w:val="28"/>
          <w:rtl w:val="true"/>
          <w:lang w:bidi="ar-SA"/>
        </w:rPr>
        <w:t>عليه في كل صباح و مساء، و في تشهد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معنى خطابه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ذلك على الشعار الخالي و التحية الجوفاء، تأويل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 في حقّ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Style w:val="FootnoteAnchor"/>
          <w:rtl w:val="true"/>
        </w:rPr>
        <w:footnoteReference w:id="840"/>
      </w:r>
      <w:r>
        <w:rPr>
          <w:rFonts w:ascii="Amiri" w:hAnsi="Amiri" w:eastAsia="Amiri" w:cs="Amiri"/>
          <w:color w:val="111111"/>
          <w:sz w:val="28"/>
          <w:sz w:val="28"/>
          <w:szCs w:val="28"/>
          <w:rtl w:val="true"/>
          <w:lang w:bidi="ar-SA"/>
        </w:rPr>
        <w:t>فهو لا يدلّ إلا على أنّ الأموات المدفونين في القبور، لا يسمعوه و لا يفهموه، و أنّهم كالجماد، و لذلك شبّه المشركين بهم في عدم التعقل، و هو أمر غير منازع فيه، فإنّ الأبدان بعد الموت، جمادات محضة، من غير فرق بين جسد النبي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المؤمنين لا يطلبون الشفاعة من أجساد الصالحين و أبدانهم، بل يطلبونها من أرواحهم المقدسة الحية عند اللّه سبحانه، بأبدان 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فالزائر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اشفع لي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يشير إلى جسده، بل إلى روحه الزكية، غير أنّ الوقوف عند قبره الشريف يدفع له استعدادا لأن يتصل بروحه و يخاطبها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عرض الإشكالات الضئيلة التي أستدل بها على تحريم طلب الشفاعة من الأولياء، و الإجابة عليها بما لا يدع مجالا بعدها للشك في الجواز</w:t>
      </w:r>
      <w:r>
        <w:rPr>
          <w:rFonts w:eastAsia="Amiri" w:cs="Amiri" w:ascii="Amiri" w:hAnsi="Amiri"/>
          <w:color w:val="111111"/>
          <w:sz w:val="28"/>
          <w:szCs w:val="28"/>
          <w:rtl w:val="true"/>
          <w:lang w:bidi="ar-SA"/>
        </w:rPr>
        <w:t xml:space="preserve">. </w:t>
      </w:r>
      <w:bookmarkStart w:id="893" w:name="pg16351_181272"/>
    </w:p>
    <w:p>
      <w:pPr>
        <w:pStyle w:val="BookText"/>
        <w:rPr/>
      </w:pPr>
      <w:bookmarkEnd w:id="893"/>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894" w:name="__RefHeading___Toc6422662_1280447820"/>
      <w:bookmarkStart w:id="895" w:name="_Toc348"/>
      <w:bookmarkEnd w:id="894"/>
      <w:r>
        <w:rPr>
          <w:rtl w:val="true"/>
        </w:rPr>
        <w:t>(</w:t>
      </w:r>
      <w:r>
        <w:rPr/>
        <w:t>16</w:t>
      </w:r>
      <w:r>
        <w:rPr>
          <w:rtl w:val="true"/>
        </w:rPr>
        <w:t xml:space="preserve">) </w:t>
      </w:r>
      <w:r>
        <w:rPr>
          <w:rtl w:val="true"/>
        </w:rPr>
        <w:t>الإحباط و التكفير</w:t>
      </w:r>
      <w:bookmarkEnd w:id="895"/>
    </w:p>
    <w:p>
      <w:pPr>
        <w:pStyle w:val="Heading5"/>
        <w:numPr>
          <w:ilvl w:val="4"/>
          <w:numId w:val="1"/>
        </w:numPr>
        <w:rPr/>
      </w:pPr>
      <w:bookmarkStart w:id="896" w:name="__RefHeading___Toc6422664_1280447820"/>
      <w:bookmarkStart w:id="897" w:name="_Toc349"/>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الإحباط في اللغة، بمعنى الإبطال،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عمل الكافر، أي أبطله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الكفر بمعنى الستر و التغطية، يقال لمن غطّى درعه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 درعه، و المكفّر، الرجل المتغطّي بسلاحه، و يقال للزارع كافر، لأنه يغطي الحب بتراب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غَيْثٍ أَعْجَبَ اَلْكُفّٰارَ نَبٰاتُهُ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ضد الإيمان، سمي بذلك لأنه تغطية الحق</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الحبط هو سقوط ثواب العمل الصالح بالمعصية المتأخرة، كما أنّ المراد من التكفير هو سقوط الذنوب المتقدمة، بالطاعة المتأخرة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الإحباط في عرف المتكلمين عبارة عن إبطال الحسنة بعدم ترتب ما يتوقع منها عليها، و يقال التكفير و هو إسقاط السيّئة بعدم جريان مقتضاها عليها، فهو في المعصية نقيض الإحباط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لنقدّم الكلام في الإحباط أوّلا</w:t>
      </w:r>
      <w:r>
        <w:rPr>
          <w:rFonts w:eastAsia="Amiri" w:cs="Amiri" w:ascii="Amiri" w:hAnsi="Amiri"/>
          <w:color w:val="111111"/>
          <w:sz w:val="28"/>
          <w:szCs w:val="28"/>
          <w:rtl w:val="true"/>
          <w:lang w:bidi="ar-SA"/>
        </w:rPr>
        <w:t xml:space="preserve">. </w:t>
      </w:r>
      <w:bookmarkStart w:id="898" w:name="pg16351_181273"/>
    </w:p>
    <w:p>
      <w:pPr>
        <w:pStyle w:val="Heading5"/>
        <w:numPr>
          <w:ilvl w:val="4"/>
          <w:numId w:val="1"/>
        </w:numPr>
        <w:rPr/>
      </w:pPr>
      <w:bookmarkStart w:id="899" w:name="__RefHeading___Toc6422666_1280447820"/>
      <w:bookmarkStart w:id="900" w:name="_Toc350"/>
      <w:bookmarkEnd w:id="898"/>
      <w:bookmarkEnd w:id="899"/>
      <w:r>
        <w:rPr>
          <w:rtl w:val="true"/>
        </w:rPr>
        <w:t>أولا</w:t>
      </w:r>
      <w:r>
        <w:rPr>
          <w:rtl w:val="true"/>
        </w:rPr>
        <w:t xml:space="preserve">: </w:t>
      </w:r>
      <w:r>
        <w:rPr>
          <w:rtl w:val="true"/>
        </w:rPr>
        <w:t>الإحباط</w:t>
      </w:r>
      <w:bookmarkEnd w:id="900"/>
    </w:p>
    <w:p>
      <w:pPr>
        <w:pStyle w:val="Heading6"/>
        <w:numPr>
          <w:ilvl w:val="5"/>
          <w:numId w:val="1"/>
        </w:numPr>
        <w:rPr/>
      </w:pPr>
      <w:bookmarkStart w:id="901" w:name="__RefHeading___Toc6422668_1280447820"/>
      <w:bookmarkStart w:id="902" w:name="_Toc351"/>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المعروف عن الإمامية، و الأشاعرة هو أنّه لا تحابط بين المعاصي و الطاعات و الثواب و العقاب، و المعروف عن جماعة من المعتزلة، كالجبائيّين و غيرهما هو التحابط</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من آمن بعد الكفر و المعاصي فهو من أهل الجنة بمنزلة من لا معصية له، و من كفر بعد الإيمان و العمل الصالح، فهو من أهل النار بمنزلة من لا حسنة له، و إنما الكلام فيمن آمن و عمل صالحا و آخر سيئا، و استمرّ على الطاعات و الكبائر، كما يشاهد من الناس، فعندنا مآله إلى الجنة و لو بعد النار، و استحقاقه للثواب و العقاب، بمقتضى الوعد و الوعيد، من غير حبوط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من مذهب المعتزلة أنّه من أهل الخلود في النار إذا مات قبل التوبة، فأشكل عليهم الأمر في إيمانه و طاعته و ما يثبت من استحقاقاته، أين طارت؟ و كيف زالت؟ فقالوا بحبوط الطاعات، و مالوا إلى أنّ السيئات يذهبن الحسنات</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المتكلمين أنّ المعتزلة يقولون بالإحباط و التكفير، و أما الأشاعرة و الإمامية فهم يذهبون إلى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 مشكلة، و هي أن نفيهما على الإطلاق يخالف ما هو مسلّم عند المسلمين، من أنّ الإيمان يكفّر الكفر، و يدخل المؤمن الجنّة خالدا فيها، و أنّ الكفر يحبط الإيمان و يخلد الكافر في النار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النوع من الإحباط و التكفير مما أصفقت عليه الأمّة، و مع ذلك كيف يمكن نفيهما في مذهب الأشاعرة و الإمامية؟ و لأجل ذلك، يجب الدقة في فهم مرادهما من نفيهما على الإطلاق، و سوف يتبين الحال في هذين المجالين، و أنّ ما ينفونه منهما لا ينافي ظواهر الآيات و الأخبار</w:t>
      </w:r>
      <w:r>
        <w:rPr>
          <w:rFonts w:eastAsia="Amiri" w:cs="Amiri" w:ascii="Amiri" w:hAnsi="Amiri"/>
          <w:color w:val="111111"/>
          <w:sz w:val="28"/>
          <w:szCs w:val="28"/>
          <w:rtl w:val="true"/>
          <w:lang w:bidi="ar-SA"/>
        </w:rPr>
        <w:t xml:space="preserve">. </w:t>
      </w:r>
      <w:bookmarkStart w:id="903" w:name="pg16351_181274"/>
    </w:p>
    <w:p>
      <w:pPr>
        <w:pStyle w:val="BookText"/>
        <w:rPr/>
      </w:pPr>
      <w:bookmarkEnd w:id="903"/>
      <w:r>
        <w:rPr>
          <w:rFonts w:ascii="Amiri" w:hAnsi="Amiri" w:eastAsia="Amiri" w:cs="Amiri"/>
          <w:color w:val="111111"/>
          <w:sz w:val="28"/>
          <w:sz w:val="28"/>
          <w:szCs w:val="28"/>
          <w:rtl w:val="true"/>
          <w:lang w:bidi="ar-SA"/>
        </w:rPr>
        <w:t>هذا، و إنّ القائلين بالإحباط اختلفوا في كيفيته، فمنهم من قال بأن الإساءة الكثيرة تسقط الحسنات القليلة، و تمحوها بالكليّة، من دون أن يكون لها تأثير في تقليل الإساءة، و هو المحكي عن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بأن الإحسان القليل يسقط بالإساءة الكثيرة و لكنه يؤثر في تقليل الإساءة، فينقص الإحسان من الإساءة، فيجزى العبد بالمقدار الباقي بعد التنقيص، و هو المنسوب إلى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قول آخر في الإحباط، و هو عجيب جدا حكاه التفتازاني في شرح المقاصد، و هو أنّ الإساءة المتأخرة تحبط جميع الطاعات و إن كانت الإساءة أقل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الجمهور منهم إلى أنّ الكبيرة الواحدة تحبط ثواب جميع العبادات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ففي الإحباط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الكثيرة تسقط الحسنة القليلة من دون تأثير في تقليل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الكثيرة تسقط الحسنة القليلة، مع تأثير الإحسان في تقليل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الإساءة المتأخرة عن الطاعات، تبطل جميع الطاعات من دون ملاحظة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موضع النزاع في كلام القوم، فلننقل أدلة الطرفين</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6422670_1280447820"/>
      <w:bookmarkStart w:id="905" w:name="_Toc352"/>
      <w:bookmarkEnd w:id="904"/>
      <w:r>
        <w:rPr>
          <w:rtl w:val="true"/>
        </w:rPr>
        <w:t>أدلة نفاة الإحباط</w:t>
      </w:r>
      <w:bookmarkEnd w:id="905"/>
    </w:p>
    <w:p>
      <w:pPr>
        <w:pStyle w:val="BookText"/>
        <w:rPr/>
      </w:pPr>
      <w:r>
        <w:rPr>
          <w:rFonts w:ascii="Amiri" w:hAnsi="Amiri" w:eastAsia="Amiri" w:cs="Amiri"/>
          <w:color w:val="111111"/>
          <w:sz w:val="28"/>
          <w:sz w:val="28"/>
          <w:szCs w:val="28"/>
          <w:rtl w:val="true"/>
          <w:lang w:bidi="ar-SA"/>
        </w:rPr>
        <w:t>استدل النافون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نقلي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العقلي، فهو أنّ القول بالإحباط يستلزم الظلم، لأن من أساء و أطاع و كانت إساءته أكثر، يكون بمنزلة من 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إحسانه أكثر، </w:t>
      </w:r>
    </w:p>
    <w:p>
      <w:pPr>
        <w:pStyle w:val="BookText"/>
        <w:rPr/>
      </w:pPr>
      <w:r>
        <w:rPr>
          <w:rFonts w:ascii="Amiri" w:hAnsi="Amiri" w:eastAsia="Amiri" w:cs="Amiri"/>
          <w:color w:val="111111"/>
          <w:sz w:val="28"/>
          <w:sz w:val="28"/>
          <w:szCs w:val="28"/>
          <w:rtl w:val="true"/>
          <w:lang w:bidi="ar-SA"/>
        </w:rPr>
        <w:t>يكون بمنزلة من لم يسئ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تساويا يكون مساويا لمن يصدر عنه أحدهما، و هو نفس الظلم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الإحباط إنما يعدّ ظلما، و يشمله هذا الدليل، إذا كان الأكثر من الإساءة مؤثرا في سقوط الأقل من الطاعة بالكلية، من دون أن تؤثر الطاعة القليلة في تقليل الإساءة الكثيرة، كما عليه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بالموازنة، كما هو المحكي عن ابنه أبي هاشم، فلا يلزم الظلم، و صورته أن يأتي المكلّف بطاعة استحق عليها عشرة أجزاء من الثواب، و بمعصية استحق عليها عشرين جزء من العقاب، فلو قلنا بأنّه يحسن من اللّه سبحانه أن يفعل به عشرين جزء من العقاب، و لا يكون لما استحقه من الطاعة أيّ تأثير، للزم منه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بأنه يقبح من اللّه تعالى ذلك، و لا يحسن منه أن يفعل به من العقاب إلا عشرة أجزاء، و أما العشرة الأخرى فإنها تسقط بالثواب الذي استحقه على ما أتي به من الطاعة، فلا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 عبد الجبار، بعد نقل مذهب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إنه القول اللائق باللّه تعالى، دون ما يقوله أبو علي، و الذي يدل على صحته هو أنّ المكلّف أتى بالطاعات على الحد الذي أمر به، و على الحد الذي لو أتى به منفردا عن المعصية لكان يستحق عليها الثواب، فيجب أن يستحق عليها الثواب، و إن دنّسها بالمعصية، إلا أنّه لا يمكن و الحالة هذه أن يوفر عليه، على الحد الذي يستحقه، لاستحالته، فلا مانع من أن يزول من العقاب بمقداره، لأنّ دفع الضرر كالنفع في أنّه مما يعد في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على مذهب أبي علي فيلزم أن لا يكون قد رأى صاحب الكبيرة، شيئا مما أتى به من الطاعات، و قد نصّ اللّه تعالى على خلافه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أن يستدلّ على بطلان الإحباط بأنه يستلزم خلف الوعد إذا كان الوعد منجزا، كما هو في محل النزاع، و أما إذا كان مشروطا بعدم لحوق العصيان </w:t>
      </w:r>
      <w:bookmarkStart w:id="906" w:name="pg16351_181276"/>
    </w:p>
    <w:p>
      <w:pPr>
        <w:pStyle w:val="BookText"/>
        <w:rPr/>
      </w:pPr>
      <w:bookmarkEnd w:id="906"/>
      <w:r>
        <w:rPr>
          <w:rFonts w:ascii="Amiri" w:hAnsi="Amiri" w:eastAsia="Amiri" w:cs="Amiri"/>
          <w:color w:val="111111"/>
          <w:sz w:val="28"/>
          <w:sz w:val="28"/>
          <w:szCs w:val="28"/>
          <w:rtl w:val="true"/>
          <w:lang w:bidi="ar-SA"/>
        </w:rPr>
        <w:t>به، فهو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غير فرق بين قول الوالد و الولد، و القول الثالث الذي هو في غاية الإفراط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النقلي،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بالآية إنما يتم على القولين الأول و الثالث حيث لا يكون للإحسان القليل دور، و أما على القول الثاني، فالآية قابلة للانطباق عليه، لأنه إذا كان للإحسان القليل تأثير في تقليل الإساءة الكثيرة، فهو نحو رؤية له، لأن دفع المضرة كالنّفع في أنّه مما يعدّ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ربح إنسان في تجارة، قليلا، و خسر في تجارة أخرى أكثر، فأدّى بعض ديونه من الربح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من الآية، رؤية جزاء الخير، و هو بالقول بعدم الإحباط، ألصق و أطبق</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6422672_1280447820"/>
      <w:bookmarkStart w:id="908" w:name="_Toc353"/>
      <w:bookmarkEnd w:id="907"/>
      <w:r>
        <w:rPr>
          <w:rtl w:val="true"/>
        </w:rPr>
        <w:t>سؤال و جوابه</w:t>
      </w:r>
      <w:bookmarkEnd w:id="908"/>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القول بالإحباط مستلزما للظلم، أو كان مستلزما لخلف الوعد، فما هو المخلص فيما يدل على حبط العمل، في غير مورد من الآيات التي ورد فيها أنّ الكفر و الارتداد، و الشرك و الإساءة إلى النبي و غيرها مما يحبط الحسنات</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الجواب عن هذه الآيات؟ و ما هو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ببطلان الإحباط يفسرون الآيات بأن الاستحقاق في مواردها كان مشروطا بعدم لحوق العصيان بالطاعات، فإذا عصى الإنسان و لم يحقق الشرط، انكشف عدم الاستحقاق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بأن الاستحقاق في بدء صدور الطاعات لم يكن مشروطا </w:t>
      </w:r>
    </w:p>
    <w:p>
      <w:pPr>
        <w:pStyle w:val="BookText"/>
        <w:rPr/>
      </w:pPr>
      <w:r>
        <w:rPr>
          <w:rFonts w:ascii="Amiri" w:hAnsi="Amiri" w:eastAsia="Amiri" w:cs="Amiri"/>
          <w:color w:val="111111"/>
          <w:sz w:val="28"/>
          <w:sz w:val="28"/>
          <w:szCs w:val="28"/>
          <w:rtl w:val="true"/>
          <w:lang w:bidi="ar-SA"/>
        </w:rPr>
        <w:t>بعدم لحوق العصيان، بل كان استقرار الاستحقاق في مستقبل الأيام، هو المشروط بعدم لحوق المعصية، فإذا فقد الشرط، فقد استقرار الاستحقاق و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الطوسي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8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أنّها صارت بمنزلة ما لم يكن، لإيقاعهم إياها على خلاف الوجه المأمور به، و ليس المراد أنّهم استحقوا عليها الثواب ثم انحبطت، لأن 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على هذا الوجه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الطّبرسي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بِالْإِيمٰانِ فَقَدْ حَبِطَ عَمَلُهُ وَ هُوَ فِي اَلْآخِرَةِ مِنَ اَلْخٰاسِرِينَ </w:t>
      </w:r>
      <w:r>
        <w:rPr>
          <w:rStyle w:val="FootnoteAnchor"/>
          <w:rtl w:val="true"/>
        </w:rPr>
        <w:footnoteReference w:id="8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حَبِطَ عَمَلُهُ ، هنا دلالة على أن حبوط الأعمال لا يترتب على ثبوت الثواب، فإن الكافر لا يكون له عمل قد ثبت عليه ثواب، و إنما يكون له عمل في الظاهر لو لا كفره لكان يستحق الثواب عليه، فعبّر سبحانه عن هذا العمل بأنّه حبط، فهو حقيقة معناه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 تفسير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ضاعت أعمالهم التي عملوها لأنّهم أوقعوها على خلاف الوجه المأمور به، و بطل ما أظهروه من الإيمان، لأنّه لم يوافق باطنهم ظاهرهم، فلم يستحقوا به الثواب</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ذكره الطبرسي يظهر جواب سؤال آخر، و هو أنه إذا كان الاستحقاق </w:t>
      </w:r>
    </w:p>
    <w:p>
      <w:pPr>
        <w:pStyle w:val="BookText"/>
        <w:rPr/>
      </w:pPr>
      <w:r>
        <w:rPr>
          <w:rFonts w:ascii="Amiri" w:hAnsi="Amiri" w:eastAsia="Amiri" w:cs="Amiri"/>
          <w:color w:val="111111"/>
          <w:sz w:val="28"/>
          <w:sz w:val="28"/>
          <w:szCs w:val="28"/>
          <w:rtl w:val="true"/>
          <w:lang w:bidi="ar-SA"/>
        </w:rPr>
        <w:t>مشروطا بعدم صدور العصيان، فإذا صدر يكشف عن عدم الاستحقاق أبدا، فكيف يطلق عليه الإحباط، و ما الإحباط إلا الإبطال و الإسقاط، و لم يكن هناك شيء حتى يبطل أو يسقط؟ و ذلك لأن نفس العمل في الظاهر سبب و مقتض، فالإبطال و الإسقاط كما يصدقان مع وجود العلة التامة، فهكذا يصدقان مع وجود جزء العلة و سببها و مقتضيها، و هذا كمن ملك أرضا صالحة للزراعة فأحدث فيها ما أفقدها هذه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على الكفر، و إن كان يبطل ثواب جميع الأعمال، لكن ليس هذا بالإحباط، بل باشتراط الموافاة على الإيمان في استحقاق الثواب على القول بالاستحقاق، و في الوعد بالثواب على القول بعدم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القول في المعاصي التي ورد أنها حابطة لبعض الحسنات من غير قول بالحبط، بل يكون الاستحقاق أو الوعد مشروطا بعدم صدور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التفسير إنما نحتاج إليه في جانب الإحباط، و أما في جانب التكفير فلا حاجة إليه، بل لنا أن نقول إنّ التوبة و الأعمال المكفّرة يذهبان العقاب المكتوب على المعاصي من دون حاجة إلى القول بكون الاستحقاق مشروطا بالموافاة على الكفر، لجواز تفضّله سبحانه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يصح القول بالإحباط و التكفير في كل المعاصي، بل يجب علينا تتبّع النصوص، فكلّ معصية وردت في الكتاب أو في الآثار الصحيحة أنها ذاهبة أو منقصة لثواب جميع الحسنات أو بعضها، نقول بالإحباط فيها على التفسير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جانب التكفير فلا يمكن لنا أن نقول إنّ كل حسنة تذهب السيئة إلاّ بالنص</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بيان دليل النافين للإحباط على الوجه اللائق بكلامهم، و الإجابة عليه</w:t>
      </w:r>
      <w:r>
        <w:rPr>
          <w:rFonts w:eastAsia="Amiri" w:cs="Amiri" w:ascii="Amiri" w:hAnsi="Amiri"/>
          <w:color w:val="111111"/>
          <w:sz w:val="28"/>
          <w:szCs w:val="28"/>
          <w:rtl w:val="true"/>
          <w:lang w:bidi="ar-SA"/>
        </w:rPr>
        <w:t xml:space="preserve">. </w:t>
      </w:r>
      <w:bookmarkStart w:id="909" w:name="pg16351_181279"/>
    </w:p>
    <w:p>
      <w:pPr>
        <w:pStyle w:val="Heading6"/>
        <w:numPr>
          <w:ilvl w:val="5"/>
          <w:numId w:val="1"/>
        </w:numPr>
        <w:rPr/>
      </w:pPr>
      <w:bookmarkStart w:id="910" w:name="__RefHeading___Toc6422674_1280447820"/>
      <w:bookmarkStart w:id="911" w:name="_Toc354"/>
      <w:bookmarkEnd w:id="909"/>
      <w:bookmarkEnd w:id="910"/>
      <w:r>
        <w:rPr>
          <w:rtl w:val="true"/>
        </w:rPr>
        <w:t>أدلة مثبتي الإحباط</w:t>
      </w:r>
      <w:bookmarkEnd w:id="911"/>
    </w:p>
    <w:p>
      <w:pPr>
        <w:pStyle w:val="BookText"/>
        <w:rPr/>
      </w:pPr>
      <w:r>
        <w:rPr>
          <w:rFonts w:ascii="Amiri" w:hAnsi="Amiri" w:eastAsia="Amiri" w:cs="Amiri"/>
          <w:color w:val="111111"/>
          <w:sz w:val="28"/>
          <w:sz w:val="28"/>
          <w:szCs w:val="28"/>
          <w:rtl w:val="true"/>
          <w:lang w:bidi="ar-SA"/>
        </w:rPr>
        <w:t>استدل القاضي على ثبوت الإحباط بوجه عقلي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أنّ الثواب و العقاب يستحقان على طريق الدوام، فلا يخلو المكلّف إما أن يستحق الثواب فيثاب، أو يستحق العقاب فيعاقب، أو لا يستحق الثواب و لا العقاب، فلا يثاب و لا يعاقب، أو يستحق الثواب و العقاب، فيثاب و يعاقب دفعة واحدة، أو يؤثر الأكثر في الأقل على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لا يستحق الثواب و لا العقاب، فإن ذلك خلاف ما اتفقت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يستحق الثواب و العقاب معا فيكون مثابا و معاقبا دفعة واحدة، لأن ذلك مستحيل، و المستحيل مما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إلا ما ذكرناه من أن الأقل يسقط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يقوله الشيخان أبو علي و أبو هاشم و لا يختلفان فيه، و إنّما الخلاف بينهما في كيفية ذلك</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أنّ استحقاق العقاب على وجه الدوام، و هو مبني على أنّ مرتكب الكبيرة مخلّد في النار، و بما أنّ الأساس باطل، فيبطل ما بني عليه، فلا دليل على دوام 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فالحصر غير حاصر، و إنّ هنا شقا سادسا ترك في كلامه، و هو أنّه يستحق الثواب و العقاب معا لكن لا دفعة واحدة، بل يعاقب مدة ثم يخرج من النار فيثاب بالجنة على ما عليه جمهور المسلمين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القاضي عبد الجبار، وجها عقليا آخر للإحباط عن الشيخ أبي علي و أجاب عنه، فلاحظ</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912" w:name="pg16351_181280"/>
    </w:p>
    <w:p>
      <w:pPr>
        <w:pStyle w:val="Heading6"/>
        <w:numPr>
          <w:ilvl w:val="5"/>
          <w:numId w:val="1"/>
        </w:numPr>
        <w:rPr/>
      </w:pPr>
      <w:bookmarkStart w:id="913" w:name="__RefHeading___Toc6422676_1280447820"/>
      <w:bookmarkStart w:id="914" w:name="_Toc355"/>
      <w:bookmarkEnd w:id="912"/>
      <w:bookmarkEnd w:id="913"/>
      <w:r>
        <w:rPr>
          <w:rtl w:val="true"/>
        </w:rPr>
        <w:t>تحليل لمسألة الإحباط</w:t>
      </w:r>
      <w:bookmarkEnd w:id="914"/>
    </w:p>
    <w:p>
      <w:pPr>
        <w:pStyle w:val="BookText"/>
        <w:rPr/>
      </w:pPr>
      <w:r>
        <w:rPr>
          <w:rFonts w:ascii="Amiri" w:hAnsi="Amiri" w:eastAsia="Amiri" w:cs="Amiri"/>
          <w:color w:val="111111"/>
          <w:sz w:val="28"/>
          <w:sz w:val="28"/>
          <w:szCs w:val="28"/>
          <w:rtl w:val="true"/>
          <w:lang w:bidi="ar-SA"/>
        </w:rPr>
        <w:t>و هاهنا تحليل آخر للمسألة و هو أنّ في الثواب و العقاب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من قبيل الأمور الوضعية الجعلية كجعل الأجرة للعامل، و العقاب للمتخلّف في هذه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مخلوقان لنفس الإنسان حسب الملكات التي اكتسبها في هذه الدنيا، بحيث لا يمكن لصاحب هذه الملكة، السكون و الهدوء إلا بفعل ما يناسبها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عبارة عن تمثّل العمل في الآخرة و تجلّيه فيها بوجوده الأخروي من دون أن يكون للنفس دور في تلك الحياة، في تحلى هذه الأعمال بتلك الصور، بل هي من ملازمات وجود الإنسان المحشور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بالوجه الأول، كان لما نقلناه من نفاة الحبط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الاستحقاق أو استمراره مشروط بعدم الإتيان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 لأن الأمور الوضعية، رفعها و وضعها، و تبسيطها، و تضييقها، بيد المقنّن و 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يجمع بين حكم العقل، بلزوم الوفاء بالوعد، و ما دلّ من الآيات على وجود الإحباط في موارد مختلفة،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حاصل الجمع، و هو أن إطلاق الإحباط ليس لإبطال استحقاق الإنسان الثواب، بل لم يكن مستحقا من رأس، لعدم تحقق شرط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مصحح تسميته بالإحباط فقد عرفته أيضا، و هو أن ظاهر العمل كان يحكي عن الثواب و كان جزء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بالوجه الثاني، و حاصله أن الملكات الحسنة و السيّئة التي تعدّ فعليات للنفس، تحصل بسبب الحسنات و السيّئات التي كانت تصدر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قامت بفعل الحسنات، تحصل فيها صورة معنوية، مقتضية لخلق الثواب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إذا صدر منها سيئة، تقوم بها صورة معنوية تصلح لأن تكون مبدأ لخلق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الإنسان في معرض التحول و التغيير من حيث الملكات النفسانية، حسب ما يفعل من الحسنات و السيئات، فإنّ من الممكن بطلان </w:t>
      </w:r>
      <w:bookmarkStart w:id="915" w:name="pg16351_181281"/>
    </w:p>
    <w:p>
      <w:pPr>
        <w:pStyle w:val="BookText"/>
        <w:rPr/>
      </w:pPr>
      <w:bookmarkEnd w:id="915"/>
      <w:r>
        <w:rPr>
          <w:rFonts w:ascii="Amiri" w:hAnsi="Amiri" w:eastAsia="Amiri" w:cs="Amiri"/>
          <w:color w:val="111111"/>
          <w:sz w:val="28"/>
          <w:sz w:val="28"/>
          <w:szCs w:val="28"/>
          <w:rtl w:val="true"/>
          <w:lang w:bidi="ar-SA"/>
        </w:rPr>
        <w:t>صورة موجودة في النفس و تبدّلها إلى صورة غيرها ما دامت تعيش في هذه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تقف الحركة و يبطل التحول عند موافاة الموت، فعند ذلك تثبت لها الصور بلا تغيير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بهذا الوجه، كان الإحباط على وفق القاعدة، لأنّ الجزاء في الآخرة، إذا كان فعل النفس و إيجادها، فهو يتبع الصورة الأخيرة للنفس، التي اكتسبتها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صورة معنوية مناسبة للثواب فالنفس منعّمة في الثواب من دون مقابلة بالعقاب، لأن الصورة المناسبة للعقاب قد بطلت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انعكست الصورة، انعكس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بالوجه الثالث، و هو تجسّم الأعمال و تمثلها في الآخرة بالوجود المماثل لها، فالقول بعدم الإحباط هو الموافق للقاعدة، إذ لا معنى للإبطال،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الكلام كلّه في انحصار الثواب و العقاب بهذين الوجهين الأخيرين، و قد عرفت في الجزء الأول أنّ المتشرع لا يتجرأ على القول بذلك</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6422678_1280447820"/>
      <w:bookmarkStart w:id="917" w:name="_Toc356"/>
      <w:bookmarkEnd w:id="916"/>
      <w:r>
        <w:rPr>
          <w:rtl w:val="true"/>
        </w:rPr>
        <w:t>عوامل الإحباط و أسبابه</w:t>
      </w:r>
      <w:bookmarkEnd w:id="917"/>
    </w:p>
    <w:p>
      <w:pPr>
        <w:pStyle w:val="Heading6"/>
        <w:numPr>
          <w:ilvl w:val="5"/>
          <w:numId w:val="1"/>
        </w:numPr>
        <w:rPr/>
      </w:pPr>
      <w:bookmarkStart w:id="918" w:name="__RefHeading___Toc6422680_1280447820"/>
      <w:bookmarkStart w:id="919" w:name="_Toc357"/>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البحث عن عوامل الإحباط و أسبابه، بحث نقلي يتوقف على السبر و الفحص في الكتاب و السنة، و نكتفي في المقام بما جاء في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6422682_1280447820"/>
      <w:bookmarkStart w:id="921" w:name="_Toc358"/>
      <w:bookmarkEnd w:id="920"/>
      <w:r>
        <w:rPr/>
        <w:t>1</w:t>
      </w:r>
      <w:r>
        <w:rPr>
          <w:rtl w:val="true"/>
        </w:rPr>
        <w:t xml:space="preserve"> - </w:t>
      </w:r>
      <w:r>
        <w:rPr>
          <w:rtl w:val="true"/>
        </w:rPr>
        <w:t>الارتداد بعد الإسلام</w:t>
      </w:r>
      <w:bookmarkEnd w:id="92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922" w:name="pg16351_181282"/>
    </w:p>
    <w:p>
      <w:pPr>
        <w:pStyle w:val="Heading6"/>
        <w:numPr>
          <w:ilvl w:val="5"/>
          <w:numId w:val="1"/>
        </w:numPr>
        <w:rPr/>
      </w:pPr>
      <w:bookmarkStart w:id="923" w:name="__RefHeading___Toc6422684_1280447820"/>
      <w:bookmarkStart w:id="924" w:name="_Toc359"/>
      <w:bookmarkEnd w:id="922"/>
      <w:bookmarkEnd w:id="923"/>
      <w:r>
        <w:rPr/>
        <w:t>2</w:t>
      </w:r>
      <w:r>
        <w:rPr>
          <w:rtl w:val="true"/>
        </w:rPr>
        <w:t xml:space="preserve"> - </w:t>
      </w:r>
      <w:r>
        <w:rPr>
          <w:rtl w:val="true"/>
        </w:rPr>
        <w:t>الشرك المقارن بالعمل</w:t>
      </w:r>
      <w:bookmarkEnd w:id="924"/>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 فِي اَلنّٰارِ هُمْ خٰالِدُونَ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المشركون يزعمون أنّ العمل الصالح بنفسه موجب للثواب، غير أنّ القرآن شطب على هذه العقيدة، و صرّح بأن الثواب يترتب على العمل الصالح، إذا صدر من فاعل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أتبع الآية السابقة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5" w:name="__RefHeading___Toc6422686_1280447820"/>
      <w:bookmarkStart w:id="926" w:name="_Toc360"/>
      <w:bookmarkEnd w:id="925"/>
      <w:r>
        <w:rPr/>
        <w:t>3</w:t>
      </w:r>
      <w:r>
        <w:rPr>
          <w:rtl w:val="true"/>
        </w:rPr>
        <w:t xml:space="preserve"> - </w:t>
      </w:r>
      <w:r>
        <w:rPr>
          <w:rtl w:val="true"/>
        </w:rPr>
        <w:t>كراهة ما أنزل اللّه</w:t>
      </w:r>
      <w:bookmarkEnd w:id="92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7" w:name="__RefHeading___Toc6422688_1280447820"/>
      <w:bookmarkStart w:id="928" w:name="_Toc361"/>
      <w:bookmarkEnd w:id="927"/>
      <w:r>
        <w:rPr/>
        <w:t>4</w:t>
      </w:r>
      <w:r>
        <w:rPr>
          <w:rtl w:val="true"/>
        </w:rPr>
        <w:t xml:space="preserve"> - </w:t>
      </w:r>
      <w:r>
        <w:rPr>
          <w:rtl w:val="true"/>
        </w:rPr>
        <w:t>الكفر</w:t>
      </w:r>
      <w:bookmarkEnd w:id="928"/>
    </w:p>
    <w:p>
      <w:pPr>
        <w:pStyle w:val="Heading6"/>
        <w:numPr>
          <w:ilvl w:val="5"/>
          <w:numId w:val="1"/>
        </w:numPr>
        <w:rPr/>
      </w:pPr>
      <w:bookmarkStart w:id="929" w:name="__RefHeading___Toc6422690_1280447820"/>
      <w:bookmarkStart w:id="930" w:name="_Toc362"/>
      <w:bookmarkEnd w:id="929"/>
      <w:r>
        <w:rPr/>
        <w:t>5</w:t>
      </w:r>
      <w:r>
        <w:rPr>
          <w:rtl w:val="true"/>
        </w:rPr>
        <w:t xml:space="preserve"> - </w:t>
      </w:r>
      <w:r>
        <w:rPr>
          <w:rtl w:val="true"/>
        </w:rPr>
        <w:t>الصّدّ عن سبيل اللّه</w:t>
      </w:r>
      <w:bookmarkEnd w:id="930"/>
    </w:p>
    <w:p>
      <w:pPr>
        <w:pStyle w:val="Heading6"/>
        <w:numPr>
          <w:ilvl w:val="5"/>
          <w:numId w:val="1"/>
        </w:numPr>
        <w:rPr/>
      </w:pPr>
      <w:bookmarkStart w:id="931" w:name="__RefHeading___Toc6422692_1280447820"/>
      <w:bookmarkStart w:id="932" w:name="_Toc363"/>
      <w:bookmarkEnd w:id="931"/>
      <w:r>
        <w:rPr/>
        <w:t>6</w:t>
      </w:r>
      <w:r>
        <w:rPr>
          <w:rtl w:val="true"/>
        </w:rPr>
        <w:t xml:space="preserve"> - </w:t>
      </w:r>
      <w:r>
        <w:rPr>
          <w:rtl w:val="true"/>
        </w:rPr>
        <w:t>مجادلة الرسول و مشاقّته</w:t>
      </w:r>
      <w:bookmarkEnd w:id="93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هذه العوامل الثلاثة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اَلْهُدىٰ لَنْ يَضُرُّوا اَللّٰهَ شَيْئاً وَ سَيُحْبِطُ أَعْمٰالَهُمْ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933" w:name="pg16351_181283"/>
    </w:p>
    <w:p>
      <w:pPr>
        <w:pStyle w:val="BookText"/>
        <w:rPr/>
      </w:pPr>
      <w:bookmarkEnd w:id="933"/>
      <w:r>
        <w:rPr>
          <w:rFonts w:ascii="Amiri" w:hAnsi="Amiri" w:eastAsia="Amiri" w:cs="Amiri"/>
          <w:color w:val="111111"/>
          <w:sz w:val="28"/>
          <w:sz w:val="28"/>
          <w:szCs w:val="28"/>
          <w:rtl w:val="true"/>
          <w:lang w:bidi="ar-SA"/>
        </w:rPr>
        <w:t>و هل كل منها عامل مستقل، أو أنّ هنا عاملا واحدا هو الكفر، و يكون حينئذ الصّدّ عن سبيل اللّه و مشاقّة الرسول من آثار الكفر، فهم كفروا، فصدوا و شاقوا؟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الثمرة فيما لو صدّ إنسان عن سبيل اللّه لأغراض دنيوية، أو شاقّ الرسول لحالة نفسانية مع اعتقاده التام بنبوة ذاك الرسول و قبح 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باستقلال كل منهما في الحبط، يحبط عمله،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الآية ليست في مقام البيان، بل تحكي عمل قوم كانت لهم هذه الشئون فلا يمكن استظهار استقلال كل منها في 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بالاستقلال من باب الأولوية، و ذلك أنّه إذا كان رفع الصوت فوق صوت النبي من عوامل الإحباط كما سيأتي، فكيف لا يكون الصّدّ و القتل من عوامله؟</w:t>
      </w:r>
      <w:r>
        <w:rPr>
          <w:rFonts w:eastAsia="Amiri" w:cs="Amiri" w:ascii="Amiri" w:hAnsi="Amiri"/>
          <w:color w:val="111111"/>
          <w:sz w:val="28"/>
          <w:szCs w:val="28"/>
          <w:rtl w:val="true"/>
          <w:lang w:bidi="ar-SA"/>
        </w:rPr>
        <w:t>.</w:t>
      </w:r>
    </w:p>
    <w:p>
      <w:pPr>
        <w:pStyle w:val="Heading6"/>
        <w:numPr>
          <w:ilvl w:val="5"/>
          <w:numId w:val="1"/>
        </w:numPr>
        <w:rPr/>
      </w:pPr>
      <w:bookmarkStart w:id="934" w:name="__RefHeading___Toc6422694_1280447820"/>
      <w:bookmarkStart w:id="935" w:name="_Toc364"/>
      <w:bookmarkEnd w:id="934"/>
      <w:r>
        <w:rPr/>
        <w:t>7</w:t>
      </w:r>
      <w:r>
        <w:rPr>
          <w:rtl w:val="true"/>
        </w:rPr>
        <w:t xml:space="preserve"> - </w:t>
      </w:r>
      <w:r>
        <w:rPr>
          <w:rtl w:val="true"/>
        </w:rPr>
        <w:t>قتل الأنبياء</w:t>
      </w:r>
      <w:bookmarkEnd w:id="935"/>
    </w:p>
    <w:p>
      <w:pPr>
        <w:pStyle w:val="Heading6"/>
        <w:numPr>
          <w:ilvl w:val="5"/>
          <w:numId w:val="1"/>
        </w:numPr>
        <w:rPr/>
      </w:pPr>
      <w:bookmarkStart w:id="936" w:name="__RefHeading___Toc6422696_1280447820"/>
      <w:bookmarkStart w:id="937" w:name="_Toc365"/>
      <w:bookmarkEnd w:id="936"/>
      <w:r>
        <w:rPr/>
        <w:t>8</w:t>
      </w:r>
      <w:r>
        <w:rPr>
          <w:rtl w:val="true"/>
        </w:rPr>
        <w:t xml:space="preserve"> - </w:t>
      </w:r>
      <w:r>
        <w:rPr>
          <w:rtl w:val="true"/>
        </w:rPr>
        <w:t>قتل الآمرين بالقسط من الناس</w:t>
      </w:r>
      <w:bookmarkEnd w:id="93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8" w:name="__RefHeading___Toc6422698_1280447820"/>
      <w:bookmarkStart w:id="939" w:name="_Toc366"/>
      <w:bookmarkEnd w:id="938"/>
      <w:r>
        <w:rPr/>
        <w:t>9</w:t>
      </w:r>
      <w:r>
        <w:rPr>
          <w:rtl w:val="true"/>
        </w:rPr>
        <w:t xml:space="preserve"> - </w:t>
      </w:r>
      <w:r>
        <w:rPr>
          <w:rtl w:val="true"/>
        </w:rPr>
        <w:t>إساءة الأدب مع النبي</w:t>
      </w:r>
      <w:bookmarkEnd w:id="93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يتصور أنّ رفع الصوت ليس عاملا مستقلا في الإحباط، بل هو </w:t>
      </w:r>
      <w:bookmarkStart w:id="940" w:name="pg16351_181284"/>
    </w:p>
    <w:p>
      <w:pPr>
        <w:pStyle w:val="BookText"/>
        <w:rPr/>
      </w:pPr>
      <w:bookmarkEnd w:id="940"/>
      <w:r>
        <w:rPr>
          <w:rFonts w:ascii="Amiri" w:hAnsi="Amiri" w:eastAsia="Amiri" w:cs="Amiri"/>
          <w:color w:val="111111"/>
          <w:sz w:val="28"/>
          <w:sz w:val="28"/>
          <w:szCs w:val="28"/>
          <w:rtl w:val="true"/>
          <w:lang w:bidi="ar-SA"/>
        </w:rPr>
        <w:t>كاشف عن كفر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احتمال ضعيف، لأن الآية تخاطب المؤمنين به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الالتزام بأنّ كل إساءة بالنسبة إلى النبي تحبط الأعمال الصالحة</w:t>
      </w:r>
      <w:r>
        <w:rPr>
          <w:rStyle w:val="FootnoteAnchor"/>
          <w:rtl w:val="true"/>
        </w:rPr>
        <w:footnoteReference w:id="867"/>
      </w:r>
      <w:r>
        <w:rPr>
          <w:rFonts w:ascii="Amiri" w:hAnsi="Amiri" w:eastAsia="Amiri" w:cs="Amiri"/>
          <w:color w:val="111111"/>
          <w:sz w:val="28"/>
          <w:sz w:val="28"/>
          <w:szCs w:val="28"/>
          <w:rtl w:val="true"/>
          <w:lang w:bidi="ar-SA"/>
        </w:rPr>
        <w:t>، إلا إذا كانت هتكا في نظر العامة، و تحقيرا له في أوساط المسلمين، كما هو الظاهر من أسباب نزول الآية</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6422700_1280447820"/>
      <w:bookmarkStart w:id="942" w:name="_Toc367"/>
      <w:bookmarkEnd w:id="941"/>
      <w:r>
        <w:rPr/>
        <w:t>10</w:t>
      </w:r>
      <w:r>
        <w:rPr>
          <w:rtl w:val="true"/>
        </w:rPr>
        <w:t xml:space="preserve"> - </w:t>
      </w:r>
      <w:r>
        <w:rPr>
          <w:rtl w:val="true"/>
        </w:rPr>
        <w:t>الإقبال على الدنيا و الإعراض عن الآخرة</w:t>
      </w:r>
      <w:bookmarkEnd w:id="94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إنّ الإقبال على الدنيا بهذا النحو الذي جاء في الآية، يساوق الكفر، أو يساوق ترك الفرائض، و التوغل في الموبقات، فتكون إرادة الحياة الدنيا و زينتها إشارة إلى العامل الواقعي</w:t>
      </w:r>
      <w:r>
        <w:rPr>
          <w:rFonts w:eastAsia="Amiri" w:cs="Amiri" w:ascii="Amiri" w:hAnsi="Amiri"/>
          <w:color w:val="111111"/>
          <w:sz w:val="28"/>
          <w:szCs w:val="28"/>
          <w:rtl w:val="true"/>
          <w:lang w:bidi="ar-SA"/>
        </w:rPr>
        <w:t>.</w:t>
      </w:r>
    </w:p>
    <w:p>
      <w:pPr>
        <w:pStyle w:val="Heading6"/>
        <w:numPr>
          <w:ilvl w:val="5"/>
          <w:numId w:val="1"/>
        </w:numPr>
        <w:rPr/>
      </w:pPr>
      <w:bookmarkStart w:id="943" w:name="__RefHeading___Toc6422702_1280447820"/>
      <w:bookmarkStart w:id="944" w:name="_Toc368"/>
      <w:bookmarkEnd w:id="943"/>
      <w:r>
        <w:rPr/>
        <w:t>11</w:t>
      </w:r>
      <w:r>
        <w:rPr>
          <w:rtl w:val="true"/>
        </w:rPr>
        <w:t xml:space="preserve"> - </w:t>
      </w:r>
      <w:r>
        <w:rPr>
          <w:rtl w:val="true"/>
        </w:rPr>
        <w:t>إنكار الآخرة</w:t>
      </w:r>
      <w:bookmarkEnd w:id="9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فرع من فروع الكفر و ليس عاملا مستقلا</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6422704_1280447820"/>
      <w:bookmarkStart w:id="946" w:name="_Toc369"/>
      <w:bookmarkEnd w:id="945"/>
      <w:r>
        <w:rPr/>
        <w:t>12</w:t>
      </w:r>
      <w:r>
        <w:rPr>
          <w:rtl w:val="true"/>
        </w:rPr>
        <w:t xml:space="preserve"> - </w:t>
      </w:r>
      <w:r>
        <w:rPr>
          <w:rtl w:val="true"/>
        </w:rPr>
        <w:t>النفاق</w:t>
      </w:r>
      <w:bookmarkEnd w:id="94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يَعْلَمُ اَللّٰهُ اَلْمُعَوِّقِينَ مِنْكُمْ وَ اَلْقٰائِلِينَ لِإِخْوٰانِهِمْ هَلُمَّ إِلَيْنٰا وَ لاٰ يَأْتُونَ اَلْبَأْسَ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يُؤْمِنُوا فَأَحْبَطَ اَللّٰهُ أَعْمٰالَهُمْ وَ كٰانَ ذٰلِكَ </w:t>
      </w:r>
      <w:bookmarkStart w:id="947" w:name="pg16351_181285"/>
    </w:p>
    <w:p>
      <w:pPr>
        <w:pStyle w:val="BookText"/>
        <w:rPr/>
      </w:pPr>
      <w:bookmarkEnd w:id="947"/>
      <w:r>
        <w:rPr>
          <w:rFonts w:ascii="Amiri" w:hAnsi="Amiri" w:eastAsia="Amiri" w:cs="Amiri"/>
          <w:color w:val="111111"/>
          <w:sz w:val="28"/>
          <w:sz w:val="28"/>
          <w:szCs w:val="28"/>
          <w:rtl w:val="true"/>
          <w:lang w:bidi="ar-SA"/>
        </w:rPr>
        <w:t xml:space="preserve">عَلَى اَللّٰهِ يَسِيراً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لِإِخْوٰانِهِمْ ، يدل على أنّهم لم يكونوا مؤمنين بل كانوا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يصرّح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فيرجع النفاق إلى عامل الكفر و عدم الإيمان، و ليس سببا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أبرز أسباب الإحباط في الذكر الحكيم، و قد عرفت إمكان إدغام البعض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فالإحباط هنا هو بطلان أثر المقتضى، لا إبطال أثر ثابت بالفعل، كما تقدم</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6422706_1280447820"/>
      <w:bookmarkStart w:id="949" w:name="_Toc370"/>
      <w:bookmarkEnd w:id="948"/>
      <w:r>
        <w:rPr>
          <w:rtl w:val="true"/>
        </w:rPr>
        <w:t>ثانيا</w:t>
      </w:r>
      <w:r>
        <w:rPr>
          <w:rtl w:val="true"/>
        </w:rPr>
        <w:t xml:space="preserve">: </w:t>
      </w:r>
      <w:r>
        <w:rPr>
          <w:rtl w:val="true"/>
        </w:rPr>
        <w:t>التكفير</w:t>
      </w:r>
      <w:bookmarkEnd w:id="949"/>
    </w:p>
    <w:p>
      <w:pPr>
        <w:pStyle w:val="BookText"/>
        <w:rPr/>
      </w:pPr>
      <w:r>
        <w:rPr>
          <w:rFonts w:ascii="Amiri" w:hAnsi="Amiri" w:eastAsia="Amiri" w:cs="Amiri"/>
          <w:color w:val="111111"/>
          <w:sz w:val="28"/>
          <w:sz w:val="28"/>
          <w:szCs w:val="28"/>
          <w:rtl w:val="true"/>
          <w:lang w:bidi="ar-SA"/>
        </w:rPr>
        <w:t>التكفير هو إسقاط ذنوب المعاصي المتقدمة بثواب الطاعات المتأخرة، و هو لا يعدّ ظلما، لأن العقاب حق للمولى، و إسقاط الحق ليس ظلما بل إحسان، و قد عرفت أنّ خلف الوعيد ليس بقبيح و إنما القبيح 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لا حاجة إلى تقييد استحقاق العقاب أو استمرار استحقاقه، بعدم تعقّب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الاستحقاق و استمراره ثابتان، غير أنّ المولى سبحانه، تفضّلا منه، عفى عن عبده لفعله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وَ آمَنُوا بِمٰا نُزِّلَ عَلىٰ مُحَمَّدٍ </w:t>
      </w:r>
    </w:p>
    <w:p>
      <w:pPr>
        <w:pStyle w:val="BookText"/>
        <w:rPr/>
      </w:pPr>
      <w:r>
        <w:rPr>
          <w:rFonts w:ascii="Amiri" w:hAnsi="Amiri" w:eastAsia="Amiri" w:cs="Amiri"/>
          <w:color w:val="111111"/>
          <w:sz w:val="28"/>
          <w:sz w:val="28"/>
          <w:szCs w:val="28"/>
          <w:rtl w:val="true"/>
          <w:lang w:bidi="ar-SA"/>
        </w:rPr>
        <w:t xml:space="preserve">وَ هُوَ اَلْحَقُّ مِنْ رَبِّهِمْ كَفَّرَ عَنْهُمْ سَيِّئٰاتِهِمْ وَ أَصْلَحَ بٰالَهُمْ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استفادة الإطلاق من هذه الآيات، و أنّ كل معصية تكفّر، لأنها بصدد بيان تشريع التكفير، و أما شروطه و بيان المعاصي التي تكفّر دون غيرها، فلا يستفاد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الظاهر من الآية الأولى هو اشتراط تكفير الذنوب الصغيرة باجتناب الكبيرة منها، و من الآية الثانية، اشتراط تكفير السيئات بالتقوى، و من الثالثة، تكفير السيئات للذين آمنوا و عملوا الصالحات و آمنوا بما نزّل على الرسول الأكرم صلى اللّه عليه و آله و سلّم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الكراجكي، بسنده عن الإمام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عليه فضل، و هو من أهل التقوى، و لم يشرك باللّه تعالى، و اتقى الشرك به، فهو من أهل المغفرة، يغفر اللّه له برحمته إن شاء و يتفضل عليه بعفوه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950" w:name="pg16351_181287"/>
    </w:p>
    <w:p>
      <w:pPr>
        <w:pStyle w:val="BookText"/>
        <w:rPr/>
      </w:pPr>
      <w:bookmarkEnd w:id="950"/>
      <w:r>
        <w:rPr>
          <w:rFonts w:ascii="IRNazanin" w:hAnsi="IRNazanin" w:eastAsia="IRNazanin"/>
          <w:color w:val="111111"/>
          <w:sz w:val="28"/>
          <w:sz w:val="28"/>
          <w:szCs w:val="28"/>
          <w:rtl w:val="true"/>
          <w:lang w:bidi="fa-IR"/>
        </w:rPr>
        <w:t>مباحث المعاد</w:t>
      </w:r>
    </w:p>
    <w:p>
      <w:pPr>
        <w:pStyle w:val="Heading4"/>
        <w:numPr>
          <w:ilvl w:val="3"/>
          <w:numId w:val="1"/>
        </w:numPr>
        <w:rPr/>
      </w:pPr>
      <w:bookmarkStart w:id="951" w:name="__RefHeading___Toc6422708_1280447820"/>
      <w:bookmarkStart w:id="952" w:name="_Toc371"/>
      <w:bookmarkEnd w:id="951"/>
      <w:r>
        <w:rPr>
          <w:rtl w:val="true"/>
        </w:rPr>
        <w:t>(</w:t>
      </w:r>
      <w:r>
        <w:rPr/>
        <w:t>17</w:t>
      </w:r>
      <w:r>
        <w:rPr>
          <w:rtl w:val="true"/>
        </w:rPr>
        <w:t xml:space="preserve">) </w:t>
      </w:r>
      <w:r>
        <w:rPr>
          <w:rtl w:val="true"/>
        </w:rPr>
        <w:t>الأمر بالمعروف و النهي عن المنكر</w:t>
      </w:r>
      <w:bookmarkEnd w:id="952"/>
    </w:p>
    <w:p>
      <w:pPr>
        <w:pStyle w:val="Heading5"/>
        <w:numPr>
          <w:ilvl w:val="4"/>
          <w:numId w:val="1"/>
        </w:numPr>
        <w:rPr/>
      </w:pPr>
      <w:bookmarkStart w:id="953" w:name="__RefHeading___Toc6422710_1280447820"/>
      <w:bookmarkStart w:id="954" w:name="_Toc372"/>
      <w:bookmarkEnd w:id="953"/>
      <w:r>
        <w:rPr>
          <w:rtl w:val="true"/>
        </w:rPr>
        <w:t>اشارة</w:t>
      </w:r>
      <w:bookmarkEnd w:id="9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لا خلاف بين الأمة في وجوب الأمر بالمعروف و النهي عن المنكر، غير أنّ القاضي عبد الجبار، نسب إلى شرذمة من الإمامية عدم وجوبهما</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النسبة في غير محلها، فإنهم عن بكرة أبيهم، مقتفون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الآيات و أحاديث العترة الطاهرة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بن عبد اللّه الأنصاري، عن أبي جعفر الباقر،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تؤمن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كلمة المحققين، فيكفي في ذلك مراجعة كتبهم الكلامية و الفقهية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955" w:name="pg16351_181288"/>
    </w:p>
    <w:p>
      <w:pPr>
        <w:pStyle w:val="Heading5"/>
        <w:numPr>
          <w:ilvl w:val="4"/>
          <w:numId w:val="1"/>
        </w:numPr>
        <w:rPr/>
      </w:pPr>
      <w:bookmarkStart w:id="956" w:name="__RefHeading___Toc6422712_1280447820"/>
      <w:bookmarkStart w:id="957" w:name="_Toc373"/>
      <w:bookmarkEnd w:id="955"/>
      <w:bookmarkEnd w:id="956"/>
      <w:r>
        <w:rPr/>
        <w:t>1</w:t>
      </w:r>
      <w:r>
        <w:rPr>
          <w:rtl w:val="true"/>
        </w:rPr>
        <w:t xml:space="preserve"> - </w:t>
      </w:r>
      <w:r>
        <w:rPr>
          <w:rtl w:val="true"/>
        </w:rPr>
        <w:t>وجوبهما عقلي أو شرعي</w:t>
      </w:r>
      <w:bookmarkEnd w:id="957"/>
    </w:p>
    <w:p>
      <w:pPr>
        <w:pStyle w:val="BookText"/>
        <w:rPr/>
      </w:pPr>
      <w:r>
        <w:rPr>
          <w:rFonts w:ascii="Amiri" w:hAnsi="Amiri" w:eastAsia="Amiri" w:cs="Amiri"/>
          <w:color w:val="111111"/>
          <w:sz w:val="28"/>
          <w:sz w:val="28"/>
          <w:szCs w:val="28"/>
          <w:rtl w:val="true"/>
          <w:lang w:bidi="ar-SA"/>
        </w:rPr>
        <w:t>هل يجب الأمر بالمعروف و النهي عن المنكر، عقلا، أو لا يجبان إلا شرعا؟ القائلون بوجوب اللطف المقرّب يلزمهما القول بوجوبهما عقلا، لأنّ اللطف ليس إلا تقريب العباد إلى الطاعة و إبعادهم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أوضح ما يحقّق تلك الغاية هو الأمر بالمعروف بعامة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الطوسي ما هذا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وجبا عقلا على اللّه تعالى، فإنّ كل واجب عقلي، يجب على كل من حصل في حقه وجه الوجوب، و لو وجب عليه تعالى لكان إما فاعلا لهما، فكان يلزم وقوع المعروف قطعا، لأنه تعالى يحمل المكلفين عليه، و انتفاء المنكر لأنه تعالى يمنع المكلفين عنه، و هذا خلاف ما هو الواقع في الخارج، و إما غير فاعل لهما، فيكون مخلا بالواجب، و ذلك محال، لما ثبت من حكمته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أشار هذا المحقق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كانا واجبين عقلا لزم ما هو خلاف الواقع، أو الإخلال بحكمته سبحانه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وجوبهما عقلا لا يلازم وجوبهما على اللّه سبحانه بعامة مراتبهما، لأنه لو وجب عليه كذلك يلزم الإخلال بالغرض و إبطال التكليف، و هذا يصد العقل عن إيجابهما على اللّه سبحانه فيما لو استلزم الإلجاء، فيكتفى فيهما ببعض المراتب، كالتبليغ و الإنذار مما لا ينافي حرية التكليف، و هما متحققان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يشير شيخنا الشهيد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لاستلزام القيام به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وجوبه 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الإلجاء الممتنع في التكليف، و يجوز اختلاف الواجب باختلاف محالّه، خصوصا مع ظهور المانع، فيكون الواجب في حقه تعالى الإنذار و التخويف بالمخالفة لئلا يبطل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قد فعل</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958" w:name="pg16351_181289"/>
    </w:p>
    <w:p>
      <w:pPr>
        <w:pStyle w:val="BookText"/>
        <w:rPr/>
      </w:pPr>
      <w:bookmarkEnd w:id="958"/>
      <w:r>
        <w:rPr>
          <w:rFonts w:ascii="Amiri" w:hAnsi="Amiri" w:eastAsia="Amiri" w:cs="Amiri"/>
          <w:color w:val="111111"/>
          <w:sz w:val="28"/>
          <w:sz w:val="28"/>
          <w:szCs w:val="28"/>
          <w:rtl w:val="true"/>
          <w:lang w:bidi="ar-SA"/>
        </w:rPr>
        <w:t>و هذا صحيح لو كان اللطف المقرب واجبا، و لكنك عرفت أنّ وجوبه غير ثابت، و إنما الثابت هو اللطف المحصّل للغرض</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9" w:name="__RefHeading___Toc6422714_1280447820"/>
      <w:bookmarkStart w:id="960" w:name="_Toc374"/>
      <w:bookmarkEnd w:id="959"/>
      <w:r>
        <w:rPr/>
        <w:t>2</w:t>
      </w:r>
      <w:r>
        <w:rPr>
          <w:rtl w:val="true"/>
        </w:rPr>
        <w:t xml:space="preserve"> - </w:t>
      </w:r>
      <w:r>
        <w:rPr>
          <w:rtl w:val="true"/>
        </w:rPr>
        <w:t>شرائط وجوبهما</w:t>
      </w:r>
      <w:bookmarkEnd w:id="960"/>
    </w:p>
    <w:p>
      <w:pPr>
        <w:pStyle w:val="BookText"/>
        <w:rPr/>
      </w:pPr>
      <w:r>
        <w:rPr>
          <w:rFonts w:ascii="Amiri" w:hAnsi="Amiri" w:eastAsia="Amiri" w:cs="Amiri"/>
          <w:color w:val="111111"/>
          <w:sz w:val="28"/>
          <w:sz w:val="28"/>
          <w:szCs w:val="28"/>
          <w:rtl w:val="true"/>
          <w:lang w:bidi="ar-SA"/>
        </w:rPr>
        <w:t>قد فصّل الفقهاء و المتكلمون الكلام في شرائط وجوبهما، و 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فاعلهما بالمعروف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 فلو علم أنهما لا يؤثران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المضرّة، فلو علم أو غلب على ظنه حصول مفسدة له أو لبعض إخوانه في أمره و نهيه، سقط وجوبهما دفعا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في حق المأمور و المنهي، فلو كان مضطرا إلى أكل الميتة، لا تكون الحرمة في حقه منجّزة، فلا يكون فعله حراما و لا منكرا، و إن كان الحكم في حق الآمر و الناهي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الشرط الثالث، أي عدم المضرة، شرط في موارد خاصة لا مطلقا، فربما يجب على الآمر و الناهي تحمل الضرر و عدم ترك الأمر بالمعروف و النهي عن المنكر، و ذلك فيما إذا كانت المصلحة مهمة، كما لو استلزم سكوته خروج الناس عن الدين، و تزلزلهم في العقيدة، فيحرم عليه السكوت، بل يجب عليه الإصحار بالحقيقة و إن بلغ ما بلغ من ضرب أو شتم أو حبس، حتى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و إلا فعليه لعنة اللّه و الملائكة و الناس أجمعين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أخذ اللّه على العلماء أن لا يقارّوا على كظّة ظالم و لا سغب مظلوم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961" w:name="pg16351_181290"/>
    </w:p>
    <w:p>
      <w:pPr>
        <w:pStyle w:val="BookText"/>
        <w:rPr/>
      </w:pPr>
      <w:bookmarkEnd w:id="961"/>
      <w:r>
        <w:rPr>
          <w:rFonts w:ascii="Amiri" w:hAnsi="Amiri" w:eastAsia="Amiri" w:cs="Amiri"/>
          <w:color w:val="111111"/>
          <w:sz w:val="28"/>
          <w:sz w:val="28"/>
          <w:szCs w:val="28"/>
          <w:rtl w:val="true"/>
          <w:lang w:bidi="ar-SA"/>
        </w:rPr>
        <w:t>و بذلك يعلم أنّ التقية مشروعة، و لكن لها حدود و لها أحكام، فكما أنّها تجب، فربما تحرم، و التفصيل موكول إلى محله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6422716_1280447820"/>
      <w:bookmarkStart w:id="963" w:name="_Toc375"/>
      <w:bookmarkEnd w:id="962"/>
      <w:r>
        <w:rPr/>
        <w:t>3</w:t>
      </w:r>
      <w:r>
        <w:rPr>
          <w:rtl w:val="true"/>
        </w:rPr>
        <w:t xml:space="preserve"> - </w:t>
      </w:r>
      <w:r>
        <w:rPr>
          <w:rtl w:val="true"/>
        </w:rPr>
        <w:t>وجوبهما عيني أو كفائي؟</w:t>
      </w:r>
      <w:bookmarkEnd w:id="963"/>
    </w:p>
    <w:p>
      <w:pPr>
        <w:pStyle w:val="BookText"/>
        <w:rPr/>
      </w:pPr>
      <w:r>
        <w:rPr>
          <w:rFonts w:ascii="Amiri" w:hAnsi="Amiri" w:eastAsia="Amiri" w:cs="Amiri"/>
          <w:color w:val="111111"/>
          <w:sz w:val="28"/>
          <w:sz w:val="28"/>
          <w:szCs w:val="28"/>
          <w:rtl w:val="true"/>
          <w:lang w:bidi="ar-SA"/>
        </w:rPr>
        <w:t>الظاهر، كما هو المعروف، كون وجوب الأمر بالمعروف و النهي عن المنكر كفائيا، لأنّ الغرض شرعا هو وقوع المعروف و ارتفاع المنكر، من غير اعتبار مباشر معين، و هذا آية كون الوجوب كفائيا، فإذا حصلا، ارتفع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على وجوبهما عينا بالعمومات،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Style w:val="FootnoteAnchor"/>
          <w:rtl w:val="true"/>
        </w:rPr>
        <w:footnoteReference w:id="885"/>
      </w:r>
      <w:r>
        <w:rPr>
          <w:rFonts w:ascii="Amiri" w:hAnsi="Amiri" w:eastAsia="Amiri" w:cs="Amiri"/>
          <w:color w:val="111111"/>
          <w:sz w:val="28"/>
          <w:sz w:val="28"/>
          <w:szCs w:val="28"/>
          <w:rtl w:val="true"/>
          <w:lang w:bidi="ar-SA"/>
        </w:rPr>
        <w:t>، غير كاف، لأنّ الواجب الكفائي، يشترك مع الواجب العيني في كون الشيء واجبا على العموم، إلا أنه يسقط بفعل واحد من المكلفين، بخلاف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الخطاب إلى العموم، مشترك بين العيني و الكفائي</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6422718_1280447820"/>
      <w:bookmarkStart w:id="965" w:name="_Toc376"/>
      <w:bookmarkEnd w:id="964"/>
      <w:r>
        <w:rPr/>
        <w:t>4</w:t>
      </w:r>
      <w:r>
        <w:rPr>
          <w:rtl w:val="true"/>
        </w:rPr>
        <w:t xml:space="preserve"> - </w:t>
      </w:r>
      <w:r>
        <w:rPr>
          <w:rtl w:val="true"/>
        </w:rPr>
        <w:t>مراتبهما</w:t>
      </w:r>
      <w:bookmarkEnd w:id="965"/>
    </w:p>
    <w:p>
      <w:pPr>
        <w:pStyle w:val="BookText"/>
        <w:rPr/>
      </w:pPr>
      <w:r>
        <w:rPr>
          <w:rFonts w:ascii="Amiri" w:hAnsi="Amiri" w:eastAsia="Amiri" w:cs="Amiri"/>
          <w:color w:val="111111"/>
          <w:sz w:val="28"/>
          <w:sz w:val="28"/>
          <w:szCs w:val="28"/>
          <w:rtl w:val="true"/>
          <w:lang w:bidi="ar-SA"/>
        </w:rPr>
        <w:t>إنّ للأمر بالمعروف و النهي عن المنكر مراتب تبتدئ بالقلب فاللسان فاليد، و تنتهي بإجراء الحدود و التعزيرات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 الفظوا بألسنتكم، و صكوا بها جباههم، و 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يصبح الأمر بالمعروف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يحتاج إلى جهاز و قدرة، و هذا ما يرجع إلى عامة الناس، و هو كالإنكار بالقلب، و التذكير أو النهي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يحتاج إلى الجهاز و القوة، و يتوقف على صدور الحكم من المحاكم </w:t>
      </w:r>
    </w:p>
    <w:p>
      <w:pPr>
        <w:pStyle w:val="BookText"/>
        <w:rPr/>
      </w:pPr>
      <w:r>
        <w:rPr>
          <w:rFonts w:ascii="Amiri" w:hAnsi="Amiri" w:eastAsia="Amiri" w:cs="Amiri"/>
          <w:color w:val="111111"/>
          <w:sz w:val="28"/>
          <w:sz w:val="28"/>
          <w:szCs w:val="28"/>
          <w:rtl w:val="true"/>
          <w:lang w:bidi="ar-SA"/>
        </w:rPr>
        <w:t>القضائية و هذا يرجع إجراؤه إلى السلطة التنفيذية القائمة في الدولة الإسلامية بأركانها الثلاثة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كان على القاضي أن يؤاخذ الحنابلة و الأشاعرة، حيث إنهم لا يرون الخروج على أئمة الجور، و يرون إطاعتهم واجبة، ما لم يأمروا بمعصية، و قد تقدّم نقل نبذ من نصوصهم في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أسئلة حول المعاد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نشور الإنسان دفعي أو تدريجي؟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المحشور من الأبدان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المعاد إعادة للمعدوم؟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عدم كفاية المواد الأرضية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شبهة الآكل و المأكول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مكان بعث النفوس و حشرها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يخلد الإنسان مع أنّ المادة تفنى؟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الغرض من عقاب المجرم و تنعيم المسيء؟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المخلّدون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العفو عن المسيء؟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الجنّة و النار مخلوقتان؟</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6" w:name="pg16351_181294"/>
      <w:bookmarkStart w:id="967" w:name="pg16351_181294"/>
      <w:bookmarkEnd w:id="967"/>
    </w:p>
    <w:p>
      <w:pPr>
        <w:pStyle w:val="Heading5"/>
        <w:numPr>
          <w:ilvl w:val="4"/>
          <w:numId w:val="1"/>
        </w:numPr>
        <w:rPr/>
      </w:pPr>
      <w:bookmarkStart w:id="968" w:name="pg16351_181294"/>
      <w:bookmarkStart w:id="969" w:name="__RefHeading___Toc6422720_1280447820"/>
      <w:bookmarkStart w:id="970" w:name="_Toc377"/>
      <w:bookmarkEnd w:id="968"/>
      <w:bookmarkEnd w:id="969"/>
      <w:r>
        <w:rPr>
          <w:rtl w:val="true"/>
        </w:rPr>
        <w:t>أسئلة المعاد</w:t>
      </w:r>
      <w:bookmarkEnd w:id="970"/>
    </w:p>
    <w:p>
      <w:pPr>
        <w:pStyle w:val="Heading6"/>
        <w:numPr>
          <w:ilvl w:val="5"/>
          <w:numId w:val="1"/>
        </w:numPr>
        <w:rPr/>
      </w:pPr>
      <w:bookmarkStart w:id="971" w:name="__RefHeading___Toc6422722_1280447820"/>
      <w:bookmarkStart w:id="972" w:name="_Toc378"/>
      <w:bookmarkEnd w:id="971"/>
      <w:r>
        <w:rPr>
          <w:rtl w:val="true"/>
        </w:rPr>
        <w:t>(</w:t>
      </w:r>
      <w:r>
        <w:rPr/>
        <w:t>1</w:t>
      </w:r>
      <w:r>
        <w:rPr>
          <w:rtl w:val="true"/>
        </w:rPr>
        <w:t xml:space="preserve">) </w:t>
      </w:r>
      <w:r>
        <w:rPr>
          <w:rtl w:val="true"/>
        </w:rPr>
        <w:t>نشور الإنسان دفعي أو تدريجي؟</w:t>
      </w:r>
      <w:bookmarkEnd w:id="972"/>
    </w:p>
    <w:p>
      <w:pPr>
        <w:pStyle w:val="Heading6"/>
        <w:numPr>
          <w:ilvl w:val="5"/>
          <w:numId w:val="1"/>
        </w:numPr>
        <w:rPr/>
      </w:pPr>
      <w:bookmarkStart w:id="973" w:name="__RefHeading___Toc6422724_1280447820"/>
      <w:bookmarkStart w:id="974" w:name="_Toc379"/>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إن تكامل الإنسان من خلية إلى أن يصير بدنا متكاملا، رهن تفاعلات تدريجية، معلومة لكلّ منّا، فهل عود الإنسان إلى الحياة من جديد رهن هذا الناموس التدريجي أولا؟</w:t>
      </w:r>
    </w:p>
    <w:p>
      <w:pPr>
        <w:pStyle w:val="Heading6"/>
        <w:numPr>
          <w:ilvl w:val="5"/>
          <w:numId w:val="1"/>
        </w:numPr>
        <w:rPr/>
      </w:pPr>
      <w:bookmarkStart w:id="975" w:name="__RefHeading___Toc6422726_1280447820"/>
      <w:bookmarkStart w:id="976" w:name="_Toc380"/>
      <w:bookmarkEnd w:id="975"/>
      <w:r>
        <w:rPr>
          <w:rtl w:val="true"/>
        </w:rPr>
        <w:t>الجواب</w:t>
      </w:r>
      <w:bookmarkEnd w:id="976"/>
    </w:p>
    <w:p>
      <w:pPr>
        <w:pStyle w:val="BookText"/>
        <w:rPr/>
      </w:pPr>
      <w:r>
        <w:rPr>
          <w:rFonts w:ascii="Amiri" w:hAnsi="Amiri" w:eastAsia="Amiri" w:cs="Amiri"/>
          <w:color w:val="111111"/>
          <w:sz w:val="28"/>
          <w:sz w:val="28"/>
          <w:szCs w:val="28"/>
          <w:rtl w:val="true"/>
          <w:lang w:bidi="ar-SA"/>
        </w:rPr>
        <w:t>كل من أراد تفسير المعاد من هذا الطريق، يريد إخضاع المسائل الغيبية، للقوانين الطبيعية المحسوسة، و لكن السمع يرد هذا الفرض، و يعرّف المعاد بأنّه يحصل دفعة، و الآيات في هذا المجال متعددة، منها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دَعٰاكُمْ دَعْوَةً مِنَ اَلْأَرْضِ إِذٰا أَنْتُمْ تَخْرُجُونَ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الآية ظاهرة في أنّ الدعوة تكوينية متعلقة بإعادة خلق الإنسان من جديد، و أن تلك الدعوة التكوينية الملازمة لخلق الإنسان، مقارنة لخروجه، فالدعوة و الخروج يتحققان في زمن واحد</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الآيات الكثيرة التي تصرح بأن القيامة، تحدث بغتة و فجأة و هم لا يشعرون، كقوله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إِذٰا جٰاءَتْهُمُ اَلسّٰاعَةُ بَغْتَةً قٰالُوا يٰا حَسْرَتَنٰا عَلىٰ مٰا فَرَّطْنٰا فِيهٰا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الآية و إن كانت واردة في الموجودين زمن حدوث القيامة، و لكن لو كان تكوّن الأموات تحت التراب أمرا تدريجيا، لعلم به الأحياء قبيل حصول القيامة، لفحصهم الدائم في الأرض</w:t>
      </w:r>
      <w:r>
        <w:rPr>
          <w:rFonts w:eastAsia="Amiri" w:cs="Amiri" w:ascii="Amiri" w:hAnsi="Amiri"/>
          <w:color w:val="111111"/>
          <w:sz w:val="28"/>
          <w:szCs w:val="28"/>
          <w:rtl w:val="true"/>
          <w:lang w:bidi="ar-SA"/>
        </w:rPr>
        <w:t xml:space="preserve">. </w:t>
      </w:r>
      <w:bookmarkStart w:id="977" w:name="pg16351_181296"/>
    </w:p>
    <w:p>
      <w:pPr>
        <w:pStyle w:val="BookText"/>
        <w:rPr/>
      </w:pPr>
      <w:bookmarkEnd w:id="977"/>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978" w:name="__RefHeading___Toc6422728_1280447820"/>
      <w:bookmarkStart w:id="979" w:name="_Toc381"/>
      <w:bookmarkEnd w:id="978"/>
      <w:r>
        <w:rPr>
          <w:rtl w:val="true"/>
        </w:rPr>
        <w:t>(</w:t>
      </w:r>
      <w:r>
        <w:rPr/>
        <w:t>2</w:t>
      </w:r>
      <w:r>
        <w:rPr>
          <w:rtl w:val="true"/>
        </w:rPr>
        <w:t xml:space="preserve">) </w:t>
      </w:r>
      <w:r>
        <w:rPr>
          <w:rtl w:val="true"/>
        </w:rPr>
        <w:t>ما هو المحشور من الأبدان المتعددة؟</w:t>
      </w:r>
      <w:bookmarkEnd w:id="979"/>
    </w:p>
    <w:p>
      <w:pPr>
        <w:pStyle w:val="Heading6"/>
        <w:numPr>
          <w:ilvl w:val="5"/>
          <w:numId w:val="1"/>
        </w:numPr>
        <w:rPr/>
      </w:pPr>
      <w:bookmarkStart w:id="980" w:name="__RefHeading___Toc6422730_1280447820"/>
      <w:bookmarkStart w:id="981" w:name="_Toc382"/>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أثبت العلم أنّ بدن الإنسان و خلاياه في مهب التغيّر و التبدل، و أنّه يأخذ لنفسه في كل عشرة أعوام بدنا، فلو عاش إنسان ثمانين سنة، فإنّه سيكون له ثمانية أبدان، و من المعلوم أنّ الإطاعة و العصيان يقعان في جميع فترات عمر الإنسان، و الجزاء و الثواب على مجموع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يتساءل، هل المحشور جميع أطوار بدن الإنسان الواحد، فهو غير معقول، أو واحد من هذه الأبدان، و هو يستلزم نقض قانون الجزاء و الثواب، و أن يكون بدن واحد حاملا لأوزار الأبدان الأخر</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6422732_1280447820"/>
      <w:bookmarkStart w:id="983" w:name="_Toc383"/>
      <w:bookmarkEnd w:id="982"/>
      <w:r>
        <w:rPr>
          <w:rtl w:val="true"/>
        </w:rPr>
        <w:t>و الجواب</w:t>
      </w:r>
      <w:r>
        <w:rPr>
          <w:rtl w:val="true"/>
        </w:rPr>
        <w:t>:</w:t>
      </w:r>
      <w:bookmarkEnd w:id="9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السؤال نابع من إنكار الروح و الاعتقاد بأصالة المادة و أمّا على ما ذكرنا من أنّ البدن ليس إلاّ أداة لتنعيم الإنسان و تعذيبه، و أن الأمور الروحية من الفرح و الحزن و اللذة و الألم، كلها أمور مربوطة بالروح، و يتوصل إليها الروح بالبدن و الأجهزة الظاهرية، فالنعمة الملذة، إنما يصل إليها الإنسان من طريق الجهاز السمعي، فإنه آلة، و الملتذ هو الروح، و المناظر الخلابة إنما تصل إليها النفس عن طريق العين، و هكذا سائر اللذات، و الآلام الروحية، و على ذلك فالحافظ للعدالة هو أن ترد اللذة و الألم على روح واحدة، من غير فرق بين الأبدان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نظير تعذيب بعض المجرمين بإكسائهم ثوبا ليمسهم العذاب من طريقه، فالمضروب ظاهرا هو اللباس، و لكن المتألم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إن الروح هي الرابط الوثيق بين جميع الأبدان، فهي تضفي عليها جميعها وصف الوحدة، و تعرّفها جميعها بأنها فلان بن فلان، من دون أن يضر اختلافها في الهيئة و الشكل و الحجم بوحدة الإنسان،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يتخيّل أنّ المعاد هو البدن الأخير، الذي هو عصارة جميع الأبدان الماضية، و الجامع لعامة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غير خفيّ أنّ هذا الأصل المزعوم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كون البدن الأخير، عصارة الأبدان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أصل له، لأنّ الأبدان في الفترات المتوسطة من العمر، لها من القوة و النشاط ما تفقده الأبدان الواقعة في العقود الأخيرة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الجواب مبني على إعطاء الأصالة للمادة، و زعم أنّ الإنسان هو نفس الجلود و اللحوم و العظام و أن البدن الأخير عصارة كلّ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يستظهر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Style w:val="FootnoteAnchor"/>
          <w:rtl w:val="true"/>
        </w:rPr>
        <w:footnoteReference w:id="890"/>
      </w:r>
      <w:r>
        <w:rPr>
          <w:rFonts w:ascii="Amiri" w:hAnsi="Amiri" w:eastAsia="Amiri" w:cs="Amiri"/>
          <w:color w:val="111111"/>
          <w:sz w:val="28"/>
          <w:sz w:val="28"/>
          <w:szCs w:val="28"/>
          <w:rtl w:val="true"/>
          <w:lang w:bidi="ar-SA"/>
        </w:rPr>
        <w:t>، أنّ المعاد هو البدن الأخير، و لكنّ الاستظهار في غير محله فإنّ الآية كناية عن خروج الناس من التراب للحساب و الجزاء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 الخارج هو البدن الأخير فليست الآية بصدد بيانه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الشاهد على ذلك أنّ من الناس من يخطفه الطير، أو تفترسه السباع، أو يحيط به الموج فتأكله حيتان البحر، أو تصيبه نار فتحرقه، و الآية تعم هذه الأصناف أيضا، مع أنهم لم يقبروا في الأجداث</w:t>
      </w:r>
      <w:r>
        <w:rPr>
          <w:rFonts w:eastAsia="Amiri" w:cs="Amiri" w:ascii="Amiri" w:hAnsi="Amiri"/>
          <w:color w:val="111111"/>
          <w:sz w:val="28"/>
          <w:szCs w:val="28"/>
          <w:rtl w:val="true"/>
          <w:lang w:bidi="ar-SA"/>
        </w:rPr>
        <w:t xml:space="preserve">. </w:t>
      </w:r>
      <w:bookmarkStart w:id="984" w:name="pg16351_181298"/>
    </w:p>
    <w:p>
      <w:pPr>
        <w:pStyle w:val="BookText"/>
        <w:rPr/>
      </w:pPr>
      <w:bookmarkEnd w:id="984"/>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985" w:name="__RefHeading___Toc6422734_1280447820"/>
      <w:bookmarkStart w:id="986" w:name="_Toc384"/>
      <w:bookmarkEnd w:id="985"/>
      <w:r>
        <w:rPr>
          <w:rtl w:val="true"/>
        </w:rPr>
        <w:t>(</w:t>
      </w:r>
      <w:r>
        <w:rPr/>
        <w:t>3</w:t>
      </w:r>
      <w:r>
        <w:rPr>
          <w:rtl w:val="true"/>
        </w:rPr>
        <w:t xml:space="preserve">) </w:t>
      </w:r>
      <w:r>
        <w:rPr>
          <w:rtl w:val="true"/>
        </w:rPr>
        <w:t>هل المعاد إعادة للمعدوم؟</w:t>
      </w:r>
      <w:bookmarkEnd w:id="986"/>
    </w:p>
    <w:p>
      <w:pPr>
        <w:pStyle w:val="Heading6"/>
        <w:numPr>
          <w:ilvl w:val="5"/>
          <w:numId w:val="1"/>
        </w:numPr>
        <w:rPr/>
      </w:pPr>
      <w:bookmarkStart w:id="987" w:name="__RefHeading___Toc6422736_1280447820"/>
      <w:bookmarkStart w:id="988" w:name="_Toc385"/>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إذا كان الموت إفناء للإنسان أو لبعضه، فكيف يمكن إعادة ما بطل و انعدم؟ فإنه لا يكون إلا خلقا جديدا لا إعادة له خصوصا إذا لم يكن بين المبتدأ و المعاد رابطة و صلة</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6422738_1280447820"/>
      <w:bookmarkStart w:id="990" w:name="_Toc386"/>
      <w:bookmarkEnd w:id="989"/>
      <w:r>
        <w:rPr>
          <w:rtl w:val="true"/>
        </w:rPr>
        <w:t>و الجواب</w:t>
      </w:r>
      <w:r>
        <w:rPr>
          <w:rtl w:val="true"/>
        </w:rPr>
        <w:t>:</w:t>
      </w:r>
      <w:bookmarkEnd w:id="990"/>
    </w:p>
    <w:p>
      <w:pPr>
        <w:pStyle w:val="BookText"/>
        <w:rPr/>
      </w:pPr>
      <w:r>
        <w:rPr>
          <w:rFonts w:ascii="Amiri" w:hAnsi="Amiri" w:eastAsia="Amiri" w:cs="Amiri"/>
          <w:color w:val="111111"/>
          <w:sz w:val="28"/>
          <w:sz w:val="28"/>
          <w:szCs w:val="28"/>
          <w:rtl w:val="true"/>
          <w:lang w:bidi="ar-SA"/>
        </w:rPr>
        <w:t>إنّ هذا السؤال نابع ممّا يزعمه السذج من الناس من أنّ الموت إعدام لجثة الإنسان و بدنه نظير إحراق الحطب، فإنّ قسما منه يتبدل إلى الدخان و ينعدم، و لا يبقى منه إلا شيء ضئيل نسميه بالرماد، فلو كان الموت بهذا المعنى فيكون المعاد إعادة للإنسان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قانون بقاء المادة، يبطل هذا الزعم، فإنّه ينص على أنّ المادة لا تنعدم، بل تتحول من صورة إلى صورة أخرى</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هذا، فالتفاعلات الحاصلة في المادة الحيّة، أو غير الحية، لا تنقص من وزن المادة شيئا، فالعالم من حيث الوزن ثابت، و إنّما الاختلاف في الصور و الأنواع، و هذا القانون دعم دعوة الأنبياء بأنّ البشر خلقوا للبقاء لا </w:t>
      </w:r>
    </w:p>
    <w:p>
      <w:pPr>
        <w:pStyle w:val="BookText"/>
        <w:rPr/>
      </w:pPr>
      <w:r>
        <w:rPr>
          <w:rFonts w:ascii="Amiri" w:hAnsi="Amiri" w:eastAsia="Amiri" w:cs="Amiri"/>
          <w:color w:val="111111"/>
          <w:sz w:val="28"/>
          <w:sz w:val="28"/>
          <w:szCs w:val="28"/>
          <w:rtl w:val="true"/>
          <w:lang w:bidi="ar-SA"/>
        </w:rPr>
        <w:t>للفناء، كما دفع توهم كون الموت إعدام لقسم من مادة البشر، و أثبت أنّ هناك مادة واحدة ثابتة في مهب التفاعلات الفيزيائية و الكيميائية و الحيوية، و إنما التغير في الصور الطارئة عليها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سبقه علماء الإسلام، في تأسيس هذا الأصل لكن بصورة أوسع، و هو أنّ الوجود لا يتطرق إليه العدم</w:t>
      </w:r>
      <w:r>
        <w:rPr>
          <w:rFonts w:eastAsia="Amiri" w:cs="Amiri" w:ascii="Amiri" w:hAnsi="Amiri"/>
          <w:color w:val="111111"/>
          <w:sz w:val="28"/>
          <w:szCs w:val="28"/>
          <w:rtl w:val="true"/>
          <w:lang w:bidi="ar-SA"/>
        </w:rPr>
        <w:t xml:space="preserve">. </w:t>
      </w:r>
      <w:bookmarkStart w:id="991" w:name="pg16351_181300"/>
    </w:p>
    <w:p>
      <w:pPr>
        <w:pStyle w:val="BookText"/>
        <w:rPr/>
      </w:pPr>
      <w:bookmarkEnd w:id="991"/>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992" w:name="__RefHeading___Toc6422740_1280447820"/>
      <w:bookmarkStart w:id="993" w:name="_Toc387"/>
      <w:bookmarkEnd w:id="992"/>
      <w:r>
        <w:rPr>
          <w:rtl w:val="true"/>
        </w:rPr>
        <w:t>(</w:t>
      </w:r>
      <w:r>
        <w:rPr/>
        <w:t>4</w:t>
      </w:r>
      <w:r>
        <w:rPr>
          <w:rtl w:val="true"/>
        </w:rPr>
        <w:t xml:space="preserve">) </w:t>
      </w:r>
      <w:r>
        <w:rPr>
          <w:rtl w:val="true"/>
        </w:rPr>
        <w:t>شبهة عدم كفاية الموادّ الأرضية لإحياء الناس</w:t>
      </w:r>
      <w:bookmarkEnd w:id="993"/>
    </w:p>
    <w:p>
      <w:pPr>
        <w:pStyle w:val="Heading6"/>
        <w:numPr>
          <w:ilvl w:val="5"/>
          <w:numId w:val="1"/>
        </w:numPr>
        <w:rPr/>
      </w:pPr>
      <w:bookmarkStart w:id="994" w:name="__RefHeading___Toc6422742_1280447820"/>
      <w:bookmarkStart w:id="995" w:name="_Toc388"/>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قد كشفت التنقيبات الجيولوجية و الأتربة على أن الإنسان يعيش في هذا الكوكب منذ قرابة مليوني سنة، و على هذا فلو كان المعاد عاما لجميع الناس، الذين عاشوا على هذه الكرة، فكيف يكون ترابها كافيا لإحيائهم، فإن المعاد حسب ما مرّ معاد عنصري، يعود كل إنسان إلى بدنه العنصري، فالمعادون كثر، مع أن ما يعادون به، و هو المواد العنصرية الأرضية قليل لا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 في بيان هذه الشبهة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جرم الأرض مقدور محصور ممسوح بالفراسخ و الأميال و الأذرعة، و عدد النفوس غير متناه فلا يفي مقدار الأرض، و لا يسع لأن تحصل منه الأبدان غير المتناهية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6" w:name="__RefHeading___Toc6422744_1280447820"/>
      <w:bookmarkStart w:id="997" w:name="_Toc389"/>
      <w:bookmarkEnd w:id="996"/>
      <w:r>
        <w:rPr>
          <w:rtl w:val="true"/>
        </w:rPr>
        <w:t>و الجواب عن هذا السؤال من جهات ثلاث، عقلية و علمية و سمعية</w:t>
      </w:r>
      <w:r>
        <w:rPr>
          <w:rtl w:val="true"/>
        </w:rPr>
        <w:t>:</w:t>
      </w:r>
      <w:bookmarkEnd w:id="997"/>
    </w:p>
    <w:p>
      <w:pPr>
        <w:pStyle w:val="Heading6"/>
        <w:numPr>
          <w:ilvl w:val="5"/>
          <w:numId w:val="1"/>
        </w:numPr>
        <w:rPr/>
      </w:pPr>
      <w:bookmarkStart w:id="998" w:name="__RefHeading___Toc6422746_1280447820"/>
      <w:bookmarkStart w:id="999" w:name="_Toc390"/>
      <w:bookmarkEnd w:id="998"/>
      <w:r>
        <w:rPr>
          <w:rtl w:val="true"/>
        </w:rPr>
        <w:t>الجهة الأولى</w:t>
      </w:r>
      <w:r>
        <w:rPr>
          <w:rtl w:val="true"/>
        </w:rPr>
        <w:t xml:space="preserve">: </w:t>
      </w:r>
      <w:r>
        <w:rPr>
          <w:rtl w:val="true"/>
        </w:rPr>
        <w:t>الجواب العقلي، و هو أمور</w:t>
      </w:r>
      <w:r>
        <w:rPr>
          <w:rtl w:val="true"/>
        </w:rPr>
        <w:t>:</w:t>
      </w:r>
      <w:bookmarkEnd w:id="99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تنقله لنا هذه التنقيبات و الحفريات التاريخية و الطبيعية ليس على درجة يفيد القطع و اليقين، حتى نرفع باقوالهم اليد عن الوحي الإلهي أو نتردد في صحة المعاد</w:t>
      </w:r>
      <w:r>
        <w:rPr>
          <w:rFonts w:eastAsia="Amiri" w:cs="Amiri" w:ascii="Amiri" w:hAnsi="Amiri"/>
          <w:color w:val="111111"/>
          <w:sz w:val="28"/>
          <w:szCs w:val="28"/>
          <w:rtl w:val="true"/>
          <w:lang w:bidi="ar-SA"/>
        </w:rPr>
        <w:t xml:space="preserve">. </w:t>
      </w:r>
      <w:bookmarkStart w:id="1000" w:name="pg16351_181301"/>
    </w:p>
    <w:p>
      <w:pPr>
        <w:pStyle w:val="BookText"/>
        <w:rPr/>
      </w:pPr>
      <w:bookmarkEnd w:id="1000"/>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أن بدن الإنسان كنفس البدن الدنيوي في الحجم و الوزن و سائر الجهات المادية، بل يكفي أن يصدق على المعاد أنه نفس المبتدأ و أما المطابقة في سائر الجهات فلم يدل عليها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عدم كفاية المواد الترابية لإحياء جميع من قطنوا هذا الكوكب، فلا مانع من تكميلها بتراب الكرات الأخرى، و ليس ذلك على خلاف العدل، لما عرفت من أنّ الثواب و العقاب بملاك الروح و النفس، فالنفس الإنسانية إذا أدخلت في أي بدن كان، و حشرت مع أي جسم إنساني، فهو هو، و ليس غيره، و إنما يكون البدن أداة و وسيلة لتعذيبه، و تنعيمه، و لو لا دلالة القرآن على أنّ المعاد في الآخرة عنصري، لكان العقل مكتفيا بإعادة الروح و النفس غير أنّ إصرار الذكر الحكيم، على كون المعاد عنصريا، يصده عن الاكتفاء بالمعاد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كانت المواد الأرضية غير كافية لإحياء كل من سكن هذا الكوكب، فلا مانع من تكميل بدن كل إنسان بمواد من كواكب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الأجوبة، أجوبة عقلية، و هناك أجوبة أخرى تعتمد على التجربة و الدليل العلمي</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6422748_1280447820"/>
      <w:bookmarkStart w:id="1002" w:name="_Toc391"/>
      <w:bookmarkEnd w:id="1001"/>
      <w:r>
        <w:rPr>
          <w:rtl w:val="true"/>
        </w:rPr>
        <w:t>الجهة الثانية</w:t>
      </w:r>
      <w:r>
        <w:rPr>
          <w:rtl w:val="true"/>
        </w:rPr>
        <w:t xml:space="preserve">: </w:t>
      </w:r>
      <w:r>
        <w:rPr>
          <w:rtl w:val="true"/>
        </w:rPr>
        <w:t>الجواب العلمي، و هو أمور</w:t>
      </w:r>
      <w:r>
        <w:rPr>
          <w:rtl w:val="true"/>
        </w:rPr>
        <w:t>:</w:t>
      </w:r>
      <w:bookmarkEnd w:id="1002"/>
    </w:p>
    <w:p>
      <w:pPr>
        <w:pStyle w:val="BookText"/>
        <w:rPr/>
      </w:pPr>
      <w:r>
        <w:rPr>
          <w:rFonts w:ascii="Amiri" w:hAnsi="Amiri" w:eastAsia="Amiri" w:cs="Amiri"/>
          <w:color w:val="111111"/>
          <w:sz w:val="28"/>
          <w:sz w:val="28"/>
          <w:szCs w:val="28"/>
          <w:rtl w:val="true"/>
          <w:lang w:bidi="ar-SA"/>
        </w:rPr>
        <w:t>إن ما ذكروه من عدم كفاية تراب الأرض لإحياء الناس باطل بالنظر إلى حجم المواد الأرضية و ذلك لأن حجم الكرة الأرضية يبلغ ألفا و ثلاثة و ثمانين مليارا، و ثلاثمائة و عشرين مليون كيلومتر مكعب</w:t>
      </w:r>
      <w:r>
        <w:rPr>
          <w:rStyle w:val="FootnoteAnchor"/>
          <w:rtl w:val="true"/>
        </w:rPr>
        <w:footnoteReference w:id="894"/>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إنّ صندوقا بحجم كيلومتر مكعب، بمعنى أنّ كلا من طوله و عرضه و ارتفاعه يبلغ كيلومترا واحدا، إنّ مثل هذا الصندوق يسع داخله لأضعاف عدد سكان الأرض الحاليين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ذلك أنّ كل كيلومتر في الطول يسع خمسة آلاف إنسان، يقف كل منهم إلى جانب الآخر، و كل كيلومتر في الارتفاع يسع سبعمائة و خمسين إنسانا متوسط طول الواحد منهم مترا و نصف المتر، يقف كل منهم على رأس الآخر، فإذا أردنا حساب من يمكن أن يحويه ذاك الصندوق، فما علينا إلا أن نضرب الطول بالعرض بالارتفاع</w:t>
      </w:r>
      <w:r>
        <w:rPr>
          <w:rStyle w:val="FootnoteAnchor"/>
          <w:rtl w:val="true"/>
        </w:rPr>
        <w:footnoteReference w:id="896"/>
      </w:r>
      <w:r>
        <w:rPr>
          <w:rFonts w:ascii="Amiri" w:hAnsi="Amiri" w:eastAsia="Amiri" w:cs="Amiri"/>
          <w:color w:val="111111"/>
          <w:sz w:val="28"/>
          <w:sz w:val="28"/>
          <w:szCs w:val="28"/>
          <w:rtl w:val="true"/>
          <w:lang w:bidi="ar-SA"/>
        </w:rPr>
        <w:t>، فتكون النتيجة اتساع هذا الصندوق لثمانية عشر مليار، و سبعمائة و خمسين مليون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سعة الكيلومتر المكعب الواحد، فما ظنك بسعة ألف و ثلاثة و ثمانين مليار، و ثلاثمائة و عشرين مليون كيلومتر مكعب؟ إنها بالتأكيد تكفي لأضعاف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قطن هذه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فمسألة قلة المواد الأرضية لإحياء الناس، مسألة ذهنية طرحت من غير تدبر في حجم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بدن الإنسان لا يتشكل من التراب فحسب، بل الماء و الغازات من العناصر الرئيسية التي يتكون منها 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بالأرض طبقة من الغازات تسمى بالغلاف الجوي، تبلغ في الارتفاع و السماكة ألف كيلومتر، و تبلغ في الوزن خمسة ملايين مليار طن</w:t>
      </w:r>
      <w:r>
        <w:rPr>
          <w:rStyle w:val="FootnoteAnchor"/>
          <w:rtl w:val="true"/>
        </w:rPr>
        <w:footnoteReference w:id="897"/>
      </w:r>
      <w:r>
        <w:rPr>
          <w:rFonts w:ascii="Amiri" w:hAnsi="Amiri" w:eastAsia="Amiri" w:cs="Amiri"/>
          <w:color w:val="111111"/>
          <w:sz w:val="28"/>
          <w:sz w:val="28"/>
          <w:szCs w:val="28"/>
          <w:rtl w:val="true"/>
          <w:lang w:bidi="ar-SA"/>
        </w:rPr>
        <w:t>هذا في جانب الغازات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جانب المياه المتواجدة على سطح الكرة الأرضية فيكفينا أن نعرف أنّ إلقاء حجر في إناء مملوء من الماء، يوجب ارتفاع سطح الماء بما يساوي حجم هذا الحجر، هذا من جهة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أخرى، أثبت العلم الحديث أننا لو جمعنا كل البشر الذي يقطنون الكرة الأرضية</w:t>
      </w:r>
      <w:r>
        <w:rPr>
          <w:rStyle w:val="FootnoteAnchor"/>
          <w:rtl w:val="true"/>
        </w:rPr>
        <w:footnoteReference w:id="898"/>
      </w:r>
      <w:r>
        <w:rPr>
          <w:rFonts w:ascii="Amiri" w:hAnsi="Amiri" w:eastAsia="Amiri" w:cs="Amiri"/>
          <w:color w:val="111111"/>
          <w:sz w:val="28"/>
          <w:sz w:val="28"/>
          <w:szCs w:val="28"/>
          <w:rtl w:val="true"/>
          <w:lang w:bidi="ar-SA"/>
        </w:rPr>
        <w:t>و ألقيناهم في بحيرة قزوين، فسوف لن يصل ارتفاع الماء في البحيرة إلى سنتيمتر واحد بل يكون أقلّ منه، بمعنى أنّ ارتفاع المياه لن يكون محسوسا 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ليست هي إلا بحيرة</w:t>
      </w:r>
      <w:r>
        <w:rPr>
          <w:rStyle w:val="FootnoteAnchor"/>
          <w:rtl w:val="true"/>
        </w:rPr>
        <w:footnoteReference w:id="899"/>
      </w:r>
      <w:r>
        <w:rPr>
          <w:rFonts w:ascii="Amiri" w:hAnsi="Amiri" w:eastAsia="Amiri" w:cs="Amiri"/>
          <w:color w:val="111111"/>
          <w:sz w:val="28"/>
          <w:sz w:val="28"/>
          <w:szCs w:val="28"/>
          <w:rtl w:val="true"/>
          <w:lang w:bidi="ar-SA"/>
        </w:rPr>
        <w:t>فما ظنّك ببحار الدنيا و محيطاتها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النيازك المشاهدة في الليالي هي نتيجة وصول أحجار و أتربة و أجسام ثقيلة من الفضاء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الغلاف الجوي، فيوجب احتكاكها الشديد به احتراقها و تناثرها، و هبوطها على الأرض ذرات خفيفة لا تزعج الحياة عليها و هذه الأحجار توجب ازدياد المواد الأرضية زيادة مطّردة بشكل يومي، و قال العلماء إنّ عشرين مليون حجرا فضائيا يصطدم يوميا بالغلاف الجوي و هي تسير بسرعة خمسين كيلومترا في الثانية، فتتلاشى و تتناثر و تهبط بلا إزعاج على القشرة الأرضية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فالمواد الأرضية لم تزل في حال التوفر و الازدياد، و اللّه يعلم إلى أي حد يصل حجمها إلى يوم البعث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العلم إلى أنّه لو كانت هناك قدرة على إزالة الفراغات المتخللة بين ذرّات المواد الأرضية لبلغت هذه الكرة العظيمة الهائلة في الحجم، مقدار جوزة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إفراغ فواصل ذرّات المنظومة الشمسية، بشمسها و سيّاراتها الكبيرة و الصغيرة، لبلغ حجمها مقدار فاكهة كبيرة كالبطيخ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جانب آخر، لو ازدادت الفراغات بين الذرات، لازداد حجم العالم ازديادا كبيرا، فليس الحجم تابعا لكثرة الذرات و قلتها ففي وسع المولى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 فراغ المواد الأرضية فيزداد حجمها، و تكفي لإحياء الموتى مهما بلغوا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هذا الأمر بعيدا عن الحس، فإنا نرى أنّ حجم الماء يتفاوت في حالاته الثلاث التجمد و السيلان و التبخر، و عليه فلا مانع من امتداد المادة الأرضية يوم القيامة امتدادا هائلا بحيث يصبح ما كان لا يكفي لإحياء أكثر من إنسان واحد كافيا لإحياء الكثير من الناس، هذا ما كشف عنه العلم</w:t>
      </w:r>
      <w:r>
        <w:rPr>
          <w:rFonts w:eastAsia="Amiri" w:cs="Amiri" w:ascii="Amiri" w:hAnsi="Amiri"/>
          <w:color w:val="111111"/>
          <w:sz w:val="28"/>
          <w:szCs w:val="28"/>
          <w:rtl w:val="true"/>
          <w:lang w:bidi="ar-SA"/>
        </w:rPr>
        <w:t xml:space="preserve">. </w:t>
      </w:r>
      <w:bookmarkStart w:id="1003" w:name="pg16351_181304"/>
    </w:p>
    <w:p>
      <w:pPr>
        <w:pStyle w:val="Heading6"/>
        <w:numPr>
          <w:ilvl w:val="5"/>
          <w:numId w:val="1"/>
        </w:numPr>
        <w:rPr/>
      </w:pPr>
      <w:bookmarkStart w:id="1004" w:name="__RefHeading___Toc6422750_1280447820"/>
      <w:bookmarkStart w:id="1005" w:name="_Toc392"/>
      <w:bookmarkEnd w:id="1003"/>
      <w:bookmarkEnd w:id="1004"/>
      <w:r>
        <w:rPr>
          <w:rtl w:val="true"/>
        </w:rPr>
        <w:t>الجهة الثالثة</w:t>
      </w:r>
      <w:r>
        <w:rPr>
          <w:rtl w:val="true"/>
        </w:rPr>
        <w:t xml:space="preserve">: </w:t>
      </w:r>
      <w:r>
        <w:rPr>
          <w:rtl w:val="true"/>
        </w:rPr>
        <w:t>الجواب السمعي</w:t>
      </w:r>
      <w:bookmarkEnd w:id="1005"/>
    </w:p>
    <w:p>
      <w:pPr>
        <w:pStyle w:val="BookText"/>
        <w:rPr/>
      </w:pPr>
      <w:r>
        <w:rPr>
          <w:rFonts w:ascii="Amiri" w:hAnsi="Amiri" w:eastAsia="Amiri" w:cs="Amiri"/>
          <w:color w:val="111111"/>
          <w:sz w:val="28"/>
          <w:sz w:val="28"/>
          <w:szCs w:val="28"/>
          <w:rtl w:val="true"/>
          <w:lang w:bidi="ar-SA"/>
        </w:rPr>
        <w:t>قد أعرب الوحي عن كفاية مواد الأرض لإحياء الموتى بوجه خاص، يفهمه المتدبّر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المحتمل جدا أن يكون مد الأرض في ظل الاندكاك، بكسر الذرّات الموجودة فيها، فيبلغ حجم حجر يقدر بمتر مكعب إلى ملايين الكيلومترات المكعبة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بهذه النتيجة، و هي أنّ تصور عدم كفاية المادة الأرضية لإحياء الناس، باطل في العقل، و العلم و الوحي</w:t>
      </w:r>
      <w:r>
        <w:rPr>
          <w:rFonts w:eastAsia="Amiri" w:cs="Amiri" w:ascii="Amiri" w:hAnsi="Amiri"/>
          <w:color w:val="111111"/>
          <w:sz w:val="28"/>
          <w:szCs w:val="28"/>
          <w:rtl w:val="true"/>
          <w:lang w:bidi="ar-SA"/>
        </w:rPr>
        <w:t xml:space="preserve">. </w:t>
      </w:r>
      <w:bookmarkStart w:id="1006" w:name="pg16351_181305"/>
    </w:p>
    <w:p>
      <w:pPr>
        <w:pStyle w:val="BookText"/>
        <w:rPr/>
      </w:pPr>
      <w:bookmarkEnd w:id="1006"/>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07" w:name="__RefHeading___Toc6422752_1280447820"/>
      <w:bookmarkStart w:id="1008" w:name="_Toc393"/>
      <w:bookmarkEnd w:id="1007"/>
      <w:r>
        <w:rPr>
          <w:rtl w:val="true"/>
        </w:rPr>
        <w:t>(</w:t>
      </w:r>
      <w:r>
        <w:rPr/>
        <w:t>5</w:t>
      </w:r>
      <w:r>
        <w:rPr>
          <w:rtl w:val="true"/>
        </w:rPr>
        <w:t xml:space="preserve">) </w:t>
      </w:r>
      <w:r>
        <w:rPr>
          <w:rtl w:val="true"/>
        </w:rPr>
        <w:t>شبهة الآكل و المأكول</w:t>
      </w:r>
      <w:bookmarkEnd w:id="1008"/>
    </w:p>
    <w:p>
      <w:pPr>
        <w:pStyle w:val="Heading6"/>
        <w:numPr>
          <w:ilvl w:val="5"/>
          <w:numId w:val="1"/>
        </w:numPr>
        <w:rPr/>
      </w:pPr>
      <w:bookmarkStart w:id="1009" w:name="__RefHeading___Toc6422754_1280447820"/>
      <w:bookmarkStart w:id="1010" w:name="_Toc394"/>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إنّ هذه الشبهة من أقدم الشبهات التي وردت في الكتب الكلامية حول المعاد الجسماني، و قد اعتنى بدفعها المتكلمون و الفلاسفة عناية بالغة، و الإشكال يقرر بصورتين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إنسان إنسانا بحيث عاد بدن الثاني جزء من بدن الإنسان الأول، فالأجزاء التي كانت للمأكول ثم صارت للآكل، إمّا أن تعاد في كل واحد منهما، أو تعاد في أحدهما، أو لا تعاد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محال، لاستحالة أن يكون جزء واحد بعينه، في آن واحد، في شخصين 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خلاف المفروض، لأنّ لازمه أن لا يعاد الآخر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أسوأ حالا من الثاني، إذ يلزم أن لا يكون أي من الإنسانين معادا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أنّه لا يمكن إعادة جميع الأبدان بأعيانها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إنسان كافر، إنسانا مؤمنا، و قلنا بأنّ المراد من المعاد هو حشر الأبدان الدنيوية في الآخرة، فيلزم تعذيب المؤمن، لأنّ المفروض أنّ بدنه أو جزء منه، صار جزء من بدن الكافر، و الكافر يعذّب، فيلزم تعذيب المؤمن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1011" w:name="pg16351_181306"/>
    </w:p>
    <w:p>
      <w:pPr>
        <w:pStyle w:val="BookText"/>
        <w:rPr/>
      </w:pPr>
      <w:bookmarkEnd w:id="1011"/>
      <w:r>
        <w:rPr>
          <w:rFonts w:ascii="Amiri" w:hAnsi="Amiri" w:eastAsia="Amiri" w:cs="Amiri"/>
          <w:color w:val="111111"/>
          <w:sz w:val="28"/>
          <w:sz w:val="28"/>
          <w:szCs w:val="28"/>
          <w:rtl w:val="true"/>
          <w:lang w:bidi="ar-SA"/>
        </w:rPr>
        <w:t>و قبل الورود في الجواب نعلّق على هذا السؤال بأنه لا يختص بما ورد فيه من أكل إنسان إنسانا، الذي لا يتفق حصوله إلاّ في أعماق الأدغال، و المجتمعات الوحشية، بل السؤال يرجع إلى أمر يومي ملموس في المجتمعات المتحضرة، و ذلك أنّ النباتات و الثمار و الحبوب التي يتغذّى عليها الإنسان تنبت من تراب الأرض، الذي هو مزيح رفات الأموات الذين قضوا عبر الدهور، و الذي هو عصارة الأبدان و 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 أنّ المقابر الواقعة في أكناف البلاد تتبدل إلى حدائق للتفرج و التنزه أو إلى مزارع للاستثمار، فيتغذى منها الحيوان و الإنسان، فيؤول بدن الإنسان الميت، جزء من الإنسان الحي، فعندئذ يطرح السؤال المتقدم</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6422756_1280447820"/>
      <w:bookmarkStart w:id="1013" w:name="_Toc395"/>
      <w:bookmarkEnd w:id="1012"/>
      <w:r>
        <w:rPr>
          <w:rtl w:val="true"/>
        </w:rPr>
        <w:t>الجواب</w:t>
      </w:r>
      <w:r>
        <w:rPr>
          <w:rtl w:val="true"/>
        </w:rPr>
        <w:t>:</w:t>
      </w:r>
      <w:bookmarkEnd w:id="1013"/>
    </w:p>
    <w:p>
      <w:pPr>
        <w:pStyle w:val="BookText"/>
        <w:rPr/>
      </w:pPr>
      <w:r>
        <w:rPr>
          <w:rFonts w:ascii="Amiri" w:hAnsi="Amiri" w:eastAsia="Amiri" w:cs="Amiri"/>
          <w:color w:val="111111"/>
          <w:sz w:val="28"/>
          <w:sz w:val="28"/>
          <w:szCs w:val="28"/>
          <w:rtl w:val="true"/>
          <w:lang w:bidi="ar-SA"/>
        </w:rPr>
        <w:t>إن هذه أقوى شبهة تعترض القول بالمعاد الجسماني، و نحن نذكر أولا ما هو الحق عندنا في الإجابة، ثم نشير إلى ما ذكره المتكلمون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من الإشكال، فبعض احتمالاتها ساقط جدا، و هو عود المأكول جزء لكلا الإنسانين، فيبقى الاحتمالان الآخران، و بأي واحد منهما أخذنا يندفع الإشكال، و ذلك بالبيان التالي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من لدن تكوّنه و تولده إلى يوم وفاته واقع في مهب التغير و خضم التبدل، فليس وجوده جامدا خاليا عن التبدل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فبدن الإنسان ليس إلا خلايا لا يحصيها إلا اللّه سبحانه، و كل منها يحمل مسئوليته في دعم حياة البدن، و الخلايا </w:t>
      </w:r>
    </w:p>
    <w:p>
      <w:pPr>
        <w:pStyle w:val="BookText"/>
        <w:rPr/>
      </w:pPr>
      <w:r>
        <w:rPr>
          <w:rFonts w:ascii="Amiri" w:hAnsi="Amiri" w:eastAsia="Amiri" w:cs="Amiri"/>
          <w:color w:val="111111"/>
          <w:sz w:val="28"/>
          <w:sz w:val="28"/>
          <w:szCs w:val="28"/>
          <w:rtl w:val="true"/>
          <w:lang w:bidi="ar-SA"/>
        </w:rPr>
        <w:t>في حال تغير و تبدل مستمر، تموت و يخلفها خلايا أخرى، و بهذا يتهيّأ للبدن استمرار حياته، من غير فرق بين الخلايا الدماغية و غيرها، غاية الأمر أنّ الخلايا الدماغية، ثابتة من حيث العدد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الأخصائيون بأن مجموع خلايا البدن تتبدل إلى خلايا أخرى كل عشر سنوات، فبدن الإنسان بعد عشر سنين من عمره يغاير بدنه الموجود قبل عشر سنين و على هذا فالإنسان الذي يبلغ عمره ثمانين سنة قد عاش في ثمانية أبدان مختلفة، و هو يحسبها بدنا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فرض أنّ بدن إنسان صار جزء من بدن إنسان آخر، فبما أنّ للمأكول أبدانا متعددة على مدى حياته، فواحد منها مقرون بالمانع، و الأبدان الأخر خالية منه فيحشر مع الخالي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فرض أنّ جميع أبدانه اقترنت بالمانع، فإنه أيضا لا يصد عن القول بالمعاد الجسماني، لأنّ الناموس السائد في التغذية، هو أنّ ما يستفيده الإنسان من الغذاء لا يتعدى ثلاثة بالمائة من المأكول و الباقي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مانع من أن تتعلق الروح بأحد هذه الأبدان التي تتفاوت عن البدن الدنيوي من حيث الوزن و الحجم، و لم يدل على أنّ المحشور في النشأة الأخروية يتحد مع الموجود في النشأة الدنيوية في جميع الجهات و عامة الخصوصيات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فرض أنّ قانون التحول ساد على أبدان المأكول، فلم يبق من كل بدن إلا النذر اليسير الذي لا يتشكل منه بدن إنسان كامل، فلا مانع في هذا الفرض النادر من تكميل خلقته بالمواد الأرضية الأخرى حتى يكون إنسانا قابلا لتعلق الروح به، و ليس لنا دليل على أنّ المعاد في الآخرة يتحد مع الموجود في الدنيا في جميع الجهات حتى المادة التي يتكون منها البدن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كانت المادة الترابية التي تكوّن منها البدن الدنيوي موجودة، فلا وجه للعدول عنها إلى تراب آخر، و أما إذا كانت مقرونة بالمانع، فلم يبق إلا جزء </w:t>
      </w:r>
    </w:p>
    <w:p>
      <w:pPr>
        <w:pStyle w:val="BookText"/>
        <w:rPr/>
      </w:pPr>
      <w:r>
        <w:rPr>
          <w:rFonts w:ascii="Amiri" w:hAnsi="Amiri" w:eastAsia="Amiri" w:cs="Amiri"/>
          <w:color w:val="111111"/>
          <w:sz w:val="28"/>
          <w:sz w:val="28"/>
          <w:szCs w:val="28"/>
          <w:rtl w:val="true"/>
          <w:lang w:bidi="ar-SA"/>
        </w:rPr>
        <w:t>يسير لا يكفي لتكوّن البدن، فلا غرو في أن يتسبّب في تكميل خلقته بالأخذ من المواد الترابية غير المقرونة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أنه سبحانه في مقام التنديد بالمنكرين، يعبر بلفظ المثل،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مِثْلَهُمْ يعود إلى المشركين المنكرين للمعاد، و هذا يعرب عن كفاية المثل من غير حاجة إلى صدق العينية، بالوحدة في المادة الترابية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قبضه اللّه إليه، صيّر تلك الروح إلى الجنة في صورة كصورته، فيأكلون و يشربون، فإذا قدم عليهم القادم عرفهم بتلك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 الإمام عليه السلام يذكر كلمة الصورة، و لعلّ فيه تذكير بأنّه يكفي في المعاد الجسماني كون المعاد متحدا مع المبتدأ في الصورة من غير حاجة إلى أن يكون هناك وحدة في المادة الترابية بحيث إذ طرأ مانع من خلق الإنسان منه، فشل المعاد الجسماني و 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التركيز على وحدة المادة، يبتني على تحليل وجود الإنسان تحليلا ماديا و أنّه ليس وراء المادة شيء آخر، و أما على القول بأنّ واقعية الإنسان بروحه و نفسه، و أنّ جميع خصوصياته و ملكاته موجودة في نفسه، فالمعاد الجسماني لا يتوقف على كون البدن المحشور نفس البدن الدنيوي حتى في المادة الترابية، بل لو تكوّن بدن الإنسان المعاد من أيّة مادة ترابية كانت، و تعلقت به الروح، و كان من حيث الصورة متحدا مع البدن الدنيوي، يصدق على المعاد أنّه هو المنشأ في الدنيا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تشخّص كلّ إنسان إنما يكون بنفسه لا ببدنه، و إنّ البدن المعتبر فيه، أمر مبهم، لا تحصّل له إلا بنفسه، و ليس له من هذه </w:t>
      </w:r>
    </w:p>
    <w:p>
      <w:pPr>
        <w:pStyle w:val="BookText"/>
        <w:rPr/>
      </w:pPr>
      <w:r>
        <w:rPr>
          <w:rFonts w:ascii="Amiri" w:hAnsi="Amiri" w:eastAsia="Amiri" w:cs="Amiri"/>
          <w:color w:val="111111"/>
          <w:sz w:val="28"/>
          <w:sz w:val="28"/>
          <w:szCs w:val="28"/>
          <w:rtl w:val="true"/>
          <w:lang w:bidi="ar-SA"/>
        </w:rPr>
        <w:t>الحيثية تعيّن، و لا يلزم من كون بدن زيد مثلا محشورا أن يكون الجسم الذي منه صار مأكولا لسبع أو إنسان آخر، محشورا، بل كلّ ما يتعلّق به نفسه هو بعينه بدنه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فالاعتقاد بحشر الأبدان يوم القيامة هو أن تبعث أبدان من القبور إذا رأى أحد كلّ واحد منها يقول هذا فلان بعينه، أو هذا بدن فلان، و لا يلزم من ذلك أن يكون غير مبدّل الوجود و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يلزم أن يكون مشوّه الخلق و أن يكون الأقطع و الأعمى و الهرم محشورا على ما كانوا عليه من نقصان الخلقة و تشويه البنية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للمتكلمين جوابا آخر في الذب عن هذه الصورة من الإشكال حاصله أنّ المعاد، إنما هو الأجزاء الأصلية، و هي الباقية من أول العمر إلى آخره، لا جميع الأجزاء على الإطلاق، و هذه الأجزاء الأصلية، التي كانت للإنسان المأكول، هي في الآكل فضلات، فإنا نعلم أنّ الإنسان يبقى مدة عمره و أجزاء الغذاء تتوارد عليه و تزول عنه، فإذا كانت فضلات فيه، لم يجب إعادتها في الآكل بل في المأكول</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المحقق الطوسي ارتضاؤه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يجب إعادة فواضل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أوضحه العلامة الحلي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مكلف أجزاء أصلية لا يمكن أن تصير جزء من غيره، بل تكون فواضل من غيره لو اغتذى بها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ذكروه خال عن الدليل، إذ لم يدلّ دليل على أنّ لكل مكلف أجزاء أصلية لا تكون جزء لبدن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بعض الروايات، و لكنها روايات آحاد، لا توجب علما، فلو ثبت صدورها، فليقبل تعبدا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الجواب عن الصورة الأولى من الإشكال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الصورة الثانية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تركز على العدل الإلهي، و أن كون بدن المؤمن جزء من بدن الكافر يستلزم تعذيب المجرم، و لكنه مبنى على إعطاء الأصالة في الحياة للبدن و هي نظرية خاطئة، فإن اللذائذ و الآلام ترجع إلى الروح، و البدن وسيلة لتعذيبه و تنعيمه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فصيرورة بدن المسلم جزء من بدن الكافر، لا يلازم تعذيب المؤمن، لأنّ المعذّب بتعذيب البدن، هو روح الكافر و نفسه، لا روح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أخذ كلية من إنسان حيّ و وصلها بإنسان يعاني من ضعفها و علّتها، فإذا نجحت عملية الوصل و صارت الكلية الموصولة، جزء من بدن المريض، ثم عذّب هذا المريض، فالمعذب هو هو، و لو نعّم، فالمنعّم هو هو، و لا صلة بينه و بين من وهب كليته و أهداها إليه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في كلام صدر المتألهين ما يفيدك في المقام</w:t>
      </w:r>
      <w:r>
        <w:rPr>
          <w:rFonts w:eastAsia="Amiri" w:cs="Amiri" w:ascii="Amiri" w:hAnsi="Amiri"/>
          <w:color w:val="111111"/>
          <w:sz w:val="28"/>
          <w:szCs w:val="28"/>
          <w:rtl w:val="true"/>
          <w:lang w:bidi="ar-SA"/>
        </w:rPr>
        <w:t xml:space="preserve">. </w:t>
      </w:r>
      <w:bookmarkStart w:id="1014" w:name="pg16351_181311"/>
    </w:p>
    <w:p>
      <w:pPr>
        <w:pStyle w:val="BookText"/>
        <w:rPr/>
      </w:pPr>
      <w:bookmarkEnd w:id="1014"/>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15" w:name="__RefHeading___Toc6422758_1280447820"/>
      <w:bookmarkStart w:id="1016" w:name="_Toc396"/>
      <w:bookmarkEnd w:id="1015"/>
      <w:r>
        <w:rPr>
          <w:rtl w:val="true"/>
        </w:rPr>
        <w:t>(</w:t>
      </w:r>
      <w:r>
        <w:rPr/>
        <w:t>6</w:t>
      </w:r>
      <w:r>
        <w:rPr>
          <w:rtl w:val="true"/>
        </w:rPr>
        <w:t xml:space="preserve">) </w:t>
      </w:r>
      <w:r>
        <w:rPr>
          <w:rtl w:val="true"/>
        </w:rPr>
        <w:t>مكان بعث النفوس و حشرها</w:t>
      </w:r>
      <w:bookmarkEnd w:id="1016"/>
    </w:p>
    <w:p>
      <w:pPr>
        <w:pStyle w:val="Heading6"/>
        <w:numPr>
          <w:ilvl w:val="5"/>
          <w:numId w:val="1"/>
        </w:numPr>
        <w:rPr/>
      </w:pPr>
      <w:bookmarkStart w:id="1017" w:name="__RefHeading___Toc6422760_1280447820"/>
      <w:bookmarkStart w:id="1018" w:name="_Toc397"/>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أثبتت البحوث الجيولوجية و التنقيبات الأثرية أنّ الإنسان يعيش في هذا الكوكب منذ أكثر من مليوني سنة، و يستدل على ذلك بالمستندات الحفرية التي تؤلف سجلات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سطح الأرض لاستقرار جميع الخلائق التي لا يحصي عددها إلا خالقها، في يوم واحد، كما هو صريح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 اَلْأَوَّلِينَ </w:t>
      </w:r>
      <w:r>
        <w:rPr>
          <w:rStyle w:val="FootnoteAnchor"/>
          <w:rtl w:val="true"/>
        </w:rPr>
        <w:footnoteReference w:id="910"/>
      </w:r>
      <w:r>
        <w:rPr>
          <w:rFonts w:ascii="Amiri" w:hAnsi="Amiri" w:eastAsia="Amiri" w:cs="Amiri"/>
          <w:color w:val="111111"/>
          <w:sz w:val="28"/>
          <w:sz w:val="28"/>
          <w:szCs w:val="28"/>
          <w:rtl w:val="true"/>
          <w:lang w:bidi="ar-SA"/>
        </w:rPr>
        <w:t xml:space="preserve">، مع أنّ مساحة الأرض لا تتجاوز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مربع؟</w:t>
      </w:r>
    </w:p>
    <w:p>
      <w:pPr>
        <w:pStyle w:val="Heading6"/>
        <w:numPr>
          <w:ilvl w:val="5"/>
          <w:numId w:val="1"/>
        </w:numPr>
        <w:rPr/>
      </w:pPr>
      <w:bookmarkStart w:id="1019" w:name="__RefHeading___Toc6422762_1280447820"/>
      <w:bookmarkStart w:id="1020" w:name="_Toc398"/>
      <w:bookmarkEnd w:id="1019"/>
      <w:r>
        <w:rPr>
          <w:rtl w:val="true"/>
        </w:rPr>
        <w:t>و الجواب</w:t>
      </w:r>
      <w:r>
        <w:rPr>
          <w:rtl w:val="true"/>
        </w:rPr>
        <w:t>:</w:t>
      </w:r>
      <w:bookmarkEnd w:id="1020"/>
    </w:p>
    <w:p>
      <w:pPr>
        <w:pStyle w:val="BookText"/>
        <w:rPr/>
      </w:pPr>
      <w:r>
        <w:rPr>
          <w:rFonts w:ascii="Amiri" w:hAnsi="Amiri" w:eastAsia="Amiri" w:cs="Amiri"/>
          <w:color w:val="111111"/>
          <w:sz w:val="28"/>
          <w:sz w:val="28"/>
          <w:szCs w:val="28"/>
          <w:rtl w:val="true"/>
          <w:lang w:bidi="ar-SA"/>
        </w:rPr>
        <w:t>إنّ السؤال مبني على حفظ النظام يوم القيامة، مع أنّ صريح الآيات على تبدّل النظام، و حدوث نظام أوسع و أكبر، و قد عرفت أنّ الدنيا ميكا الحرارية تثبت اتجاه المواد الكونية إلى الفناء بمرور الزمن، فلا تقوم القيامة على صعيد هذا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الآيات في هذا المجال كثيرة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الذكر الحكيم يصرح بأنّ الشمس و القمر يجريان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كُلٌّ يَجْرِي لِأَجَلٍ مُسَمًّى </w:t>
      </w:r>
      <w:r>
        <w:rPr>
          <w:rStyle w:val="FootnoteAnchor"/>
          <w:rtl w:val="true"/>
        </w:rPr>
        <w:footnoteReference w:id="912"/>
      </w:r>
      <w:r>
        <w:rPr>
          <w:rFonts w:ascii="Amiri" w:hAnsi="Amiri" w:eastAsia="Amiri" w:cs="Amiri"/>
          <w:color w:val="111111"/>
          <w:sz w:val="28"/>
          <w:sz w:val="28"/>
          <w:szCs w:val="28"/>
          <w:rtl w:val="true"/>
          <w:lang w:bidi="ar-SA"/>
        </w:rPr>
        <w:t>، بل جميع العوالم المحسوسة من الأرض و السموات، كلّها تجري إلى أجل مسمى،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يَتَفَكَّرُوا فِي أَنْفُسِهِمْ، مٰا خَلَقَ اَللّٰهُ اَلسَّمٰاوٰاتِ وَ اَلْأَرْضَ وَ مٰا بَيْنَهُمٰا إِلاّٰ بِالْحَقِّ وَ أَجَلٍ مُسَمًّى وَ إِنَّ كَثِيراً مِنَ اَلنّٰاسِ بِلِقٰاءِ رَبِّهِمْ لَكٰافِرُونَ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الآيات التي ننقلها في كيفيّة حدوث القيامة، تكشف عن تدمير النظام بأسره، و انقلابه إلى نظام آخر،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اَلْجِبٰالُ سَيْراً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سيوافيك بيانه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فالنّاس يحشرون على صعيد واحد، في يوم واحد، لكن في نظام آخر، عظيم هائل يسع لجمع جميع العباد، و محاسبتهم فيه</w:t>
      </w:r>
      <w:r>
        <w:rPr>
          <w:rFonts w:eastAsia="Amiri" w:cs="Amiri" w:ascii="Amiri" w:hAnsi="Amiri"/>
          <w:color w:val="111111"/>
          <w:sz w:val="28"/>
          <w:szCs w:val="28"/>
          <w:rtl w:val="true"/>
          <w:lang w:bidi="ar-SA"/>
        </w:rPr>
        <w:t xml:space="preserve">. </w:t>
      </w:r>
      <w:bookmarkStart w:id="1021" w:name="pg16351_181313"/>
    </w:p>
    <w:p>
      <w:pPr>
        <w:pStyle w:val="BookText"/>
        <w:rPr/>
      </w:pPr>
      <w:bookmarkEnd w:id="1021"/>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22" w:name="__RefHeading___Toc6422764_1280447820"/>
      <w:bookmarkStart w:id="1023" w:name="_Toc399"/>
      <w:bookmarkEnd w:id="1022"/>
      <w:r>
        <w:rPr>
          <w:rtl w:val="true"/>
        </w:rPr>
        <w:t>(</w:t>
      </w:r>
      <w:r>
        <w:rPr/>
        <w:t>7</w:t>
      </w:r>
      <w:r>
        <w:rPr>
          <w:rtl w:val="true"/>
        </w:rPr>
        <w:t xml:space="preserve">) </w:t>
      </w:r>
      <w:r>
        <w:rPr>
          <w:rtl w:val="true"/>
        </w:rPr>
        <w:t>كيف يخلد الإنسان، مع أنّ المادة تفنى؟</w:t>
      </w:r>
      <w:bookmarkEnd w:id="1023"/>
    </w:p>
    <w:p>
      <w:pPr>
        <w:pStyle w:val="Heading6"/>
        <w:numPr>
          <w:ilvl w:val="5"/>
          <w:numId w:val="1"/>
        </w:numPr>
        <w:rPr/>
      </w:pPr>
      <w:bookmarkStart w:id="1024" w:name="__RefHeading___Toc6422766_1280447820"/>
      <w:bookmarkStart w:id="1025" w:name="_Toc400"/>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دلّت الآيات و الروايات على خلود الإنسان في الآخرة، إما في جنتها و نعيمها، أو في جحيمها و عذابها،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دلت القوانين العلمية على أنّ المادة، حسب تفجر طاقاتها، على مدى أزمنة طويلة، تبلغ إلى حد تنفذ طاقتها فلا يمكن أن يكون للجنة و النار بقاء، كما لا يكون للإنسان خلود كذلك، لأنّ مكونات الكون تفقد حرارتها تدريجيا، و تصير الأجسام على درجة بالغة الانخفاض</w:t>
      </w:r>
      <w:r>
        <w:rPr>
          <w:rStyle w:val="FootnoteAnchor"/>
          <w:rtl w:val="true"/>
        </w:rPr>
        <w:footnoteReference w:id="916"/>
      </w:r>
      <w:r>
        <w:rPr>
          <w:rFonts w:ascii="Amiri" w:hAnsi="Amiri" w:eastAsia="Amiri" w:cs="Amiri"/>
          <w:color w:val="111111"/>
          <w:sz w:val="28"/>
          <w:sz w:val="28"/>
          <w:szCs w:val="28"/>
          <w:rtl w:val="true"/>
          <w:lang w:bidi="ar-SA"/>
        </w:rPr>
        <w:t>، و بالتالي تنعدم الطاقة و تستحيل الحياة</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6422768_1280447820"/>
      <w:bookmarkStart w:id="1027" w:name="_Toc401"/>
      <w:bookmarkEnd w:id="1026"/>
      <w:r>
        <w:rPr>
          <w:rtl w:val="true"/>
        </w:rPr>
        <w:t>الجواب</w:t>
      </w:r>
      <w:bookmarkEnd w:id="1027"/>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السؤال ناش من مقايسة الآخرة بالدنيا، و هو خطأ فادح، لأنّ التجارب العلمية لا تتجاوز نتائجها المادة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إسراء حكم هذا العالم إلى العالم الآخر، و إن كان ماديا و عنصريا مثلها، قياس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تعلقت قدرتها سبحانه على إخلاد الجنة و النار، و له إفاضة الطاقة، إفاضة بعد إفاضة، على العالم الأخروي بجحيمه و جنته، و مؤمنه و كافره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يعرب عن ذلك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إِنَّ اَللّٰهَ كٰانَ عَزِيزاً حَكِيماً </w:t>
      </w:r>
      <w:r>
        <w:rPr>
          <w:rStyle w:val="FootnoteAnchor"/>
          <w:rtl w:val="true"/>
        </w:rPr>
        <w:footnoteReference w:id="917"/>
      </w:r>
      <w:r>
        <w:rPr>
          <w:rFonts w:ascii="Amiri" w:hAnsi="Amiri" w:eastAsia="Amiri" w:cs="Amiri"/>
          <w:color w:val="111111"/>
          <w:sz w:val="28"/>
          <w:sz w:val="28"/>
          <w:szCs w:val="28"/>
          <w:rtl w:val="true"/>
          <w:lang w:bidi="ar-SA"/>
        </w:rPr>
        <w:t>و يعزز ذلك ما جاء في آخر الآية من الاتكاء على كونه عزيزا، فإنّ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مقتدرا على إمداد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لو كانت الحركة و العمل مفنيين لطاقات المادة الدنيوية، فليسا كذلك في المادة الأخروية، لدعمها بطاقات جديدة، فلو نضج جلد يأتي مكانه جلد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السؤال من أوضح موارد قياس الغيب على الحس أوّلا، و عدم التعرف على قدرته سبحانه ثانيا، يقول تعالى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1028" w:name="pg16351_181315"/>
    </w:p>
    <w:p>
      <w:pPr>
        <w:pStyle w:val="BookText"/>
        <w:rPr/>
      </w:pPr>
      <w:bookmarkEnd w:id="1028"/>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29" w:name="__RefHeading___Toc6422770_1280447820"/>
      <w:bookmarkStart w:id="1030" w:name="_Toc402"/>
      <w:bookmarkEnd w:id="1029"/>
      <w:r>
        <w:rPr>
          <w:rtl w:val="true"/>
        </w:rPr>
        <w:t>(</w:t>
      </w:r>
      <w:r>
        <w:rPr/>
        <w:t>8</w:t>
      </w:r>
      <w:r>
        <w:rPr>
          <w:rtl w:val="true"/>
        </w:rPr>
        <w:t xml:space="preserve">) </w:t>
      </w:r>
      <w:r>
        <w:rPr>
          <w:rtl w:val="true"/>
        </w:rPr>
        <w:t>ما هو الغرض من عقاب المجرم أو تنعيم المحسن؟</w:t>
      </w:r>
      <w:bookmarkEnd w:id="1030"/>
    </w:p>
    <w:p>
      <w:pPr>
        <w:pStyle w:val="Heading6"/>
        <w:numPr>
          <w:ilvl w:val="5"/>
          <w:numId w:val="1"/>
        </w:numPr>
        <w:rPr/>
      </w:pPr>
      <w:bookmarkStart w:id="1031" w:name="__RefHeading___Toc6422772_1280447820"/>
      <w:bookmarkStart w:id="1032" w:name="_Toc403"/>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إنّ الحكيم لا يعاقب إلا لغاية و غاية العقوبة إما التشفي كما في قصاص المجرم، و هو محال على اللّه، أو إيجاد الاعتبار في غير المعاقب، أو تأديب المجرم، و كلاهما يتحققان في النشأة الدنيوية لا الأخروية، فيكون تعذيب المجرم في الآخرة عبثا لا غاية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يقال إنّ تنعيم المؤمن أيضا بلا وجه، لأن اللذة الجسمانية لا حقيقة لها و إنما هي دفع الألم، فلو ترك الميت على حاله و لم يعد، لم يكن متألما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حاصل بدون الإعادة، فلا فائدة فيها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6422774_1280447820"/>
      <w:bookmarkStart w:id="1034" w:name="_Toc404"/>
      <w:bookmarkEnd w:id="1033"/>
      <w:r>
        <w:rPr>
          <w:rtl w:val="true"/>
        </w:rPr>
        <w:t>الجواب</w:t>
      </w:r>
      <w:bookmarkEnd w:id="103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السائل قد فرض أنّ المعاد أمر ممكن في ذاته و لم يدل دليل على ضرورة وقوعه، فسأل عن الغاية الموجبة له، و لكنه لو وقف على ما ذكرنا من الأدلة التي تحتم المعاد، و تجعل وجوده ضروريا، لترك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هناك وجوها ستة تعرّف المعاد أمرا ضروريا لا مناص عنه، منها كون المعاد مجلّى للعدل الإلهي، فإذا كان وجود المعاد، أمرا ضروريا، فالسؤال عن غاية و هدف </w:t>
      </w:r>
    </w:p>
    <w:p>
      <w:pPr>
        <w:pStyle w:val="BookText"/>
        <w:rPr/>
      </w:pPr>
      <w:r>
        <w:rPr>
          <w:rFonts w:ascii="Amiri" w:hAnsi="Amiri" w:eastAsia="Amiri" w:cs="Amiri"/>
          <w:color w:val="111111"/>
          <w:sz w:val="28"/>
          <w:sz w:val="28"/>
          <w:szCs w:val="28"/>
          <w:rtl w:val="true"/>
          <w:lang w:bidi="ar-SA"/>
        </w:rPr>
        <w:t>أمر ضروري الوقوع،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بين تلك الأدلة التي توجب ضرورة المعاد، عللا غائية، كتجلّي عدله سبحانه في المعاد، أو كمال الإنسان، و معها لا معنى للسؤال عن غاية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أنّ السائل يجعل اللذة الجسمانية شيئا لا حقيقة له، و أنها ما هي إلا دفع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أنّه نفسه يقدر على تطبيقه على جميع موارد اللذة، فهل في اللذة الجسمانية الحاصلة من التأمل في روضة غنّاء، دفعا للألم، بحيث لولاه لكان غارقا في الآلام و الأوجاع، أو أنها لذة واقعية مناسبة للنفس في مقامها المادي، و قس على ذلك غيره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جوابان آخران تقدّما في الجزء الأول عند البحث عن ثمرات التحسين و التقبيح العقليين، فلا نعيدهما</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1035" w:name="pg16351_181317"/>
    </w:p>
    <w:p>
      <w:pPr>
        <w:pStyle w:val="BookText"/>
        <w:rPr/>
      </w:pPr>
      <w:bookmarkEnd w:id="1035"/>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36" w:name="__RefHeading___Toc6422776_1280447820"/>
      <w:bookmarkStart w:id="1037" w:name="_Toc405"/>
      <w:bookmarkEnd w:id="1036"/>
      <w:r>
        <w:rPr>
          <w:rtl w:val="true"/>
        </w:rPr>
        <w:t>(</w:t>
      </w:r>
      <w:r>
        <w:rPr/>
        <w:t>9</w:t>
      </w:r>
      <w:r>
        <w:rPr>
          <w:rtl w:val="true"/>
        </w:rPr>
        <w:t xml:space="preserve">) </w:t>
      </w:r>
      <w:r>
        <w:rPr>
          <w:rtl w:val="true"/>
        </w:rPr>
        <w:t>من هم المخلدون في النار؟</w:t>
      </w:r>
      <w:bookmarkEnd w:id="1037"/>
    </w:p>
    <w:p>
      <w:pPr>
        <w:pStyle w:val="BookText"/>
        <w:rPr/>
      </w:pPr>
      <w:r>
        <w:rPr>
          <w:rFonts w:ascii="Amiri" w:hAnsi="Amiri" w:eastAsia="Amiri" w:cs="Amiri"/>
          <w:color w:val="111111"/>
          <w:sz w:val="28"/>
          <w:sz w:val="28"/>
          <w:szCs w:val="28"/>
          <w:rtl w:val="true"/>
          <w:lang w:bidi="ar-SA"/>
        </w:rPr>
        <w:t>اختلفت كلمة المتكلمين في المخلّدين في النار، فذهب جمهور المسلمين إلى أن الخلود يختص بالكافر، دون المسلم و إن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الخوارج و المعتزلة إلى خلود مرتكب الكبائر في النار إذا مات بلا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 الإقرار بفرائضه من أهل الصلاة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شرح عقائد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النار فهي دار من جهل اللّه سبحانه، و قد يدخلها بعض من عرفه، بمعصية اللّه، غير أنه لا يخلد فيها بل يخرج منها إلى النعيم المقيم، و ليس يخلد فيها إلا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آية تتضمن ذكر الخلود في النار فإنما هي في الكفار دون أهل المعرفة باللّه تعالى، بدلائل العقول و الكتاب المسطور، و الخبر الظاهر المشهور</w:t>
      </w:r>
      <w:r>
        <w:rPr>
          <w:rStyle w:val="FootnoteAnchor"/>
          <w:rtl w:val="true"/>
        </w:rPr>
        <w:footnoteReference w:id="922"/>
      </w:r>
      <w:r>
        <w:rPr>
          <w:rFonts w:ascii="Amiri" w:hAnsi="Amiri" w:eastAsia="Amiri" w:cs="Amiri"/>
          <w:color w:val="111111"/>
          <w:sz w:val="28"/>
          <w:sz w:val="28"/>
          <w:szCs w:val="28"/>
          <w:rtl w:val="true"/>
          <w:lang w:bidi="ar-SA"/>
        </w:rPr>
        <w:t>، و الإجماع، و الرأي السابق لأهل البدع من أصحاب الوعيد</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المسلمون كافة على أن عذاب الكافر مؤبد لا ينقطع، و أما أصحاب الكبائر من المسلمين، فالوعيدية على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الإمامية و طائفة كثيرة من المعتزلة و الأشاعرة إلى أن عذابه منقطع</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القائلون بالانقطاع بآيات،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925"/>
      </w:r>
      <w:r>
        <w:rPr>
          <w:rFonts w:ascii="Amiri" w:hAnsi="Amiri" w:eastAsia="Amiri" w:cs="Amiri"/>
          <w:color w:val="111111"/>
          <w:sz w:val="28"/>
          <w:sz w:val="28"/>
          <w:szCs w:val="28"/>
          <w:rtl w:val="true"/>
          <w:lang w:bidi="ar-SA"/>
        </w:rPr>
        <w:t>، و الإيمان أعظم أفعال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استحق العقاب بالمعصية، فإما أن يقدّم الثواب على العقاب، فهو باطل بالإجماع، لأن الإثابة لا تكون إلا بدخول الجنة، و الداخل فيها مخلّد لا يخرج منها أبدا، فلا يبقى مجال لعقوبته، أو بالعكس و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 يلزم أن يكون من عبد اللّه تعالى مدة عمره بأنواع القربات إليه، ثم عصى في آخر عمره معصية واحدة، مع حفظ إيمانه، مخلدا في النار، و يكون نظير من أشرك باللّه تعالى مدة عمره، و هذا عند العقل قبيح و محال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استدلت المعتزلة على خلود الفاسق في النار، بالسمع و هو عدة آيات، استظهرت من إطلاقها أن الخلود يعم الكافر و المنافق 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هذه الآيات واحدة بعد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الفاسق ممن عصى اللّه و رسوله بترك الفرائض و ارتكاب المعاصي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الآية على خلود الفاسق في النار لا يتجاوز حد الإطلاق، و المطلق قابل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عن هذه الآية باتفاق المسلمين </w:t>
      </w:r>
    </w:p>
    <w:p>
      <w:pPr>
        <w:pStyle w:val="BookText"/>
        <w:rPr/>
      </w:pPr>
      <w:r>
        <w:rPr>
          <w:rFonts w:ascii="Amiri" w:hAnsi="Amiri" w:eastAsia="Amiri" w:cs="Amiri"/>
          <w:color w:val="111111"/>
          <w:sz w:val="28"/>
          <w:sz w:val="28"/>
          <w:szCs w:val="28"/>
          <w:rtl w:val="true"/>
          <w:lang w:bidi="ar-SA"/>
        </w:rPr>
        <w:t>الفاسق التائب، فلو دلّ دليل هنا على أنّ المسلم الفاسق ربما تشمله عناية اللّه و رحمته، و يخرج عن العذاب، لكان المطلق مقيدا بقيد آخر وراء التائب، فيبقى تحت الآية المشرك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الآية ليس مطلق العصيان، بل العصيان المنضم إليه تعدّي حدود اللّه و من المحتمل جدا أن يكون المراد من التعدّي هو رفض أحكامه سبحانه، و طردها، و عدم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وردت الآية بعد بيان أحكام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وَ مَنْ يُطِعِ اَللّٰهَ وَ رَسُولَهُ</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يَتَعَدَّ حُدُودَهُ ، و إن لم يكن ظاهرا في رفض التشريع، لكنه يحتمله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الحمل عليه بعيدا بشهادة الآيات الأخر الدالة على شمول غفرانه لكل ذنب دون الشرك، أو شمول رحمته للناس على ظلمهم و غير ذلك من الآيات الواردة في حق الإنسان غير التائب كما سيوافيك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يَتَعَدَّ حُدُودَهُ ، ظاهر في تعدّي جميع حدود اللّه، و هذه صفة الكفار، و لأنّ صاحب الصغيرة بلا خلاف خارج عن عموم الآية و إن كان فاعلا للمعصية، و متعديا حدّا من حدود اللّه، و إذا جاز إخراجه بدليل، جاز لغيره أن يخرج من عمومها، كمن يشفع له النبي أو يتفضّل </w:t>
      </w:r>
    </w:p>
    <w:p>
      <w:pPr>
        <w:pStyle w:val="BookText"/>
        <w:rPr/>
      </w:pPr>
      <w:r>
        <w:rPr>
          <w:rFonts w:ascii="Amiri" w:hAnsi="Amiri" w:eastAsia="Amiri" w:cs="Amiri"/>
          <w:color w:val="111111"/>
          <w:sz w:val="28"/>
          <w:sz w:val="28"/>
          <w:szCs w:val="28"/>
          <w:rtl w:val="true"/>
          <w:lang w:bidi="ar-SA"/>
        </w:rPr>
        <w:t>اللّه عليه بالعفو، بدليل آخر، و أيضا فإنّ التائب لا بدّ من إخراجه من عموم الآية، لقيام الدليل على وجوب قبول التوبة، و كذلك يجب إخراج من يتفضّل اللّه بإسقاط عقابه، منها، لقيام الدلالة على جواز وقوع التفضّل بالعفو</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هو أنه تعالى بيّن أنّ من قتل مؤمنا عمدا جازاه، و عاقبه و غضب عليه، و لعنه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أخلده في جهنم</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الآية دلالة إطلاقية، فكما خرج منها القاتل المشرك إذا أسلم، و المسلم القاتل إذا تاب، فليكن كذلك من مات بلا توبة و لكن اقتضت الحكمة الإلهية، أن يتفضّل عليه بالعفو، فليس التخصيص أمرا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المحتمل أن يكون المراد القاتل المستحل لقتل المؤمن، أو قتله لإيمانه، و هذا غير بعيد لمن لاحظ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بعد هذه الآية حكم قتل المؤمن خطأ و 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هذا يمكن أن يستظهر أنّ الآية ناظرة إلى القتل العمدي، الذي يقوم به القاتل لعداء ديني لا غير، فيكون ناظرا إلى غير المسلم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w:t>
      </w:r>
    </w:p>
    <w:p>
      <w:pPr>
        <w:pStyle w:val="BookText"/>
        <w:rPr/>
      </w:pPr>
      <w:r>
        <w:rPr>
          <w:rFonts w:ascii="Amiri" w:hAnsi="Amiri" w:eastAsia="Amiri" w:cs="Amiri"/>
          <w:color w:val="111111"/>
          <w:sz w:val="28"/>
          <w:sz w:val="28"/>
          <w:szCs w:val="28"/>
          <w:rtl w:val="true"/>
          <w:lang w:bidi="ar-SA"/>
        </w:rPr>
        <w:t xml:space="preserve">فَأُولٰئِكَ أَصْحٰابُ اَلنّٰارِ هُمْ فِيهٰا خٰالِدُونَ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بهذه الآية إنما يصح مع غضّ النظر عن سياقها، و أما معه فإنها واردة في حق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أَحٰاطَتْ بِهِ خَطِيئَتُهُ ، لا يهدف إلا إلى الكافر، فإنّ المسلم المؤمن مهما كان عاصيا لا تحيط به خطيئته، فإنّ في قلبه نقاط بيضاء يشع عليها إيمانه و اعتقاده باللّه سبحانه و أنبيائه و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دلالة الآية بالإطلاق، فلو ثبت ما يقوله جمهرة المسلمين، يخرج الفاسق من الآية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Style w:val="FootnoteAnchor"/>
          <w:rtl w:val="true"/>
        </w:rPr>
        <w:footnoteReference w:id="937"/>
      </w:r>
      <w:r>
        <w:rPr>
          <w:rFonts w:ascii="Amiri" w:hAnsi="Amiri" w:eastAsia="Amiri" w:cs="Amiri"/>
          <w:color w:val="111111"/>
          <w:sz w:val="28"/>
          <w:sz w:val="28"/>
          <w:szCs w:val="28"/>
          <w:rtl w:val="true"/>
          <w:lang w:bidi="ar-SA"/>
        </w:rPr>
        <w:t>إن دلالة الآية إطلاقية، قابلة للتقييد،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الآية في حق الكفار، بشهادة قوله سبحانه قبل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Style w:val="FootnoteAnchor"/>
          <w:rtl w:val="true"/>
        </w:rPr>
        <w:footnoteReference w:id="938"/>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اَلْمُجْرِمِينَ ، في مقابل اَلَّذِينَ آمَنُوا ، فلا يعم المسلم،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التي استدلت بها المعتزلة على تخليد الفاسق في النار، و قد عرفت أن دلالتها بالإطلاق لا بالصراحة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 المطلق أمر سهل مثل 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انصراف أكثرها أو جميعها إلى الكافر و المنافق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آيات أظهر مما سبق</w:t>
      </w:r>
      <w:r>
        <w:rPr>
          <w:rStyle w:val="FootnoteAnchor"/>
          <w:rtl w:val="true"/>
        </w:rPr>
        <w:footnoteReference w:id="939"/>
      </w:r>
      <w:r>
        <w:rPr>
          <w:rFonts w:ascii="Amiri" w:hAnsi="Amiri" w:eastAsia="Amiri" w:cs="Amiri"/>
          <w:color w:val="111111"/>
          <w:sz w:val="28"/>
          <w:sz w:val="28"/>
          <w:szCs w:val="28"/>
          <w:rtl w:val="true"/>
          <w:lang w:bidi="ar-SA"/>
        </w:rPr>
        <w:t>تدل على شمول الرحمة الإلهية للفساق غير التائبين نكتفي باثنتين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الآية دلالة على جواز المغفرة للمذنبين من أهل القبلة لأنه سبحانه دلّنا على أنه يغفر لهم مع كونهم ظالمين، لأن قوله عَلىٰ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الحال التي يكونون عليها ظالمين، و يجري ذلك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أودّ فلانا على غدره، و أصله على هجره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قرر القاضي دلالة الآية و أجاب عنها بأن الأخذ بظاهر الآية مما لا يجوز بالاتفاق، لأنّه يقتضي الإغراء على الظلم، و ذلك ممّا لا يجوز على اللّه تعالى، فلا بد من أن يؤوّل، و تأويله هو أنه يغفر للظالم على ظلمه إذا تاب</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الإشكال، جار في صورة التوبة أيضا، فإن الوعد بالمغفرة مع التوبة يوجب تمادي العاصي في المعصية، برجاء أنه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بعدم خلود المؤمن موجبا للإغراء، فليكن الوعد بالغفران مع التوبة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أن الحكم عام للتائب و غيره هو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هو التائب، لكان المناسب أن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لذو مغفرة للمؤمنين على 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الحكم عام يعم التائب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تعد الناس بالمغفرة، و لا تذكر حدودها و شرائطها فلا يصح عند العقل الاعتماد على هذا الوعد و ارتكاب الكبائر، فإنه وعد إجمالي غير مبين من حيث الشروط و القيود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w:t>
      </w:r>
    </w:p>
    <w:p>
      <w:pPr>
        <w:pStyle w:val="BookText"/>
        <w:rPr/>
      </w:pPr>
      <w:r>
        <w:rPr>
          <w:rFonts w:ascii="Amiri" w:hAnsi="Amiri" w:eastAsia="Amiri" w:cs="Amiri"/>
          <w:color w:val="111111"/>
          <w:sz w:val="28"/>
          <w:sz w:val="28"/>
          <w:szCs w:val="28"/>
          <w:rtl w:val="true"/>
          <w:lang w:bidi="ar-SA"/>
        </w:rPr>
        <w:t xml:space="preserve">يَشٰاءُ وَ مَنْ يُشْرِكْ بِاللّٰهِ فَقَدِ اِفْتَرىٰ إِثْماً عَظِيماً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بهذه الآية على أن رحمته تشمل غير التائب من الذنوب، أنه سبحانه نفى غفران الشرك دون غيره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الشرك يغفر مع التوبة، فتكون الجملتان ناظرتين إلى غير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 أنّه لا يغفر إذا مات من أشرك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يَغْفِرُ مٰا دُونَ ذٰلِكَ لِمَنْ يَشٰاءُ ، أنه يغفر ما دون الشرك من الذنوب بغير توبة لمن يشاء من المذنبين، و لو كانت سائر الذنوب، مثل الشرك، غير مغفورة إلا بالتوبة، لما حسن التفصيل بينهما، مع وضوح الآية في التفصيل</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أوضح القاضي دلالة الآية على ما يتبناه الجمهور بوجه رائع،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تأثرا بعقيدته الخاصة في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مجملة مفتقرة إلى البيان،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يبين من الذي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أن يكون المراد به أصحاب الصغائر، و احتمل أن يكون المراد أصحاب الكبائر، فسقط احتجاجهم بالآية</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القاضي أن الآية مطلقة، تعم كلا القسمين، فأيّ إجمال في الآية حتى نتوقف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يتمسك بإطلاق الطائفة الأولى من الآيات، و لكنه يتوقف في إطلاق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دفعا للإغراء، و قطعا لعذر الجاهل، قيّد سبحانه غفرانه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يَشٰاءُ ، حتى يصد العبد عن الارتماء في أحضان المعصية بحجة أنه سبحانه وعده بالمغفرة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القاسم بن محمد بن علي الزيدي العلوي المعتزلي، تبع القاضي في تحديد مداليل هذه الآيات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الوعيد لا إجمال فيها، و هذه الآيات و نحوها مجملة، فيجب حملها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w:t>
      </w:r>
    </w:p>
    <w:p>
      <w:pPr>
        <w:pStyle w:val="BookText"/>
        <w:rPr/>
      </w:pPr>
      <w:r>
        <w:rPr>
          <w:rFonts w:ascii="Amiri" w:hAnsi="Amiri" w:eastAsia="Amiri" w:cs="Amiri"/>
          <w:color w:val="111111"/>
          <w:sz w:val="28"/>
          <w:sz w:val="28"/>
          <w:szCs w:val="28"/>
          <w:rtl w:val="true"/>
          <w:lang w:bidi="ar-SA"/>
        </w:rPr>
        <w:t xml:space="preserve">صٰالِحاً ثُمَّ اِهْتَدىٰ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بعض الآيات الواردة في غفران العباد في مجال التوبة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النظر في كلامه مما قدمناه في نقد كلام القاضي فلا نعيد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البحث أشبه بالبحث التفسيري منه بالكلامي، و من أراد الاستقصاء في هذا المجال فعليه بجمع الآيات الواردة حول الذنوب و الغفران حتى يتضح الحال فيها، و يتخذ موضعا حاسما بإزاء اختلافاتها الأوليّة</w:t>
      </w:r>
      <w:r>
        <w:rPr>
          <w:rFonts w:eastAsia="Amiri" w:cs="Amiri" w:ascii="Amiri" w:hAnsi="Amiri"/>
          <w:color w:val="111111"/>
          <w:sz w:val="28"/>
          <w:szCs w:val="28"/>
          <w:rtl w:val="true"/>
          <w:lang w:bidi="ar-SA"/>
        </w:rPr>
        <w:t xml:space="preserve">. </w:t>
      </w:r>
      <w:bookmarkStart w:id="1038" w:name="pg16351_181325"/>
    </w:p>
    <w:p>
      <w:pPr>
        <w:pStyle w:val="BookText"/>
        <w:rPr/>
      </w:pPr>
      <w:bookmarkEnd w:id="1038"/>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39" w:name="__RefHeading___Toc6422778_1280447820"/>
      <w:bookmarkStart w:id="1040" w:name="_Toc406"/>
      <w:bookmarkEnd w:id="1039"/>
      <w:r>
        <w:rPr>
          <w:rtl w:val="true"/>
        </w:rPr>
        <w:t>(</w:t>
      </w:r>
      <w:r>
        <w:rPr/>
        <w:t>10</w:t>
      </w:r>
      <w:r>
        <w:rPr>
          <w:rtl w:val="true"/>
        </w:rPr>
        <w:t xml:space="preserve">) </w:t>
      </w:r>
      <w:r>
        <w:rPr>
          <w:rtl w:val="true"/>
        </w:rPr>
        <w:t>هل يجوز العفو عن المسيء؟</w:t>
      </w:r>
      <w:bookmarkEnd w:id="1040"/>
    </w:p>
    <w:p>
      <w:pPr>
        <w:pStyle w:val="Heading6"/>
        <w:numPr>
          <w:ilvl w:val="5"/>
          <w:numId w:val="1"/>
        </w:numPr>
        <w:rPr/>
      </w:pPr>
      <w:bookmarkStart w:id="1041" w:name="__RefHeading___Toc6422780_1280447820"/>
      <w:bookmarkStart w:id="1042" w:name="_Toc407"/>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هل يجوز العفو عن العصاة في الآخرة أولا؟ و هل في الحكم بجواز العفو، إغراء للعصاة على إدامة العصيان، أولا؟ أ و ليس العفو عن العاصي، خلفا للوعيد، و هو قبيح؟</w:t>
      </w:r>
    </w:p>
    <w:p>
      <w:pPr>
        <w:pStyle w:val="Heading6"/>
        <w:numPr>
          <w:ilvl w:val="5"/>
          <w:numId w:val="1"/>
        </w:numPr>
        <w:rPr/>
      </w:pPr>
      <w:bookmarkStart w:id="1043" w:name="__RefHeading___Toc6422782_1280447820"/>
      <w:bookmarkStart w:id="1044" w:name="_Toc408"/>
      <w:bookmarkEnd w:id="1043"/>
      <w:r>
        <w:rPr>
          <w:rtl w:val="true"/>
        </w:rPr>
        <w:t>الجواب</w:t>
      </w:r>
      <w:bookmarkEnd w:id="1044"/>
    </w:p>
    <w:p>
      <w:pPr>
        <w:pStyle w:val="BookText"/>
        <w:rPr/>
      </w:pPr>
      <w:r>
        <w:rPr>
          <w:rFonts w:ascii="Amiri" w:hAnsi="Amiri" w:eastAsia="Amiri" w:cs="Amiri"/>
          <w:color w:val="111111"/>
          <w:sz w:val="28"/>
          <w:sz w:val="28"/>
          <w:szCs w:val="28"/>
          <w:rtl w:val="true"/>
          <w:lang w:bidi="ar-SA"/>
        </w:rPr>
        <w:t>إنّ التعذيب حق للمولى سبحانه و له إسقاط حقّه، و هو إحسان منه سبحانه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948"/>
      </w:r>
      <w:r>
        <w:rPr>
          <w:rFonts w:ascii="Amiri" w:hAnsi="Amiri" w:eastAsia="Amiri" w:cs="Amiri"/>
          <w:color w:val="111111"/>
          <w:sz w:val="28"/>
          <w:sz w:val="28"/>
          <w:szCs w:val="28"/>
          <w:rtl w:val="true"/>
          <w:lang w:bidi="ar-SA"/>
        </w:rPr>
        <w:t>، فلا مانع، إذا اقتضت الحكمة، من العفو عن العاصي في ظروف خاصة، إما بالشفاعة، أو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خالف معتزلة بغداد في ذلك، فلم يجوزوا العفو عن العصاة عقلا، و استدلوا على ذلك بوجهين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لطف من اللّه تعالى، و اللطف يجب أن يكون مفعولا بالمكلف على أبلغ الوجوه، و لن يكون كذلك إلا و العقاب 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المكلف متى علم أنّه يفعل به ما يستحقه من العقوبة على كل وجه، كان أقرب إلى أداء الواجبات و اجتناب الكبائر</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عبارة عما يقرب الإنسان من الطاعة، و يبعده عن المعصية، و هذا لا يتصور إلا في دار التكليف لا دار الجزاء، فالدار الأولى، دار العمل و السعي، و الآخرة دار الحساب و الاجتناء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أخيرا من أنه لو علم أنّه يفعل ما يستحقه من العقوبة على كل وجه، كان أقرب إلى أداء الواجبات و اجتناب الكبائر، فهو لم تم، لوجب سد باب التوبة، لإمكان أن يقال إن المكلّف لو علم أنّه لا تقبل توبته كان أقرب إلى الطاعة و أبعد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للرجاء آثارا بنّاءة في حياة الإنسان، و لليأس آثارا سلبية في الإدامة على الموبقات، و لأجل ذلك جاء الذكر الحكيم، بالترغيب و الترهيب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جواز العفو لا في حتميته، و الأثر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أوعد مرتكب الكبيرة بالعقاب، فلو لم يعاقب، للزم الخلف في وعيده، و الكذب في خبره</w:t>
      </w:r>
      <w:r>
        <w:rPr>
          <w:rStyle w:val="FootnoteAnchor"/>
          <w:rtl w:val="true"/>
        </w:rPr>
        <w:footnoteReference w:id="950"/>
      </w:r>
      <w:r>
        <w:rPr>
          <w:rFonts w:ascii="IRNazanin" w:hAnsi="IRNazanin" w:eastAsia="IRNazanin"/>
          <w:color w:val="111111"/>
          <w:sz w:val="28"/>
          <w:sz w:val="28"/>
          <w:szCs w:val="28"/>
          <w:rtl w:val="true"/>
          <w:lang w:bidi="fa-IR"/>
        </w:rPr>
        <w:t>، و هما محالان</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الخلف في الوعد قبيح، و ليس كذلك في الوعيد، و الدليل على ذلك أنّ كل عاقل يستحسن العفو بعد الوعيد في ظروف خاصة، فلو كان العفو من اللّه تعالى مع الوعيد قبيحا، لوجب أن يكون كذلك عند كل عاقل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الوجه في عدم كونه قبيحا هو أنّ الوعيد حق، و العفو إسقاط، و مثل ذلك يعد مستحسنا لا قبيحا، إذا وقع العفو في موقعه، و لأجل ذلك يقول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الوعد و الوعيد هو أنّ من وعده اللّه على عمل ثوابا، فهو منجزه، و من وعده على عمل عقابا فهو بالخيار إن عذّبه فبعدله و إن عفا عنه </w:t>
      </w:r>
    </w:p>
    <w:p>
      <w:pPr>
        <w:pStyle w:val="BookText"/>
        <w:rPr/>
      </w:pPr>
      <w:r>
        <w:rPr>
          <w:rFonts w:ascii="Amiri" w:hAnsi="Amiri" w:eastAsia="Amiri" w:cs="Amiri"/>
          <w:color w:val="111111"/>
          <w:sz w:val="28"/>
          <w:sz w:val="28"/>
          <w:szCs w:val="28"/>
          <w:rtl w:val="true"/>
          <w:lang w:bidi="ar-SA"/>
        </w:rPr>
        <w:t xml:space="preserve">فبفضله، وَ مٰا رَبُّكَ بِظَلاّٰمٍ لِلْعَبِيدِ </w:t>
      </w:r>
      <w:r>
        <w:rPr>
          <w:rStyle w:val="FootnoteAnchor"/>
          <w:rtl w:val="true"/>
        </w:rPr>
        <w:footnoteReference w:id="952"/>
      </w:r>
      <w:r>
        <w:rPr>
          <w:rFonts w:ascii="Amiri" w:hAnsi="Amiri" w:eastAsia="Amiri" w:cs="Amiri"/>
          <w:color w:val="111111"/>
          <w:sz w:val="28"/>
          <w:sz w:val="28"/>
          <w:szCs w:val="28"/>
          <w:rtl w:val="true"/>
          <w:lang w:bidi="ar-SA"/>
        </w:rPr>
        <w:t xml:space="preserve">، إِنَّ اَللّٰهَ لاٰ يَغْفِرُ أَنْ يُشْرَكَ بِهِ وَ يَغْفِرُ مٰا دُونَ ذٰلِكَ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العفو عن الوعيد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سمعا، أي حسب الأدلة النقلية فسيوافيك الكلام فيه عند البحث عن عدم خلود غير الكافر في النار</w:t>
      </w:r>
      <w:r>
        <w:rPr>
          <w:rFonts w:eastAsia="Amiri" w:cs="Amiri" w:ascii="Amiri" w:hAnsi="Amiri"/>
          <w:color w:val="111111"/>
          <w:sz w:val="28"/>
          <w:szCs w:val="28"/>
          <w:rtl w:val="true"/>
          <w:lang w:bidi="ar-SA"/>
        </w:rPr>
        <w:t xml:space="preserve">. </w:t>
      </w:r>
      <w:bookmarkStart w:id="1045" w:name="pg16351_181328"/>
    </w:p>
    <w:p>
      <w:pPr>
        <w:pStyle w:val="BookText"/>
        <w:rPr/>
      </w:pPr>
      <w:bookmarkEnd w:id="1045"/>
      <w:r>
        <w:rPr>
          <w:rFonts w:ascii="Amiri" w:hAnsi="Amiri" w:eastAsia="Amiri" w:cs="Amiri"/>
          <w:color w:val="111111"/>
          <w:sz w:val="28"/>
          <w:sz w:val="28"/>
          <w:szCs w:val="28"/>
          <w:rtl w:val="true"/>
          <w:lang w:bidi="ar-SA"/>
        </w:rPr>
        <w:t>أسئلة المعاد</w:t>
      </w:r>
    </w:p>
    <w:p>
      <w:pPr>
        <w:pStyle w:val="Heading6"/>
        <w:numPr>
          <w:ilvl w:val="5"/>
          <w:numId w:val="1"/>
        </w:numPr>
        <w:rPr/>
      </w:pPr>
      <w:bookmarkStart w:id="1046" w:name="__RefHeading___Toc6422784_1280447820"/>
      <w:bookmarkStart w:id="1047" w:name="_Toc409"/>
      <w:bookmarkEnd w:id="1046"/>
      <w:r>
        <w:rPr>
          <w:rtl w:val="true"/>
        </w:rPr>
        <w:t>(</w:t>
      </w:r>
      <w:r>
        <w:rPr/>
        <w:t>11</w:t>
      </w:r>
      <w:r>
        <w:rPr>
          <w:rtl w:val="true"/>
        </w:rPr>
        <w:t xml:space="preserve">) </w:t>
      </w:r>
      <w:r>
        <w:rPr>
          <w:rtl w:val="true"/>
        </w:rPr>
        <w:t>هل الجنة و النار مخلوقتان؟</w:t>
      </w:r>
      <w:bookmarkEnd w:id="1047"/>
    </w:p>
    <w:p>
      <w:pPr>
        <w:pStyle w:val="Heading6"/>
        <w:numPr>
          <w:ilvl w:val="5"/>
          <w:numId w:val="1"/>
        </w:numPr>
        <w:rPr/>
      </w:pPr>
      <w:bookmarkStart w:id="1048" w:name="__RefHeading___Toc6422786_1280447820"/>
      <w:bookmarkStart w:id="1049" w:name="_Toc410"/>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إنّ اللّه سبحانه وعد المتقين بالجنة و أوعد العاصين بالنار، فهل هما مخلوقتان الآن،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أبي على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الخوارج و طائفة من الزيدية، إلى الثاني و ذهبت الإمامية و الأشاعرة إلى أنّهما مخلوقتان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و النّار في هذا الوقت مخلوقتان و بذلك جاءت الأخبار، و عليه إجماع أهل الشرع و الآثار</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المسلمين على أنّ الجنة و النار مخلوقتان الآن خلافا لأبي هاشم و القاضي عبد الجبار، و من يجري مجراهما من المعتزلة حيث زعموا أنّهما إنّما يخلقان يوم الجزاء</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السيد الرضي، أنّهما غير مخلوقتين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أنّهما تخلقان بعد</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050" w:name="pg16351_181329"/>
    </w:p>
    <w:p>
      <w:pPr>
        <w:pStyle w:val="Heading6"/>
        <w:numPr>
          <w:ilvl w:val="5"/>
          <w:numId w:val="1"/>
        </w:numPr>
        <w:rPr/>
      </w:pPr>
      <w:bookmarkStart w:id="1051" w:name="__RefHeading___Toc6422788_1280447820"/>
      <w:bookmarkStart w:id="1052" w:name="_Toc411"/>
      <w:bookmarkEnd w:id="1050"/>
      <w:bookmarkEnd w:id="1051"/>
      <w:r>
        <w:rPr>
          <w:rtl w:val="true"/>
        </w:rPr>
        <w:t>أدلة القائلين بخلقهما</w:t>
      </w:r>
      <w:bookmarkEnd w:id="1052"/>
    </w:p>
    <w:p>
      <w:pPr>
        <w:pStyle w:val="BookText"/>
        <w:rPr/>
      </w:pPr>
      <w:r>
        <w:rPr>
          <w:rFonts w:ascii="Amiri" w:hAnsi="Amiri" w:eastAsia="Amiri" w:cs="Amiri"/>
          <w:color w:val="111111"/>
          <w:sz w:val="28"/>
          <w:sz w:val="28"/>
          <w:szCs w:val="28"/>
          <w:rtl w:val="true"/>
          <w:lang w:bidi="ar-SA"/>
        </w:rPr>
        <w:t>أستدل على كون الجنة و النار مخلوقتان،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 حواء، و إسكانهما الجنة، و أكلهما من الشجرة، و خصفهما عليهما من ورق الجنة، ثم إخراجهما منها، على ما نطق به الكتاب و السنة، و انعقد عليه الإجماع قبل ظهور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على بستان من بساتين الدنيا، ليس عليه دليل</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غير جنة الخلد التي هي قرار المآب و جنة الثواب، ليس أمرا بعيدا، و الجنة في أصل اللغة يعبر بها عن الرياض، و المنابت، و الأشجار، و الحدائق، و الكروم المعروشة، و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يؤيّد ذلك بأنه لو كانت جنّة الخلد، لما خرج منها،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يمكن حمله على من دخلها بعد دار الدنيا، و هو غير متحقق في آدم، و لكنه احتمال في مقابل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يمكن الاحتجاج على كونهما مخلوقين بما ورد في جنة آدم، كذلك لا يمكن الاحتجاج عليه بما ورد من كون الشهداء أحياء عند ربهم يرزقون</w:t>
      </w:r>
      <w:r>
        <w:rPr>
          <w:rStyle w:val="FootnoteAnchor"/>
          <w:rtl w:val="true"/>
        </w:rPr>
        <w:footnoteReference w:id="962"/>
      </w:r>
      <w:r>
        <w:rPr>
          <w:rFonts w:ascii="Amiri" w:hAnsi="Amiri" w:eastAsia="Amiri" w:cs="Amiri"/>
          <w:color w:val="111111"/>
          <w:sz w:val="28"/>
          <w:sz w:val="28"/>
          <w:szCs w:val="28"/>
          <w:rtl w:val="true"/>
          <w:lang w:bidi="ar-SA"/>
        </w:rPr>
        <w:t xml:space="preserve">، أو بما ورد من أنّ آل فرعون يعرضون على </w:t>
      </w:r>
    </w:p>
    <w:p>
      <w:pPr>
        <w:pStyle w:val="BookText"/>
        <w:rPr/>
      </w:pPr>
      <w:r>
        <w:rPr>
          <w:rFonts w:ascii="Amiri" w:hAnsi="Amiri" w:eastAsia="Amiri" w:cs="Amiri"/>
          <w:color w:val="111111"/>
          <w:sz w:val="28"/>
          <w:sz w:val="28"/>
          <w:szCs w:val="28"/>
          <w:rtl w:val="true"/>
          <w:lang w:bidi="ar-SA"/>
        </w:rPr>
        <w:t>النار غدوّا و عشيا</w:t>
      </w:r>
      <w:r>
        <w:rPr>
          <w:rStyle w:val="FootnoteAnchor"/>
          <w:rtl w:val="true"/>
        </w:rPr>
        <w:footnoteReference w:id="963"/>
      </w:r>
      <w:r>
        <w:rPr>
          <w:rFonts w:ascii="Amiri" w:hAnsi="Amiri" w:eastAsia="Amiri" w:cs="Amiri"/>
          <w:color w:val="111111"/>
          <w:sz w:val="28"/>
          <w:sz w:val="28"/>
          <w:szCs w:val="28"/>
          <w:rtl w:val="true"/>
          <w:lang w:bidi="ar-SA"/>
        </w:rPr>
        <w:t>، لأنهما راجعان إلى الحياة البرزخية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التنعيم او التعذيب فيهما، غيرهما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الصريحة في كونهما مخلوقين، كقوله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Style w:val="FootnoteAnchor"/>
          <w:rtl w:val="true"/>
        </w:rPr>
        <w:footnoteReference w:id="964"/>
      </w:r>
      <w:r>
        <w:rPr>
          <w:rFonts w:ascii="Amiri" w:hAnsi="Amiri" w:eastAsia="Amiri" w:cs="Amiri"/>
          <w:color w:val="111111"/>
          <w:sz w:val="28"/>
          <w:sz w:val="28"/>
          <w:szCs w:val="28"/>
          <w:rtl w:val="true"/>
          <w:lang w:bidi="ar-SA"/>
        </w:rPr>
        <w:t>و كقوله في حقّ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لِلْمُتَّقِينَ </w:t>
      </w:r>
      <w:r>
        <w:rPr>
          <w:rStyle w:val="FootnoteAnchor"/>
          <w:rtl w:val="true"/>
        </w:rPr>
        <w:footnoteReference w:id="965"/>
      </w:r>
      <w:r>
        <w:rPr>
          <w:rFonts w:ascii="Amiri" w:hAnsi="Amiri" w:eastAsia="Amiri" w:cs="Amiri"/>
          <w:color w:val="111111"/>
          <w:sz w:val="28"/>
          <w:sz w:val="28"/>
          <w:szCs w:val="28"/>
          <w:rtl w:val="true"/>
          <w:lang w:bidi="ar-SA"/>
        </w:rPr>
        <w:t xml:space="preserve">، و أُعِدَّتْ لِلَّذِينَ آمَنُوا بِاللّٰهِ وَ رُسُلِهِ </w:t>
      </w:r>
      <w:r>
        <w:rPr>
          <w:rStyle w:val="FootnoteAnchor"/>
          <w:rtl w:val="true"/>
        </w:rPr>
        <w:footnoteReference w:id="966"/>
      </w:r>
      <w:r>
        <w:rPr>
          <w:rFonts w:ascii="Amiri" w:hAnsi="Amiri" w:eastAsia="Amiri" w:cs="Amiri"/>
          <w:color w:val="111111"/>
          <w:sz w:val="28"/>
          <w:sz w:val="28"/>
          <w:szCs w:val="28"/>
          <w:rtl w:val="true"/>
          <w:lang w:bidi="ar-SA"/>
        </w:rPr>
        <w:t xml:space="preserve">، و وَ أُزْلِفَتِ اَلْجَنَّةُ لِلْمُتَّقِينَ </w:t>
      </w:r>
      <w:r>
        <w:rPr>
          <w:rStyle w:val="FootnoteAnchor"/>
          <w:rtl w:val="true"/>
        </w:rPr>
        <w:footnoteReference w:id="967"/>
      </w:r>
      <w:r>
        <w:rPr>
          <w:rFonts w:ascii="Amiri" w:hAnsi="Amiri" w:eastAsia="Amiri" w:cs="Amiri"/>
          <w:color w:val="111111"/>
          <w:sz w:val="28"/>
          <w:sz w:val="28"/>
          <w:szCs w:val="28"/>
          <w:rtl w:val="true"/>
          <w:lang w:bidi="ar-SA"/>
        </w:rPr>
        <w:t>و في حق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Style w:val="FootnoteAnchor"/>
          <w:rtl w:val="true"/>
        </w:rPr>
        <w:footnoteReference w:id="968"/>
      </w:r>
      <w:r>
        <w:rPr>
          <w:rFonts w:ascii="Amiri" w:hAnsi="Amiri" w:eastAsia="Amiri" w:cs="Amiri"/>
          <w:color w:val="111111"/>
          <w:sz w:val="28"/>
          <w:sz w:val="28"/>
          <w:szCs w:val="28"/>
          <w:rtl w:val="true"/>
          <w:lang w:bidi="ar-SA"/>
        </w:rPr>
        <w:t xml:space="preserve">و بُرِّزَتِ اَلْجَحِيمُ لِلْغٰاوِينَ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التعبير عن المستقبل بلفظ الماضي مبالغة في تحققه،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w:t>
      </w:r>
      <w:r>
        <w:rPr>
          <w:rStyle w:val="FootnoteAnchor"/>
          <w:rtl w:val="true"/>
        </w:rPr>
        <w:footnoteReference w:id="970"/>
      </w:r>
      <w:r>
        <w:rPr>
          <w:rFonts w:ascii="Amiri" w:hAnsi="Amiri" w:eastAsia="Amiri" w:cs="Amiri"/>
          <w:color w:val="111111"/>
          <w:sz w:val="28"/>
          <w:sz w:val="28"/>
          <w:szCs w:val="28"/>
          <w:rtl w:val="true"/>
          <w:lang w:bidi="ar-SA"/>
        </w:rPr>
        <w:t xml:space="preserve">و وَ نٰادىٰ أَصْحٰابُ اَلْجَنَّةِ أَصْحٰابَ اَلنّٰارِ </w:t>
      </w:r>
      <w:r>
        <w:rPr>
          <w:rStyle w:val="FootnoteAnchor"/>
          <w:rtl w:val="true"/>
        </w:rPr>
        <w:footnoteReference w:id="971"/>
      </w:r>
      <w:r>
        <w:rPr>
          <w:rFonts w:ascii="Amiri" w:hAnsi="Amiri" w:eastAsia="Amiri" w:cs="Amiri"/>
          <w:color w:val="111111"/>
          <w:sz w:val="28"/>
          <w:sz w:val="28"/>
          <w:szCs w:val="28"/>
          <w:rtl w:val="true"/>
          <w:lang w:bidi="ar-SA"/>
        </w:rPr>
        <w:t>، يحتاج إلى دليل</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الاستدلال أمتن من سابقه، و مع ذلك فالاعتقاد بكونهما مخلوقتين الآن يتوقف على كون دلالتهما على المقصود قطعية، و هو غير حاصل، لما عرفت من الاحتمال الآخر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بعض هذه الآيات لا يحتمل إلا المعنى الأول،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 ، إذ لم ير التعبير عن الشيء الذي سيتحقق غدا، بالجملة الاسمية</w:t>
      </w:r>
      <w:r>
        <w:rPr>
          <w:rFonts w:eastAsia="Amiri" w:cs="Amiri" w:ascii="Amiri" w:hAnsi="Amiri"/>
          <w:color w:val="111111"/>
          <w:sz w:val="28"/>
          <w:szCs w:val="28"/>
          <w:rtl w:val="true"/>
          <w:lang w:bidi="ar-SA"/>
        </w:rPr>
        <w:t xml:space="preserve">. </w:t>
      </w:r>
      <w:bookmarkStart w:id="1053" w:name="pg16351_181331"/>
    </w:p>
    <w:p>
      <w:pPr>
        <w:pStyle w:val="BookText"/>
        <w:rPr/>
      </w:pPr>
      <w:bookmarkEnd w:id="1053"/>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رغّب المكلّفين بالجنّة، و رهّبهم بالنار، فكيف يصح الترغيب بجنة لم يخلقها، و الترهيب بنار لم يخلقها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الوجه ضعيف جدا، لأنّ الجنّة الموصوفة، لمّا كانت مقدورة له تعالى، و مثلها النار، صحّ الترغيب و الترهيب، كما رغب المكلفين في ثواب لم يوجد بعد، لأنّ وعده صادق و أمره واقع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روايات لا يمكن العدول عنها، لتضافرها روى الصدوق في الأمالي و التوحيد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الجنّة و النار أ هما اليوم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رسول اللّه قد دخل الجنة و رأى النار، لما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قوما يقولون إنّهما اليوم مقدّرتان غير مخلوقتين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أولئك منّا و لا نحن منهم، من أنكر خلق الجنة و النار، فقد كذّب النبي صلى اللّه عليه و آله و كذّبنا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6422790_1280447820"/>
      <w:bookmarkStart w:id="1055" w:name="_Toc412"/>
      <w:bookmarkEnd w:id="1054"/>
      <w:r>
        <w:rPr>
          <w:rtl w:val="true"/>
        </w:rPr>
        <w:t>أدلة النافين لخلقهما</w:t>
      </w:r>
      <w:bookmarkEnd w:id="1055"/>
    </w:p>
    <w:p>
      <w:pPr>
        <w:pStyle w:val="BookText"/>
        <w:rPr/>
      </w:pPr>
      <w:r>
        <w:rPr>
          <w:rFonts w:ascii="IRNazanin" w:hAnsi="IRNazanin" w:eastAsia="IRNazanin"/>
          <w:color w:val="111111"/>
          <w:sz w:val="28"/>
          <w:sz w:val="28"/>
          <w:szCs w:val="28"/>
          <w:rtl w:val="true"/>
          <w:lang w:bidi="fa-IR"/>
        </w:rPr>
        <w:t>استدل النافون لخلقهما بوجوه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خلق الجنة و النار قبل يوم الجزاء، عبث، لا يليق بالحكيم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لو خلقتا لهلكتا،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977"/>
      </w:r>
      <w:r>
        <w:rPr>
          <w:rFonts w:ascii="Amiri" w:hAnsi="Amiri" w:eastAsia="Amiri" w:cs="Amiri"/>
          <w:color w:val="111111"/>
          <w:sz w:val="28"/>
          <w:sz w:val="28"/>
          <w:szCs w:val="28"/>
          <w:rtl w:val="true"/>
          <w:lang w:bidi="ar-SA"/>
        </w:rPr>
        <w:t>و اللازم باطل، للإجماع على دوامهما، و للنصوص الشاهدة بدوام أكل الجنة و ظلّها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لو وجدتا الآن فإما في هذا العالم، أو في عالم آخر، و كلاهما باطل، أمّا الأوّل فلأنه لا يتصور في أفلاكه، لامتناع الخرق و الالتئام عليها، </w:t>
      </w:r>
    </w:p>
    <w:p>
      <w:pPr>
        <w:pStyle w:val="BookText"/>
        <w:rPr/>
      </w:pPr>
      <w:r>
        <w:rPr>
          <w:rFonts w:ascii="Amiri" w:hAnsi="Amiri" w:eastAsia="Amiri" w:cs="Amiri"/>
          <w:color w:val="111111"/>
          <w:sz w:val="28"/>
          <w:sz w:val="28"/>
          <w:szCs w:val="28"/>
          <w:rtl w:val="true"/>
          <w:lang w:bidi="ar-SA"/>
        </w:rPr>
        <w:t>و لامتناع حصول العنصريات فيها، و لأنّها لا تسع جنّة عرضها كعرض السماء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بأن يكونا فوق محدد الجهات</w:t>
      </w:r>
      <w:r>
        <w:rPr>
          <w:rStyle w:val="FootnoteAnchor"/>
          <w:rtl w:val="true"/>
        </w:rPr>
        <w:footnoteReference w:id="978"/>
      </w:r>
      <w:r>
        <w:rPr>
          <w:rFonts w:ascii="Amiri" w:hAnsi="Amiri" w:eastAsia="Amiri" w:cs="Amiri"/>
          <w:color w:val="111111"/>
          <w:sz w:val="28"/>
          <w:sz w:val="28"/>
          <w:szCs w:val="28"/>
          <w:rtl w:val="true"/>
          <w:lang w:bidi="ar-SA"/>
        </w:rPr>
        <w:t>، فلأنّه يلزم أن يكون في اللامكان مكان، و في اللاجهة جهة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الأول أنّ الحكم بالعبثية يتوقف على العلم القطعي بعدم ترتب غرض عليه، و من أين لنا بهذا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 أنّه ليس المراد من هٰالِكٌ هو تحقق انعدامه و بطلان وجوده، بل المراد أنّ كل شيء هالك في نفسه، باطل في ذاته، لا حقيقة له إلا ما كان عنده مما أفاضه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الثابتة في الواقع التي ليست هالكة باطلة من الأشياء هي صفاته الكريمة، و آياته الدالة عليها فيهما جميعها ثابتة بثبوت الذات المقدسة، هذا بناء على كون المراد بالهالك في الآية، الهالك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أريد من الهالك ما يستقبله الهلاك و الفناء، بناء على ما قيل من أنّ اسم الفاعل ظاهر في الاستقبال، فهلاك الأشياء ليس بمعنى البطلان المطلق بعد الوجود، بأن لا يبقى منها أثر، فإنّ صريح كتاب اللّه ينفيه، فإن آياته تدل على أنّ كل شيء مرجعه إلى اللّه و أنّه المنتهى و إليه الرجعى، و هو الذي يبدئ الخلق ثم يعيده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المراد بالهلاك على هذا الوجه، تبدّل نشأة الوجود، و الرجوع إلى اللّه، المعبر عنه بالانتقال من الدنيا إلى الآخرة، و التلبس بالعود بعد البدء، و هذا إنما يشمل ما كان موجودا بوجود بدني دنيوي، و أما نفس الدار الآخرة، و ما هو موجود بوجود أخروي كالجنة و النار، فلا يتصف بالهلاك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اللوح المحفوظ، كما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عِنْدَنٰا كِتٰابٌ حَفِيظٌ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الآيات تعرب عن عدم شمول الآية إلا لما له وجود دنيوي، فيتبدل إلى وجود أخروي، لا ما كان موجودا بوجود أخروي من بدء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الثالث أنّه مبني على التصوير البطلميوسي للعالم، و قد أبطل العلم أصله، فيبطل ما فرع عليه، فإن الكون وسيع إلى حد لا تحيط به الأرقام و الأعداد النجومية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يمكن أن تكون الجنة و النار في ذلك الفضاء الواسع الذي لا يحيط بسعته إلا اللّه سبحانه، و ليس علينا تعيين مكانهما بالدقة، كيف و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Style w:val="FootnoteAnchor"/>
          <w:rtl w:val="true"/>
        </w:rPr>
        <w:footnoteReference w:id="984"/>
      </w:r>
      <w:r>
        <w:rPr>
          <w:rFonts w:ascii="Amiri" w:hAnsi="Amiri" w:eastAsia="Amiri" w:cs="Amiri"/>
          <w:color w:val="111111"/>
          <w:sz w:val="28"/>
          <w:sz w:val="28"/>
          <w:szCs w:val="28"/>
          <w:rtl w:val="true"/>
          <w:lang w:bidi="ar-SA"/>
        </w:rPr>
        <w:t>، فلمّا كان المراد من جنة المأوى، الجنة الموعودة، فهي عند سدرة المنتهى، و قد سئل ابن عباس عن سدرة المنتهى،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إليها ينتهي علم كل عالم، و ما وراءها لا يعلمه إلاّ اللّه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سدرة المنتهى هي منتهى علم البشر، فلن يصل علمهم إلى الجنة الموعودة التي هي عندها، و لا يمكن لأحد تعيين مكانها، بل غاية ما يمكن قوله هو أنّهما مخلوقتان موجودتان في هذا الكون غير المتناهي طولا و عرضا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w:t>
      </w:r>
      <w:r>
        <w:rPr>
          <w:rStyle w:val="FootnoteAnchor"/>
          <w:rtl w:val="true"/>
        </w:rPr>
        <w:footnoteReference w:id="986"/>
      </w:r>
      <w:r>
        <w:rPr>
          <w:rFonts w:ascii="Amiri" w:hAnsi="Amiri" w:eastAsia="Amiri" w:cs="Amiri"/>
          <w:color w:val="111111"/>
          <w:sz w:val="28"/>
          <w:sz w:val="28"/>
          <w:szCs w:val="28"/>
          <w:rtl w:val="true"/>
          <w:lang w:bidi="ar-SA"/>
        </w:rPr>
        <w:t>، فليس المراد من العرض فيه ما يضاد الطول، بل هو بمعنى السعة، و الآية بصدد بيان سعة الجنة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يستفاد من ظاهرها أنّها ليست في السماء التي يراد منها السيارات و الكواكب و المجرّات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ذلك أنّ النظام السمائي السائد على الكون المشاهد، يتلاشى عند قيام القيامة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Style w:val="FootnoteAnchor"/>
          <w:rtl w:val="true"/>
        </w:rPr>
        <w:footnoteReference w:id="987"/>
      </w:r>
      <w:r>
        <w:rPr>
          <w:rFonts w:ascii="Amiri" w:hAnsi="Amiri" w:eastAsia="Amiri" w:cs="Amiri"/>
          <w:color w:val="111111"/>
          <w:sz w:val="28"/>
          <w:sz w:val="28"/>
          <w:szCs w:val="28"/>
          <w:rtl w:val="true"/>
          <w:lang w:bidi="ar-SA"/>
        </w:rPr>
        <w:t>فلو كانت الجنة و النار فيها، للزم تلاشيهما و اندثارهما عند قيام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الجنة و النار كسائر الموجودات الإمكانية، تتكاملان و تتسعان، و يؤيّده ما روي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أسري بي، مرّ بي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أن يكثروا من غرس الجنة، فإن أرضها واسعة و تربتها طيبة،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غرس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القول بأنّ الجنة و النار حسب ظواهر الكتاب، موجودتان في الخارج، مع قطع النظر عن أعمال المكلف، و أنّهما معدّتان للمطيع و العاصي، و أما على القول بأنّه ليس لهما وراء عمل الإنسان حقيقة، و أن الجنة و النار عبارة عن تجسم عمل الإنسان بصورة حسنة و بهيّة، أو قبيحة و مرعبة، فالجنة و النار موجودتان واقعا بوجودهما المناسب في الدار الآخرة، و إن كان الإنسان، لأجل كونه محاطا بهذه الظروف الدنيوية، غير قادر على رؤيتهما، و إلا فالعمل، سواء كان صالحا أو طالحا، قد تحقق و له وجودان و تمثّلان، و كلّ موجود في ظرفه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عدالة الصحابة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 اتهامهم بالقول بتحريف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في الكتاب و السّنّة </w:t>
      </w:r>
      <w:bookmarkStart w:id="1056" w:name="pg16351_181337"/>
    </w:p>
    <w:p>
      <w:pPr>
        <w:pStyle w:val="Heading3"/>
        <w:numPr>
          <w:ilvl w:val="2"/>
          <w:numId w:val="1"/>
        </w:numPr>
        <w:rPr/>
      </w:pPr>
      <w:bookmarkStart w:id="1057" w:name="__RefHeading___Toc6422792_1280447820"/>
      <w:bookmarkStart w:id="1058" w:name="_Toc413"/>
      <w:bookmarkEnd w:id="1056"/>
      <w:bookmarkEnd w:id="1057"/>
      <w:r>
        <w:rPr>
          <w:rtl w:val="true"/>
        </w:rPr>
        <w:t>مباحث الخاتمة</w:t>
      </w:r>
      <w:bookmarkEnd w:id="1058"/>
    </w:p>
    <w:p>
      <w:pPr>
        <w:pStyle w:val="Heading4"/>
        <w:numPr>
          <w:ilvl w:val="3"/>
          <w:numId w:val="1"/>
        </w:numPr>
        <w:rPr/>
      </w:pPr>
      <w:bookmarkStart w:id="1059" w:name="__RefHeading___Toc6422794_1280447820"/>
      <w:bookmarkStart w:id="1060" w:name="_Toc414"/>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قد تعرفت فيما تقدم على المسائل الرئيسية المطروحة في علم الكلام الإسلامي، و وقفت على الحق القراح الذي يدعمه العقل و يثبته الكتاب و السنة المطهرة، و هناك بعض المسائل التي لم تزل الشيعة الإمامية، تزدرى بها، و تهاجم أو تتّهم بالاعتقاد بها، 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الاعتراف بعدالة جميع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الاتهام بالقول بتحريف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قدّمنا البحث عن البداء في الجزء الأول من الكتاب</w:t>
      </w:r>
      <w:r>
        <w:rPr>
          <w:rStyle w:val="FootnoteAnchor"/>
          <w:rtl w:val="true"/>
        </w:rPr>
        <w:footnoteReference w:id="989"/>
      </w:r>
      <w:r>
        <w:rPr>
          <w:rFonts w:ascii="Amiri" w:hAnsi="Amiri" w:eastAsia="Amiri" w:cs="Amiri"/>
          <w:color w:val="111111"/>
          <w:sz w:val="28"/>
          <w:sz w:val="28"/>
          <w:szCs w:val="28"/>
          <w:rtl w:val="true"/>
          <w:lang w:bidi="ar-SA"/>
        </w:rPr>
        <w:t>، و عن الرجعة في مباحث المعاد</w:t>
      </w:r>
      <w:r>
        <w:rPr>
          <w:rStyle w:val="FootnoteAnchor"/>
          <w:rtl w:val="true"/>
        </w:rPr>
        <w:footnoteReference w:id="990"/>
      </w:r>
      <w:r>
        <w:rPr>
          <w:rFonts w:ascii="Amiri" w:hAnsi="Amiri" w:eastAsia="Amiri" w:cs="Amiri"/>
          <w:color w:val="111111"/>
          <w:sz w:val="28"/>
          <w:sz w:val="28"/>
          <w:szCs w:val="28"/>
          <w:rtl w:val="true"/>
          <w:lang w:bidi="ar-SA"/>
        </w:rPr>
        <w:t xml:space="preserve">، و فيما يلي نتعرض إلى بقية هذه المسائل، و إن كان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الفقهية التي لا تمت إلى المسائل الكلامية بصلة، و لكن نذكرها رجاء الستر عن وجه الحق، و تقريب الخطى بين المسلمين</w:t>
      </w:r>
      <w:r>
        <w:rPr>
          <w:rFonts w:eastAsia="Amiri" w:cs="Amiri" w:ascii="Amiri" w:hAnsi="Amiri"/>
          <w:color w:val="111111"/>
          <w:sz w:val="28"/>
          <w:szCs w:val="28"/>
          <w:rtl w:val="true"/>
          <w:lang w:bidi="ar-SA"/>
        </w:rPr>
        <w:t xml:space="preserve">. </w:t>
      </w:r>
      <w:bookmarkStart w:id="1061" w:name="pg16351_181338"/>
    </w:p>
    <w:p>
      <w:pPr>
        <w:pStyle w:val="BookText"/>
        <w:rPr/>
      </w:pPr>
      <w:bookmarkEnd w:id="1061"/>
      <w:r>
        <w:rPr>
          <w:rFonts w:ascii="Amiri" w:hAnsi="Amiri" w:eastAsia="Amiri" w:cs="Amiri"/>
          <w:color w:val="111111"/>
          <w:sz w:val="28"/>
          <w:sz w:val="28"/>
          <w:szCs w:val="28"/>
          <w:rtl w:val="true"/>
          <w:lang w:bidi="ar-SA"/>
        </w:rPr>
        <w:t>مباحث الخاتمة</w:t>
      </w:r>
    </w:p>
    <w:p>
      <w:pPr>
        <w:pStyle w:val="Heading4"/>
        <w:numPr>
          <w:ilvl w:val="3"/>
          <w:numId w:val="1"/>
        </w:numPr>
        <w:rPr/>
      </w:pPr>
      <w:bookmarkStart w:id="1062" w:name="__RefHeading___Toc6422796_1280447820"/>
      <w:bookmarkStart w:id="1063" w:name="_Toc415"/>
      <w:bookmarkEnd w:id="1062"/>
      <w:r>
        <w:rPr>
          <w:rtl w:val="true"/>
        </w:rPr>
        <w:t>(</w:t>
      </w:r>
      <w:r>
        <w:rPr/>
        <w:t>1</w:t>
      </w:r>
      <w:r>
        <w:rPr>
          <w:rtl w:val="true"/>
        </w:rPr>
        <w:t xml:space="preserve">) </w:t>
      </w:r>
      <w:r>
        <w:rPr>
          <w:rtl w:val="true"/>
        </w:rPr>
        <w:t>التقيّة في الكتاب و السّنة</w:t>
      </w:r>
      <w:bookmarkEnd w:id="1063"/>
    </w:p>
    <w:p>
      <w:pPr>
        <w:pStyle w:val="Heading5"/>
        <w:numPr>
          <w:ilvl w:val="4"/>
          <w:numId w:val="1"/>
        </w:numPr>
        <w:rPr/>
      </w:pPr>
      <w:bookmarkStart w:id="1064" w:name="__RefHeading___Toc6422798_1280447820"/>
      <w:bookmarkStart w:id="1065" w:name="_Toc416"/>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إنّ مما يشنع به على الشيعة و يزدرى به عليهم، قولهم بالتقية و عملهم بها في أحايين و ظروف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المشنعين لم يقفوا على مغزاها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تثبّتوا في الأمر، و تريثوا في الحكم، و رجعوا إلى كتاب اللّه و سنّة رسوله، و سألوا أهل الذكر، لوقفوا على أنها مما تحكم به ضرورة العقل و نص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هاهنا أمرين مختلفين ربما يخلط الجاهل أحدهما بالآخر، و 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ضربوهما بسهم واحد، و أعطوهما حكما واحدا فقالوا إن التقية فرع من النفاق تجلّى في الشيعة باسم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رجعوا إلى الكتاب العزيز لعرفوا أنّه بينما يندد بالنفاق و المنافقين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w:t>
      </w:r>
      <w:r>
        <w:rPr>
          <w:rStyle w:val="FootnoteAnchor"/>
          <w:rtl w:val="true"/>
        </w:rPr>
        <w:footnoteReference w:id="991"/>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992"/>
      </w:r>
      <w:r>
        <w:rPr>
          <w:rFonts w:ascii="Amiri" w:hAnsi="Amiri" w:eastAsia="Amiri" w:cs="Amiri"/>
          <w:color w:val="111111"/>
          <w:sz w:val="28"/>
          <w:sz w:val="28"/>
          <w:szCs w:val="28"/>
          <w:rtl w:val="true"/>
          <w:lang w:bidi="ar-SA"/>
        </w:rPr>
        <w:t>، يحرّض على التقية في ظروف خاصة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w:t>
      </w:r>
    </w:p>
    <w:p>
      <w:pPr>
        <w:pStyle w:val="BookText"/>
        <w:rPr/>
      </w:pPr>
      <w:r>
        <w:rPr>
          <w:rFonts w:ascii="Amiri" w:hAnsi="Amiri" w:eastAsia="Amiri" w:cs="Amiri"/>
          <w:color w:val="111111"/>
          <w:sz w:val="28"/>
          <w:sz w:val="28"/>
          <w:szCs w:val="28"/>
          <w:rtl w:val="true"/>
          <w:lang w:bidi="ar-SA"/>
        </w:rPr>
        <w:t xml:space="preserve">ذٰلِكَ فَلَيْسَ مِنَ اَللّٰهِ فِي شَيْ‌ءٍ، إِلاّٰ أَنْ تَتَّقُوا مِنْهُمْ تُقٰاةً، وَ يُحَذِّرُكُمُ اَللّٰهُ نَفْسَهُ وَ إِلَى اَللّٰهِ اَلْمَصِيرُ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 استثناء من أهم الأحوال، أي إنّ ترك موالات الكافرين حتم على المؤمنين في كل حال، إلا في حال الخوف من شيء يتّقونه منهم، فللمؤمنين حينئذ أن يوالوهم بقدر ما يتّقى به ذلك الشيء، لأنّ درء المفاسد مقدّم على جلب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منقطع، فإنّ التقرب من الغير خوفا بإظهار آثار التولّي ظاهرا، من غير عقد القلب على الحب و الولاية، ليس من التولّي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الخوف و الحبّ أمران قلبيّان، و متنافيان أثرا في القلب، فكيف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الاتقاء استثناء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التقية من فروع النفاق، فلما ذا دعا إليها الكتاب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إسحاق و ابن جرير، و 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بن عمرو، حليف كعب الأشرف، ابن أبي الحقيق، و قيس بن زيد، و قد بطنوا بنفر من الأنصار، ليفتنوهم عن دينهم، فقال رفاعة بن المنذر و عبد اللّه بن جبير، و سعد بن خيثمة لأولئك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هؤلاء النفر من اليهود، و احذروا مباطنتهم لا يفتنونكم عن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أولئك النفر،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إلى قوله وَ اَللّٰهُ عَلىٰ كُلِّ شَيْ‌ءٍ قَدِيرٌ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أنّه سبحانه يجوّز إظهار الكفر كرها، و مجاراة الكافرين خوفا </w:t>
      </w:r>
    </w:p>
    <w:p>
      <w:pPr>
        <w:pStyle w:val="BookText"/>
        <w:rPr/>
      </w:pPr>
      <w:r>
        <w:rPr>
          <w:rFonts w:ascii="Amiri" w:hAnsi="Amiri" w:eastAsia="Amiri" w:cs="Amiri"/>
          <w:color w:val="111111"/>
          <w:sz w:val="28"/>
          <w:sz w:val="28"/>
          <w:szCs w:val="28"/>
          <w:rtl w:val="true"/>
          <w:lang w:bidi="ar-SA"/>
        </w:rPr>
        <w:t>منهم بشرط أن يكون القلب مطمئنا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مداراة الكافرين في بعض الظروف نفاقا، فلم رخّصه الإسلام و أباحه، و قد اتفق المفسرون على أنّ الآية نزلت في جماعة أكرهوا على الكفر، و هم عمّار و أبوه ياسر و أمّه سميّة، و قتل أبو عمار و أمّة، و أعطاهم عمّار بلسانه ما أرادوا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بذلك رسول اللّه، فقال قوم كفر عمار، فقال صلوات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 اختلط الإيمان بلحمه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عمار إلى رسول اللّه و هو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يا رسول اللّه، ما تركت حتى نلت منك، و ذكرت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شذت عن المسلمين جماعة الخوارج فمنعوا التقية في الدين مطلقا، و إن أكره المؤمن و خاف القتل، زاعمين أنّ الدين لا يقدّم عليه شيء</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ذكروه اجتهاد في مقابل النص، فإنّ الآية تصرح بأنّ من نطق بكلمة الكفر مكرها، وقاية لنفسه من الهلاك، لا شارحا بالكفر صدرا، و لا مستحسنا للحياة الدنيا على الآخرة، لا يكون كافر بل يعذّر، كما عذّر الصحابي الذي قال له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فتركه، و قتل رفيقه الذي سأله هذا السؤال و رفضه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 ربما يترتب على التقية و مجاراة أعداء الدين و مخالفي الحق، حفظ مصالح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الفرق بين النفاق و التقية، فإن بين الأمرين فرقا جوهريا لا يخلط أحدهما بالآخر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التقية و النفاق يختلفان من وجهين، و ربما يكون الفرق أكثر من ذلك، و لكن نكتفي بهما</w:t>
      </w:r>
      <w:r>
        <w:rPr>
          <w:rFonts w:eastAsia="Amiri" w:cs="Amiri" w:ascii="Amiri" w:hAnsi="Amiri"/>
          <w:color w:val="111111"/>
          <w:sz w:val="28"/>
          <w:szCs w:val="28"/>
          <w:rtl w:val="true"/>
          <w:lang w:bidi="ar-SA"/>
        </w:rPr>
        <w:t xml:space="preserve">: </w:t>
      </w:r>
      <w:bookmarkStart w:id="1066" w:name="pg16351_181341"/>
    </w:p>
    <w:p>
      <w:pPr>
        <w:pStyle w:val="Heading5"/>
        <w:numPr>
          <w:ilvl w:val="4"/>
          <w:numId w:val="1"/>
        </w:numPr>
        <w:rPr/>
      </w:pPr>
      <w:bookmarkStart w:id="1067" w:name="__RefHeading___Toc6422800_1280447820"/>
      <w:bookmarkStart w:id="1068" w:name="_Toc417"/>
      <w:bookmarkEnd w:id="1066"/>
      <w:bookmarkEnd w:id="1067"/>
      <w:r>
        <w:rPr/>
        <w:t>1</w:t>
      </w:r>
      <w:r>
        <w:rPr>
          <w:rtl w:val="true"/>
        </w:rPr>
        <w:t xml:space="preserve"> - </w:t>
      </w:r>
      <w:r>
        <w:rPr>
          <w:rtl w:val="true"/>
        </w:rPr>
        <w:t>اختلافهما من حيث المبادي النفسية</w:t>
      </w:r>
      <w:bookmarkEnd w:id="1068"/>
    </w:p>
    <w:p>
      <w:pPr>
        <w:pStyle w:val="BookText"/>
        <w:rPr/>
      </w:pPr>
      <w:r>
        <w:rPr>
          <w:rFonts w:ascii="Amiri" w:hAnsi="Amiri" w:eastAsia="Amiri" w:cs="Amiri"/>
          <w:color w:val="111111"/>
          <w:sz w:val="28"/>
          <w:sz w:val="28"/>
          <w:szCs w:val="28"/>
          <w:rtl w:val="true"/>
          <w:lang w:bidi="ar-SA"/>
        </w:rPr>
        <w:t>إنّ المتقي مؤمن باللّه سبحانه و كتبه و رسله، غير أنّه يرى صلاح دينه و دنياه في عدم التظاهر بما آمن به، و التظاهر بخلافه في بعض الأحايين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المنافق هو من يبطن الكفر، و عدم الإيمان باللّه سبحانه، و كتبه، و رسله، أو ما دونها من المبادي الدينية، و لكنه يتظاهر بالإيمان حتى يتخيّل المؤمنون أنّه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مؤمن آل فرعون، يكتم إيمانه، تقية من قومه، و ربما يتظاهر بأنّه على دين قومه، و لكنه بهذا الغطاء يخدم دينه و نبيّه، فيرشد قومه إلى رصانة دينه، ببيان بليغ صادر عن رجل محايد، كما يخدم نبي زمانه بإبلاغه مؤامرة قومه للفتك به، و تظهر تلك الحقيقة في الآيتين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6422802_1280447820"/>
      <w:bookmarkStart w:id="1070" w:name="_Toc418"/>
      <w:bookmarkEnd w:id="1069"/>
      <w:r>
        <w:rPr/>
        <w:t>2</w:t>
      </w:r>
      <w:r>
        <w:rPr>
          <w:rtl w:val="true"/>
        </w:rPr>
        <w:t xml:space="preserve"> - </w:t>
      </w:r>
      <w:r>
        <w:rPr>
          <w:rtl w:val="true"/>
        </w:rPr>
        <w:t>اختلافهما من حيث الغايات و الأغراض</w:t>
      </w:r>
      <w:bookmarkEnd w:id="107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مستعمل التقية لا يهدف من استعمالها، إلا صيانة نفسه عن الأذى و القتل، و عرضه عن الهتك، و ماله عن النّهب، أو ما يؤول إليها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هناك طمأنينة بالنسبة إلى ما يرجع إليه من هذه الأمور، لما استعمل التقية، و لا لجأ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التقية لأجل التحابب و التوادد، ترجع غايتها إلى درء الشر عن النفس و النفيس</w:t>
      </w:r>
      <w:r>
        <w:rPr>
          <w:rFonts w:eastAsia="Amiri" w:cs="Amiri" w:ascii="Amiri" w:hAnsi="Amiri"/>
          <w:color w:val="111111"/>
          <w:sz w:val="28"/>
          <w:szCs w:val="28"/>
          <w:rtl w:val="true"/>
          <w:lang w:bidi="ar-SA"/>
        </w:rPr>
        <w:t xml:space="preserve">. </w:t>
      </w:r>
      <w:bookmarkStart w:id="1071" w:name="pg16351_181342"/>
    </w:p>
    <w:p>
      <w:pPr>
        <w:pStyle w:val="BookText"/>
        <w:rPr/>
      </w:pPr>
      <w:bookmarkEnd w:id="1071"/>
      <w:r>
        <w:rPr>
          <w:rFonts w:ascii="Amiri" w:hAnsi="Amiri" w:eastAsia="Amiri" w:cs="Amiri"/>
          <w:color w:val="111111"/>
          <w:sz w:val="28"/>
          <w:sz w:val="28"/>
          <w:szCs w:val="28"/>
          <w:rtl w:val="true"/>
          <w:lang w:bidi="ar-SA"/>
        </w:rPr>
        <w:t>و أما المنافق فإنما يلجأ إلى النفاق، لا لتلك الغايات المقدّسة، و إنما يريد أن يتدخل في شئون المسلمين، و يقلب ظهر المجن عليهم في الظروف القاسية أو يشترك معهم في المناصب، و المقامات و الغنائم و الأموال و غير ذلك مما تلتذ به النفوس الحريصة، و لأجل ذلك يعدّ سبحانه عبد اللّه بن أبيّ و أنصار حزبه من المنافقين و إن تظاهروا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6422804_1280447820"/>
      <w:bookmarkStart w:id="1073" w:name="_Toc419"/>
      <w:bookmarkEnd w:id="1072"/>
      <w:r>
        <w:rPr>
          <w:rtl w:val="true"/>
        </w:rPr>
        <w:t>سؤال و جواب</w:t>
      </w:r>
      <w:bookmarkEnd w:id="1073"/>
    </w:p>
    <w:p>
      <w:pPr>
        <w:pStyle w:val="BookText"/>
        <w:rPr/>
      </w:pPr>
      <w:r>
        <w:rPr>
          <w:rFonts w:ascii="Amiri" w:hAnsi="Amiri" w:eastAsia="Amiri" w:cs="Amiri"/>
          <w:color w:val="111111"/>
          <w:sz w:val="28"/>
          <w:sz w:val="28"/>
          <w:szCs w:val="28"/>
          <w:rtl w:val="true"/>
          <w:lang w:bidi="ar-SA"/>
        </w:rPr>
        <w:t>أما السؤال،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راجعتان إلى تقيّة المسلم من الكافر، و لكن الشيعة تتقي إخوانهم المسلمين، فكيف يستدل بهما على صحة عملهم؟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الجواب،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و إن كانتا لا تشملان تقية المسلم من أخيه المسلم بالدلالة اللفظية، و لكنهما تشملان غير مورد هما بنفس الملاك الذي سوّغ تقية المسلم من الكافر فإن وجه تشريع التقية هو صيانة النفس و العرض و المال من الهلاك و الدمار، فإن كان هذا الملاك موجودا في غير مورد الآية فيجوز، أخذا بوحدة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عمل الشيعة على التقية منذ تغلّب معاوية على الأمة، و ابتزازه الإمرة عليها بغير رضا منها، و صار يتلاعب بالشريعة الإسلامية حسب أهوائه، و جعل يتتبع شيعة علي و يقتلهم تحت كل حجر و مدر، و يأخذ على الظنة و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سارت على طريقته العوجاء الدولة المروانية، ثم العباسية، فزادتا في الطين بلة، و في الطنبور نغمة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ذاك، اضطر الشيعة إلى كتمان أمرها تارة، و التظاهر به أخرى، زنة ما تقتضيه مناصرة الحق، و مكافحة الضلال، و ما يحصل به إتمام الحجة</w:t>
      </w:r>
      <w:r>
        <w:rPr>
          <w:rFonts w:eastAsia="Amiri" w:cs="Amiri" w:ascii="Amiri" w:hAnsi="Amiri"/>
          <w:color w:val="111111"/>
          <w:sz w:val="28"/>
          <w:szCs w:val="28"/>
          <w:rtl w:val="true"/>
          <w:lang w:bidi="ar-SA"/>
        </w:rPr>
        <w:t xml:space="preserve">. </w:t>
      </w:r>
      <w:bookmarkStart w:id="1074" w:name="pg16351_181343"/>
    </w:p>
    <w:p>
      <w:pPr>
        <w:pStyle w:val="Heading5"/>
        <w:numPr>
          <w:ilvl w:val="4"/>
          <w:numId w:val="1"/>
        </w:numPr>
        <w:rPr/>
      </w:pPr>
      <w:bookmarkStart w:id="1075" w:name="__RefHeading___Toc6422806_1280447820"/>
      <w:bookmarkStart w:id="1076" w:name="_Toc420"/>
      <w:bookmarkEnd w:id="1074"/>
      <w:bookmarkEnd w:id="1075"/>
      <w:r>
        <w:rPr>
          <w:rtl w:val="true"/>
        </w:rPr>
        <w:t>التقية المحرّمة</w:t>
      </w:r>
      <w:bookmarkEnd w:id="1076"/>
    </w:p>
    <w:p>
      <w:pPr>
        <w:pStyle w:val="BookText"/>
        <w:rPr/>
      </w:pPr>
      <w:r>
        <w:rPr>
          <w:rFonts w:ascii="Amiri" w:hAnsi="Amiri" w:eastAsia="Amiri" w:cs="Amiri"/>
          <w:color w:val="111111"/>
          <w:sz w:val="28"/>
          <w:sz w:val="28"/>
          <w:szCs w:val="28"/>
          <w:rtl w:val="true"/>
          <w:lang w:bidi="ar-SA"/>
        </w:rPr>
        <w:t>إن التقية تنقسم حسب الأحكام الخمسة، فكما أنّها تجب لحفظ النفوس و الأعراض و الأموال، ربما تحرم إذا ترتب عليها مفسدة أعظم، كهدم الدين و خفاء الحقيقة عن الأجبال الآتية، و تسلط الأعداء على شئون المسلمين و حرماتهم و معابدهم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كثيرا من عظماء الشيعة و أكابرهم رفضوا التقية في بعض الأحايين و تهيئوا للشّنق على حبال الجور، و الصلب على أخشاب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ممن استعمل التقية و رفضها، له الحسنى، و كلّ عمل بوظيفته التي عينتها 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يحكي لنا عن الكثير من رجالات الشيعة الذين سحقوا التقية تحت أقدامهم، و قدّموا هياكلهم المقدسة قرابين للحق، منهم شهداء مرج عذراء، و قائدهم الصحابي العظيم الذي أنهكته العبادة و الورع، حجر بن عدي الكندي، الذي كان من قادة الجيوش الإسلامية الفاتحة للشام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ميثم التمار، و رشيد الهجري، و عبد اللّه بن يقطر، الذين شنقهم ابن زياد في كناسة الكوفة، هؤلاء و المئات من أمثالهم هانت عليهم نفوسهم العزيزة في سبيل الحق، و نطحوا صخرة الباطل، و ما عرفوا أين زرعت التقية و أين واديها، بل وجدوا العمل بها حراما، و لو سكتوا و عملوا بالتقية، لضاعت التقية من الدين، و أصبح دين الإسلام دين معاوية و يزيد، و زياد و ابن زياد، دين المكر، و دين الغدر، و دين النفاق، و دين الخداع، دين كل رذيلة، و أين هو من دين الإسلام الحق، الذي هو دين كل فضيلة، أولئك هم أضاحي الإسلام و قرابين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أولئك، إمام الشيعة، أبو الشهداء الحسين و أصحابه الذي هم سادة الشهداء، و قادة أهل الإباء</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6422808_1280447820"/>
      <w:bookmarkStart w:id="1078" w:name="_Toc421"/>
      <w:bookmarkEnd w:id="1077"/>
      <w:r>
        <w:rPr>
          <w:rtl w:val="true"/>
        </w:rPr>
        <w:t>خزاية التاريخ</w:t>
      </w:r>
      <w:bookmarkEnd w:id="10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يتّقي شيعة عليّ في أيام حكومة الأمويين، و هذا معاوية كتب إلى </w:t>
      </w:r>
    </w:p>
    <w:p>
      <w:pPr>
        <w:pStyle w:val="BookText"/>
        <w:rPr/>
      </w:pPr>
      <w:r>
        <w:rPr>
          <w:rFonts w:ascii="Amiri" w:hAnsi="Amiri" w:eastAsia="Amiri" w:cs="Amiri"/>
          <w:color w:val="111111"/>
          <w:sz w:val="28"/>
          <w:sz w:val="28"/>
          <w:szCs w:val="28"/>
          <w:rtl w:val="true"/>
          <w:lang w:bidi="ar-SA"/>
        </w:rPr>
        <w:t>عماله في جميع 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أقيمت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شفع ذلك بنسخة أخرى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اتهمتموه بموالاة هؤلاء القوم فنكلوا به و 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البلاء أشدّ و لا أكثر منه بالعراق و لا سيما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الحسن علي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الخطباء في كل كورة و على كل منبر، يلعنون عليا و يبرءون منه، و يقعون فيه و في أهل بيته، و كان أشد الناس بلاء حينئذ أهل الكوفة، لكثرة من بها من شيعة عليّ، فاستعمل عليهم زياد بن سمية، و ضم إليه البصرة، فكان يتتبع الشيعة و هو بهم عارف، لأنه كان منهم أيام علي عليه السلام، فقتلهم تحت كل حجر و مدر، و أخافهم، و قطع الأيدي و الأرجل، و سمل العيون، و صلبهم على جذوع النخل، و طردهم و شرّدهم عن العراق، فلم يبق بها معروف منهم</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رسالة قيّمة لأبي الشهداء، الحسين بن علي عليه السلام حول الدماء الجارية و النفوس المقتولة بيد ابن أبي سفيان، بذنب أنّهم شيعة علي و محبوه، رسالة تعدّ من أوثق المصادر التاريخية و مما جاء فيها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 استخفافا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بقاتل عمرو بن الحمق الذي أخلقت و أبلت وجهه العبادة، فقتلته من بعد ما أعطيته من العهود ما لو فهمته العصم نزلت من سقف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قاتل الحضرمي</w:t>
      </w:r>
      <w:r>
        <w:rPr>
          <w:rStyle w:val="FootnoteAnchor"/>
          <w:rtl w:val="true"/>
        </w:rPr>
        <w:footnoteReference w:id="1004"/>
      </w:r>
      <w:r>
        <w:rPr>
          <w:rFonts w:ascii="Amiri" w:hAnsi="Amiri" w:eastAsia="Amiri" w:cs="Amiri"/>
          <w:color w:val="111111"/>
          <w:sz w:val="28"/>
          <w:sz w:val="28"/>
          <w:szCs w:val="28"/>
          <w:rtl w:val="true"/>
          <w:lang w:bidi="ar-SA"/>
        </w:rPr>
        <w:t>الذي كتب إليك فيه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دين عليّ كرم اللّه وجهه، و دين علي هو دين ابن عمه صلى اللّه عليه و آله الذي أجلسك مجلسك الذي أنت فيه، و لو لا ذلك كان أفضل شرفك و شرف آبائك تجشّم الرحلتين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رحلة الشتاء و رحلة الصيف، فوضعها اللّه عنكم بنا، منّة عليكم</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الرزية كل الرزية تقية المسلم من المسلم، و خوف الأخ من أخيه، و لو لا الظلم الذي أوردته طائفة منهم على الأخرى، لما احتاجت إلى التقية، فلا ذنب للشيعة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سادت الحرية في العالم الإسلامي على الطوائف الإسلامية كلها، لما كان هناك وجه لتقية الأخ من الأخ، و لكن للأسف إنّ السلطة رأت أنّ مصالحها لا تقوم إلا بالضغط على الشيعة ليتركوا عقيدتهم و عملهم و يذوبوا في الطوائف الإسلامية الأخرى، فما ذنب الشيعة عندئذ من أنّ تتّقي السلطة و جلاوزتها و تتظاهر على خلاف ما تعتقد لئلا يقتلوا أو يصلبوا، أو تهتك أعراضهم أو تنهب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شهدت أوساط الشيعة من مجازر عامة بيد السلطات الغاشمة، فقتل الآلاف منهم بلا ذنب إلا اتّباعهم لأئمة أهل بيت نبي الإسلام، و اقتفائهم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نكتفي من ذلك بكلمة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نخرج عن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جانبا من تلك الجرائم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يفتأ شيخ الشيعة، أبو جعفر الطوسي، إمام عصره و عزيز مصره بغداد، حتى ثارت القلاقل و حدثت الفتن بين الشيعة و السنة، و لم تزل تنجم و تخبو بين الفينة و الفينة، حتى اتسع نطاقها بأمر طغرل بك أول القادة السلجوقيين، فورد بغداد، عام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و شنّ على الشيعة حملة شعواء و أمر بإحراق مكتبة الشيعة التي أنشأها أبو نصر، وزير بهاء الدولة البويهي، و كانت من دور العلم المهمة في بغداد، بناها هذا الوزير في محلة بين السورين، في الكرخ، عام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على مثال بيت الحكمة الذي بناه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مهمة للغاية فقد جمع فيها هذا الوزير ما تفرّق من كتب فارس و العراق و استكتب تآليف أهل الهند و الصين و الروم، و نافت كتبها على عشرة آلاف من جلائل الآثار، و مهام الأسفار، و أكثرها نسخ الأصل بخطوط المؤلّفين قال ابن الجوزي في حوادث سنة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هرب أبو جعفر الطوسي و نهبت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حوادث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صفر هذه السنة كبست دارة أبي جعفر الطوسي متكلم الشيعة بالكرخ، و أخذ ما وجد من دفاتره و كرسي يجلس عليه للكلام، و أخرج إلى الكرخ، و أضيف إليه ثلاث سناجيق بيض كان الزوار من أهل الكرخ يحملونها معهم إذا قصدوا زيارة الكوفة، و أحرق الجميع</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و نزر من كثير، حول اضطهاد الشيعة و قتلهم، و هتك أعراضهم، جئنا به ليقف القارئ على أنّ لجوء الشيعة إلى هذا الأصل لم يكن إلا لظروف قاسية مرت عليهم، و هي بعد سائدة، فما ذنب الشيعة إذا أرادوا صيانة أنفسهم و أعراضهم و أموالهم؟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عليكم أيّها الاخوان، لو كنتم انتم مكان الشيعة، و كنتم تواجهون هذه الأحداث المؤلمة، هل كنتم تسلكون غير هذا المسلك، و هل كنتم تضنون بالنفس و النفيس، أو كنتم تهدون دماءكم و تهتكون أعراضكم و تبيدون أموالكم؟ أظن أنّ من يملك شيئا من العقل و الإنصاف يحكم بالثاني، إلا إذا كان هناك مصلحة أهم منها، و توقف إعلاء الحق و إبطال الباطل على التضحية، و هو أمر آخر خارج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كله، أ فيصح أن يقال إنّ التقية نفاق؟</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079" w:name="pg16351_181347"/>
    </w:p>
    <w:p>
      <w:pPr>
        <w:pStyle w:val="BookText"/>
        <w:rPr/>
      </w:pPr>
      <w:bookmarkEnd w:id="1079"/>
      <w:r>
        <w:rPr>
          <w:rFonts w:ascii="Amiri" w:hAnsi="Amiri" w:eastAsia="Amiri" w:cs="Amiri"/>
          <w:color w:val="111111"/>
          <w:sz w:val="28"/>
          <w:sz w:val="28"/>
          <w:szCs w:val="28"/>
          <w:rtl w:val="true"/>
          <w:lang w:bidi="ar-SA"/>
        </w:rPr>
        <w:t>مباحث الخاتمة</w:t>
      </w:r>
    </w:p>
    <w:p>
      <w:pPr>
        <w:pStyle w:val="Heading4"/>
        <w:numPr>
          <w:ilvl w:val="3"/>
          <w:numId w:val="1"/>
        </w:numPr>
        <w:rPr/>
      </w:pPr>
      <w:bookmarkStart w:id="1080" w:name="__RefHeading___Toc6422810_1280447820"/>
      <w:bookmarkStart w:id="1081" w:name="_Toc422"/>
      <w:bookmarkEnd w:id="1080"/>
      <w:r>
        <w:rPr>
          <w:rtl w:val="true"/>
        </w:rPr>
        <w:t>(</w:t>
      </w:r>
      <w:r>
        <w:rPr/>
        <w:t>2</w:t>
      </w:r>
      <w:r>
        <w:rPr>
          <w:rtl w:val="true"/>
        </w:rPr>
        <w:t xml:space="preserve">) </w:t>
      </w:r>
      <w:r>
        <w:rPr>
          <w:rtl w:val="true"/>
        </w:rPr>
        <w:t>عدالة الصحابة في الكتاب و السنة</w:t>
      </w:r>
      <w:bookmarkEnd w:id="1081"/>
    </w:p>
    <w:p>
      <w:pPr>
        <w:pStyle w:val="Heading5"/>
        <w:numPr>
          <w:ilvl w:val="4"/>
          <w:numId w:val="1"/>
        </w:numPr>
        <w:rPr/>
      </w:pPr>
      <w:bookmarkStart w:id="1082" w:name="__RefHeading___Toc6422812_1280447820"/>
      <w:bookmarkStart w:id="1083" w:name="_Toc423"/>
      <w:bookmarkEnd w:id="1082"/>
      <w:r>
        <w:rPr>
          <w:rtl w:val="true"/>
        </w:rPr>
        <w:t>اشارة</w:t>
      </w:r>
      <w:bookmarkEnd w:id="1083"/>
    </w:p>
    <w:p>
      <w:pPr>
        <w:pStyle w:val="BookText"/>
        <w:rPr/>
      </w:pPr>
      <w:r>
        <w:rPr>
          <w:rFonts w:ascii="Amiri" w:hAnsi="Amiri" w:eastAsia="Amiri" w:cs="Amiri"/>
          <w:color w:val="111111"/>
          <w:sz w:val="28"/>
          <w:sz w:val="28"/>
          <w:szCs w:val="28"/>
          <w:rtl w:val="true"/>
          <w:lang w:bidi="ar-SA"/>
        </w:rPr>
        <w:t>المشهور بين أهل السنة عدالة الصحابة جميعا، قال 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تثبت عدالة جميعهم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الصحابة يشاركون سائر الرواة في جميع ذلك إلا في الجرح و التعديل، فإنّهم كلّهم عدول لا يتطرق إليهم الجرح</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أهل السنة على أنّ الجميع عدول و لم يخالف في ذلك إلا شذوذ من المبتدعة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كلمات القوم، و قد زعموا أنّ من يتتبع أحوال الصحابة لجرحهم، أو تعديلهم، فإنما يريدوا أن يجرحوا شهود المسلمين ليبطلوا الكتاب و السنة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الشيعة الإمامية، عن بكرة أبيهم، على أنّ الصحابة كسائر الرواة، فيهم العدول و غير العدول، و أنّ كون الرجل صحابيا لا يكفي في الحكم بالعدالة، بل يجب تتبع أحواله حتى يوقف على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الوحيد للقوم هو ما رووه عن النبي الأكرم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أصحابي كالنجوم بأيّهم اهتديتم اقتديتم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الاستدلال بالحديث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نصوص الكتاب تردّ صحة الاهتداء بكل صحابي أدرك النبي، فإنّه يقسمهم إلى طائفتين، طائفة صالحة عادلة، مرفوعة المقام و المكانة، و هؤلاء و صفوا بالسابقين الأوّلين، المبايعين تحت الشجرة، و غير ذلك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طائفة غير صالحة و لا عادلة، بل جامحة على النبي و المسلمين، و هم بين منافق عرف المسلمون نفاقه</w:t>
      </w:r>
      <w:r>
        <w:rPr>
          <w:rStyle w:val="FootnoteAnchor"/>
          <w:rtl w:val="true"/>
        </w:rPr>
        <w:footnoteReference w:id="1013"/>
      </w:r>
      <w:r>
        <w:rPr>
          <w:rFonts w:ascii="Amiri" w:hAnsi="Amiri" w:eastAsia="Amiri" w:cs="Amiri"/>
          <w:color w:val="111111"/>
          <w:sz w:val="28"/>
          <w:sz w:val="28"/>
          <w:szCs w:val="28"/>
          <w:rtl w:val="true"/>
          <w:lang w:bidi="ar-SA"/>
        </w:rPr>
        <w:t>و من أخفى نفاقه و تمرّن عليه إلى حد لا يعرفه المسلمون حتى النبي الأكرم</w:t>
      </w:r>
      <w:r>
        <w:rPr>
          <w:rStyle w:val="FootnoteAnchor"/>
          <w:rtl w:val="true"/>
        </w:rPr>
        <w:footnoteReference w:id="1014"/>
      </w:r>
      <w:r>
        <w:rPr>
          <w:rFonts w:ascii="Amiri" w:hAnsi="Amiri" w:eastAsia="Amiri" w:cs="Amiri"/>
          <w:color w:val="111111"/>
          <w:sz w:val="28"/>
          <w:sz w:val="28"/>
          <w:szCs w:val="28"/>
          <w:rtl w:val="true"/>
          <w:lang w:bidi="ar-SA"/>
        </w:rPr>
        <w:t>و مشرف على الارتداد يوم دارت على المسلمين الدوائر، و اشتدت الحرب بينهم و بين قريش</w:t>
      </w:r>
      <w:r>
        <w:rPr>
          <w:rStyle w:val="FootnoteAnchor"/>
          <w:rtl w:val="true"/>
        </w:rPr>
        <w:footnoteReference w:id="1015"/>
      </w:r>
      <w:r>
        <w:rPr>
          <w:rFonts w:ascii="Amiri" w:hAnsi="Amiri" w:eastAsia="Amiri" w:cs="Amiri"/>
          <w:color w:val="111111"/>
          <w:sz w:val="28"/>
          <w:sz w:val="28"/>
          <w:szCs w:val="28"/>
          <w:rtl w:val="true"/>
          <w:lang w:bidi="ar-SA"/>
        </w:rPr>
        <w:t>و فاسق يكذب في إخباره على النبي، يعرّفه الكتاب بأنّه فاسق لا يقبل قوله</w:t>
      </w:r>
      <w:r>
        <w:rPr>
          <w:rStyle w:val="FootnoteAnchor"/>
          <w:rtl w:val="true"/>
        </w:rPr>
        <w:footnoteReference w:id="1016"/>
      </w:r>
      <w:r>
        <w:rPr>
          <w:rFonts w:ascii="Amiri" w:hAnsi="Amiri" w:eastAsia="Amiri" w:cs="Amiri"/>
          <w:color w:val="111111"/>
          <w:sz w:val="28"/>
          <w:sz w:val="28"/>
          <w:szCs w:val="28"/>
          <w:rtl w:val="true"/>
          <w:lang w:bidi="ar-SA"/>
        </w:rPr>
        <w:t>و مريض القلب قد فقد الثقة باللّه و رسوله فهو يؤيّد المنافقين من غير شعور</w:t>
      </w:r>
      <w:r>
        <w:rPr>
          <w:rStyle w:val="FootnoteAnchor"/>
          <w:rtl w:val="true"/>
        </w:rPr>
        <w:footnoteReference w:id="1017"/>
      </w:r>
      <w:r>
        <w:rPr>
          <w:rFonts w:ascii="Amiri" w:hAnsi="Amiri" w:eastAsia="Amiri" w:cs="Amiri"/>
          <w:color w:val="111111"/>
          <w:sz w:val="28"/>
          <w:sz w:val="28"/>
          <w:szCs w:val="28"/>
          <w:rtl w:val="true"/>
          <w:lang w:bidi="ar-SA"/>
        </w:rPr>
        <w:t>و سمّاع للمنافقين يقبل كل ما سمع منهم</w:t>
      </w:r>
      <w:r>
        <w:rPr>
          <w:rStyle w:val="FootnoteAnchor"/>
          <w:rtl w:val="true"/>
        </w:rPr>
        <w:footnoteReference w:id="1018"/>
      </w:r>
      <w:r>
        <w:rPr>
          <w:rFonts w:ascii="Amiri" w:hAnsi="Amiri" w:eastAsia="Amiri" w:cs="Amiri"/>
          <w:color w:val="111111"/>
          <w:sz w:val="28"/>
          <w:sz w:val="28"/>
          <w:szCs w:val="28"/>
          <w:rtl w:val="true"/>
          <w:lang w:bidi="ar-SA"/>
        </w:rPr>
        <w:t>و مولّ في ميدان الحرب أمام الكفار، لا يصغي لنداء النبي و لا يهمه إلا نفسه</w:t>
      </w:r>
      <w:r>
        <w:rPr>
          <w:rStyle w:val="FootnoteAnchor"/>
          <w:rtl w:val="true"/>
        </w:rPr>
        <w:footnoteReference w:id="1019"/>
      </w:r>
      <w:r>
        <w:rPr>
          <w:rFonts w:ascii="Amiri" w:hAnsi="Amiri" w:eastAsia="Amiri" w:cs="Amiri"/>
          <w:color w:val="111111"/>
          <w:sz w:val="28"/>
          <w:sz w:val="28"/>
          <w:szCs w:val="28"/>
          <w:rtl w:val="true"/>
          <w:lang w:bidi="ar-SA"/>
        </w:rPr>
        <w:t>و مسلم بلسانه دون قلبه فخوطب بأنّ الإيمان لم يدخل في قلبه</w:t>
      </w:r>
      <w:r>
        <w:rPr>
          <w:rStyle w:val="FootnoteAnchor"/>
          <w:rtl w:val="true"/>
        </w:rPr>
        <w:footnoteReference w:id="1020"/>
      </w:r>
      <w:r>
        <w:rPr>
          <w:rFonts w:ascii="Amiri" w:hAnsi="Amiri" w:eastAsia="Amiri" w:cs="Amiri"/>
          <w:color w:val="111111"/>
          <w:sz w:val="28"/>
          <w:sz w:val="28"/>
          <w:szCs w:val="28"/>
          <w:rtl w:val="true"/>
          <w:lang w:bidi="ar-SA"/>
        </w:rPr>
        <w:t>و جماعة ألّفت قلوبهم بإعطاء الزكاة حتى يتّقى شرهم</w:t>
      </w:r>
      <w:r>
        <w:rPr>
          <w:rStyle w:val="FootnoteAnchor"/>
          <w:rtl w:val="true"/>
        </w:rPr>
        <w:footnoteReference w:id="1021"/>
      </w:r>
      <w:r>
        <w:rPr>
          <w:rFonts w:ascii="Amiri" w:hAnsi="Amiri" w:eastAsia="Amiri" w:cs="Amiri"/>
          <w:color w:val="111111"/>
          <w:sz w:val="28"/>
          <w:sz w:val="28"/>
          <w:szCs w:val="28"/>
          <w:rtl w:val="true"/>
          <w:lang w:bidi="ar-SA"/>
        </w:rPr>
        <w:t>و خالط عملا صالحا بعمل سيّئ</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طوائف عشر من الصحابة الذين يمجدهم أهل السنة بوصف العدالة، و أنّ في الاقتداء بكل واحد منهم، الهداية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أنّ من سبر هذه الآيات و أمعن فيها يجرؤ على ذلك الادعاء، بل سوف يرجع و يقول إنّ كثيرا ممن تشرّفوا بصحبة النبي، ما عرفوا قدرها، و كفروا بنعمة اللّه تبارك و تعالى، فبدلا من أن يستثمروا هذه النعمة، فيكونوا في الجبهة و السنام من العدالة، و خسروا أنفسهم و خسروا غيرهم ممن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التشرف بصحبة النبي لم يكن بأشدّ و لا أقوى من صحبة امرأة نوح و امرأة لوط لزوجيهما، فما أغنتاهما عن اللّه شيئا،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التشرف بصحبة النبي لم يكن أكثر امتيازا و تأثيرا من التشرف بالزواج من النبي و قد قال سبحانه في أزواج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الخطاب من قبيل إياك أعني و اسمعي يا جارة، بل الخطاب خاص بهنّ بشهادة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لَهَا اَلْعَذٰابُ ضِعْفَيْنِ ، فإن غيرهن لا يضاعف لهن العذاب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تأثير الصحبة لم يكن تأثيرا كيميائيا، كتأثير بعض المواد في تحويل عنصر كالنحاس إلى عنصر آخر كالذهب، بل كان تأثيرها تأثيرا شبيها بتأثير المعلم في التلميذ، و المرشد في المسترشد، و من المعلوم أن مثل هذا يؤثّر في جمع من الأمّة لا في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البعيد جدا أن يكون للصحبة ثورة عارمة في قلب شخصيات الصحابة التي نشأت و ترعرعت في العصر الجاهلي، و تربت على السنن السيئة، إلى شخصيات تعدّ مثلا للفضل و الفضيلة، من دون أن يشذّ منهم شاذ، فتصبح الألوف المؤلّفة التي تربو على مائة ألف مع اختلافهم في الأعمار و القابليات، رجالا </w:t>
      </w:r>
    </w:p>
    <w:p>
      <w:pPr>
        <w:pStyle w:val="BookText"/>
        <w:rPr/>
      </w:pPr>
      <w:r>
        <w:rPr>
          <w:rFonts w:ascii="Amiri" w:hAnsi="Amiri" w:eastAsia="Amiri" w:cs="Amiri"/>
          <w:color w:val="111111"/>
          <w:sz w:val="28"/>
          <w:sz w:val="28"/>
          <w:szCs w:val="28"/>
          <w:rtl w:val="true"/>
          <w:lang w:bidi="ar-SA"/>
        </w:rPr>
        <w:t>عدولا يستدر بهم الغمام و يؤتمر بهم في العقائد و الشرائع، و غير ذلك من مجالات الاقتداء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السنة المتضافرة عن النبي الأكرم، على ارتداد الصحابة بعده، تردّ كون كل واحد منهم نجما لا معا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مؤلفوا الصحاح، و إن أفردوا أبوابا في فضائل الصحابة، إلاّ أنّهم لم يفردوا بابا بل و لا عنوانا في مثالبهم، و إنما لجئوا إلى إقحام ما ورد من النبي في هذا المجال، في أبواب أخر سترا لمثالبهم، فذكرها البخاري في الجزء التاسع من صحيحه في باب الفتن، و أدرجها ابن الأثير في جامعه في أبواب القيامة عند البحث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سترا لأفعالهم و أوصافهم غير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الصبح لا يخفى على ذي عيني، ففيما أوردوا من الأحاديث في هاتيك الأبواب شاهد على أنّ صحابة النبي لم يكونوا مرضيين بل أنّ كثيرا منهم 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 مسلم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فيحلئون عن الحوض، 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علم لك بما أحدثوا بعدك، أنهم ارتدوا على أدبارهم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أنّ الناجي منهم ليس إلا همل النعم، و هو كناية عن العدد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ذكرناه، و كفى في تنديد النبي بهم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التاريخ المتواتر يشهد على ظهور الفسق من الصحابة في حياة النبي و بعده، و هذا الوليد بن عقبة نزل في حقه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1026"/>
      </w:r>
      <w:r>
        <w:rPr>
          <w:rFonts w:ascii="Amiri" w:hAnsi="Amiri" w:eastAsia="Amiri" w:cs="Amiri"/>
          <w:color w:val="111111"/>
          <w:sz w:val="28"/>
          <w:sz w:val="28"/>
          <w:szCs w:val="28"/>
          <w:rtl w:val="true"/>
          <w:lang w:bidi="ar-SA"/>
        </w:rPr>
        <w:t xml:space="preserve">و يشهد التاريخ على أنّه شرب الخمر، و قام ليصلي بالناس صلاة </w:t>
      </w:r>
    </w:p>
    <w:p>
      <w:pPr>
        <w:pStyle w:val="BookText"/>
        <w:rPr/>
      </w:pPr>
      <w:r>
        <w:rPr>
          <w:rFonts w:ascii="Amiri" w:hAnsi="Amiri" w:eastAsia="Amiri" w:cs="Amiri"/>
          <w:color w:val="111111"/>
          <w:sz w:val="28"/>
          <w:sz w:val="28"/>
          <w:szCs w:val="28"/>
          <w:rtl w:val="true"/>
          <w:lang w:bidi="ar-SA"/>
        </w:rPr>
        <w:t>الفجر، فصلى أربع ركعات، و كان يقول في ركوعه و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 و اسقيني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قاء في المحراب، ثم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إلى آخر ما ذكروه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البخاري يروي مشاجرة سعد بن معاد، سيد الأوس و سعد بن عبادة سيد الخزرج، في قضية الإفك، فقد قال سعد بن عبادة لابن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أجابه ابن العم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لعمرو اللّه، فإنك منافق تجادل عن المنافقين</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 تعجب أنّ هؤلاء يصف بعضهم بعضا بالكذب و النفاق، و نحن نقول إنهم عدول 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على نفسه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الحروب الدائرة بين الصحابة أنفسهم لأقوى دليل على أنهم ليسوا جميعا على الحق، فقد ثاروا على عثمان بن عفان و أجهزوا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القاتل و المقتول كلاهما على الحق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طلحة و ذاك الزبير، جهّزا جيشا جرارا لمحاربة الإمام، و أعانتهما عائشة، التي أمرت مع سائر نساء النبي بالقرار في بيوتهن و عدم الظهور و البروز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خال المؤمنين معاوية بن أبي سفيان، الباغي على الإمام المفترض الطاعة بالنص أوّلا، و بيعة المهاجرين و الأنصار و التابعين لهم بإحسان ثانيا، فاهدر دماء كثيرة لا يحصيها إلاّ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العذر التافه تبرير أعمالهم الإجرامية بأنهم كانوا مجتهدين في أعمالهم و أفعالهم، مع أنه لا قيمة للاجتهاد أمام النص و إجماع الأمة، و لو كان لهذا الاجتهاد قيمة، لما وجدت على أديم الأرض مجرما غير معذور، و لا جانيا غير مجتهد؛ كَبُرَتْ كَلِمَةً تَخْرُجُ مِنْ أَفْوٰاهِهِمْ إِنْ يَقُولُونَ إِلاّٰ كَذِباً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قدامه بن مظعون، صحابي بدري شرب الخمر، و أقام عليه عمر </w:t>
      </w:r>
    </w:p>
    <w:p>
      <w:pPr>
        <w:pStyle w:val="BookText"/>
        <w:rPr/>
      </w:pPr>
      <w:r>
        <w:rPr>
          <w:rFonts w:ascii="IRNazanin" w:hAnsi="IRNazanin" w:eastAsia="IRNazanin"/>
          <w:color w:val="111111"/>
          <w:sz w:val="28"/>
          <w:sz w:val="28"/>
          <w:szCs w:val="28"/>
          <w:rtl w:val="true"/>
          <w:lang w:bidi="fa-IR"/>
        </w:rPr>
        <w:t>الحد</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الصحابة الذين خضبوا وجه الأرض بالدماء، فاقرأ تاريخ بسر بن أرطاة، فإنه قتل مئات من المسلمين، و ما نقم منهم إلا أنّهم كانوا يحبون علي بن أبي طالب، و لم يكتف بذلك حتى قتل طفلين لعبيد اللّه بن عباس</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تشبيه الصحابة بالنجوم، و أن الاقتداء بكل واحد منهم سبب للاهتداء، يعرب عن أنّ القائل يعتمد في ذلك على الذكر الحكيم، فإنّه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يَهْتَدُونَ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شتان ما بين المشبه و المشبه به، إذ ليس كل نجم هاديا للضالّ، و إلا لقال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بالنجوم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موضوع على لسان النبي الأكرم، و صرّح بذلك جماعة من أعلام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حيان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ردّه على الزمخشري الذي أورد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رضي رسول اللّه لأمّته إتباع أصحابه و الاقتداء بآثارهم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يقل ذلك رسول اللّه صلى اللّه عليه و آله، و هو حديث موضوع لا يصح بوجه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قول الحافظ ابن حزم في رسالته في إبطال الرأي و القياس و الاستحسان و التعليل و التقليد،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خبر مكذوب باطل لم يصح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عن البزاز صاحب المسند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لم يصح عن النبي صلى اللّه عليه و آله، و شرع بالطعن في سنده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ابن قيم هذا الحديث و ضعف أسانيده و قال ردا على من استدل في </w:t>
      </w:r>
      <w:bookmarkStart w:id="1084" w:name="pg16351_181353"/>
    </w:p>
    <w:p>
      <w:pPr>
        <w:pStyle w:val="BookText"/>
        <w:rPr/>
      </w:pPr>
      <w:bookmarkEnd w:id="1084"/>
      <w:r>
        <w:rPr>
          <w:rFonts w:ascii="Amiri" w:hAnsi="Amiri" w:eastAsia="Amiri" w:cs="Amiri"/>
          <w:color w:val="111111"/>
          <w:sz w:val="28"/>
          <w:sz w:val="28"/>
          <w:szCs w:val="28"/>
          <w:rtl w:val="true"/>
          <w:lang w:bidi="ar-SA"/>
        </w:rPr>
        <w:t>صحة التقليد،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استجزتم ترك تقليد النجوم التي يهتدى بها و قلّدتم من هم دونهم بمراتب كثيرة، فكان تقليد مالك و الشافعي و أبي حنيفة و أحمد آثر عندكم من تقليد أبي بكر، و عمر، و عثمان، و على</w:t>
      </w:r>
      <w:r>
        <w:rPr>
          <w:rFonts w:eastAsia="Amiri" w:cs="Amiri" w:ascii="Amiri" w:hAnsi="Amiri"/>
          <w:color w:val="111111"/>
          <w:sz w:val="28"/>
          <w:szCs w:val="28"/>
          <w:rtl w:val="true"/>
          <w:lang w:bidi="ar-SA"/>
        </w:rPr>
        <w:t>»</w:t>
      </w:r>
      <w:r>
        <w:rPr>
          <w:rStyle w:val="FootnoteAnchor"/>
          <w:rtl w:val="true"/>
        </w:rPr>
        <w:footnoteReference w:id="10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الذهبي في جعفر بن عبد الواحد، و من بلاياه، عن وهب بن جرير، عن أبيه عن الأعمش عن أبي صالح عن أبي هريرة،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من اقتدى بشيء منه اهتدى</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6422814_1280447820"/>
      <w:bookmarkStart w:id="1086" w:name="_Toc424"/>
      <w:bookmarkEnd w:id="1085"/>
      <w:r>
        <w:rPr>
          <w:rtl w:val="true"/>
        </w:rPr>
        <w:t>كلمة الإمام زين العابدين في الصحابة</w:t>
      </w:r>
      <w:bookmarkEnd w:id="1086"/>
    </w:p>
    <w:p>
      <w:pPr>
        <w:pStyle w:val="BookText"/>
        <w:rPr/>
      </w:pPr>
      <w:r>
        <w:rPr>
          <w:rFonts w:ascii="Amiri" w:hAnsi="Amiri" w:eastAsia="Amiri" w:cs="Amiri"/>
          <w:color w:val="111111"/>
          <w:sz w:val="28"/>
          <w:sz w:val="28"/>
          <w:szCs w:val="28"/>
          <w:rtl w:val="true"/>
          <w:lang w:bidi="ar-SA"/>
        </w:rPr>
        <w:t>إنّ الشيعة، تبعا للدلائل المتقدمة، و اقتداء بأئمتهم، يقدّسون الصحابة الذين عملوا بكتاب اللّه سبحانه و سنة نبيه، و لم يتجاوز و هما، كما أنّهم يتبرءون ممن خالف كتاب اللّه و سنة رسوله، و في هذا المقام كلمة مباركة للإمام زين العابدين قال في دعاء 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 و كاتفوه و أسرعوا إلى وفادته، و سابقوا إلى دعوته، و استجابوا له حيث أسمعهم حجة رسالاته، و فارقوا الأزواج و الأولاد في إظهار كلمته، و قاتلوا الآباء و الأبناء في تثبيت نبوته، و انتصروا به، و من كانوا منطوين على محبته، يرجون تجارة لن تبور في مودّته، و الذين هجرتهم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تعلّقوا بعروته، و انتفت منهم القربات، إذا سكنوا في ظل قرابته، فلا تنس اللهم ما تركوا لك و فيك، و أرضهم من رضوانك، و بما حاشوا الخلق عليك، و كانوا مع رسولك، دعاة 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اشكرهم على هجرهم فيك ديار قومهم، و خروجهم من سعة المعاش إلى ضيقه، و من كثرت في إعزاز دينك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1087" w:name="pg16351_181354"/>
    </w:p>
    <w:p>
      <w:pPr>
        <w:pStyle w:val="Heading5"/>
        <w:numPr>
          <w:ilvl w:val="4"/>
          <w:numId w:val="1"/>
        </w:numPr>
        <w:rPr/>
      </w:pPr>
      <w:bookmarkStart w:id="1088" w:name="__RefHeading___Toc6422816_1280447820"/>
      <w:bookmarkStart w:id="1089" w:name="_Toc425"/>
      <w:bookmarkEnd w:id="1087"/>
      <w:bookmarkEnd w:id="1088"/>
      <w:r>
        <w:rPr>
          <w:rtl w:val="true"/>
        </w:rPr>
        <w:t>تحليل الاستدلال بآيتين على عدالة الصحابة</w:t>
      </w:r>
      <w:bookmarkEnd w:id="1089"/>
    </w:p>
    <w:p>
      <w:pPr>
        <w:pStyle w:val="BookText"/>
        <w:rPr/>
      </w:pPr>
      <w:r>
        <w:rPr>
          <w:rFonts w:ascii="Amiri" w:hAnsi="Amiri" w:eastAsia="Amiri" w:cs="Amiri"/>
          <w:color w:val="111111"/>
          <w:sz w:val="28"/>
          <w:sz w:val="28"/>
          <w:szCs w:val="28"/>
          <w:rtl w:val="true"/>
          <w:lang w:bidi="ar-SA"/>
        </w:rPr>
        <w:t>و ربما يستدل على عدالة الصحابة 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Style w:val="FootnoteAnchor"/>
          <w:rtl w:val="true"/>
        </w:rPr>
        <w:footnoteReference w:id="1037"/>
      </w:r>
      <w:r>
        <w:rPr>
          <w:rFonts w:ascii="Amiri" w:hAnsi="Amiri" w:eastAsia="Amiri" w:cs="Amiri"/>
          <w:color w:val="111111"/>
          <w:sz w:val="28"/>
          <w:sz w:val="28"/>
          <w:szCs w:val="28"/>
          <w:rtl w:val="true"/>
          <w:lang w:bidi="ar-SA"/>
        </w:rPr>
        <w:t>فإنّ ظاهره أنّه سبحانه رضى عنهم، و الرضا آية كونهم مطيعين غير خارجين عن الطاعة، و ليس للعدالة معنى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حق من بايع النبي تحت الشجرة في غزوة الحديبية، لا في حق جميع الصحابة، و قد كانوا في ذاك اليوم ألفا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و ابن جرير و ابن مردويه عن جابر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يوم الحديبية، ألفا و أربعمائة، فبايعناه، و عمر آخذ بيده تحت الشجرة، و هي سمرة، و قال بايعناه على أن لا نفر و لم نبايعه على الموت</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فاقصى ما يثبته الحديث هو رضاه سبحانه عن العدد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من رضاه سبحانه عن الآلاف المؤلفة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ظرف الرضا مذكور في الآية، و هو وقت البيعة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رَضِيَ اَللّٰهُ عَنِ اَلْمُؤْمِنِينَ إِذْ يُبٰايِعُونَكَ ، و من المعلوم أنّ الرضا في ظرف خاص لا يدل على الرضا بعده إلا إذا ثبت أنّهم بقوا على الحالات التي كانوا عليها، و 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إثباته بالاستصحاب،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مختصا بهؤلاء، فإن الإيمان و الأعمال الصالحة، إنما تفيد إذا لم يرتكب الإنسان ما يبطل أثرهما، سواء أقلنا بالإحباط أو لا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يقول في نفس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w:t>
      </w:r>
    </w:p>
    <w:p>
      <w:pPr>
        <w:pStyle w:val="BookText"/>
        <w:rPr/>
      </w:pPr>
      <w:r>
        <w:rPr>
          <w:rFonts w:ascii="Amiri" w:hAnsi="Amiri" w:eastAsia="Amiri" w:cs="Amiri"/>
          <w:color w:val="111111"/>
          <w:sz w:val="28"/>
          <w:sz w:val="28"/>
          <w:szCs w:val="28"/>
          <w:rtl w:val="true"/>
          <w:lang w:bidi="ar-SA"/>
        </w:rPr>
        <w:t xml:space="preserve">عٰاهَدَ عَلَيْهُ اَللّٰهَ فَسَيُؤْتِيهِ أَجْراً عَظِيماً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أنّ بعض المبايعين كانوا على مظنة النكث بما عاهدوا و بايعوا عليه، و أن البعض الآخر كانوا على مظنة الوفاء به و إلا فلو كان الوفاء معلوما منهم، فما معنى هذا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الآية خطابا قانونيا حتى يقال إنها من قبيل إيّاك أعني و اسمعي يا جارة، بل قضية خارجية مختصة بأناس معينين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تدل على أنّ نزول السكينة كان مختصا بمن علم منه الوفاء، و بالتالي يكون الرضا أيضا مخصوصا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فِي قُلُوبِهِمْ فَأَنْزَلَ اَلسَّكِينَةَ عَلَيْهِمْ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السكينة على من علم منه الوفاء</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تعلق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بايع النبي في غزوة الحديبية جماعة من المنافقين أيضا،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أنهم كانوا مختلطين غير متميزين فلا يحكم على كل واحد بالرضا و العدالة، إلاّ إذا ثبت أنه مؤمن غير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أن يكون للآية عموم أفرادي و أزماني يعمّ جميع المبايعين إلى آخر أعمالهم، مع أنّ طلحة و الزبير ممن بايعا بيعة الرضوان، و قد وقع منهما من قتال عليّ ما خرجا به عن الإيمان و فسقا عند جمع من المسلمين، كالمعتزلة و من جرى مجراهم، و لم يمنع وقوع الرضا في تلك الحال من وقوع المعصية فيما بعد، فما ذا الذي يمنع من مثل ذلك في غيرهم</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w:t>
      </w:r>
    </w:p>
    <w:p>
      <w:pPr>
        <w:pStyle w:val="BookText"/>
        <w:rPr/>
      </w:pPr>
      <w:r>
        <w:rPr>
          <w:rFonts w:ascii="Amiri" w:hAnsi="Amiri" w:eastAsia="Amiri" w:cs="Amiri"/>
          <w:color w:val="111111"/>
          <w:sz w:val="28"/>
          <w:sz w:val="28"/>
          <w:szCs w:val="28"/>
          <w:rtl w:val="true"/>
          <w:lang w:bidi="ar-SA"/>
        </w:rPr>
        <w:t xml:space="preserve">اَلْإِنْجِيلِ كَزَرْعٍ أَخْرَجَ شَطْأَهُ فَآزَرَهُ فَاسْتَغْلَظَ فَاسْتَوىٰ عَلىٰ سُوقِهِ يُعْجِبُ اَلزُّرّٰاعَ لِيَغِيظَ بِهِمُ اَلْكُفّٰارَ، وَعَدَ اَللّٰهُ اَلَّذِينَ آمَنُوا وَ عَمِلُوا اَلصّٰالِحٰاتِ مِنْهُمْ مَغْفِرَةً وَ أَجْراً عَظِيماً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مركّز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 و هم موصوفون بأوصاف 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أشداء على الكفار،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تراهم ركعا،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يبتغون فضلا من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رضوانا،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المستدل يستظهر من الآية أنّها بصدد بيان أنّ كل من كان مع النبي كان على هذه الصفات السبع التي لا تنفك عن العدالة، و أنّ مضمونها قضية خارجية راجعة إلى الجماعة التي كان الزمان و المكان يجمعانهم و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على خلاف المقصود أدلّ، فإنها، و إن كانت قضية خبرية بظاهرها، و لكنها بمعنى الإنشاء، فهي بصدد أمر من كان معه على أن يكونوا بهذه الصفات، و هذا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ولدي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يا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تزيّف منطق من يدّعون أن الصحابة مصونون عن كل قبيح، فهم لصحبتهم الرسول، نبراس منير، لأنّ الآية تحمل صورة رائعة عن سيرة الذين كانوا مع الرسول و أنّهم يجب أن يكونوا على هذه الصفات السبع، فيكونون في سلبيّتهم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سلبيّته، و إيجابيتهم بينهم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كإيجابيّته، و هكذا سائر صفاتهم من الركوع و السجود و ابتغاء الفضل و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و إن كانت نازلة في حق جماعة خاصة كانوا مع الرسول، و لكنها ليست قضية خبرية، بل تحمل قضية إنشائية، و طلبا و إيجابا منهم لأن يكونوا على هذه الصفات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ترى أنّه سبحانه يخصص وعد المغفرة و إعطاء الأجر العظيم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بعدة منهم، و يقول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 عَمِلُوا اَلصّٰالِحٰاتِ مِنْهُمْ مَغْفِرَةً وَ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التبعيض و التخصيص إيعاز إلى أنّ هذه </w:t>
      </w:r>
    </w:p>
    <w:p>
      <w:pPr>
        <w:pStyle w:val="BookText"/>
        <w:rPr/>
      </w:pPr>
      <w:r>
        <w:rPr>
          <w:rFonts w:ascii="Amiri" w:hAnsi="Amiri" w:eastAsia="Amiri" w:cs="Amiri"/>
          <w:color w:val="111111"/>
          <w:sz w:val="28"/>
          <w:sz w:val="28"/>
          <w:szCs w:val="28"/>
          <w:rtl w:val="true"/>
          <w:lang w:bidi="ar-SA"/>
        </w:rPr>
        <w:t>الصفات السبع، ربما تتحقق في صورها و ظواهرها دون حقيقتها و واقعيتها التي هي الإيمان باللّه و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 غير المعية الزمانية و المكانية، حتى يقال بأنّها مختصة بصحابته المعاصرين، منحسرة عمن بعده من التابعين، و أتباعهم إلى يوم الدين، و إنّما يراد الذين معه في رسالته الإلهية تصديقا و إيمانا و تطبيقا، و معه في حملها كما حملها، و معه في جهاده و صبره كما جاهد 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تعم الآية الأمة الإسلامية جميعا، إلى يوم الدين، و تكون أجنبية عن مسألة عدالة الصحابة، و تعرب عن أنّ من كان مع الرسول يجب أن يكون بهذه الصفات و السمات، و مع الإيمان و العمل الصالح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لا يكتمل إلا بجمع الآيات الواردة في شأن الصحابة حتى يستظهر من الجميع ما هو مقصوده سبحانه و قد عرفت أنّ آيات كثيرة تندد بأقسام عشرة من صحابة النبي و الذين كانوا معه، و أنّهم كانوا بين معلوم النفاق و مخفيّه، و مشرفين على شفير هاوية الارتداد، إلى غير ذلك من الأقسام، و مع ذلك كيف يمكن الاستدلال بآية و تناسي الآيات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المفسر لا يصح له اتخاذ موقف حاسم في موضوع واحد إلا بملاحظة جميع الآيات التي لها صلة به</w:t>
      </w:r>
      <w:r>
        <w:rPr>
          <w:rFonts w:eastAsia="Amiri" w:cs="Amiri" w:ascii="Amiri" w:hAnsi="Amiri"/>
          <w:color w:val="111111"/>
          <w:sz w:val="28"/>
          <w:szCs w:val="28"/>
          <w:rtl w:val="true"/>
          <w:lang w:bidi="ar-SA"/>
        </w:rPr>
        <w:t xml:space="preserve">. </w:t>
      </w:r>
      <w:bookmarkStart w:id="1090" w:name="pg16351_181358"/>
    </w:p>
    <w:p>
      <w:pPr>
        <w:pStyle w:val="BookText"/>
        <w:rPr/>
      </w:pPr>
      <w:bookmarkEnd w:id="1090"/>
      <w:r>
        <w:rPr>
          <w:rFonts w:ascii="Amiri" w:hAnsi="Amiri" w:eastAsia="Amiri" w:cs="Amiri"/>
          <w:color w:val="111111"/>
          <w:sz w:val="28"/>
          <w:sz w:val="28"/>
          <w:szCs w:val="28"/>
          <w:rtl w:val="true"/>
          <w:lang w:bidi="ar-SA"/>
        </w:rPr>
        <w:t>مباحث الخاتمة</w:t>
      </w:r>
    </w:p>
    <w:p>
      <w:pPr>
        <w:pStyle w:val="Heading4"/>
        <w:numPr>
          <w:ilvl w:val="3"/>
          <w:numId w:val="1"/>
        </w:numPr>
        <w:rPr/>
      </w:pPr>
      <w:bookmarkStart w:id="1091" w:name="__RefHeading___Toc6422818_1280447820"/>
      <w:bookmarkStart w:id="1092" w:name="_Toc426"/>
      <w:bookmarkEnd w:id="1091"/>
      <w:r>
        <w:rPr>
          <w:rtl w:val="true"/>
        </w:rPr>
        <w:t>(</w:t>
      </w:r>
      <w:r>
        <w:rPr/>
        <w:t>3</w:t>
      </w:r>
      <w:r>
        <w:rPr>
          <w:rtl w:val="true"/>
        </w:rPr>
        <w:t xml:space="preserve">) </w:t>
      </w:r>
      <w:r>
        <w:rPr>
          <w:rtl w:val="true"/>
        </w:rPr>
        <w:t>الشيعة و اتهامهم بتحريف القرآن</w:t>
      </w:r>
      <w:bookmarkEnd w:id="1092"/>
    </w:p>
    <w:p>
      <w:pPr>
        <w:pStyle w:val="Heading5"/>
        <w:numPr>
          <w:ilvl w:val="4"/>
          <w:numId w:val="1"/>
        </w:numPr>
        <w:rPr/>
      </w:pPr>
      <w:bookmarkStart w:id="1093" w:name="__RefHeading___Toc6422820_1280447820"/>
      <w:bookmarkStart w:id="1094" w:name="_Toc427"/>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إنّ القرآن الكريم أحد الثقلين الذين تركهما النبي الأكرم صلى اللّه عليه و آله و سلم بين الأمة الإسلامية و حث على التمسك بهما، و أنّهما لا يفترقان حتى يردا عليه الحوض، و قد كتب سبحانه على نفسه حفظه و صيانته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وَ إِنّٰا لَهُ لَحٰافِظُونَ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 و ما حل مصدّق، من جعله أمامه قاده إلى الجنة، و من جعله خلفه ساقه إلى النار</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هو الناصح الذي لا يغش، و الهادي الذي لا يضلّ</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عليه الكتاب نورا لا تطفأ مصابيحه، و سراجا لا يخبو توقده، و 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 يخمد برهانه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أئمة الشيعة جعلوا موافقة القرآن و مخالفته ميزانا لتمييز الحديث </w:t>
      </w:r>
    </w:p>
    <w:p>
      <w:pPr>
        <w:pStyle w:val="BookText"/>
        <w:rPr/>
      </w:pPr>
      <w:r>
        <w:rPr>
          <w:rFonts w:ascii="Amiri" w:hAnsi="Amiri" w:eastAsia="Amiri" w:cs="Amiri"/>
          <w:color w:val="111111"/>
          <w:sz w:val="28"/>
          <w:sz w:val="28"/>
          <w:szCs w:val="28"/>
          <w:rtl w:val="true"/>
          <w:lang w:bidi="ar-SA"/>
        </w:rPr>
        <w:t>الصحيح من الباطل،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كله اتّهمت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اغترارا ببعض الروايات الواردة في جوامعهم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بتحريف القرآن و نقصانه، غير أنّ أقطاب الشيعة و أكابرهم رفضوا تلك الأحاديث كما رفضوا الأحاديث التي رواها أهل السنة في مجال تحريف القرآن، و صرّحوا بصيانة القرآن عن كل نقصان و زيادة و 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نكتفي فيما يلي بذكر بعض النصوص لأعلام الإمامية، الواردة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القرآن الذي أنزله اللّه تعالى على نبيّه، هو ما بين الدفتين، و هو ما في أيدي الناس ليس بأكثر من ذلك، و من نسب إلينا أنّا نقول إنه أكثر من ذلك فهو كاذب</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جماعة من أهل الإمامة إنه لم ينقص من كلمة و لا من آية و لا من سورة، و لكن حذف ما كان ثبتا في مصحف أمير المؤمنين من تأويله و تفسير معانيه على حقيقة تنزيله و ذلك ثابتا منزلا و إن لم يكن من جملة كلام اللّه الذي هو المعجز، و قد يسمى تأويل القرآن قرآنا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وَ قُلْ رَبِّ زِدْنِي عِلْماً </w:t>
      </w:r>
      <w:r>
        <w:rPr>
          <w:rStyle w:val="FootnoteAnchor"/>
          <w:rtl w:val="true"/>
        </w:rPr>
        <w:footnoteReference w:id="1049"/>
      </w:r>
      <w:r>
        <w:rPr>
          <w:rFonts w:ascii="Amiri" w:hAnsi="Amiri" w:eastAsia="Amiri" w:cs="Amiri"/>
          <w:color w:val="111111"/>
          <w:sz w:val="28"/>
          <w:sz w:val="28"/>
          <w:szCs w:val="28"/>
          <w:rtl w:val="true"/>
          <w:lang w:bidi="ar-SA"/>
        </w:rPr>
        <w:t>، فسمّى تأويل القرآن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هذا القول أشبه بمقال من ادّعى نقصان كلم من نفس القرآن على الحقيقة دون التأويل، و إليه أميل، و اللّه أسأل توفيقه للصواب و أما الزيادة فمقطوع على فسادها</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زيادته و نقصانه فمما لا يليق به أيضا لأن الزيادة فيه مجمع على بطلانها و أما النقصان منه، فالظاهر أيضا من مذهب المسلمين خلافه، و هو الأليق بالصحيح من مذهبنا، و هو الذي نصره المرتضى، و هو الظاهر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رواياتنا متناصرة بالحث على </w:t>
      </w:r>
    </w:p>
    <w:p>
      <w:pPr>
        <w:pStyle w:val="BookText"/>
        <w:rPr/>
      </w:pPr>
      <w:r>
        <w:rPr>
          <w:rFonts w:ascii="Amiri" w:hAnsi="Amiri" w:eastAsia="Amiri" w:cs="Amiri"/>
          <w:color w:val="111111"/>
          <w:sz w:val="28"/>
          <w:sz w:val="28"/>
          <w:szCs w:val="28"/>
          <w:rtl w:val="true"/>
          <w:lang w:bidi="ar-SA"/>
        </w:rPr>
        <w:t>قراءته و التمسك بما فيه و ردّ ما يرد من اختلاف الأخبار في الفروع إليه، و عرضها عليه، فما وافقه عمل به، و ما خالفه تجنّب و لم يلتفت إليه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الطبرسي مؤلف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الزيادة فمجمع على بطلانها، و أما النقصان منه فقد روى جماعة من أصحابنا و قوم من حشويه أهل السنة أنّ في القرآن نقصانا و الصحيح من مذهبنا خلافه و هو الذي نصره المرتضى قدس اللّه روحه، و استوفى الكلام فيه غاية الاستيفاء في جواب المسائل الطرابلسيات، و ذكر في مواضع أنّ العلم بصحة نقل القرآن كالعلم بالبلدان و الحوادث العظام و الكتب المشهورة و أشعار العرب، فإن العناية اشتدت و الدواعي توفرت على نقله و حراسته و بلغت إلى حد لم تبلغه فيما ذكرناه، لأن القرآن معجزة النبوّة و مأخذ العلوم الشرعية و الأحكام الدينية، و علماء المسلمين قد بلغوا في حفظه و حمايته الغاية، حتى عرفوا كل شيء اختلف فيه من إعرابه و قراءته و حروفه و آياته، فكيف يجوز أن يكون مغيّرا و منقوصا مع العناية الصادقة و الضبط الشديد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هم أعلام الشيعة في القرون السابقة من ثالثها إلى سادسها، و يكفي ذلك في إثبات أنّ نسبة التحريف إلى الشيعة ظلم و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المتأخرون فحدّث عنه و لا حرج فهم بين مصرّح بصيانة القرآن عن التحريف، إلى باسط القول في هذا المجال، إلى مؤلّف أفرده بالتأليف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نختم المقالة بكلمة قيمة للأستاذ الأكبر الإمام الخميني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الواقف على عناية المسلمين بجمع الكتاب و حفظه و ضبطه، قراءة و كتابة، يقف على بطلان تلك المزعمة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لا ينبغي أن يركن إليها ذو مسكة، و ما ورد فيه من الأخبار، بين ضعيف لا يستدل به، إلى مجعول تلوح منه أمارات الجعل إلى غريب يقضي منه العجب، إلى صحيح، يدل على أن مضمونه تأويل الكتاب و تفسيره، إلى غير ذلك من الأقسام التي يحتاج بيان المراد منها إلى تأليف </w:t>
      </w:r>
      <w:bookmarkStart w:id="1095" w:name="pg16351_181361"/>
    </w:p>
    <w:p>
      <w:pPr>
        <w:pStyle w:val="BookText"/>
        <w:rPr/>
      </w:pPr>
      <w:bookmarkEnd w:id="1095"/>
      <w:r>
        <w:rPr>
          <w:rFonts w:ascii="Amiri" w:hAnsi="Amiri" w:eastAsia="Amiri" w:cs="Amiri"/>
          <w:color w:val="111111"/>
          <w:sz w:val="28"/>
          <w:sz w:val="28"/>
          <w:szCs w:val="28"/>
          <w:rtl w:val="true"/>
          <w:lang w:bidi="ar-SA"/>
        </w:rPr>
        <w:t>كتاب حافل، و لو لا خوف الخروج عن طور البحث لأوضحنا لك أنّ الكتاب هو عين ما بين الدفتين و أنّ الاختلاف في القراءة ليس إلاّ أمرا حديثا لا صلة له لما نزل به الروح الأمين على قلب سيد المرسلين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6422822_1280447820"/>
      <w:bookmarkStart w:id="1097" w:name="_Toc428"/>
      <w:bookmarkEnd w:id="1096"/>
      <w:r>
        <w:rPr>
          <w:rtl w:val="true"/>
        </w:rPr>
        <w:t>تحريف القرآن في روايات الفريقين</w:t>
      </w:r>
      <w:bookmarkEnd w:id="1097"/>
    </w:p>
    <w:p>
      <w:pPr>
        <w:pStyle w:val="BookText"/>
        <w:rPr/>
      </w:pPr>
      <w:r>
        <w:rPr>
          <w:rFonts w:ascii="Amiri" w:hAnsi="Amiri" w:eastAsia="Amiri" w:cs="Amiri"/>
          <w:color w:val="111111"/>
          <w:sz w:val="28"/>
          <w:sz w:val="28"/>
          <w:szCs w:val="28"/>
          <w:rtl w:val="true"/>
          <w:lang w:bidi="ar-SA"/>
        </w:rPr>
        <w:t xml:space="preserve">روى الفريقان روايات في تحريف القرآن، و قد قام أخيرا أحد المصريين بتأليف كتابا اسماه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ملأه بكثير من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المحدث النوري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 فيه روايات التحريف، و ليس هذا و ذاك أوّل من نقل روايات التحريف، بل هي مبثوثة في كتب التفسير 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القرطبي يقول في تفسير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عبيد في الفضائل، و ابن مردويه، و ابن الأنباري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سورة الأحزاب تقرأ في زمان النبي مائتي آية، فلما كتب عثمان المصاحف لم يقدر منها إلاّ على ما هو الآن</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 هذا هو البخاري، يروى عن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يقول الناس إنّ عمر زاد في كتاب اللّه، لكتبت آية الرجم بيدي</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ذلك من الروايات التي نقل قسما منها السيوطي في الإتقان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فنحن نجلّ علماء السنّة و محققيهم عن نسبة التحريف إليهم، و لا يصح الاستدلال بالرواية على العقيدة، و نقول مثل هذا في حق الشيعة، و قد تعرفت على كلمات الأعاظم منهم في العصور المتقدمة، و عرفت أنّ الشيخ المفيد يحمل هذه الروايات على أنّها تفسير للقرآن، و أنّ ما يدلّ على التحريف بالدلالة المطابقية يضرب به عرض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المحقق الأستاذ الشيخ جواد البلاغي تدارس الروايات، فخرج بهذه النتيجة و هي أنّ القسم الوافر منها يرجع أسانيده إلى بضعة أشخاص وصفوا في علم الرجال بالصفات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القول، فاسد المذهب، مجفو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مضطرب الحديث و المذهب، يعرف حديثه و ينكر، و يروي عن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كذاب متّهم، لا تستحل رواية حديث واحد من أحاديثه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 كذّاب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 لا يلتفت إليه و لا يعوّل عليه و من الكذابين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فاسد الرواية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رواية هؤلاء لا تجدي شيئا، و إن كثرت و عالت، و أمّا المراسيل فهي مأخوذة من تلك المسانيد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القول في تنزيه الشيعة بل المسلمين عامة عن وصمة التحريف، و من أراد التفصيل فليرجع إلى الرسائل المؤلفة في هذا الموضوع</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1098" w:name="pg16351_181363"/>
    </w:p>
    <w:p>
      <w:pPr>
        <w:pStyle w:val="BookText"/>
        <w:rPr/>
      </w:pPr>
      <w:bookmarkEnd w:id="1098"/>
      <w:r>
        <w:rPr>
          <w:rFonts w:ascii="Amiri" w:hAnsi="Amiri" w:eastAsia="Amiri" w:cs="Amiri"/>
          <w:color w:val="111111"/>
          <w:sz w:val="28"/>
          <w:sz w:val="28"/>
          <w:szCs w:val="28"/>
          <w:rtl w:val="true"/>
          <w:lang w:bidi="ar-SA"/>
        </w:rPr>
        <w:t>مباحث الخاتمة</w:t>
      </w:r>
    </w:p>
    <w:p>
      <w:pPr>
        <w:pStyle w:val="Heading4"/>
        <w:numPr>
          <w:ilvl w:val="3"/>
          <w:numId w:val="1"/>
        </w:numPr>
        <w:rPr/>
      </w:pPr>
      <w:bookmarkStart w:id="1099" w:name="__RefHeading___Toc6422824_1280447820"/>
      <w:bookmarkStart w:id="1100" w:name="_Toc429"/>
      <w:bookmarkEnd w:id="1099"/>
      <w:r>
        <w:rPr>
          <w:rtl w:val="true"/>
        </w:rPr>
        <w:t>(</w:t>
      </w:r>
      <w:r>
        <w:rPr/>
        <w:t>4</w:t>
      </w:r>
      <w:r>
        <w:rPr>
          <w:rtl w:val="true"/>
        </w:rPr>
        <w:t xml:space="preserve">) </w:t>
      </w:r>
      <w:r>
        <w:rPr>
          <w:rtl w:val="true"/>
        </w:rPr>
        <w:t>المتعة في الكتاب و السنة</w:t>
      </w:r>
      <w:bookmarkEnd w:id="1100"/>
    </w:p>
    <w:p>
      <w:pPr>
        <w:pStyle w:val="Heading5"/>
        <w:numPr>
          <w:ilvl w:val="4"/>
          <w:numId w:val="1"/>
        </w:numPr>
        <w:rPr/>
      </w:pPr>
      <w:bookmarkStart w:id="1101" w:name="__RefHeading___Toc6422826_1280447820"/>
      <w:bookmarkStart w:id="1102" w:name="_Toc430"/>
      <w:bookmarkEnd w:id="1101"/>
      <w:r>
        <w:rPr>
          <w:rtl w:val="true"/>
        </w:rPr>
        <w:t>اشارة</w:t>
      </w:r>
      <w:bookmarkEnd w:id="1102"/>
    </w:p>
    <w:p>
      <w:pPr>
        <w:pStyle w:val="BookText"/>
        <w:rPr/>
      </w:pPr>
      <w:r>
        <w:rPr>
          <w:rFonts w:ascii="Amiri" w:hAnsi="Amiri" w:eastAsia="Amiri" w:cs="Amiri"/>
          <w:color w:val="111111"/>
          <w:sz w:val="28"/>
          <w:sz w:val="28"/>
          <w:szCs w:val="28"/>
          <w:rtl w:val="true"/>
          <w:lang w:bidi="ar-SA"/>
        </w:rPr>
        <w:t>حقيقة نكاح المتعة، تزويج المرأة الحرة الكاملة، إذا لم يكن بينها و بين الزوج مانع من نسب أو سبب أو رضاع أو إحصان أو عدّة أو غير ذلك من الموانع الشرعية، بمهر مسمى، إلى أجل مسمى، بالرضا و الاتفاق، فإذا انتهى الأجل تبين منه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عليها مع 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 و إلاّ فبخمسة و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المتعة، ذكرا كان أو أنثى يلحق بالأب، و لا يدعى إلاّ له، و له من الإرث، ما أوصانا اللّه به سبحانه في آية المواريث من أنّ للذكر مثل حظّ الأنثيين، كما يرث من الأم، و تشمله جميع العمومات الواردة في الأبناء و الآباء و الأمهات، و كذا العمومات الواردة في الأخوة و الأخوات، و الأعمام و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المتمتع بها زوجة حقيقة، و ولدها ولد حقيقة، و لا فرق بين هذا الزواج و الزواج الدائم، إلاّ أنّه لا توارث بين الزوجين و لا قسم و لا نفقة لها، كما أنّ له العزل عنها، و هذه الفوارق الجزئية، فوارق في الأحكام لا في الماهية، و الماهية واحدة، غير أنّ أحدهما مؤقّت و الآخر غير مؤقت، و أنّ الأول ينتهي بانتهاء الوقت، و الثاني ينفصم بالطلاق أو بالفسخ</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أجمع أهل القبلة على أنّه سبحانه شرع هذا النكاح في دين الإسلام في صدره، و لا يشك أحد و لا يتردد في أصل مشروعيته، و إنّما وقع الكلام في نسخه أو بقاء مشروعيته</w:t>
      </w:r>
      <w:r>
        <w:rPr>
          <w:rFonts w:eastAsia="Amiri" w:cs="Amiri" w:ascii="Amiri" w:hAnsi="Amiri"/>
          <w:color w:val="111111"/>
          <w:sz w:val="28"/>
          <w:szCs w:val="28"/>
          <w:rtl w:val="true"/>
          <w:lang w:bidi="ar-SA"/>
        </w:rPr>
        <w:t xml:space="preserve">. </w:t>
      </w:r>
      <w:bookmarkStart w:id="1103" w:name="pg16351_181364"/>
    </w:p>
    <w:p>
      <w:pPr>
        <w:pStyle w:val="BookText"/>
        <w:rPr/>
      </w:pPr>
      <w:bookmarkEnd w:id="1103"/>
      <w:r>
        <w:rPr>
          <w:rFonts w:ascii="Amiri" w:hAnsi="Amiri" w:eastAsia="Amiri" w:cs="Amiri"/>
          <w:color w:val="111111"/>
          <w:sz w:val="28"/>
          <w:sz w:val="28"/>
          <w:szCs w:val="28"/>
          <w:rtl w:val="true"/>
          <w:lang w:bidi="ar-SA"/>
        </w:rPr>
        <w:t>و أوضح دليل على مشروعيته في صدر الإسلام، نهى عمر عنها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متعتان كانتا على عهد رسول اللّه حلالا، و أنا أحرّمهما، و 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الأخرى متعة الحج</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إمّا كان اجتهادا من عمر كما هو ظاهر كلامه، أو كان مستندا إلى نصّ من رسول اللّه كما وجّه به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يدلّ على جوازه في فترة خاصة، و هذا واضح لمن ألّم بفقه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w:t>
      </w:r>
      <w:r>
        <w:rPr>
          <w:rStyle w:val="FootnoteAnchor"/>
          <w:rtl w:val="true"/>
        </w:rPr>
        <w:footnoteReference w:id="1059"/>
      </w:r>
      <w:r>
        <w:rPr>
          <w:rFonts w:ascii="Amiri" w:hAnsi="Amiri" w:eastAsia="Amiri" w:cs="Amiri"/>
          <w:color w:val="111111"/>
          <w:sz w:val="28"/>
          <w:sz w:val="28"/>
          <w:szCs w:val="28"/>
          <w:rtl w:val="true"/>
          <w:lang w:bidi="ar-SA"/>
        </w:rPr>
        <w:t xml:space="preserve">غَيْرَ مُسٰافِحِينَ، فَمَا اِسْتَمْتَعْتُمْ بِهِ مِنْهُنَّ فَآتُوهُنَّ أُجُورَهُنَّ فَرِيضَةً، وَ لاٰ جُنٰاحَ عَلَيْكُمْ فِيمٰا تَرٰاضَيْتُمْ بِهِ مِنْ بَعْدِ اَلْفَرِيضَةِ إِنَّ اَللّٰهَ كٰانَ عَلِيماً حَكِيماً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4" w:name="__RefHeading___Toc6422828_1280447820"/>
      <w:bookmarkStart w:id="1105" w:name="_Toc431"/>
      <w:bookmarkEnd w:id="1104"/>
      <w:r>
        <w:rPr>
          <w:rtl w:val="true"/>
        </w:rPr>
        <w:t>دلالة الآية على المتعة</w:t>
      </w:r>
      <w:bookmarkEnd w:id="1105"/>
    </w:p>
    <w:p>
      <w:pPr>
        <w:pStyle w:val="BookText"/>
        <w:rPr/>
      </w:pPr>
      <w:r>
        <w:rPr>
          <w:rFonts w:ascii="Amiri" w:hAnsi="Amiri" w:eastAsia="Amiri" w:cs="Amiri"/>
          <w:color w:val="111111"/>
          <w:sz w:val="28"/>
          <w:sz w:val="28"/>
          <w:szCs w:val="28"/>
          <w:rtl w:val="true"/>
          <w:lang w:bidi="ar-SA"/>
        </w:rPr>
        <w:t>و قد ذكرت أمّة كبيرة من أهل الحديث و التفسير نزول الآية في مورد المتعة، أو جعلوا نزولها فيها أقوى الاحتمالين نشير إلى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الحنابلة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الجصّاص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القرآن</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السنن الكبرى</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يحيى بن سعدون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فخر الدين الرازي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الخير القاضي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 الدين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عماد الدين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 المنثور</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السعود العمادي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السيد محمود الآلوسي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ينتهي نقل هؤلاء إلى أناس أمثال ابن عباس و أبيّ بن كعب و عبد اللّه بن مسعود، و عمران بن حصين، و حبيب بن أبي ثابت و سعيد بن جبير، و قتادة و مجاهد، كما أنّ ناقل هذه الروايات رجال الحديث و التفسير كما عرفت، فلا يمكن اتهامهم بالوضع و الجعل، هذا حسب أسباب النزول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هناك قرائن تؤيّد كون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فَآتُوهُنَّ أُجُورَهُنَّ ، نكاح المتعة،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جماعة من عظماء الصحابة كعبد اللّه بن عباس و جابر بن عبد اللّه الأنصاري و عمران بن حصين، و ابن مسعود و أبي بن كعب، كانوا يفتون بإباحتها، و يقرءون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في نكاح المتعة، و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يحتمل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مرادهم سقوط هذه الجملة من الذكر الحكيم، بل المراد بيان معنى الآية على نحو التفسير الذي أخذوه من الصادع بالوحي، و من أنزل عليه ذلك الكتاب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هذه الجملة عند هؤلاء، جزء القرآن فقد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الاستمتاع في الآية ظاهر في هذا النوع من الزواج، و قد كان معروفا في صدر الإسلام بالمتعة و التمتع، فلا بد أن يحمل على هذا النوع من النكاح، لا على المعنى اللغوي الموجود في الزواج الدائم و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النكاح الدائم قد مرّ تشريعه في صدر السورة حيث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مَثْنىٰ وَ ثُلاٰثَ وَ رُبٰاعَ </w:t>
      </w:r>
      <w:r>
        <w:rPr>
          <w:rStyle w:val="FootnoteAnchor"/>
          <w:rtl w:val="true"/>
        </w:rPr>
        <w:footnoteReference w:id="1075"/>
      </w:r>
      <w:r>
        <w:rPr>
          <w:rFonts w:ascii="Amiri" w:hAnsi="Amiri" w:eastAsia="Amiri" w:cs="Amiri"/>
          <w:color w:val="111111"/>
          <w:sz w:val="28"/>
          <w:sz w:val="28"/>
          <w:szCs w:val="28"/>
          <w:rtl w:val="true"/>
          <w:lang w:bidi="ar-SA"/>
        </w:rPr>
        <w:t>و لا وجه لتكراره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وجه التكرار هو تبيين حكم صداقهن الوارد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أُجُورَهُنَّ ، مدفوع بأنّه مرّ بيانه أيضا، في صدر السورة،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Style w:val="FootnoteAnchor"/>
          <w:rtl w:val="true"/>
        </w:rPr>
        <w:footnoteReference w:id="1076"/>
      </w:r>
      <w:r>
        <w:rPr>
          <w:rFonts w:ascii="Amiri" w:hAnsi="Amiri" w:eastAsia="Amiri" w:cs="Amiri"/>
          <w:color w:val="111111"/>
          <w:sz w:val="28"/>
          <w:sz w:val="28"/>
          <w:szCs w:val="28"/>
          <w:rtl w:val="true"/>
          <w:lang w:bidi="ar-SA"/>
        </w:rPr>
        <w:t>، بل جاء بيانه أيضا قبل هذه الآية بقليل،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جعل هذه الفقرة تأكيدا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 لأنّ الآية السابقة آكد بيانا من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تفرّع وجوب دفع الأجور على الاستمتاع و هو يناسب الزواج المنقطع، الذي هو المطلوب فيها، و أمّا المهر في النكاح الدائم فهو يملك بنفس العقد، غير أنّه لو طلق قبل المسّ يسقط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تضافر نقله عن بعض الصحابة و التابعين من دعوى كون الآية منسوخة ببعض الآيات، فلو لم تكن الآية واردة في مورد المتعة فما معنى ادعاء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القرائن لا تدع للآية ظهورا إلاّ في 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المنار أصرّ على أنّ المراد من الآية هو النكاح الدائم، و استدلّ بأنّ المتمتع بالنكاح المؤقت لا يقصد الإحصان دون السافحة، بل يكون قصده المسافحة، فإن كان هناك نوع ما من إحصان نفسه، و منعها من التنقل في دمن الزنا، فإن لا يكون فيه شيء ما من إحصان المرأة التي تؤجّر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حذفت بصوالجة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فتلقفها رجل رجل</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 أنّه جعل السفاح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 ، بالمعنى اللغوي، و هو صبّ الماء و سفحه على الأرض، و من ثمّ جعل العقد المنقطع مصداقا له، فصارت الآية ناهية عنه، و ظاهرة في العقد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عزب عنه أنّ المراد من السفح هنا، هو الزنا لا المعنى اللغوي، و الآية تؤكّد على أنّ الطريق المشروع في نيل النساء و مباشرتهن، هو النكاح لا الزنا، و الزواج لا السفاح، و تدعو المؤمنين إلى التزوج لا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فتفسير غَيْرَ مُسٰافِحِينَ بالمعنى اللّغوي، لا يناسب مفاد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غفل عن أنّ السفح، بمعنى صبّ الماء، مشترك بين الدائم و المنقطع و الزنا، فلو أخذ به لم يبق مورد لمقابله، أعني قوله تعالى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 أنّ الآية تحرض على أمر مشروع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 ، و تنهى عن مقابله، الذي يعدّ مفهوما للآية، فلو قلنا بأنّ المراد من السفح في الآية، هو صبّ الماء، و هو مشترك بين الدائم و المنقطع و الزنا، لم يبق لقوله محصنين مصداق و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 بالزنا، كما هو الحق، يدخل الدائم و المنقطع تحت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مُحْصِنِينَ ، و يبقى الزنا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الإحصان الذي يراد منه التعفف و الاجتناب عن الزنا، يحصل بالدائم و المنقطع معا، فتخصيصه بالأول غفلة عن حقيقة العقد 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آخر كلامه من تشبيه المرأة المتمتع بها، بكرة تحذف بصوالجة مختلفة، يتلقاها رجل عن رجل، جسارة على التشريع الإلهي، إذ لا شك أنّ النبي الأكرم سوّغ المتعة مدة، و لو في أمد قصير، و إنّما اختلفت الأمّة في نسخه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النسخ، اختلفوا في زمانه، فهل يصحّ لنا التعبير عن سنّة النبي، الذي لا يصدر إلاّ عن الوحي الإلهي، بهذا الشعر المبتذل، و ما هو إلاّ لضعف البصيرة و قلة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 تخصيص الآية بالنكاح الدائم أنّ الهدف من تشريع النكاح هو تكوين البيت و إيجاد النسل و الولد، و هو يختص بالنكاح الدائم، دون المتقطع الذي لا يترتب عليه إلاّ إرضاء القوة الشهوية، و صبّ الماء و سفحه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خلط بين الموضوع و الفائدة المترتبة عليه، و ما ذكر إنّما هو من قبيل الحكمة، و ليس الحكم دائرا مدارها، ضرورة أنّ النكاح صحيح و إن لم يكن هناك ذلك الغرض، كزواج العقيم و اليائسة و الصغيرة، بل أغلب المتزوجين في سن الشباب بالزواج الدائم لا يقصدون إلاّ قضاء الوطر و استيفاء الشهوة من طريقها المشروع، و لا يخطر على بالهم طلب النسل أصلا و إن حصل لهم قهرا، و لا يقدح ذلك في صحة زواجهم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حصر فائدة المتعة في قضاء الوطر، مع أنّها كالدائم قد يقصد منها النسل و الخدمة و تدبير المنزل و تربية الأولاد و الإرضاع و الحضانة</w:t>
      </w:r>
      <w:r>
        <w:rPr>
          <w:rFonts w:eastAsia="Amiri" w:cs="Amiri" w:ascii="Amiri" w:hAnsi="Amiri"/>
          <w:color w:val="111111"/>
          <w:sz w:val="28"/>
          <w:szCs w:val="28"/>
          <w:rtl w:val="true"/>
          <w:lang w:bidi="ar-SA"/>
        </w:rPr>
        <w:t xml:space="preserve">. </w:t>
      </w:r>
      <w:bookmarkStart w:id="1106" w:name="pg16351_181369"/>
    </w:p>
    <w:p>
      <w:pPr>
        <w:pStyle w:val="BookText"/>
        <w:rPr/>
      </w:pPr>
      <w:bookmarkEnd w:id="1106"/>
      <w:r>
        <w:rPr>
          <w:rFonts w:ascii="Amiri" w:hAnsi="Amiri" w:eastAsia="Amiri" w:cs="Amiri"/>
          <w:color w:val="111111"/>
          <w:sz w:val="28"/>
          <w:sz w:val="28"/>
          <w:szCs w:val="28"/>
          <w:rtl w:val="true"/>
          <w:lang w:bidi="ar-SA"/>
        </w:rPr>
        <w:t>و نسأل المانعين الذين يتلقون نكاح المتعة، مخالفا للحكمة التي لأجلها شرع النكاح، نسألهم عن الزوجين الذين يتزوجان نكاح دوام، و لكن ينويان الفراق بالطلاق بعد شهرين، فهل هذا النكاح صحيح أو لا؟، لا أظن أنّ فقيها من فقهاء الإسلام، يمنع ذلك، و إلاّ فقد أفتى بغير دليل و 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الأول، فأي فرق يكون حينئذ بين المتعة و هذا النكاح الدائم سوى أنّ المدة مذكورة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تشديد علماء السلف و الخلف في منع المتعة يقتضي منع النكاح بنية الطلاق، و إن كان الفقهاء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عقد النكاح يكون صحيحا إذا نوى الزوج التوقيت، و لم يشترطه في صيغة العقد، و لكن كتمانه إيّاه يعد خداعا و غشّا و هو أجدر بالبطلان من العقد الذي يشترط فيه التوقيت</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نفرض أنّ الزوجين رضيا بالتوقيت لبّا، حتى لا يكون هناك خداع و غشّ، فهو صحيح بلا إشكال</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422830_1280447820"/>
      <w:bookmarkStart w:id="1108" w:name="_Toc432"/>
      <w:bookmarkEnd w:id="1107"/>
      <w:r>
        <w:rPr>
          <w:rtl w:val="true"/>
        </w:rPr>
        <w:t>الآية غير منسوخة</w:t>
      </w:r>
      <w:bookmarkEnd w:id="1108"/>
    </w:p>
    <w:p>
      <w:pPr>
        <w:pStyle w:val="Heading6"/>
        <w:numPr>
          <w:ilvl w:val="5"/>
          <w:numId w:val="1"/>
        </w:numPr>
        <w:rPr/>
      </w:pPr>
      <w:bookmarkStart w:id="1109" w:name="__RefHeading___Toc6422832_1280447820"/>
      <w:bookmarkStart w:id="1110" w:name="_Toc433"/>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ثم إنّ جماعة من المفسّرين و المحدّثين بعد ما سلّموا نزول الآية في المتعة و دلالتها على مشروعيتها، تخلّصوا عن القول بمشروعيتها الناسخة إلى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قائل بأنّها منسوخة ببعض الآيات، و قائل بأنّها منسوخة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بكونها منسوخة بالقرآن اختلفوا بدورهم في الآيات الناسخة، كما أنّ القائلين بأنّها نسخت بالسنّة اختلفوا كذلك في زمن النسخ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الاختلافات، مع قرائن من التاريخ و السنّة، تدلّ على عدم وقوع النسخ</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6422834_1280447820"/>
      <w:bookmarkStart w:id="1112" w:name="_Toc434"/>
      <w:bookmarkEnd w:id="1111"/>
      <w:r>
        <w:rPr>
          <w:rtl w:val="true"/>
        </w:rPr>
        <w:t xml:space="preserve">أ </w:t>
      </w:r>
      <w:r>
        <w:rPr>
          <w:rtl w:val="true"/>
        </w:rPr>
        <w:t xml:space="preserve">- </w:t>
      </w:r>
      <w:r>
        <w:rPr>
          <w:rtl w:val="true"/>
        </w:rPr>
        <w:t>الخلاف في الآيات الناسخة</w:t>
      </w:r>
      <w:bookmarkEnd w:id="111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يدلّ على عدم نسخ آية المتعة، خلافهم في الآيات التي نسختها، إلى أقوال، لا يفي أيّ منها بالمدّعى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الناسخ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عزب عن القائل أنّ هذه الآية مكيّة، و آية المتعة مدنية، و لا معنى لناسخية آية لحكم لم يشرّع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أنّ نكاح المتعة داخل في الشقّ الأول،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بآية العدة،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Style w:val="FootnoteAnchor"/>
          <w:rtl w:val="true"/>
        </w:rPr>
        <w:footnoteReference w:id="1081"/>
      </w:r>
      <w:r>
        <w:rPr>
          <w:rFonts w:ascii="Amiri" w:hAnsi="Amiri" w:eastAsia="Amiri" w:cs="Amiri"/>
          <w:color w:val="111111"/>
          <w:sz w:val="28"/>
          <w:sz w:val="28"/>
          <w:szCs w:val="28"/>
          <w:rtl w:val="true"/>
          <w:lang w:bidi="ar-SA"/>
        </w:rPr>
        <w:t>حيث تدلّ على أنّ انفصال الزوجين إنّما يحصل بطلاق و عدّة، و المتعة ليس فيها عدّة و 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من غرائب الأقوال، و ذلك أنّ القول بعدم العدّة في المتعة ناش من الجهل بأحكامها، فإنّ فيها العدة كالدائم غير أنّ عدتها حيضتان لمن تحيض و خمس و أربعين يوما لمن لا ترى الحمرة و هي في سنّ من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الطلاق، فلم يدلّ دليل على أنّه وسيلة الفراق الوحيدة لكل زواج، و إنّما ينحصر دليل الطلاق بالنكاح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بآية الميراث حيث لا ميراث في المتعة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إنّ الميراث من أحكام الزواج، و نفي حكم في مورد، لا يدلّ على انتفاء الموضوع، فالمتمتع، بها زوجة يترتب عليها آثار الزوجية إلاّ ما خرج بالدليل، و انتفاء أثر ما لا يدل على فقدان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النفقة من أحكام الزوجية و الناشزة لا نفقة لها و مع ذلك فهي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الكافرة، و القاتلة و المعقود عليها في المرض إذا مات زوجها فيه قبل الدخول، زوجات، و لكن لا يرثن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1113" w:name="pg16351_181371"/>
    </w:p>
    <w:p>
      <w:pPr>
        <w:pStyle w:val="BookText"/>
        <w:rPr/>
      </w:pPr>
      <w:bookmarkEnd w:id="1113"/>
      <w:r>
        <w:rPr>
          <w:rFonts w:ascii="Amiri" w:hAnsi="Amiri" w:eastAsia="Amiri" w:cs="Amiri"/>
          <w:color w:val="111111"/>
          <w:sz w:val="28"/>
          <w:sz w:val="28"/>
          <w:szCs w:val="28"/>
          <w:rtl w:val="true"/>
          <w:lang w:bidi="ar-SA"/>
        </w:rPr>
        <w:t>قد تتحقق الوارثة من دون أن تكون هناك زوجية، كما إذا طلّق الرجل زوجته في مرض موته، و خرجت عن العدة، فمات الزوج إلى سنة من الطلاق، فترثه، و ليست بزوجة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الزوجية و الوارثة عموم و خصوص من وجه</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6422836_1280447820"/>
      <w:bookmarkStart w:id="1115" w:name="_Toc435"/>
      <w:bookmarkEnd w:id="1114"/>
      <w:r>
        <w:rPr>
          <w:rtl w:val="true"/>
        </w:rPr>
        <w:t xml:space="preserve">ب </w:t>
      </w:r>
      <w:r>
        <w:rPr>
          <w:rtl w:val="true"/>
        </w:rPr>
        <w:t xml:space="preserve">- </w:t>
      </w:r>
      <w:r>
        <w:rPr>
          <w:rtl w:val="true"/>
        </w:rPr>
        <w:t>الخلاف في زمن النسخ</w:t>
      </w:r>
      <w:bookmarkEnd w:id="1115"/>
    </w:p>
    <w:p>
      <w:pPr>
        <w:pStyle w:val="BookText"/>
        <w:rPr/>
      </w:pPr>
      <w:r>
        <w:rPr>
          <w:rFonts w:ascii="Amiri" w:hAnsi="Amiri" w:eastAsia="Amiri" w:cs="Amiri"/>
          <w:color w:val="111111"/>
          <w:sz w:val="28"/>
          <w:sz w:val="28"/>
          <w:szCs w:val="28"/>
          <w:rtl w:val="true"/>
          <w:lang w:bidi="ar-SA"/>
        </w:rPr>
        <w:t>و ممّا يدلّ على عدم النسخ اختلافهم في زمن نسخه إلى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حلّت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مباحة و نهي عنها في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أبيحت عام أوطاس ثم نهي عنها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الأقوال تنفي الثقة في وقوع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القول بنسخ الكتاب بأخبار الآحاد ممنوع جدا، و قد صحّ عن عمران بن الحصين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المتعة و ما نسخها بآية أخرى، و أمرنا رسول اللّه صلى اللّه عليه و آله بالمتعة و ما نهانا عنها، ثم قال رجل برأيه، يريد به عمر بن الخطاب</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6" w:name="__RefHeading___Toc6422838_1280447820"/>
      <w:bookmarkStart w:id="1117" w:name="_Toc436"/>
      <w:bookmarkEnd w:id="1116"/>
      <w:r>
        <w:rPr>
          <w:rtl w:val="true"/>
        </w:rPr>
        <w:t xml:space="preserve">ج </w:t>
      </w:r>
      <w:r>
        <w:rPr>
          <w:rtl w:val="true"/>
        </w:rPr>
        <w:t xml:space="preserve">- </w:t>
      </w:r>
      <w:r>
        <w:rPr>
          <w:rtl w:val="true"/>
        </w:rPr>
        <w:t>قرائن أخرى على عدم النسخ</w:t>
      </w:r>
      <w:bookmarkEnd w:id="111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هناك قرائن قطعية تدلّ على عدم النسخ و كفى في ذلك ما رواه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نستمتع بالقبضة من التمر و الدقيق، لأيام، على عهد رسول اللّه و أبي بكر، و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عنه عمر في شأن عمرو بن حريث</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تضافر عن عليّ أنّه سئل عن آية المتعة، أ 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نهي عن المتعة ما زنى إلاّ شقي</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ما تضافر من الروايات الدالّة على أنّ عمر هو الذي نهى عن المتعة بعد تسنمه الخلافة، و قد أسند النهي إلى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هذا الرسول، و إنّ القرآن، هذا القرآن، و إنّهما متعتان على عهد رسول اللّه و أنا أنهى عنهما، و أعاقب عليهما، إحداهما متعة النساء، و لا أقدر على رجل تزوج امرأة إلى أجل إلاّ غيبته بالحجارة، و الأخرى متعة الحج</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أقصى ما يمكن أن يقال إنّ الخليفة رأى مصلحة في زمانه و أيامه، اقتضت أن يمنع من المتعة منعا سياسيا لا دينيا و 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أحرّمهما و أعاقب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حرّمهما أو نسخهما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نسب التحريم إلى نفسه، و جعل العقاب عليها منه 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المنع السياسي يكون منعا مؤقّتا تابعا لمصلحة الزمان، فإذا انقلبت المصلحة إلى غيرها، يرتفع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المتعة سنّة إسلامية أمر بها الرسول الأكرم صلى اللّه عليه و آله و سلّم بوحي من اللّه سبحانه ليسدّ بذلك طريق الزنا و أنّ الحكمة الإلهية في إكمال الشريعة تقتضي تسويغ هذا النوع من الزواج، فالمسافرون مثلا و لا سيما من تطول أسفارهم في طلب علم أو تجارة أو جهاد، أو مرابطة في ثغر، و هم في ميعة الشباب و ريعان العمر، و تأجج سعير الشهوة، لا يخلو حالهم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الصبر و مجاهدة النفس الموجب للمشقة، التي تنجر إلى الوقوع في أمراض مزمنة، و علل مهلكة، و فيه إلقاء في العسر و الحرج و عظيم المشقة، ممّا تأباه شريعة الإسلام السمحة السهلة، يُرِيدُ اَللّٰهُ بِكُمُ اَلْيُسْرَ، وَ لاٰ يُرِيدُ بِكُمُ اَلْعُسْرَ </w:t>
      </w:r>
      <w:r>
        <w:rPr>
          <w:rStyle w:val="FootnoteAnchor"/>
          <w:rtl w:val="true"/>
        </w:rPr>
        <w:footnoteReference w:id="1087"/>
      </w:r>
      <w:r>
        <w:rPr>
          <w:rFonts w:ascii="Amiri" w:hAnsi="Amiri" w:eastAsia="Amiri" w:cs="Amiri"/>
          <w:color w:val="111111"/>
          <w:sz w:val="28"/>
          <w:sz w:val="28"/>
          <w:szCs w:val="28"/>
          <w:rtl w:val="true"/>
          <w:lang w:bidi="ar-SA"/>
        </w:rPr>
        <w:t xml:space="preserve">، مٰا يُرِيدُ اَللّٰهُ لِيَجْعَلَ عَلَيْكُمْ مِنْ حَرَجٍ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الوقوع في الزنا و العهر و التوغل في المفاسد</w:t>
      </w:r>
      <w:r>
        <w:rPr>
          <w:rFonts w:eastAsia="Amiri" w:cs="Amiri" w:ascii="Amiri" w:hAnsi="Amiri"/>
          <w:color w:val="111111"/>
          <w:sz w:val="28"/>
          <w:szCs w:val="28"/>
          <w:rtl w:val="true"/>
          <w:lang w:bidi="ar-SA"/>
        </w:rPr>
        <w:t xml:space="preserve">. </w:t>
      </w:r>
      <w:bookmarkStart w:id="1118" w:name="pg16351_181373"/>
    </w:p>
    <w:p>
      <w:pPr>
        <w:pStyle w:val="BookText"/>
        <w:rPr/>
      </w:pPr>
      <w:bookmarkEnd w:id="1118"/>
      <w:r>
        <w:rPr>
          <w:rFonts w:ascii="Amiri" w:hAnsi="Amiri" w:eastAsia="Amiri" w:cs="Amiri"/>
          <w:color w:val="111111"/>
          <w:sz w:val="28"/>
          <w:sz w:val="28"/>
          <w:szCs w:val="28"/>
          <w:rtl w:val="true"/>
          <w:lang w:bidi="ar-SA"/>
        </w:rPr>
        <w:t>فما هو تكليف الشاب المغترب الذي لا يقدر على الزواج الدائم، و أيّهما يختار، يا قادة المسلمين و يا رجال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الشيعة الإمامية، اقتفاء لأثر رسول اللّه، و أئمتهم الأطهار، ينادون بملء أفواههم بأنّ هناك طريقا ثالثا، جامعا بين اليسر و الشرف، و هو الزواج المؤقّت، على شروط و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المتعة كانت رحمة رحم اللّه بها أمة محمد صلى اللّه عليه و آله، كما قال حبر الأمّة ابن عباس</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فيما كتبه الأعلام حول المتعة غنى و كفاية، و ما ذكرناه قبس من أنوار علومهم، و ضياء من مشاعلهم، رحم اللّه الماضين من علمائنا و حفظ اللّه الباقين منهم، و جمع بهم كلمة المسلمين، و أوردهم المنهل الصافي المعين، أعني توحيد الكلمة، كما هم عليه من كلمة التوحيد، و قد بني الإسلام على كلمتين</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6422840_1280447820"/>
      <w:bookmarkStart w:id="1120" w:name="_Toc437"/>
      <w:bookmarkEnd w:id="1119"/>
      <w:r>
        <w:rPr>
          <w:rtl w:val="true"/>
        </w:rPr>
        <w:t>كلمة التوحيد، و توحيد الكلمة</w:t>
      </w:r>
      <w:bookmarkEnd w:id="1120"/>
    </w:p>
    <w:p>
      <w:pPr>
        <w:pStyle w:val="BookText"/>
        <w:rPr/>
      </w:pPr>
      <w:r>
        <w:rPr>
          <w:rFonts w:ascii="Amiri" w:hAnsi="Amiri" w:eastAsia="Amiri" w:cs="Amiri"/>
          <w:color w:val="111111"/>
          <w:sz w:val="28"/>
          <w:sz w:val="28"/>
          <w:szCs w:val="28"/>
          <w:rtl w:val="true"/>
          <w:lang w:bidi="ar-SA"/>
        </w:rPr>
        <w:t xml:space="preserve">بلغ القلم هذه السطور صبيحة يوم الاثنين السادس عشر من شهر شوال المكرم من شهور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المباركة، بيد العبد الفقير بذاته إلى اللّه سبحانه، أبي جعفر حسن بن محمد مكي العاملي، غفر اللّه لي و لوالديّ، و جعل ما كتبته و أقدّمه إلى المجتمع الإنساني، و محافل الفكر و المعرفة، و مدارس الحق و الهداية، مذخورا في خزائنه بأفضل ما يثيب تعالى عباده عليه، و يؤجرهم به، إنّه خير مؤمّل و مدعوّ و مجيب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دَعْوٰاهُمْ أَنِ اَلْحَمْدُ لِلّٰهِ رَبِّ اَلْعٰالَمِينَ </w:t>
      </w:r>
      <w:bookmarkStart w:id="1121" w:name="pg16351_181374"/>
    </w:p>
    <w:p>
      <w:pPr>
        <w:pStyle w:val="Heading4"/>
        <w:numPr>
          <w:ilvl w:val="3"/>
          <w:numId w:val="1"/>
        </w:numPr>
        <w:rPr/>
      </w:pPr>
      <w:bookmarkStart w:id="1122" w:name="__RefHeading___Toc6422842_1280447820"/>
      <w:bookmarkStart w:id="1123" w:name="_Toc438"/>
      <w:bookmarkEnd w:id="1121"/>
      <w:bookmarkEnd w:id="1122"/>
      <w:r>
        <w:rPr>
          <w:rtl w:val="true"/>
        </w:rPr>
        <w:t>ملحق</w:t>
      </w:r>
      <w:bookmarkEnd w:id="1123"/>
    </w:p>
    <w:p>
      <w:pPr>
        <w:pStyle w:val="BookText"/>
        <w:rPr/>
      </w:pPr>
      <w:r>
        <w:rPr>
          <w:rFonts w:ascii="IRNazanin" w:hAnsi="IRNazanin" w:eastAsia="IRNazanin"/>
          <w:color w:val="111111"/>
          <w:sz w:val="28"/>
          <w:sz w:val="28"/>
          <w:szCs w:val="28"/>
          <w:rtl w:val="true"/>
          <w:lang w:bidi="fa-IR"/>
        </w:rPr>
        <w:t>ملحق</w:t>
      </w:r>
      <w:r>
        <w:rPr>
          <w:rStyle w:val="FootnoteAnchor"/>
          <w:rtl w:val="true"/>
        </w:rPr>
        <w:footnoteReference w:id="1090"/>
      </w:r>
    </w:p>
    <w:p>
      <w:pPr>
        <w:pStyle w:val="Heading4"/>
        <w:numPr>
          <w:ilvl w:val="3"/>
          <w:numId w:val="1"/>
        </w:numPr>
        <w:rPr/>
      </w:pPr>
      <w:bookmarkStart w:id="1124" w:name="__RefHeading___Toc6422844_1280447820"/>
      <w:bookmarkStart w:id="1125" w:name="_Toc439"/>
      <w:bookmarkEnd w:id="1124"/>
      <w:r>
        <w:rPr>
          <w:rtl w:val="true"/>
        </w:rPr>
        <w:t>تعليق للمؤلف</w:t>
      </w:r>
      <w:bookmarkEnd w:id="1125"/>
    </w:p>
    <w:p>
      <w:pPr>
        <w:pStyle w:val="BookText"/>
        <w:rPr/>
      </w:pPr>
      <w:r>
        <w:rPr>
          <w:rFonts w:ascii="Amiri" w:hAnsi="Amiri" w:eastAsia="Amiri" w:cs="Amiri"/>
          <w:color w:val="111111"/>
          <w:sz w:val="28"/>
          <w:sz w:val="28"/>
          <w:szCs w:val="28"/>
          <w:rtl w:val="true"/>
          <w:lang w:bidi="ar-SA"/>
        </w:rPr>
        <w:t>من المفيد الإشارة إلى شبهة يطرحها بعض المتشدقين بالتجدد و العصرنة،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بنيان الحكم في الإسلام مبني على أسس الديمقراطية، و حرية الرأي و التعبير، و من هذا المنطق، كان الطريق الذي شرعه الإسلام لانتخاب الإمام و القائد، هو الشورى و الاختيار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صحيح من جهات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أرادوا بدعوى الديموقراطية، تصحيح خلافة الأوائل، التي يعرف القاصي و الداني أية ديموقراطية كانت سائدة فيها، فأين الضرب بالأيدي و العصي، و التهديد و الوعيد، و حرق الدور، و غصب الأموال،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قمع المخالفين بالقهر و العنف و الإذلال؟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كم إنسان شارك في عملية الانتخاب؟ و ما نسبتهم إلى المجتمع الإسلامي؟ أم ما هي سمتهم التمثيلية لأبنائه؟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التفوه بمقولة الديموقراطية في مجتمع عشائري قبلي، الرءوس فيه عديدة، و الآراء فيه فريدة، و إنّ هو إلاّ رأي صاحب العشيرة، ما بعده من رأي،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الديموقراطية تفترض الحرية في الرأي، و الانفتاح في التعبير، فلكلّ فرد من أبناء المجتمع رأيه المستقل، و نظره الخاص، يدلي بصوته </w:t>
      </w:r>
    </w:p>
    <w:p>
      <w:pPr>
        <w:pStyle w:val="BookText"/>
        <w:rPr/>
      </w:pPr>
      <w:r>
        <w:rPr>
          <w:rFonts w:ascii="Amiri" w:hAnsi="Amiri" w:eastAsia="Amiri" w:cs="Amiri"/>
          <w:color w:val="111111"/>
          <w:sz w:val="28"/>
          <w:sz w:val="28"/>
          <w:szCs w:val="28"/>
          <w:rtl w:val="true"/>
          <w:lang w:bidi="ar-SA"/>
        </w:rPr>
        <w:t>لمن شاء و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مثل هذا في مجتمع قبلي و عشائري، هرطقة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علماء الاجتماع إنّ الديموقراطية إنّما تفترض في المجتمع المترقي فكريا و ثقافيا، و ذلك لأنّ العمليات الانتخابية التي يفترض إجراؤها تحت مظلّة الديموقراطية، تستلزم وعيا و نظرا و إدراكا للمصالح و المفاسد، و تقويما للطرق السليمة التي تفيد المجتمع في ارتقائه و تكامله، و تجربة في الحياة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يستدعي أرضية ثقافية و فكرية نشيطة، لدى أبناء الشعب، و في غير تلك الصورة، يكون فرض الديموقراطية، لا ديموقراطية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قست هذا الأصل الذي ذكرناه، إلى وضع أفراد المجتمع الإسلامي حال وفاة الرسول الأعظم صلوات اللّه عليه و آله، تدرك ما قيمة فرض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الانتخاب، آنذاك</w:t>
      </w:r>
      <w:r>
        <w:rPr>
          <w:rFonts w:eastAsia="Amiri" w:cs="Amiri" w:ascii="Amiri" w:hAnsi="Amiri"/>
          <w:color w:val="111111"/>
          <w:sz w:val="28"/>
          <w:szCs w:val="28"/>
          <w:rtl w:val="true"/>
          <w:lang w:bidi="ar-SA"/>
        </w:rPr>
        <w:t xml:space="preserve">. </w:t>
      </w:r>
      <w:bookmarkStart w:id="1126" w:name="pg16351_181376"/>
    </w:p>
    <w:p>
      <w:pPr>
        <w:pStyle w:val="Heading2"/>
        <w:numPr>
          <w:ilvl w:val="1"/>
          <w:numId w:val="1"/>
        </w:numPr>
        <w:rPr/>
      </w:pPr>
      <w:bookmarkStart w:id="1127" w:name="__RefHeading___Toc6422846_1280447820"/>
      <w:bookmarkStart w:id="1128" w:name="_Toc440"/>
      <w:bookmarkEnd w:id="1126"/>
      <w:bookmarkEnd w:id="1127"/>
      <w:r>
        <w:rPr>
          <w:rtl w:val="true"/>
        </w:rPr>
        <w:t>الفهارس العامة</w:t>
      </w:r>
      <w:bookmarkEnd w:id="1128"/>
    </w:p>
    <w:p>
      <w:pPr>
        <w:pStyle w:val="Heading3"/>
        <w:numPr>
          <w:ilvl w:val="2"/>
          <w:numId w:val="1"/>
        </w:numPr>
        <w:rPr/>
      </w:pPr>
      <w:bookmarkStart w:id="1129" w:name="__RefHeading___Toc6422848_1280447820"/>
      <w:bookmarkStart w:id="1130" w:name="_Toc441"/>
      <w:bookmarkEnd w:id="1129"/>
      <w:r>
        <w:rPr>
          <w:rtl w:val="true"/>
        </w:rPr>
        <w:t>اشارة</w:t>
      </w:r>
      <w:bookmarkEnd w:id="113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مصادر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الأعلام و الكنى و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الفرق و الديانات و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الشعوب و القبائل و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الأماكن و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1" w:name="pg16351_181378"/>
      <w:bookmarkStart w:id="1132" w:name="pg16351_181378"/>
      <w:bookmarkEnd w:id="1132"/>
    </w:p>
    <w:p>
      <w:pPr>
        <w:pStyle w:val="Heading3"/>
        <w:numPr>
          <w:ilvl w:val="2"/>
          <w:numId w:val="1"/>
        </w:numPr>
        <w:rPr/>
      </w:pPr>
      <w:bookmarkStart w:id="1133" w:name="pg16351_181378"/>
      <w:bookmarkStart w:id="1134" w:name="__RefHeading___Toc6422850_1280447820"/>
      <w:bookmarkStart w:id="1135" w:name="_Toc442"/>
      <w:bookmarkEnd w:id="1133"/>
      <w:bookmarkEnd w:id="1134"/>
      <w:r>
        <w:rPr>
          <w:rtl w:val="true"/>
        </w:rPr>
        <w:t>فهرس الآيات</w:t>
      </w:r>
      <w:bookmarkEnd w:id="113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lang w:bidi="ar-SA"/>
        </w:rPr>
        <w:t>314/89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lang w:bidi="ar-SA"/>
        </w:rPr>
        <w:t>224/94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يَتَمَنَّوْهُ أَبَداً بِمٰا قَدَّمَتْ أَيْدِيهِمْ وَ اَللّٰهُ عَلِيمٌ بِالظّٰالِمِينَ </w:t>
      </w:r>
      <w:r>
        <w:rPr>
          <w:rFonts w:eastAsia="Amiri" w:cs="Amiri" w:ascii="Amiri" w:hAnsi="Amiri"/>
          <w:color w:val="111111"/>
          <w:sz w:val="28"/>
          <w:szCs w:val="28"/>
          <w:lang w:bidi="ar-SA"/>
        </w:rPr>
        <w:t>224/95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 اِصْفَحُوا حَتّٰى يَأْتِيَ اَللّٰهُ بِأَمْرِهِ إِنَّ اَللّٰهَ عَلىٰ كُلِّ شَيْ‌ءٍ قَدِيرٌ </w:t>
      </w:r>
      <w:r>
        <w:rPr>
          <w:rFonts w:eastAsia="Amiri" w:cs="Amiri" w:ascii="Amiri" w:hAnsi="Amiri"/>
          <w:color w:val="111111"/>
          <w:sz w:val="28"/>
          <w:szCs w:val="28"/>
          <w:lang w:bidi="ar-SA"/>
        </w:rPr>
        <w:t>44/109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Amiri" w:cs="Amiri" w:ascii="Amiri" w:hAnsi="Amiri"/>
          <w:color w:val="111111"/>
          <w:sz w:val="28"/>
          <w:szCs w:val="28"/>
          <w:lang w:bidi="ar-SA"/>
        </w:rPr>
        <w:t>17,71/124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مِنْهُمْ بِاللّٰهِ وَ اَلْيَوْمِ اَلْآخِرِ </w:t>
      </w:r>
      <w:r>
        <w:rPr>
          <w:rFonts w:eastAsia="Amiri" w:cs="Amiri" w:ascii="Amiri" w:hAnsi="Amiri"/>
          <w:color w:val="111111"/>
          <w:sz w:val="28"/>
          <w:szCs w:val="28"/>
          <w:lang w:bidi="ar-SA"/>
        </w:rPr>
        <w:t>163/126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lang w:bidi="ar-SA"/>
        </w:rPr>
        <w:t>320,258,257/143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 إِنَّ فَرِيقاً مِنْهُمْ لَيَكْتُمُونَ اَلْحَقَّ وَ هُمْ يَعْلَمُونَ </w:t>
      </w:r>
      <w:r>
        <w:rPr>
          <w:rFonts w:eastAsia="Amiri" w:cs="Amiri" w:ascii="Amiri" w:hAnsi="Amiri"/>
          <w:color w:val="111111"/>
          <w:sz w:val="28"/>
          <w:szCs w:val="28"/>
          <w:lang w:bidi="ar-SA"/>
        </w:rPr>
        <w:t>314/146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Fonts w:eastAsia="Amiri" w:cs="Amiri" w:ascii="Amiri" w:hAnsi="Amiri"/>
          <w:color w:val="111111"/>
          <w:sz w:val="28"/>
          <w:szCs w:val="28"/>
          <w:lang w:bidi="ar-SA"/>
        </w:rPr>
        <w:t>188/148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Fonts w:eastAsia="Amiri" w:cs="Amiri" w:ascii="Amiri" w:hAnsi="Amiri"/>
          <w:color w:val="111111"/>
          <w:sz w:val="28"/>
          <w:szCs w:val="28"/>
          <w:lang w:bidi="ar-SA"/>
        </w:rPr>
        <w:t>228,200/154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Amiri" w:cs="Amiri" w:ascii="Amiri" w:hAnsi="Amiri"/>
          <w:color w:val="111111"/>
          <w:sz w:val="28"/>
          <w:szCs w:val="28"/>
          <w:lang w:bidi="ar-SA"/>
        </w:rPr>
        <w:t>331/160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حَيٰاةٌ </w:t>
      </w:r>
      <w:r>
        <w:rPr>
          <w:rFonts w:eastAsia="Amiri" w:cs="Amiri" w:ascii="Amiri" w:hAnsi="Amiri"/>
          <w:color w:val="111111"/>
          <w:sz w:val="28"/>
          <w:szCs w:val="28"/>
          <w:lang w:bidi="ar-SA"/>
        </w:rPr>
        <w:t>216/179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w:t>
      </w:r>
      <w:r>
        <w:rPr>
          <w:rFonts w:eastAsia="Amiri" w:cs="Amiri" w:ascii="Amiri" w:hAnsi="Amiri"/>
          <w:color w:val="111111"/>
          <w:sz w:val="28"/>
          <w:szCs w:val="28"/>
          <w:lang w:bidi="ar-SA"/>
        </w:rPr>
        <w:t>230/180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Fonts w:eastAsia="Amiri" w:cs="Amiri" w:ascii="Amiri" w:hAnsi="Amiri"/>
          <w:color w:val="111111"/>
          <w:sz w:val="28"/>
          <w:szCs w:val="28"/>
          <w:lang w:bidi="ar-SA"/>
        </w:rPr>
        <w:t>463/185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فَأُولٰئِكَ حَبِطَتْ أَعْمٰالُهُمْ فِي اَلدُّنْيٰا وَ اَلْآخِرَةِ وَ أُولٰئِكَ أَصْحٰابُ اَلنّٰارِ هُمْ فِيهٰا خٰالِدُونَ </w:t>
      </w:r>
      <w:r>
        <w:rPr>
          <w:rFonts w:eastAsia="Amiri" w:cs="Amiri" w:ascii="Amiri" w:hAnsi="Amiri"/>
          <w:color w:val="111111"/>
          <w:sz w:val="28"/>
          <w:szCs w:val="28"/>
          <w:lang w:bidi="ar-SA"/>
        </w:rPr>
        <w:t>372,368/217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اَلْمَحِيضِ قُلْ هُوَ أَذىً فَاعْتَزِلُوا اَلنِّسٰاءَ فِي اَلْمَحِيضِ وَ لاٰ تَقْرَبُوهُنَّ حَتّٰى يَطْهُرْنَ </w:t>
      </w:r>
      <w:r>
        <w:rPr>
          <w:rFonts w:eastAsia="Amiri" w:cs="Amiri" w:ascii="Amiri" w:hAnsi="Amiri"/>
          <w:color w:val="111111"/>
          <w:sz w:val="28"/>
          <w:szCs w:val="28"/>
          <w:lang w:bidi="ar-SA"/>
        </w:rPr>
        <w:t>289/222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يُؤٰاخِذُكُمْ بِمٰا كَسَبَتْ قُلُوبُكُمْ </w:t>
      </w:r>
      <w:r>
        <w:rPr>
          <w:rFonts w:eastAsia="Amiri" w:cs="Amiri" w:ascii="Amiri" w:hAnsi="Amiri"/>
          <w:color w:val="111111"/>
          <w:sz w:val="28"/>
          <w:szCs w:val="28"/>
          <w:lang w:bidi="ar-SA"/>
        </w:rPr>
        <w:t>257/225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lang w:bidi="ar-SA"/>
        </w:rPr>
        <w:t>212/243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Amiri" w:cs="Amiri" w:ascii="Amiri" w:hAnsi="Amiri"/>
          <w:color w:val="111111"/>
          <w:sz w:val="28"/>
          <w:szCs w:val="28"/>
          <w:lang w:bidi="ar-SA"/>
        </w:rPr>
        <w:t>121/247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آتٰاهُ اَللّٰهُ اَلْمُلْكَ وَ اَلْحِكْمَةَ وَ عَلَّمَهُ مِمّٰا يَشٰاءُ </w:t>
      </w:r>
      <w:r>
        <w:rPr>
          <w:rFonts w:eastAsia="Amiri" w:cs="Amiri" w:ascii="Amiri" w:hAnsi="Amiri"/>
          <w:color w:val="111111"/>
          <w:sz w:val="28"/>
          <w:szCs w:val="28"/>
          <w:lang w:bidi="ar-SA"/>
        </w:rPr>
        <w:t>120/251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وَ اَلْكٰافِرُونَ هُمُ اَلظّٰالِمُونَ </w:t>
      </w:r>
      <w:r>
        <w:rPr>
          <w:rFonts w:eastAsia="Amiri" w:cs="Amiri" w:ascii="Amiri" w:hAnsi="Amiri"/>
          <w:color w:val="111111"/>
          <w:sz w:val="28"/>
          <w:szCs w:val="28"/>
          <w:lang w:bidi="ar-SA"/>
        </w:rPr>
        <w:t>338/254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lang w:bidi="ar-SA"/>
        </w:rPr>
        <w:t>352,339/255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أَرِنِي كَيْفَ تُحْيِ اَلْمَوْتىٰ قٰالَ أَ وَ لَمْ تُؤْمِنْ قٰالَ بَلىٰ وَ لٰكِنْ لِيَطْمَئِنَّ قَلْبِي قٰالَ فَخُذْ أَرْبَعَةً مِنَ اَلطَّيْرِ فَصُرْهُنَّ إِلَيْكَ ثُمَّ اِجْعَلْ عَلىٰ كُلِّ جَبَلٍ مِنْهُنَّ جُزْءاً ثُمَّ اُدْعُهُنَّ يَأْتِينَكَ سَعْياً وَ اِعْلَمْ أَنَّ اَللّٰهَ عَزِيزٌ حَكِيمٌ </w:t>
      </w:r>
      <w:r>
        <w:rPr>
          <w:rFonts w:eastAsia="Amiri" w:cs="Amiri" w:ascii="Amiri" w:hAnsi="Amiri"/>
          <w:color w:val="111111"/>
          <w:sz w:val="28"/>
          <w:szCs w:val="28"/>
          <w:lang w:bidi="ar-SA"/>
        </w:rPr>
        <w:t>207/260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رَبَّنٰا إِنَّكَ جٰامِعُ اَلنّٰاسِ لِيَوْمٍ لاٰ رَيْبَ فِيهِ إِنَّ اَللّٰهَ لاٰ يُخْلِفُ اَلْمِيعٰادَ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lang w:bidi="ar-SA"/>
        </w:rPr>
        <w:t>374/21</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حَبِطَتْ أَعْمٰالُهُمْ فِي اَلدُّنْيٰا وَ اَلْآخِرَةِ وَ مٰا لَهُمْ مِنْ نٰاصِرِينَ </w:t>
      </w:r>
      <w:r>
        <w:rPr>
          <w:rFonts w:eastAsia="Amiri" w:cs="Amiri" w:ascii="Amiri" w:hAnsi="Amiri"/>
          <w:color w:val="111111"/>
          <w:sz w:val="28"/>
          <w:szCs w:val="28"/>
          <w:lang w:bidi="ar-SA"/>
        </w:rPr>
        <w:t>374/22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اَلْمُؤْمِنُونَ اَلْكٰافِرِينَ أَوْلِيٰاءَ مِنْ دُونِ اَلْمُؤْمِنِينَ وَ مَنْ يَفْعَلْ ذٰلِكَ فَلَيْسَ مِنَ اَللّٰهِ فِي شَيْ‌ءٍ إِلاّٰ أَنْ تَتَّقُوا مِنْهُمْ تُقٰاةً وَ يُحَذِّرُكُمُ اَللّٰهُ نَفْسَهُ وَ إِلَى اَللّٰهِ اَلْمَصِيرُ </w:t>
      </w:r>
      <w:r>
        <w:rPr>
          <w:rFonts w:eastAsia="Amiri" w:cs="Amiri" w:ascii="Amiri" w:hAnsi="Amiri"/>
          <w:color w:val="111111"/>
          <w:sz w:val="28"/>
          <w:szCs w:val="28"/>
          <w:lang w:bidi="ar-SA"/>
        </w:rPr>
        <w:t>429/28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لِلْكٰافِرِينَ </w:t>
      </w:r>
      <w:r>
        <w:rPr>
          <w:rFonts w:eastAsia="Amiri" w:cs="Amiri" w:ascii="Amiri" w:hAnsi="Amiri"/>
          <w:color w:val="111111"/>
          <w:sz w:val="28"/>
          <w:szCs w:val="28"/>
          <w:lang w:bidi="ar-SA"/>
        </w:rPr>
        <w:t>421/131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Fonts w:eastAsia="Amiri" w:cs="Amiri" w:ascii="Amiri" w:hAnsi="Amiri"/>
          <w:color w:val="111111"/>
          <w:sz w:val="28"/>
          <w:szCs w:val="28"/>
          <w:lang w:bidi="ar-SA"/>
        </w:rPr>
        <w:t>129/42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w:t>
      </w:r>
      <w:r>
        <w:rPr>
          <w:rFonts w:eastAsia="Amiri" w:cs="Amiri" w:ascii="Amiri" w:hAnsi="Amiri"/>
          <w:color w:val="111111"/>
          <w:sz w:val="28"/>
          <w:szCs w:val="28"/>
          <w:lang w:bidi="ar-SA"/>
        </w:rPr>
        <w:t>354/45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جِئْتُكُمْ بِآيَةٍ مِنْ رَبِّكُمْ أَنِّي أَخْلُقُ لَكُمْ مِنَ اَلطِّينِ كَهَيْئَةِ اَلطَّيْرِ فَأَنْفُخُ فِيهِ فَيَكُونُ طَيْراً بِإِذْنِ اَللّٰهِ وَ أُبْرِئُ اَلْأَكْمَهَ وَ اَلْأَبْرَصَ وَ أُحْيِ اَلْمَوْتىٰ بِإِذْنِ اَللّٰهِ </w:t>
      </w:r>
      <w:r>
        <w:rPr>
          <w:rFonts w:eastAsia="Amiri" w:cs="Amiri" w:ascii="Amiri" w:hAnsi="Amiri"/>
          <w:color w:val="111111"/>
          <w:sz w:val="28"/>
          <w:szCs w:val="28"/>
          <w:lang w:bidi="ar-SA"/>
        </w:rPr>
        <w:t>218/49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lang w:bidi="ar-SA"/>
        </w:rPr>
        <w:t>90/52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بِمٰا أَنْزَلْتَ </w:t>
      </w:r>
      <w:r>
        <w:rPr>
          <w:rFonts w:eastAsia="Amiri" w:cs="Amiri" w:ascii="Amiri" w:hAnsi="Amiri"/>
          <w:color w:val="111111"/>
          <w:sz w:val="28"/>
          <w:szCs w:val="28"/>
          <w:lang w:bidi="ar-SA"/>
        </w:rPr>
        <w:t>313/53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يٰا عِيسىٰ إِنِّي مُتَوَفِّيكَ وَ رٰافِعُكَ إِلَيَّ وَ مُطَهِّرُكَ مِنَ اَلَّذِينَ كَفَرُوا وَ جٰاعِلُ اَلَّذِينَ اِتَّبَعُوكَ فَوْقَ اَلَّذِينَ كَفَرُوا إِلىٰ يَوْمِ اَلْقِيٰامَةِ ثُمَّ إِلَيَّ مَرْجِعُكُمْ فَأَحْكُمُ بَيْنَكُمْ فِيمٰا كُنْتُمْ فِيهِ تَخْتَلِفُونَ </w:t>
      </w:r>
      <w:r>
        <w:rPr>
          <w:rFonts w:eastAsia="Amiri" w:cs="Amiri" w:ascii="Amiri" w:hAnsi="Amiri"/>
          <w:color w:val="111111"/>
          <w:sz w:val="28"/>
          <w:szCs w:val="28"/>
          <w:lang w:bidi="ar-SA"/>
        </w:rPr>
        <w:t>165/55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كَفَرُوا فَأُعَذِّبُهُمْ عَذٰاباً شَدِيداً فِي اَلدُّنْيٰا وَ اَلْآخِرَةِ وَ مٰا لَهُمْ مِنْ نٰاصِرِينَ </w:t>
      </w:r>
      <w:r>
        <w:rPr>
          <w:rFonts w:eastAsia="Amiri" w:cs="Amiri" w:ascii="Amiri" w:hAnsi="Amiri"/>
          <w:color w:val="111111"/>
          <w:sz w:val="28"/>
          <w:szCs w:val="28"/>
          <w:lang w:bidi="ar-SA"/>
        </w:rPr>
        <w:t>165/56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اَلَّذِينَ آمَنُوا وَ عَمِلُوا اَلصّٰالِحٰاتِ فَيُوَفِّيهِمْ أُجُورَهُمْ وَ اَللّٰهُ لاٰ يُحِبُّ اَلظّٰالِمِينَ </w:t>
      </w:r>
      <w:r>
        <w:rPr>
          <w:rFonts w:eastAsia="Amiri" w:cs="Amiri" w:ascii="Amiri" w:hAnsi="Amiri"/>
          <w:color w:val="111111"/>
          <w:sz w:val="28"/>
          <w:szCs w:val="28"/>
          <w:lang w:bidi="ar-SA"/>
        </w:rPr>
        <w:t>165/57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lang w:bidi="ar-SA"/>
        </w:rPr>
        <w:t>28/59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w:t>
      </w:r>
      <w:r>
        <w:rPr>
          <w:rFonts w:eastAsia="Amiri" w:cs="Amiri" w:ascii="Amiri" w:hAnsi="Amiri"/>
          <w:color w:val="111111"/>
          <w:sz w:val="28"/>
          <w:szCs w:val="28"/>
          <w:lang w:bidi="ar-SA"/>
        </w:rPr>
        <w:t>106,80/64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Fonts w:eastAsia="Amiri" w:cs="Amiri" w:ascii="Amiri" w:hAnsi="Amiri"/>
          <w:color w:val="111111"/>
          <w:sz w:val="28"/>
          <w:szCs w:val="28"/>
          <w:lang w:bidi="ar-SA"/>
        </w:rPr>
        <w:t>321/97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تَكْفُرُونَ بِآيٰاتِ اَللّٰهِ وَ اَللّٰهُ شَهِيدٌ عَلىٰ مٰا تَعْمَلُونَ </w:t>
      </w:r>
      <w:r>
        <w:rPr>
          <w:rFonts w:eastAsia="Amiri" w:cs="Amiri" w:ascii="Amiri" w:hAnsi="Amiri"/>
          <w:color w:val="111111"/>
          <w:sz w:val="28"/>
          <w:szCs w:val="28"/>
          <w:lang w:bidi="ar-SA"/>
        </w:rPr>
        <w:t>255/98</w:t>
      </w:r>
      <w:r>
        <w:rPr>
          <w:rFonts w:eastAsia="Amiri" w:cs="Amiri" w:ascii="Amiri" w:hAnsi="Amiri"/>
          <w:color w:val="111111"/>
          <w:sz w:val="28"/>
          <w:szCs w:val="28"/>
          <w:rtl w:val="true"/>
          <w:lang w:bidi="ar-SA"/>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lang w:bidi="ar-SA"/>
        </w:rPr>
        <w:t>381/110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w:t>
      </w:r>
      <w:r>
        <w:rPr>
          <w:rFonts w:eastAsia="Amiri" w:cs="Amiri" w:ascii="Amiri" w:hAnsi="Amiri"/>
          <w:color w:val="111111"/>
          <w:sz w:val="28"/>
          <w:szCs w:val="28"/>
          <w:lang w:bidi="ar-SA"/>
        </w:rPr>
        <w:t>421/133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عَلىٰ أَعْقٰابِكُمْ وَ مَنْ يَنْقَلِبْ عَلىٰ عَقِبَيْهِ فَلَنْ يَضُرَّ اَللّٰهَ شَيْئاً وَ سَيَجْزِي اَللّٰهُ اَلشّٰاكِرِينَ </w:t>
      </w:r>
      <w:r>
        <w:rPr>
          <w:rFonts w:eastAsia="Amiri" w:cs="Amiri" w:ascii="Amiri" w:hAnsi="Amiri"/>
          <w:color w:val="111111"/>
          <w:sz w:val="28"/>
          <w:szCs w:val="28"/>
          <w:lang w:bidi="ar-SA"/>
        </w:rPr>
        <w:t>53/144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قَدْ أَهَمَّتْهُمْ أَنْفُسُهُمْ يَظُنُّونَ بِاللّٰهِ غَيْرَ اَلْحَقِّ ظَنَّ اَلْجٰاهِلِيَّةِ يَقُولُونَ هَلْ لَنٰا مِنَ اَلْأَمْرِ مِنْ شَيْ‌ءٍ </w:t>
      </w:r>
      <w:r>
        <w:rPr>
          <w:rFonts w:eastAsia="Amiri" w:cs="Amiri" w:ascii="Amiri" w:hAnsi="Amiri"/>
          <w:color w:val="111111"/>
          <w:sz w:val="28"/>
          <w:szCs w:val="28"/>
          <w:lang w:bidi="ar-SA"/>
        </w:rPr>
        <w:t>53/154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شٰاوِرْهُمْ فِي اَلْأَمْرِ فَإِذٰا عَزَمْتَ فَتَوَكَّلْ عَلَى اَللّٰهِ </w:t>
      </w:r>
      <w:r>
        <w:rPr>
          <w:rFonts w:eastAsia="Amiri" w:cs="Amiri" w:ascii="Amiri" w:hAnsi="Amiri"/>
          <w:color w:val="111111"/>
          <w:sz w:val="28"/>
          <w:szCs w:val="28"/>
          <w:lang w:bidi="ar-SA"/>
        </w:rPr>
        <w:t>57/159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lang w:bidi="ar-SA"/>
        </w:rPr>
        <w:t>200/169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lang w:bidi="ar-SA"/>
        </w:rPr>
        <w:t>200/170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وَ أَنَّ اَللّٰهَ لاٰ يُضِيعُ أَجْرَ اَلْمُؤْمِنِينَ </w:t>
      </w:r>
      <w:r>
        <w:rPr>
          <w:rFonts w:eastAsia="Amiri" w:cs="Amiri" w:ascii="Amiri" w:hAnsi="Amiri"/>
          <w:color w:val="111111"/>
          <w:sz w:val="28"/>
          <w:szCs w:val="28"/>
          <w:lang w:bidi="ar-SA"/>
        </w:rPr>
        <w:t>200/171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lang w:bidi="ar-SA"/>
        </w:rPr>
        <w:t>223/185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لِلْأَبْرٰارِ </w:t>
      </w:r>
      <w:r>
        <w:rPr>
          <w:rFonts w:eastAsia="Amiri" w:cs="Amiri" w:ascii="Amiri" w:hAnsi="Amiri"/>
          <w:color w:val="111111"/>
          <w:sz w:val="28"/>
          <w:szCs w:val="28"/>
          <w:lang w:bidi="ar-SA"/>
        </w:rPr>
        <w:t>424/198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فَانْكِحُوا مٰا طٰابَ لَكُمْ مِنَ اَلنِّسٰاءِ مَثْنىٰ وَ ثُلاٰثَ وَ رُبٰاعَ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رَجُلٌ يُورَثُ كَلاٰلَةً أَوِ اِمْرَأَةٌ وَ لَهُ أَخٌ أَوْ أُخْتٌ فَلِكُلِّ وٰاحِدٍ مِنْهُمَا اَلسُّدُسُ </w:t>
      </w:r>
      <w:r>
        <w:rPr>
          <w:rFonts w:eastAsia="Amiri" w:cs="Amiri" w:ascii="Amiri" w:hAnsi="Amiri"/>
          <w:color w:val="111111"/>
          <w:sz w:val="28"/>
          <w:szCs w:val="28"/>
          <w:lang w:bidi="ar-SA"/>
        </w:rPr>
        <w:t>410/12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حُدُودُ اَللّٰهِ وَ مَنْ يُطِعِ اَللّٰهَ وَ رَسُولَهُ </w:t>
      </w:r>
      <w:r>
        <w:rPr>
          <w:rFonts w:eastAsia="Amiri" w:cs="Amiri" w:ascii="Amiri" w:hAnsi="Amiri"/>
          <w:color w:val="111111"/>
          <w:sz w:val="28"/>
          <w:szCs w:val="28"/>
          <w:lang w:bidi="ar-SA"/>
        </w:rPr>
        <w:t>410/13</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lang w:bidi="ar-SA"/>
        </w:rPr>
        <w:t>410,409/14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اَلْآنَ وَ لاَ اَلَّذِينَ يَمُوتُونَ وَ هُمْ كُفّٰارٌ </w:t>
      </w:r>
      <w:r>
        <w:rPr>
          <w:rFonts w:eastAsia="Amiri" w:cs="Amiri" w:ascii="Amiri" w:hAnsi="Amiri"/>
          <w:color w:val="111111"/>
          <w:sz w:val="28"/>
          <w:szCs w:val="28"/>
          <w:lang w:bidi="ar-SA"/>
        </w:rPr>
        <w:t>327,230/18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أَعْتَدْنٰا لَهُمْ عَذٰاباً أَلِيماً وَ إِنْ أَرَدْتُمُ اِسْتِبْدٰالَ زَوْجٍ مَكٰانَ زَوْجٍ وَ آتَيْتُمْ إِحْدٰاهُنَّ قِنْطٰاراً فَلاٰ تَأْخُذُوا مِنْهُ شَيْئاً </w:t>
      </w:r>
      <w:r>
        <w:rPr>
          <w:rFonts w:eastAsia="Amiri" w:cs="Amiri" w:ascii="Amiri" w:hAnsi="Amiri"/>
          <w:color w:val="111111"/>
          <w:sz w:val="28"/>
          <w:szCs w:val="28"/>
          <w:lang w:bidi="ar-SA"/>
        </w:rPr>
        <w:t>457/20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lang w:bidi="ar-SA"/>
        </w:rPr>
        <w:t>455/23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lang w:bidi="ar-SA"/>
        </w:rPr>
        <w:t>376/24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lang w:bidi="ar-SA"/>
        </w:rPr>
        <w:t>376/31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lang w:bidi="ar-SA"/>
        </w:rPr>
        <w:t>361,256/41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lang w:bidi="ar-SA"/>
        </w:rPr>
        <w:t>414,351/48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lang w:bidi="ar-SA"/>
        </w:rPr>
        <w:t>119/54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إِنَّ اَللّٰهَ كٰانَ عَزِيزاً حَكِيماً </w:t>
      </w:r>
      <w:r>
        <w:rPr>
          <w:rFonts w:eastAsia="Amiri" w:cs="Amiri" w:ascii="Amiri" w:hAnsi="Amiri"/>
          <w:color w:val="111111"/>
          <w:sz w:val="28"/>
          <w:szCs w:val="28"/>
          <w:lang w:bidi="ar-SA"/>
        </w:rPr>
        <w:t>405,281/56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357,344/64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lang w:bidi="ar-SA"/>
        </w:rPr>
        <w:t>320/65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تَكُونُوا يُدْرِكْكُمُ اَلْمَوْتُ وَ لَوْ كُنْتُمْ فِي بُرُوجٍ مُشَيَّدَةٍ </w:t>
      </w:r>
      <w:r>
        <w:rPr>
          <w:rFonts w:eastAsia="Amiri" w:cs="Amiri" w:ascii="Amiri" w:hAnsi="Amiri"/>
          <w:color w:val="111111"/>
          <w:sz w:val="28"/>
          <w:szCs w:val="28"/>
          <w:lang w:bidi="ar-SA"/>
        </w:rPr>
        <w:t>223/78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آخَرِينَ يُرِيدُونَ أَنْ يَأْمَنُوكُمْ وَ يَأْمَنُوا قَوْمَهُمْ كُلَّمٰا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lang w:bidi="ar-SA"/>
        </w:rPr>
        <w:t>411/93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يَخْرُجْ مِنْ بَيْتِهِ مُهٰاجِراً إِلَى اَللّٰهِ وَ رَسُولِهِ ثُمَّ يُدْرِكْهُ اَلْمَوْتُ فَقَدْ وَقَعَ أَجْرُهُ عَلَى اَللّٰهِ </w:t>
      </w:r>
      <w:r>
        <w:rPr>
          <w:rFonts w:eastAsia="Amiri" w:cs="Amiri" w:ascii="Amiri" w:hAnsi="Amiri"/>
          <w:color w:val="111111"/>
          <w:sz w:val="28"/>
          <w:szCs w:val="28"/>
          <w:lang w:bidi="ar-SA"/>
        </w:rPr>
        <w:t>228/100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 لَهُ أُخْتٌ فَلَهٰا نِصْفُ مٰا تَرَكَ وَ هُوَ يَرِثُهٰا إِنْ لَمْ يَكُنْ لَهٰا وَلَدٌ فَإِنْ كٰانَتَا اِثْنَتَيْنِ فَلَهُمَا اَلثُّلُثٰانِ مِمّٰا تَرَكَ </w:t>
      </w:r>
      <w:r>
        <w:rPr>
          <w:rFonts w:eastAsia="Amiri" w:cs="Amiri" w:ascii="Amiri" w:hAnsi="Amiri"/>
          <w:color w:val="111111"/>
          <w:sz w:val="28"/>
          <w:szCs w:val="28"/>
          <w:lang w:bidi="ar-SA"/>
        </w:rPr>
        <w:t>30/176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فَلاٰ تَخْشَوْهُمْ وَ اِخْشَوْنِ اَلْيَوْمَ أَكْمَلْتُ لَكُمْ دِينَكُمْ وَ أَتْمَمْتُ عَلَيْكُمْ نِعْمَتِي </w:t>
      </w:r>
      <w:r>
        <w:rPr>
          <w:rFonts w:eastAsia="Amiri" w:cs="Amiri" w:ascii="Amiri" w:hAnsi="Amiri"/>
          <w:color w:val="111111"/>
          <w:sz w:val="28"/>
          <w:szCs w:val="28"/>
          <w:lang w:bidi="ar-SA"/>
        </w:rPr>
        <w:t>97,84,45/3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بِالْإِيمٰانِ فَقَدْ حَبِطَ عَمَلُهُ وَ هُوَ فِي اَلْآخِرَةِ مِنَ اَلْخٰاسِرِينَ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 لٰكِنْ يُرِيدُ لِيُطَهِّرَكُمْ وَ لِيُتِمَّ نِعْمَتَهُ عَلَيْكُمْ لَعَلَّكُمْ تَشْكُرُونَ </w:t>
      </w:r>
      <w:r>
        <w:rPr>
          <w:rFonts w:eastAsia="Amiri" w:cs="Amiri" w:ascii="Amiri" w:hAnsi="Amiri"/>
          <w:color w:val="111111"/>
          <w:sz w:val="28"/>
          <w:szCs w:val="28"/>
          <w:lang w:bidi="ar-SA"/>
        </w:rPr>
        <w:t>463,29/6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جَعَلَكُمْ مُلُوكاً </w:t>
      </w:r>
      <w:r>
        <w:rPr>
          <w:rFonts w:eastAsia="Amiri" w:cs="Amiri" w:ascii="Amiri" w:hAnsi="Amiri"/>
          <w:color w:val="111111"/>
          <w:sz w:val="28"/>
          <w:szCs w:val="28"/>
          <w:lang w:bidi="ar-SA"/>
        </w:rPr>
        <w:t>257/20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lang w:bidi="ar-SA"/>
        </w:rPr>
        <w:t>216/32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lang w:bidi="ar-SA"/>
        </w:rPr>
        <w:t>329/33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lang w:bidi="ar-SA"/>
        </w:rPr>
        <w:t>329/34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اَلسّٰارِقُ وَ اَلسّٰارِقَةُ فَاقْطَعُوا أَيْدِيَهُمٰا </w:t>
      </w:r>
      <w:r>
        <w:rPr>
          <w:rFonts w:eastAsia="Amiri" w:cs="Amiri" w:ascii="Amiri" w:hAnsi="Amiri"/>
          <w:color w:val="111111"/>
          <w:sz w:val="28"/>
          <w:szCs w:val="28"/>
          <w:lang w:bidi="ar-SA"/>
        </w:rPr>
        <w:t>30/38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lang w:bidi="ar-SA"/>
        </w:rPr>
        <w:t>128/41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lang w:bidi="ar-SA"/>
        </w:rPr>
        <w:t>368/53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lang w:bidi="ar-SA"/>
        </w:rPr>
        <w:t>309/60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w:t>
      </w:r>
      <w:r>
        <w:rPr>
          <w:rFonts w:eastAsia="Amiri" w:cs="Amiri" w:ascii="Amiri" w:hAnsi="Amiri"/>
          <w:color w:val="111111"/>
          <w:sz w:val="28"/>
          <w:szCs w:val="28"/>
          <w:lang w:bidi="ar-SA"/>
        </w:rPr>
        <w:t>231/106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يٰا عِيسَى اِبْنَ مَرْيَمَ اُذْكُرْ نِعْمَتِي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تُبْرِئُ اَلْأَكْمَهَ وَ اَلْأَبْرَصَ بِإِذْنِي وَ إِذْ تُخْرِجُ اَلْمَوْتىٰ بِإِذْنِي </w:t>
      </w:r>
      <w:r>
        <w:rPr>
          <w:rFonts w:eastAsia="Amiri" w:cs="Amiri" w:ascii="Amiri" w:hAnsi="Amiri"/>
          <w:color w:val="111111"/>
          <w:sz w:val="28"/>
          <w:szCs w:val="28"/>
          <w:lang w:bidi="ar-SA"/>
        </w:rPr>
        <w:t>218/110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w:t>
      </w:r>
      <w:r>
        <w:rPr>
          <w:rFonts w:eastAsia="Amiri" w:cs="Amiri" w:ascii="Amiri" w:hAnsi="Amiri"/>
          <w:color w:val="111111"/>
          <w:sz w:val="28"/>
          <w:szCs w:val="28"/>
          <w:lang w:bidi="ar-SA"/>
        </w:rPr>
        <w:t>54/117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هُوَ اَلَّذِي خَلَقَكُمْ مِنْ طِينٍ ثُمَّ قَضىٰ أَجَلاً وَ أَجَلٌ مُسَمًّى عِنْدَهُ ثُمَّ أَنْتُمْ تَمْتَرُونَ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جٰاءَتْهُمُ اَلسّٰاعَةُ بَغْتَةً قٰالُوا يٰا حَسْرَتَنٰا عَلىٰ مٰا فَرَّطْنٰا فِيهٰا </w:t>
      </w:r>
      <w:r>
        <w:rPr>
          <w:rFonts w:eastAsia="Amiri" w:cs="Amiri" w:ascii="Amiri" w:hAnsi="Amiri"/>
          <w:color w:val="111111"/>
          <w:sz w:val="28"/>
          <w:szCs w:val="28"/>
          <w:lang w:bidi="ar-SA"/>
        </w:rPr>
        <w:t>386/31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Fonts w:eastAsia="Amiri" w:cs="Amiri" w:ascii="Amiri" w:hAnsi="Amiri"/>
          <w:color w:val="111111"/>
          <w:sz w:val="28"/>
          <w:szCs w:val="28"/>
          <w:lang w:bidi="ar-SA"/>
        </w:rPr>
        <w:t>343,339/51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رَبُّكُمْ عَلىٰ نَفْسِهِ اَلرَّحْمَةَ أَنَّهُ مَنْ عَمِلَ مِنْكُمْ سُوءاً بِجَهٰالَةٍ ثُمَّ تٰابَ مِنْ بَعْدِهِ وَ أَصْلَحَ فَأَنَّهُ غَفُورٌ رَحِيمٌ </w:t>
      </w:r>
      <w:r>
        <w:rPr>
          <w:rFonts w:eastAsia="Amiri" w:cs="Amiri" w:ascii="Amiri" w:hAnsi="Amiri"/>
          <w:color w:val="111111"/>
          <w:sz w:val="28"/>
          <w:szCs w:val="28"/>
          <w:lang w:bidi="ar-SA"/>
        </w:rPr>
        <w:t>329/54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lang w:bidi="ar-SA"/>
        </w:rPr>
        <w:t>149/91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lang w:bidi="ar-SA"/>
        </w:rPr>
        <w:t>201/93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نَرىٰ مَعَكُمْ شُفَعٰاءَكُمُ اَلَّذِينَ زَعَمْتُمْ أَنَّهُمْ فِيكُمْ شُرَكٰاءُ لَقَدْ تَقَطَّعَ بَيْنَكُمْ وَ ضَلَّ عَنْكُمْ مٰا كُنْتُمْ تَزْعُمُونَ </w:t>
      </w:r>
      <w:r>
        <w:rPr>
          <w:rFonts w:eastAsia="Amiri" w:cs="Amiri" w:ascii="Amiri" w:hAnsi="Amiri"/>
          <w:color w:val="111111"/>
          <w:sz w:val="28"/>
          <w:szCs w:val="28"/>
          <w:lang w:bidi="ar-SA"/>
        </w:rPr>
        <w:t>339/94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كٰانَ مَيْتاً فَأَحْيَيْنٰاهُ وَ جَعَلْنٰا لَهُ نُوراً يَمْشِي بِهِ فِي اَلنّٰاسِ كَمَنْ مَثَلُهُ فِي اَلظُّلُمٰاتِ لَيْسَ بِخٰارِجٍ مِنْهٰا </w:t>
      </w:r>
      <w:r>
        <w:rPr>
          <w:rFonts w:eastAsia="Amiri" w:cs="Amiri" w:ascii="Amiri" w:hAnsi="Amiri"/>
          <w:color w:val="111111"/>
          <w:sz w:val="28"/>
          <w:szCs w:val="28"/>
          <w:lang w:bidi="ar-SA"/>
        </w:rPr>
        <w:t>226/122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lang w:bidi="ar-SA"/>
        </w:rPr>
        <w:t>66/124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يَجْعَلُ اَللّٰهُ اَلرِّجْسَ عَلَى اَلَّذِينَ لاٰ يُؤْمِنُونَ </w:t>
      </w:r>
      <w:r>
        <w:rPr>
          <w:rFonts w:eastAsia="Amiri" w:cs="Amiri" w:ascii="Amiri" w:hAnsi="Amiri"/>
          <w:color w:val="111111"/>
          <w:sz w:val="28"/>
          <w:szCs w:val="28"/>
          <w:lang w:bidi="ar-SA"/>
        </w:rPr>
        <w:t>129/125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Fonts w:eastAsia="Amiri" w:cs="Amiri" w:ascii="Amiri" w:hAnsi="Amiri"/>
          <w:color w:val="111111"/>
          <w:sz w:val="28"/>
          <w:szCs w:val="28"/>
          <w:lang w:bidi="ar-SA"/>
        </w:rPr>
        <w:t>128/145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وَ لاٰ تَتَّبِعُوا اَلسُّبُلَ فَتَفَرَّقَ بِكُمْ عَنْ سَبِيلِهِ </w:t>
      </w:r>
      <w:r>
        <w:rPr>
          <w:rFonts w:eastAsia="Amiri" w:cs="Amiri" w:ascii="Amiri" w:hAnsi="Amiri"/>
          <w:color w:val="111111"/>
          <w:sz w:val="28"/>
          <w:szCs w:val="28"/>
          <w:lang w:bidi="ar-SA"/>
        </w:rPr>
        <w:t>268/153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w:t>
      </w:r>
      <w:r>
        <w:rPr>
          <w:rFonts w:eastAsia="Amiri" w:cs="Amiri" w:ascii="Amiri" w:hAnsi="Amiri"/>
          <w:color w:val="111111"/>
          <w:sz w:val="28"/>
          <w:szCs w:val="28"/>
          <w:lang w:bidi="ar-SA"/>
        </w:rPr>
        <w:t>250/158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وَ نٰادىٰ أَصْحٰابُ اَلْجَنَّةِ أَصْحٰابَ اَلنّٰارِ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خَفَّتْ مَوٰازِينُهُ فَأُولٰئِكَ اَلَّذِينَ خَسِرُوا أَنْفُسَهُمْ بِمٰا كٰانُوا بِآيٰاتِنٰا يَظْلِمُونَ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 لَكُمْ فِي اَلْأَرْضِ مُسْتَقَرٌّ وَ مَتٰاعٌ إِلىٰ حِينٍ </w:t>
      </w:r>
      <w:r>
        <w:rPr>
          <w:rFonts w:eastAsia="Amiri" w:cs="Amiri" w:ascii="Amiri" w:hAnsi="Amiri"/>
          <w:color w:val="111111"/>
          <w:sz w:val="28"/>
          <w:szCs w:val="28"/>
          <w:lang w:bidi="ar-SA"/>
        </w:rPr>
        <w:t>162/24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 فِيهٰا تَمُوتُونَ وَ مِنْهٰا تُخْرَجُونَ </w:t>
      </w:r>
      <w:r>
        <w:rPr>
          <w:rFonts w:eastAsia="Amiri" w:cs="Amiri" w:ascii="Amiri" w:hAnsi="Amiri"/>
          <w:color w:val="111111"/>
          <w:sz w:val="28"/>
          <w:szCs w:val="28"/>
          <w:lang w:bidi="ar-SA"/>
        </w:rPr>
        <w:t>280/25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أَجَلٌ فَإِذٰا جٰاءَ أَجَلُهُمْ لاٰ يَسْتَأْخِرُونَ سٰاعَةً وَ لاٰ يَسْتَقْدِمُونَ </w:t>
      </w:r>
      <w:r>
        <w:rPr>
          <w:rFonts w:eastAsia="Amiri" w:cs="Amiri" w:ascii="Amiri" w:hAnsi="Amiri"/>
          <w:color w:val="111111"/>
          <w:sz w:val="28"/>
          <w:szCs w:val="28"/>
          <w:lang w:bidi="ar-SA"/>
        </w:rPr>
        <w:t>227/34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lang w:bidi="ar-SA"/>
        </w:rPr>
        <w:t>162/35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اِسْتَكْبَرُوا عَنْهٰا أُولٰئِكَ أَصْحٰابُ اَلنّٰارِ هُمْ فِيهٰا خٰالِدُونَ </w:t>
      </w:r>
      <w:r>
        <w:rPr>
          <w:rFonts w:eastAsia="Amiri" w:cs="Amiri" w:ascii="Amiri" w:hAnsi="Amiri"/>
          <w:color w:val="111111"/>
          <w:sz w:val="28"/>
          <w:szCs w:val="28"/>
          <w:lang w:bidi="ar-SA"/>
        </w:rPr>
        <w:t>162/36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عَلَى اَلْأَعْرٰافِ رِجٰالٌ يَعْرِفُونَ كُلاًّ بِسِيمٰاهُمْ وَ نٰادَوْا أَصْحٰابَ اَلْجَنَّةِ أَنْ سَلاٰمٌ عَلَيْكُمْ لَمْ يَدْخُلُوهٰا وَ هُمْ يَطْمَعُونَ </w:t>
      </w:r>
      <w:r>
        <w:rPr>
          <w:rFonts w:eastAsia="Amiri" w:cs="Amiri" w:ascii="Amiri" w:hAnsi="Amiri"/>
          <w:color w:val="111111"/>
          <w:sz w:val="28"/>
          <w:szCs w:val="28"/>
          <w:lang w:bidi="ar-SA"/>
        </w:rPr>
        <w:t>272/46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lang w:bidi="ar-SA"/>
        </w:rPr>
        <w:t>272/47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نٰادىٰ أَصْحٰابُ اَلْأَعْرٰافِ رِجٰالاً يَعْرِفُونَهُمْ بِسِيمٰاهُمْ قٰالُوا مٰا أَغْنىٰ عَنْكُمْ جَمْعُكُمْ وَ مٰا كُنْتُمْ تَسْتَكْبِرُونَ </w:t>
      </w:r>
      <w:r>
        <w:rPr>
          <w:rFonts w:eastAsia="Amiri" w:cs="Amiri" w:ascii="Amiri" w:hAnsi="Amiri"/>
          <w:color w:val="111111"/>
          <w:sz w:val="28"/>
          <w:szCs w:val="28"/>
          <w:lang w:bidi="ar-SA"/>
        </w:rPr>
        <w:t>272/48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lang w:bidi="ar-SA"/>
        </w:rPr>
        <w:t>232/54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lang w:bidi="ar-SA"/>
        </w:rPr>
        <w:t>190/57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 عَتَوْا عَنْ أَمْرِ رَبِّهِمْ وَ قٰالُوا يٰا صٰالِحُ اِئْتِنٰا بِمٰا تَعِدُنٰا إِنْ كُنْتَ مِنَ اَلْمُرْسَلِينَ </w:t>
      </w:r>
      <w:r>
        <w:rPr>
          <w:rFonts w:eastAsia="Amiri" w:cs="Amiri" w:ascii="Amiri" w:hAnsi="Amiri"/>
          <w:color w:val="111111"/>
          <w:sz w:val="28"/>
          <w:szCs w:val="28"/>
          <w:lang w:bidi="ar-SA"/>
        </w:rPr>
        <w:t>204/77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lang w:bidi="ar-SA"/>
        </w:rPr>
        <w:t>204/78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 تُحِبُّونَ اَلنّٰاصِحِينَ </w:t>
      </w:r>
      <w:r>
        <w:rPr>
          <w:rFonts w:eastAsia="Amiri" w:cs="Amiri" w:ascii="Amiri" w:hAnsi="Amiri"/>
          <w:color w:val="111111"/>
          <w:sz w:val="28"/>
          <w:szCs w:val="28"/>
          <w:lang w:bidi="ar-SA"/>
        </w:rPr>
        <w:t>204/79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lang w:bidi="ar-SA"/>
        </w:rPr>
        <w:t>204/92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lang w:bidi="ar-SA"/>
        </w:rPr>
        <w:t>204/93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وَ قٰالَ مُوسىٰ لِأَخِيهِ هٰارُونَ اُخْلُفْنِي فِي قَوْمِي وَ أَصْلِحْ وَ لاٰ تَتَّبِعْ سَبِيلَ اَلْمُفْسِدِينَ </w:t>
      </w:r>
      <w:r>
        <w:rPr>
          <w:rFonts w:eastAsia="Amiri" w:cs="Amiri" w:ascii="Amiri" w:hAnsi="Amiri"/>
          <w:color w:val="111111"/>
          <w:sz w:val="28"/>
          <w:szCs w:val="28"/>
          <w:lang w:bidi="ar-SA"/>
        </w:rPr>
        <w:t>143/142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آيٰاتِيَ اَلَّذِينَ يَتَكَبَّرُونَ فِي اَلْأَرْضِ بِغَيْرِ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كَذَّبُوا بِآيٰاتِنٰا وَ كٰانُوا عَنْهٰا غٰافِلِينَ </w:t>
      </w:r>
      <w:r>
        <w:rPr>
          <w:rFonts w:eastAsia="Amiri" w:cs="Amiri" w:ascii="Amiri" w:hAnsi="Amiri"/>
          <w:color w:val="111111"/>
          <w:sz w:val="28"/>
          <w:szCs w:val="28"/>
          <w:lang w:bidi="ar-SA"/>
        </w:rPr>
        <w:t>164/146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كَذَّبُوا بِآيٰاتِنٰا وَ لِقٰاءِ اَلْآخِرَةِ حَبِطَتْ أَعْمٰالُهُمْ هَلْ يُجْزَوْنَ إِلاّٰ مٰا كٰانُوا يَعْمَلُونَ </w:t>
      </w:r>
      <w:r>
        <w:rPr>
          <w:rFonts w:eastAsia="Amiri" w:cs="Amiri" w:ascii="Amiri" w:hAnsi="Amiri"/>
          <w:color w:val="111111"/>
          <w:sz w:val="28"/>
          <w:szCs w:val="28"/>
          <w:lang w:bidi="ar-SA"/>
        </w:rPr>
        <w:t>375,164/147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w:t>
      </w:r>
      <w:r>
        <w:rPr>
          <w:rFonts w:eastAsia="Amiri" w:cs="Amiri" w:ascii="Amiri" w:hAnsi="Amiri"/>
          <w:color w:val="111111"/>
          <w:sz w:val="28"/>
          <w:szCs w:val="28"/>
          <w:lang w:bidi="ar-SA"/>
        </w:rPr>
        <w:t>217/155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lang w:bidi="ar-SA"/>
        </w:rPr>
        <w:t>309/166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وَ يُرِيدُ اَللّٰهُ أَنْ يُحِقَّ اَلْحَقَّ بِكَلِمٰاتِهِ وَ يَقْطَعَ دٰابِرَ اَلْكٰافِرِينَ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 يُكَفِّرْ عَنْكُمْ سَيِّئٰاتِكُمْ وَ يَغْفِرْ لَكُمْ وَ اَللّٰهُ ذُو اَلْفَضْلِ اَلْعَظِيمِ </w:t>
      </w:r>
      <w:r>
        <w:rPr>
          <w:rFonts w:eastAsia="Amiri" w:cs="Amiri" w:ascii="Amiri" w:hAnsi="Amiri"/>
          <w:color w:val="111111"/>
          <w:sz w:val="28"/>
          <w:szCs w:val="28"/>
          <w:lang w:bidi="ar-SA"/>
        </w:rPr>
        <w:t>376/29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lang w:bidi="ar-SA"/>
        </w:rPr>
        <w:t>245/33</w:t>
      </w:r>
      <w:r>
        <w:rPr>
          <w:rFonts w:eastAsia="Amiri" w:cs="Amiri" w:ascii="Amiri" w:hAnsi="Amiri"/>
          <w:color w:val="111111"/>
          <w:sz w:val="28"/>
          <w:szCs w:val="28"/>
          <w:rtl w:val="true"/>
          <w:lang w:bidi="ar-SA"/>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التوبة مٰا كٰانَ لِلْمُشْرِكِينَ أَنْ يَعْمُرُوا مَسٰاجِدَ اَللّٰهِ شٰاهِدِينَ عَلىٰ أَنْفُسِهِمْ بِالْكُفْرِ أُولٰئِكَ حَبِطَتْ أَعْمٰالُهُمْ وَ فِي اَلنّٰارِ هُمْ خٰالِدُونَ </w:t>
      </w:r>
      <w:r>
        <w:rPr>
          <w:rFonts w:eastAsia="Amiri" w:cs="Amiri" w:ascii="Amiri" w:hAnsi="Amiri"/>
          <w:color w:val="111111"/>
          <w:sz w:val="28"/>
          <w:szCs w:val="28"/>
          <w:lang w:bidi="ar-SA"/>
        </w:rPr>
        <w:t>373/17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w:t>
      </w:r>
      <w:r>
        <w:rPr>
          <w:rFonts w:eastAsia="Amiri" w:cs="Amiri" w:ascii="Amiri" w:hAnsi="Amiri"/>
          <w:color w:val="111111"/>
          <w:sz w:val="28"/>
          <w:szCs w:val="28"/>
          <w:lang w:bidi="ar-SA"/>
        </w:rPr>
        <w:t>373/18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lang w:bidi="ar-SA"/>
        </w:rPr>
        <w:t>262/34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lang w:bidi="ar-SA"/>
        </w:rPr>
        <w:t>262/35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لَكَ اَلْأُمُورَ حَتّٰى جٰاءَ اَلْحَقُّ وَ ظَهَرَ أَمْرُ اَللّٰهِ وَ هُمْ كٰارِهُونَ </w:t>
      </w:r>
      <w:r>
        <w:rPr>
          <w:rFonts w:eastAsia="Amiri" w:cs="Amiri" w:ascii="Amiri" w:hAnsi="Amiri"/>
          <w:color w:val="111111"/>
          <w:sz w:val="28"/>
          <w:szCs w:val="28"/>
          <w:lang w:bidi="ar-SA"/>
        </w:rPr>
        <w:t>48/48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هِيَ حَسْبُهُمْ </w:t>
      </w:r>
      <w:r>
        <w:rPr>
          <w:rFonts w:eastAsia="Amiri" w:cs="Amiri" w:ascii="Amiri" w:hAnsi="Amiri"/>
          <w:color w:val="111111"/>
          <w:sz w:val="28"/>
          <w:szCs w:val="28"/>
          <w:lang w:bidi="ar-SA"/>
        </w:rPr>
        <w:t>283/68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lang w:bidi="ar-SA"/>
        </w:rPr>
        <w:t>283,282/72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w:t>
      </w:r>
      <w:r>
        <w:rPr>
          <w:rFonts w:eastAsia="Amiri" w:cs="Amiri" w:ascii="Amiri" w:hAnsi="Amiri"/>
          <w:color w:val="111111"/>
          <w:sz w:val="28"/>
          <w:szCs w:val="28"/>
          <w:lang w:bidi="ar-SA"/>
        </w:rPr>
        <w:t>429/97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Fonts w:eastAsia="Amiri" w:cs="Amiri" w:ascii="Amiri" w:hAnsi="Amiri"/>
          <w:color w:val="111111"/>
          <w:sz w:val="28"/>
          <w:szCs w:val="28"/>
          <w:lang w:bidi="ar-SA"/>
        </w:rPr>
        <w:t>433/98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lang w:bidi="ar-SA"/>
        </w:rPr>
        <w:t>318/119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يَبْدَؤُا اَلْخَلْقَ ثُمَّ يُعِيدُهُ لِيَجْزِيَ اَلَّذِينَ آمَنُوا وَ عَمِلُوا اَلصّٰالِحٰاتِ بِالْقِسْطِ وَ اَلَّذِينَ كَفَرُوا لَهُمْ شَرٰابٌ مِنْ حَمِيمٍ وَ عَذٰابٌ أَلِيمٌ بِمٰا كٰانُوا يَكْفُرُونَ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مَكْراً إِنَّ رُسُلَنٰا يَكْتُبُونَ مٰا تَمْكُرُونَ </w:t>
      </w:r>
      <w:r>
        <w:rPr>
          <w:rFonts w:eastAsia="Amiri" w:cs="Amiri" w:ascii="Amiri" w:hAnsi="Amiri"/>
          <w:color w:val="111111"/>
          <w:sz w:val="28"/>
          <w:szCs w:val="28"/>
          <w:lang w:bidi="ar-SA"/>
        </w:rPr>
        <w:t>260/21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اَلْحَيٰاةِ اَلدُّنْيٰا كَمٰاءٍ أَنْزَلْنٰاهُ </w:t>
      </w:r>
      <w:r>
        <w:rPr>
          <w:rFonts w:eastAsia="Amiri" w:cs="Amiri" w:ascii="Amiri" w:hAnsi="Amiri"/>
          <w:color w:val="111111"/>
          <w:sz w:val="28"/>
          <w:szCs w:val="28"/>
          <w:lang w:bidi="ar-SA"/>
        </w:rPr>
        <w:t>213/24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w:t>
      </w:r>
      <w:r>
        <w:rPr>
          <w:rFonts w:eastAsia="Amiri" w:cs="Amiri" w:ascii="Amiri" w:hAnsi="Amiri"/>
          <w:color w:val="111111"/>
          <w:sz w:val="28"/>
          <w:szCs w:val="28"/>
          <w:lang w:bidi="ar-SA"/>
        </w:rPr>
        <w:t>328/44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اِطْمِسْ عَلىٰ أَمْوٰالِهِمْ وَ اُشْدُدْ عَلىٰ قُلُوبِهِمْ فَلاٰ يُؤْمِنُوا حَتّٰى يَرَوُا اَلْعَذٰابَ اَلْأَلِيمَ </w:t>
      </w:r>
      <w:r>
        <w:rPr>
          <w:rFonts w:eastAsia="Amiri" w:cs="Amiri" w:ascii="Amiri" w:hAnsi="Amiri"/>
          <w:color w:val="111111"/>
          <w:sz w:val="28"/>
          <w:szCs w:val="28"/>
          <w:lang w:bidi="ar-SA"/>
        </w:rPr>
        <w:t>164/88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أَنَّهُ لاٰ إِلٰهَ إِلاَّ اَلَّذِي آمَنَتْ بِهِ بَنُوا إِسْرٰائِيلَ وَ أَنَا مِنَ اَلْمُسْلِمِينَ </w:t>
      </w:r>
      <w:r>
        <w:rPr>
          <w:rFonts w:eastAsia="Amiri" w:cs="Amiri" w:ascii="Amiri" w:hAnsi="Amiri"/>
          <w:color w:val="111111"/>
          <w:sz w:val="28"/>
          <w:szCs w:val="28"/>
          <w:lang w:bidi="ar-SA"/>
        </w:rPr>
        <w:t>230/90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lang w:bidi="ar-SA"/>
        </w:rPr>
        <w:t>230/91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w:t>
      </w:r>
      <w:r>
        <w:rPr>
          <w:rFonts w:eastAsia="Amiri" w:cs="Amiri" w:ascii="Amiri" w:hAnsi="Amiri"/>
          <w:color w:val="111111"/>
          <w:sz w:val="28"/>
          <w:szCs w:val="28"/>
          <w:lang w:bidi="ar-SA"/>
        </w:rPr>
        <w:t>203/92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لَقَدْ جٰاءَكَ اَلْحَقُّ مِنْ رَبِّكَ فَلاٰ تَكُونَنَّ مِنَ اَلمُمْتَرِينَ </w:t>
      </w:r>
      <w:r>
        <w:rPr>
          <w:rFonts w:eastAsia="Amiri" w:cs="Amiri" w:ascii="Amiri" w:hAnsi="Amiri"/>
          <w:color w:val="111111"/>
          <w:sz w:val="28"/>
          <w:szCs w:val="28"/>
          <w:lang w:bidi="ar-SA"/>
        </w:rPr>
        <w:t>205/94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تُؤْمِنَ إِلاّٰ بِإِذْنِ اَللّٰهِ </w:t>
      </w:r>
      <w:r>
        <w:rPr>
          <w:rFonts w:eastAsia="Amiri" w:cs="Amiri" w:ascii="Amiri" w:hAnsi="Amiri"/>
          <w:color w:val="111111"/>
          <w:sz w:val="28"/>
          <w:szCs w:val="28"/>
          <w:lang w:bidi="ar-SA"/>
        </w:rPr>
        <w:t>354/100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وَ أَنِ اِسْتَغْفِرُوا رَبَّكُمْ ثُمَّ تُوبُوا إِلَيْهِ يُمَتِّعْكُمْ مَتٰاعاً حَسَناً إِلىٰ أَجَلٍ مُسَمًّى وَ يُؤْتِ كُلَّ ذِي فَضْلٍ فَضْلَهُ وَ إِنْ تَوَلَّوْا فَإِنِّي أَخٰافُ عَلَيْكُمْ عَذٰابَ يَوْمٍ كَبِيرٍ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وَ هُوَ عَلىٰ كُلِّ شَيْ‌ءٍ قَدِيرٌ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قُلْتَ إِنَّكُمْ مَبْعُوثُونَ مِنْ بَعْدِ اَلْمَوْتِ لَيَقُولَنَّ اَلَّذِينَ كَفَرُوا إِنْ هٰذٰا إِلاّٰ سِحْرٌ مُبِينٌ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lang w:bidi="ar-SA"/>
        </w:rPr>
        <w:t>375/15</w:t>
      </w:r>
      <w:r>
        <w:rPr>
          <w:rFonts w:eastAsia="Amiri" w:cs="Amiri" w:ascii="Amiri" w:hAnsi="Amiri"/>
          <w:color w:val="111111"/>
          <w:sz w:val="28"/>
          <w:szCs w:val="28"/>
          <w:rtl w:val="true"/>
          <w:lang w:bidi="ar-SA"/>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اَلَّذِينَ لَيْسَ لَهُمْ فِي اَلْآخِرَةِ إِلاَّ اَلنّٰارُ وَ حَبِطَ مٰا صَنَعُوا فِيهٰا وَ بٰاطِلٌ مٰا كٰانُوا يَعْمَلُونَ </w:t>
      </w:r>
      <w:r>
        <w:rPr>
          <w:rFonts w:eastAsia="Amiri" w:cs="Amiri" w:ascii="Amiri" w:hAnsi="Amiri"/>
          <w:color w:val="111111"/>
          <w:sz w:val="28"/>
          <w:szCs w:val="28"/>
          <w:lang w:bidi="ar-SA"/>
        </w:rPr>
        <w:t>375/16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يَكْفُرْ بِهِ مِنَ اَلْأَحْزٰابِ فَالنّٰارُ مَوْعِدُهُ </w:t>
      </w:r>
      <w:r>
        <w:rPr>
          <w:rFonts w:eastAsia="Amiri" w:cs="Amiri" w:ascii="Amiri" w:hAnsi="Amiri"/>
          <w:color w:val="111111"/>
          <w:sz w:val="28"/>
          <w:szCs w:val="28"/>
          <w:lang w:bidi="ar-SA"/>
        </w:rPr>
        <w:t>174/17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أَعُوذُ بِكَ أَنْ أَسْئَلَكَ مٰا لَيْسَ لِي بِهِ عِلْمٌ وَ إِلاّٰ تَغْفِرْ لِي وَ تَرْحَمْنِي أَكُنْ مِنَ اَلْخٰاسِرِينَ </w:t>
      </w:r>
      <w:r>
        <w:rPr>
          <w:rFonts w:eastAsia="Amiri" w:cs="Amiri" w:ascii="Amiri" w:hAnsi="Amiri"/>
          <w:color w:val="111111"/>
          <w:sz w:val="28"/>
          <w:szCs w:val="28"/>
          <w:lang w:bidi="ar-SA"/>
        </w:rPr>
        <w:t>163/47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اِسْتَغْفِرُوا رَبَّكُمْ ثُمَّ تُوبُوا إِلَيْهِ يُرْسِلِ اَلسَّمٰاءَ عَلَيْكُمْ مِدْرٰاراً </w:t>
      </w:r>
      <w:r>
        <w:rPr>
          <w:rFonts w:eastAsia="Amiri" w:cs="Amiri" w:ascii="Amiri" w:hAnsi="Amiri"/>
          <w:color w:val="111111"/>
          <w:sz w:val="28"/>
          <w:szCs w:val="28"/>
          <w:lang w:bidi="ar-SA"/>
        </w:rPr>
        <w:t>332/52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اَلَّذِينَ ظَلَمُوا </w:t>
      </w:r>
      <w:r>
        <w:rPr>
          <w:rFonts w:eastAsia="Amiri" w:cs="Amiri" w:ascii="Amiri" w:hAnsi="Amiri"/>
          <w:color w:val="111111"/>
          <w:sz w:val="28"/>
          <w:szCs w:val="28"/>
          <w:lang w:bidi="ar-SA"/>
        </w:rPr>
        <w:t>123/113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لِيُهْلِكَ اَلْقُرىٰ بِظُلْمٍ وَ أَهْلُهٰا مُصْلِحُونَ </w:t>
      </w:r>
      <w:r>
        <w:rPr>
          <w:rFonts w:eastAsia="Amiri" w:cs="Amiri" w:ascii="Amiri" w:hAnsi="Amiri"/>
          <w:color w:val="111111"/>
          <w:sz w:val="28"/>
          <w:szCs w:val="28"/>
          <w:lang w:bidi="ar-SA"/>
        </w:rPr>
        <w:t>227/117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وَ مٰا أَنْتَ بِمُؤْمِنٍ لَنٰا </w:t>
      </w:r>
      <w:r>
        <w:rPr>
          <w:rFonts w:eastAsia="Amiri" w:cs="Amiri" w:ascii="Amiri" w:hAnsi="Amiri"/>
          <w:color w:val="111111"/>
          <w:sz w:val="28"/>
          <w:szCs w:val="28"/>
          <w:lang w:bidi="ar-SA"/>
        </w:rPr>
        <w:t>313/17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 عَلَّمْتَنِي مِنْ تَأْوِيلِ اَلْأَحٰادِيثِ </w:t>
      </w:r>
      <w:r>
        <w:rPr>
          <w:rFonts w:eastAsia="Amiri" w:cs="Amiri" w:ascii="Amiri" w:hAnsi="Amiri"/>
          <w:color w:val="111111"/>
          <w:sz w:val="28"/>
          <w:szCs w:val="28"/>
          <w:lang w:bidi="ar-SA"/>
        </w:rPr>
        <w:t>119/101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وَ سَخَّرَ اَلشَّمْسَ وَ اَلْقَمَرَ كُلٌّ يَجْرِي لِأَجَلٍ مُسَمًّى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تَعْجَبْ فَعَجَبٌ قَوْلُهُمْ أَ إِذٰا كُنّٰا تُرٰاباً أَ إِنّٰا لَفِي خَلْقٍ جَدِيدٍ أُولٰئِكَ اَلَّذِينَ كَفَرُوا بِرَبِّهِمْ </w:t>
      </w:r>
      <w:r>
        <w:rPr>
          <w:rFonts w:eastAsia="Amiri" w:cs="Amiri" w:ascii="Amiri" w:hAnsi="Amiri"/>
          <w:color w:val="111111"/>
          <w:sz w:val="28"/>
          <w:szCs w:val="28"/>
          <w:lang w:bidi="ar-SA"/>
        </w:rPr>
        <w:t>183,178/5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قَبْلَ اَلْحَسَنَةِ وَ قَدْ خَلَتْ مِنْ قَبْلِهِمُ اَلْمَثُلاٰتُ وَ إِنَّ رَبَّكَ لَذُو مَغْفِرَةٍ لِلنّٰاسِ عَلىٰ ظُلْمِهِمْ وَ إِنَّ رَبَّكَ لَشَدِيدُ اَلْعِقٰابِ </w:t>
      </w:r>
      <w:r>
        <w:rPr>
          <w:rFonts w:eastAsia="Amiri" w:cs="Amiri" w:ascii="Amiri" w:hAnsi="Amiri"/>
          <w:color w:val="111111"/>
          <w:sz w:val="28"/>
          <w:szCs w:val="28"/>
          <w:lang w:bidi="ar-SA"/>
        </w:rPr>
        <w:t>413/7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إبراهيم وَ إِذْ تَأَذَّنَ رَبُّكُمْ لَئِنْ شَكَرْتُمْ لَأَزِيدَنَّكُمْ وَ لَئِنْ كَفَرْتُمْ إِنَّ عَذٰابِي لَشَدِيدٌ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اِسْتَفْتَحُوا وَ خٰابَ كُلُّ جَبّٰارٍ عَنِيدٍ </w:t>
      </w:r>
      <w:r>
        <w:rPr>
          <w:rFonts w:eastAsia="Amiri" w:cs="Amiri" w:ascii="Amiri" w:hAnsi="Amiri"/>
          <w:color w:val="111111"/>
          <w:sz w:val="28"/>
          <w:szCs w:val="28"/>
          <w:lang w:bidi="ar-SA"/>
        </w:rPr>
        <w:t>113/15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يُسْقىٰ مِنْ مٰاءٍ صَدِيدٍ </w:t>
      </w:r>
      <w:r>
        <w:rPr>
          <w:rFonts w:eastAsia="Amiri" w:cs="Amiri" w:ascii="Amiri" w:hAnsi="Amiri"/>
          <w:color w:val="111111"/>
          <w:sz w:val="28"/>
          <w:szCs w:val="28"/>
          <w:lang w:bidi="ar-SA"/>
        </w:rPr>
        <w:t>113/16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يَأْتِيهِ اَلْمَوْتُ مِنْ كُلِّ مَكٰانٍ وَ مٰا هُوَ بِمَيِّتٍ </w:t>
      </w:r>
      <w:r>
        <w:rPr>
          <w:rFonts w:eastAsia="Amiri" w:cs="Amiri" w:ascii="Amiri" w:hAnsi="Amiri"/>
          <w:color w:val="111111"/>
          <w:sz w:val="28"/>
          <w:szCs w:val="28"/>
          <w:lang w:bidi="ar-SA"/>
        </w:rPr>
        <w:t>221/17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 إِسْحٰاقَ </w:t>
      </w: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 لِوٰالِدَيَّ وَ لِلْمُؤْمِنِينَ يَوْمَ يَقُومُ اَلْحِسٰابُ </w:t>
      </w:r>
      <w:r>
        <w:rPr>
          <w:rFonts w:eastAsia="Amiri" w:cs="Amiri" w:ascii="Amiri" w:hAnsi="Amiri"/>
          <w:color w:val="111111"/>
          <w:sz w:val="28"/>
          <w:szCs w:val="28"/>
          <w:lang w:bidi="ar-SA"/>
        </w:rPr>
        <w:t>163/41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وَ اَلسَّمٰاوٰاتُ وَ بَرَزُوا لِلّٰهِ اَلْوٰاحِدِ اَلْقَهّٰارِ </w:t>
      </w:r>
      <w:r>
        <w:rPr>
          <w:rFonts w:eastAsia="Amiri" w:cs="Amiri" w:ascii="Amiri" w:hAnsi="Amiri"/>
          <w:color w:val="111111"/>
          <w:sz w:val="28"/>
          <w:szCs w:val="28"/>
          <w:lang w:bidi="ar-SA"/>
        </w:rPr>
        <w:t>402,172/48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اَلْمُجْرِمِينَ يَوْمَئِذٍ مُقَرَّنِينَ فِي اَلْأَصْفٰادِ </w:t>
      </w:r>
      <w:r>
        <w:rPr>
          <w:rFonts w:eastAsia="Amiri" w:cs="Amiri" w:ascii="Amiri" w:hAnsi="Amiri"/>
          <w:color w:val="111111"/>
          <w:sz w:val="28"/>
          <w:szCs w:val="28"/>
          <w:lang w:bidi="ar-SA"/>
        </w:rPr>
        <w:t>172/49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سَرٰابِيلُهُمْ مِنْ قَطِرٰانٍ وَ تَغْشىٰ وُجُوهَهُمُ اَلنّٰارُ </w:t>
      </w:r>
      <w:r>
        <w:rPr>
          <w:rFonts w:eastAsia="Amiri" w:cs="Amiri" w:ascii="Amiri" w:hAnsi="Amiri"/>
          <w:color w:val="111111"/>
          <w:sz w:val="28"/>
          <w:szCs w:val="28"/>
          <w:lang w:bidi="ar-SA"/>
        </w:rPr>
        <w:t>172/50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lang w:bidi="ar-SA"/>
        </w:rPr>
        <w:t>172/51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مٰا نُنَزِّلُ اَلْمَلاٰئِكَةَ إِلاّٰ بِالْحَقِّ وَ مٰا كٰانُوا إِذاً مُنْظَرِينَ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عِنْدَنٰا خَزٰائِنُهُ </w:t>
      </w:r>
      <w:r>
        <w:rPr>
          <w:rFonts w:eastAsia="Amiri" w:cs="Amiri" w:ascii="Amiri" w:hAnsi="Amiri"/>
          <w:color w:val="111111"/>
          <w:sz w:val="28"/>
          <w:szCs w:val="28"/>
          <w:lang w:bidi="ar-SA"/>
        </w:rPr>
        <w:t>424/21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جَهَنَّمَ لَمَوْعِدُهُمْ أَجْمَعِينَ </w:t>
      </w:r>
      <w:r>
        <w:rPr>
          <w:rFonts w:eastAsia="Amiri" w:cs="Amiri" w:ascii="Amiri" w:hAnsi="Amiri"/>
          <w:color w:val="111111"/>
          <w:sz w:val="28"/>
          <w:szCs w:val="28"/>
          <w:lang w:bidi="ar-SA"/>
        </w:rPr>
        <w:t>174/43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نُبَشِّرُكَ بِغُلاٰمٍ عَلِيمٍ </w:t>
      </w:r>
      <w:r>
        <w:rPr>
          <w:rFonts w:eastAsia="Amiri" w:cs="Amiri" w:ascii="Amiri" w:hAnsi="Amiri"/>
          <w:color w:val="111111"/>
          <w:sz w:val="28"/>
          <w:szCs w:val="28"/>
          <w:lang w:bidi="ar-SA"/>
        </w:rPr>
        <w:t>119/53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وَ بِالنَّجْمِ هُمْ يَهْتَدُونَ </w:t>
      </w:r>
      <w:r>
        <w:rPr>
          <w:rFonts w:eastAsia="Amiri" w:cs="Amiri" w:ascii="Amiri" w:hAnsi="Amiri"/>
          <w:color w:val="111111"/>
          <w:sz w:val="28"/>
          <w:szCs w:val="28"/>
          <w:lang w:bidi="ar-SA"/>
        </w:rPr>
        <w:t>443/16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w:t>
      </w:r>
      <w:r>
        <w:rPr>
          <w:rFonts w:eastAsia="Amiri" w:cs="Amiri" w:ascii="Amiri" w:hAnsi="Amiri"/>
          <w:color w:val="111111"/>
          <w:sz w:val="28"/>
          <w:szCs w:val="28"/>
          <w:lang w:bidi="ar-SA"/>
        </w:rPr>
        <w:t>221/21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w:t>
      </w:r>
      <w:r>
        <w:rPr>
          <w:rFonts w:eastAsia="Amiri" w:cs="Amiri" w:ascii="Amiri" w:hAnsi="Amiri"/>
          <w:color w:val="111111"/>
          <w:sz w:val="28"/>
          <w:szCs w:val="28"/>
          <w:lang w:bidi="ar-SA"/>
        </w:rPr>
        <w:t>232/28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lang w:bidi="ar-SA"/>
        </w:rPr>
        <w:t>225/32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lang w:bidi="ar-SA"/>
        </w:rPr>
        <w:t>205/36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w:t>
      </w:r>
      <w:r>
        <w:rPr>
          <w:rFonts w:eastAsia="Amiri" w:cs="Amiri" w:ascii="Amiri" w:hAnsi="Amiri"/>
          <w:color w:val="111111"/>
          <w:sz w:val="28"/>
          <w:szCs w:val="28"/>
          <w:lang w:bidi="ar-SA"/>
        </w:rPr>
        <w:t>345/61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 اَلسّٰاعَةِ إِلاّٰ كَلَمْحِ اَلْبَصَرِ أَوْ هُوَ أَقْرَبُ </w:t>
      </w:r>
      <w:r>
        <w:rPr>
          <w:rFonts w:eastAsia="Amiri" w:cs="Amiri" w:ascii="Amiri" w:hAnsi="Amiri"/>
          <w:color w:val="111111"/>
          <w:sz w:val="28"/>
          <w:szCs w:val="28"/>
          <w:lang w:bidi="ar-SA"/>
        </w:rPr>
        <w:t>185/77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w:t>
      </w:r>
      <w:r>
        <w:rPr>
          <w:rFonts w:eastAsia="Amiri" w:cs="Amiri" w:ascii="Amiri" w:hAnsi="Amiri"/>
          <w:color w:val="111111"/>
          <w:sz w:val="28"/>
          <w:szCs w:val="28"/>
          <w:lang w:bidi="ar-SA"/>
        </w:rPr>
        <w:t>256/89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w:t>
      </w:r>
      <w:r>
        <w:rPr>
          <w:rFonts w:eastAsia="Amiri" w:cs="Amiri" w:ascii="Amiri" w:hAnsi="Amiri"/>
          <w:color w:val="111111"/>
          <w:sz w:val="28"/>
          <w:szCs w:val="28"/>
          <w:lang w:bidi="ar-SA"/>
        </w:rPr>
        <w:t>423/96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lang w:bidi="ar-SA"/>
        </w:rPr>
        <w:t>430,313/106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lang w:bidi="ar-SA"/>
        </w:rPr>
        <w:t>314/108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بِالَّتِي هِيَ أَحْسَنُ </w:t>
      </w:r>
      <w:r>
        <w:rPr>
          <w:rFonts w:eastAsia="Amiri" w:cs="Amiri" w:ascii="Amiri" w:hAnsi="Amiri"/>
          <w:color w:val="111111"/>
          <w:sz w:val="28"/>
          <w:szCs w:val="28"/>
          <w:lang w:bidi="ar-SA"/>
        </w:rPr>
        <w:t>59/125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الأسراء اِقْرَأْ كِتٰابَكَ كَفىٰ بِنَفْسِكَ اَلْيَوْمَ عَلَيْكَ حَسِيباً </w:t>
      </w:r>
      <w:r>
        <w:rPr>
          <w:rFonts w:eastAsia="Amiri" w:cs="Amiri" w:ascii="Amiri" w:hAnsi="Amiri"/>
          <w:color w:val="111111"/>
          <w:sz w:val="28"/>
          <w:szCs w:val="28"/>
          <w:lang w:bidi="ar-SA"/>
        </w:rPr>
        <w:t>261/14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lang w:bidi="ar-SA"/>
        </w:rPr>
        <w:t>227/16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اَلْقُرُونِ مِنْ بَعْدِ نُوحٍ وَ كَفىٰ بِرَبِّكَ </w:t>
      </w:r>
      <w:r>
        <w:rPr>
          <w:rFonts w:eastAsia="Amiri" w:cs="Amiri" w:ascii="Amiri" w:hAnsi="Amiri"/>
          <w:color w:val="111111"/>
          <w:sz w:val="28"/>
          <w:szCs w:val="28"/>
          <w:lang w:bidi="ar-SA"/>
        </w:rPr>
        <w:t>227/17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بِالْعَهْدِ إِنَّ اَلْعَهْدَ كٰانَ مَسْؤُلاً </w:t>
      </w:r>
      <w:r>
        <w:rPr>
          <w:rFonts w:eastAsia="Amiri" w:cs="Amiri" w:ascii="Amiri" w:hAnsi="Amiri"/>
          <w:color w:val="111111"/>
          <w:sz w:val="28"/>
          <w:szCs w:val="28"/>
          <w:lang w:bidi="ar-SA"/>
        </w:rPr>
        <w:t>63/34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lang w:bidi="ar-SA"/>
        </w:rPr>
        <w:t>320/41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lang w:bidi="ar-SA"/>
        </w:rPr>
        <w:t>189/49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lang w:bidi="ar-SA"/>
        </w:rPr>
        <w:t>189/51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lang w:bidi="ar-SA"/>
        </w:rPr>
        <w:t>340/79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w:t>
      </w:r>
      <w:r>
        <w:rPr>
          <w:rFonts w:eastAsia="Amiri" w:cs="Amiri" w:ascii="Amiri" w:hAnsi="Amiri"/>
          <w:color w:val="111111"/>
          <w:sz w:val="28"/>
          <w:szCs w:val="28"/>
          <w:lang w:bidi="ar-SA"/>
        </w:rPr>
        <w:t>210/101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lang w:bidi="ar-SA"/>
        </w:rPr>
        <w:t>320/109</w:t>
      </w:r>
      <w:r>
        <w:rPr>
          <w:rFonts w:eastAsia="Amiri" w:cs="Amiri" w:ascii="Amiri" w:hAnsi="Amiri"/>
          <w:color w:val="111111"/>
          <w:sz w:val="28"/>
          <w:szCs w:val="28"/>
          <w:rtl w:val="true"/>
          <w:lang w:bidi="ar-SA"/>
        </w:rPr>
        <w:t xml:space="preserve">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الكهف إِذْ أَوَى اَلْفِتْيَةُ إِلَى اَلْكَهْفِ فَقٰالُوا رَبَّنٰا آتِنٰا مِنْ لَدُنْكَ رَحْمَةً وَ هَيِّئْ لَنٰا مِنْ أَمْرِنٰا رَشَداً </w:t>
      </w:r>
      <w:r>
        <w:rPr>
          <w:rFonts w:eastAsia="Amiri" w:cs="Amiri" w:ascii="Amiri" w:hAnsi="Amiri"/>
          <w:color w:val="111111"/>
          <w:sz w:val="28"/>
          <w:szCs w:val="28"/>
          <w:lang w:bidi="ar-SA"/>
        </w:rPr>
        <w:t>218/10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lang w:bidi="ar-SA"/>
        </w:rPr>
        <w:t>218,212/11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lang w:bidi="ar-SA"/>
        </w:rPr>
        <w:t>218/12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w:t>
      </w:r>
      <w:r>
        <w:rPr>
          <w:rFonts w:eastAsia="Amiri" w:cs="Amiri" w:ascii="Amiri" w:hAnsi="Amiri"/>
          <w:color w:val="111111"/>
          <w:sz w:val="28"/>
          <w:szCs w:val="28"/>
          <w:lang w:bidi="ar-SA"/>
        </w:rPr>
        <w:t>218,212/18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w:t>
      </w:r>
      <w:r>
        <w:rPr>
          <w:rFonts w:eastAsia="Amiri" w:cs="Amiri" w:ascii="Amiri" w:hAnsi="Amiri"/>
          <w:color w:val="111111"/>
          <w:sz w:val="28"/>
          <w:szCs w:val="28"/>
          <w:lang w:bidi="ar-SA"/>
        </w:rPr>
        <w:t>420/39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lang w:bidi="ar-SA"/>
        </w:rPr>
        <w:t>293/47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w:t>
      </w:r>
      <w:r>
        <w:rPr>
          <w:rFonts w:eastAsia="Amiri" w:cs="Amiri" w:ascii="Amiri" w:hAnsi="Amiri"/>
          <w:color w:val="111111"/>
          <w:sz w:val="28"/>
          <w:szCs w:val="28"/>
          <w:lang w:bidi="ar-SA"/>
        </w:rPr>
        <w:t>261/49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lang w:bidi="ar-SA"/>
        </w:rPr>
        <w:t>142,39/65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lang w:bidi="ar-SA"/>
        </w:rPr>
        <w:t>142,39/66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وَرٰاءَهُمْ مَلِكٌ يَأْخُذُ كُلَّ سَفِينَةٍ غَصْباً </w:t>
      </w:r>
      <w:r>
        <w:rPr>
          <w:rFonts w:eastAsia="Amiri" w:cs="Amiri" w:ascii="Amiri" w:hAnsi="Amiri"/>
          <w:color w:val="111111"/>
          <w:sz w:val="28"/>
          <w:szCs w:val="28"/>
          <w:lang w:bidi="ar-SA"/>
        </w:rPr>
        <w:t>233/79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اَلْحُسْنىٰ </w:t>
      </w:r>
      <w:r>
        <w:rPr>
          <w:rFonts w:eastAsia="Amiri" w:cs="Amiri" w:ascii="Amiri" w:hAnsi="Amiri"/>
          <w:color w:val="111111"/>
          <w:sz w:val="28"/>
          <w:szCs w:val="28"/>
          <w:lang w:bidi="ar-SA"/>
        </w:rPr>
        <w:t>345/88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سٰاوىٰ بَيْنَ اَلصَّدَفَيْنِ قٰالَ اُنْفُخُوا حَتّٰى إِذٰا جَعَلَهُ نٰاراً قٰالَ آتُونِي أُفْرِغْ عَلَيْهِ قِطْراً </w:t>
      </w:r>
      <w:r>
        <w:rPr>
          <w:rFonts w:eastAsia="Amiri" w:cs="Amiri" w:ascii="Amiri" w:hAnsi="Amiri"/>
          <w:color w:val="111111"/>
          <w:sz w:val="28"/>
          <w:szCs w:val="28"/>
          <w:lang w:bidi="ar-SA"/>
        </w:rPr>
        <w:t>243/96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رَبِّي فَإِذٰا جٰاءَ وَعْدُ رَبِّي جَعَلَهُ دَكّٰاءَ وَ كٰانَ وَعْدُ رَبِّي حَقًّا </w:t>
      </w:r>
      <w:r>
        <w:rPr>
          <w:rFonts w:eastAsia="Amiri" w:cs="Amiri" w:ascii="Amiri" w:hAnsi="Amiri"/>
          <w:color w:val="111111"/>
          <w:sz w:val="28"/>
          <w:szCs w:val="28"/>
          <w:lang w:bidi="ar-SA"/>
        </w:rPr>
        <w:t>243/98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w:t>
      </w:r>
      <w:r>
        <w:rPr>
          <w:rFonts w:eastAsia="Amiri" w:cs="Amiri" w:ascii="Amiri" w:hAnsi="Amiri"/>
          <w:color w:val="111111"/>
          <w:sz w:val="28"/>
          <w:szCs w:val="28"/>
          <w:lang w:bidi="ar-SA"/>
        </w:rPr>
        <w:t>421,243,235/99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Fonts w:eastAsia="Amiri" w:cs="Amiri" w:ascii="Amiri" w:hAnsi="Amiri"/>
          <w:color w:val="111111"/>
          <w:sz w:val="28"/>
          <w:szCs w:val="28"/>
          <w:lang w:bidi="ar-SA"/>
        </w:rPr>
        <w:t>285/110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وَ سَلاٰمٌ عَلَيْهِ يَوْمَ وُلِدَ وَ يَوْمَ يَمُوتُ وَ يَوْمَ يُبْعَثُ حَيًّا </w:t>
      </w:r>
      <w:r>
        <w:rPr>
          <w:rFonts w:eastAsia="Amiri" w:cs="Amiri" w:ascii="Amiri" w:hAnsi="Amiri"/>
          <w:color w:val="111111"/>
          <w:sz w:val="28"/>
          <w:szCs w:val="28"/>
          <w:lang w:bidi="ar-SA"/>
        </w:rPr>
        <w:t>225/15</w:t>
      </w:r>
      <w:r>
        <w:rPr>
          <w:rFonts w:eastAsia="Amiri" w:cs="Amiri" w:ascii="Amiri" w:hAnsi="Amiri"/>
          <w:color w:val="111111"/>
          <w:sz w:val="28"/>
          <w:szCs w:val="28"/>
          <w:rtl w:val="true"/>
          <w:lang w:bidi="ar-SA"/>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لَيْتَنِي مِتُّ قَبْلَ هٰذٰا </w:t>
      </w:r>
      <w:r>
        <w:rPr>
          <w:rFonts w:eastAsia="Amiri" w:cs="Amiri" w:ascii="Amiri" w:hAnsi="Amiri"/>
          <w:color w:val="111111"/>
          <w:sz w:val="28"/>
          <w:szCs w:val="28"/>
          <w:lang w:bidi="ar-SA"/>
        </w:rPr>
        <w:t>221/23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إِذْ قُضِيَ اَلْأَمْرُ وَ هُمْ فِي غَفْلَةٍ وَ هُمْ لاٰ يُؤْمِنُونَ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lang w:bidi="ar-SA"/>
        </w:rPr>
        <w:t>269/68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كٰانَ عَلىٰ رَبِّكَ حَتْماً مَقْضِيًّا </w:t>
      </w:r>
      <w:r>
        <w:rPr>
          <w:rFonts w:eastAsia="Amiri" w:cs="Amiri" w:ascii="Amiri" w:hAnsi="Amiri"/>
          <w:color w:val="111111"/>
          <w:sz w:val="28"/>
          <w:szCs w:val="28"/>
          <w:lang w:bidi="ar-SA"/>
        </w:rPr>
        <w:t>269/71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إِنَّ اَلسّٰاعَةَ آتِيَةٌ أَكٰادُ أُخْفِيهٰا لِتُجْزىٰ كُلُّ نَفْسٍ بِمٰا تَسْعىٰ </w:t>
      </w:r>
      <w:r>
        <w:rPr>
          <w:rFonts w:eastAsia="Amiri" w:cs="Amiri" w:ascii="Amiri" w:hAnsi="Amiri"/>
          <w:color w:val="111111"/>
          <w:sz w:val="28"/>
          <w:szCs w:val="28"/>
          <w:lang w:bidi="ar-SA"/>
        </w:rPr>
        <w:t>173/15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lang w:bidi="ar-SA"/>
        </w:rPr>
        <w:t>81,72/29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lang w:bidi="ar-SA"/>
        </w:rPr>
        <w:t>81,72/30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lang w:bidi="ar-SA"/>
        </w:rPr>
        <w:t>388,280,190/55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لاٰ تَنْفَعُ اَلشَّفٰاعَةُ إِلاّٰ مَنْ أَذِنَ لَهُ اَلرَّحْمٰنُ وَ رَضِيَ لَهُ قَوْلاً </w:t>
      </w:r>
      <w:r>
        <w:rPr>
          <w:rFonts w:eastAsia="Amiri" w:cs="Amiri" w:ascii="Amiri" w:hAnsi="Amiri"/>
          <w:color w:val="111111"/>
          <w:sz w:val="28"/>
          <w:szCs w:val="28"/>
          <w:lang w:bidi="ar-SA"/>
        </w:rPr>
        <w:t>339/109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مِنَ اَلصّٰالِحٰاتِ وَ هُوَ مُؤْمِنٌ </w:t>
      </w:r>
      <w:r>
        <w:rPr>
          <w:rFonts w:eastAsia="Amiri" w:cs="Amiri" w:ascii="Amiri" w:hAnsi="Amiri"/>
          <w:color w:val="111111"/>
          <w:sz w:val="28"/>
          <w:szCs w:val="28"/>
          <w:lang w:bidi="ar-SA"/>
        </w:rPr>
        <w:t>318/112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يُقْضىٰ إِلَيْكَ وَحْيُهُ وَ قُلْ رَبِّ زِدْنِي عِلْماً </w:t>
      </w:r>
      <w:r>
        <w:rPr>
          <w:rFonts w:eastAsia="Amiri" w:cs="Amiri" w:ascii="Amiri" w:hAnsi="Amiri"/>
          <w:color w:val="111111"/>
          <w:sz w:val="28"/>
          <w:szCs w:val="28"/>
          <w:lang w:bidi="ar-SA"/>
        </w:rPr>
        <w:t>450/114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وَ قٰالُوا اِتَّخَذَ اَلرَّحْمٰنُ وَلَداً سُبْحٰانَهُ بَلْ عِبٰادٌ مُكْرَمُونَ </w:t>
      </w:r>
      <w:r>
        <w:rPr>
          <w:rFonts w:eastAsia="Amiri" w:cs="Amiri" w:ascii="Amiri" w:hAnsi="Amiri"/>
          <w:color w:val="111111"/>
          <w:sz w:val="28"/>
          <w:szCs w:val="28"/>
          <w:lang w:bidi="ar-SA"/>
        </w:rPr>
        <w:t>340/26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lang w:bidi="ar-SA"/>
        </w:rPr>
        <w:t>340/27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أَيْدِيهِمْ وَ مٰا خَلْفَهُمْ وَ لاٰ يَشْفَعُونَ إِلاّٰ لِمَنِ اِرْتَضىٰ وَ هُمْ مِنْ خَشْيَتِهِ مُشْفِقُونَ </w:t>
      </w:r>
      <w:r>
        <w:rPr>
          <w:rFonts w:eastAsia="Amiri" w:cs="Amiri" w:ascii="Amiri" w:hAnsi="Amiri"/>
          <w:color w:val="111111"/>
          <w:sz w:val="28"/>
          <w:szCs w:val="28"/>
          <w:lang w:bidi="ar-SA"/>
        </w:rPr>
        <w:t>342,340/28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قَبْلِكَ اَلْخُلْدَ أَ فَإِنْ مِتَّ فَهُمُ اَلْخٰالِدُونَ </w:t>
      </w:r>
      <w:r>
        <w:rPr>
          <w:rFonts w:eastAsia="Amiri" w:cs="Amiri" w:ascii="Amiri" w:hAnsi="Amiri"/>
          <w:color w:val="111111"/>
          <w:sz w:val="28"/>
          <w:szCs w:val="28"/>
          <w:lang w:bidi="ar-SA"/>
        </w:rPr>
        <w:t>223/34</w:t>
      </w:r>
      <w:r>
        <w:rPr>
          <w:rFonts w:eastAsia="Amiri" w:cs="Amiri" w:ascii="Amiri" w:hAnsi="Amiri"/>
          <w:color w:val="111111"/>
          <w:sz w:val="28"/>
          <w:szCs w:val="28"/>
          <w:rtl w:val="true"/>
          <w:lang w:bidi="ar-SA"/>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نَضَعُ اَلْمَوٰازِينَ اَلْقِسْطَ لِيَوْمِ اَلْقِيٰامَةِ فَلاٰ تُظْلَمُ نَفْسٌ شَيْئاً وَ إِنْ كٰانَ مِثْقٰالَ حَبَّةٍ مِنْ خَرْدَلٍ أَتَيْنٰا بِهٰا وَ كَفىٰ بِنٰا حٰاسِبِينَ </w:t>
      </w:r>
      <w:r>
        <w:rPr>
          <w:rFonts w:eastAsia="Amiri" w:cs="Amiri" w:ascii="Amiri" w:hAnsi="Amiri"/>
          <w:color w:val="111111"/>
          <w:sz w:val="28"/>
          <w:szCs w:val="28"/>
          <w:lang w:bidi="ar-SA"/>
        </w:rPr>
        <w:t>264,263/47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w:t>
      </w:r>
      <w:r>
        <w:rPr>
          <w:rFonts w:eastAsia="Amiri" w:cs="Amiri" w:ascii="Amiri" w:hAnsi="Amiri"/>
          <w:color w:val="111111"/>
          <w:sz w:val="28"/>
          <w:szCs w:val="28"/>
          <w:lang w:bidi="ar-SA"/>
        </w:rPr>
        <w:t>143/87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 نَجَّيْنٰاهُ مِنَ اَلْغَمِّ وَ كَذٰلِكَ نُنْجِي اَلْمُؤْمِنِينَ </w:t>
      </w: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يُسٰارِعُونَ فِي اَلْخَيْرٰاتِ وَ يَدْعُونَنٰا رَغَباً وَ رَهَباً وَ كٰانُوا لَنٰا خٰاشِعِينَ </w:t>
      </w:r>
      <w:r>
        <w:rPr>
          <w:rFonts w:eastAsia="Amiri" w:cs="Amiri" w:ascii="Amiri" w:hAnsi="Amiri"/>
          <w:color w:val="111111"/>
          <w:sz w:val="28"/>
          <w:szCs w:val="28"/>
          <w:lang w:bidi="ar-SA"/>
        </w:rPr>
        <w:t>343/90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عَلىٰ قَرْيَةٍ أَهْلَكْنٰاهٰا أَنَّهُمْ لاٰ يَرْجِعُونَ </w:t>
      </w:r>
      <w:r>
        <w:rPr>
          <w:rFonts w:eastAsia="Amiri" w:cs="Amiri" w:ascii="Amiri" w:hAnsi="Amiri"/>
          <w:color w:val="111111"/>
          <w:sz w:val="28"/>
          <w:szCs w:val="28"/>
          <w:lang w:bidi="ar-SA"/>
        </w:rPr>
        <w:t>295/95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 مَأْجُوجُ وَ هُمْ مِنْ كُلِّ حَدَبٍ يَنْسِلُونَ </w:t>
      </w:r>
      <w:r>
        <w:rPr>
          <w:rFonts w:eastAsia="Amiri" w:cs="Amiri" w:ascii="Amiri" w:hAnsi="Amiri"/>
          <w:color w:val="111111"/>
          <w:sz w:val="28"/>
          <w:szCs w:val="28"/>
          <w:lang w:bidi="ar-SA"/>
        </w:rPr>
        <w:t>243/96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اِقْتَرَبَ اَلْوَعْدُ اَلْحَقُّ فَإِذٰا هِيَ شٰاخِصَةٌ أَبْصٰارُ اَلَّذِينَ كَفَرُوا يٰا وَيْلَنٰا قَدْ كُنّٰا فِي غَفْلَةٍ مِنْ هٰذٰا بَلْ كُنّٰا ظٰالِمِينَ </w:t>
      </w:r>
      <w:r>
        <w:rPr>
          <w:rFonts w:eastAsia="Amiri" w:cs="Amiri" w:ascii="Amiri" w:hAnsi="Amiri"/>
          <w:color w:val="111111"/>
          <w:sz w:val="28"/>
          <w:szCs w:val="28"/>
          <w:lang w:bidi="ar-SA"/>
        </w:rPr>
        <w:t>243/97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w:t>
      </w:r>
      <w:r>
        <w:rPr>
          <w:rFonts w:eastAsia="Amiri" w:cs="Amiri" w:ascii="Amiri" w:hAnsi="Amiri"/>
          <w:color w:val="111111"/>
          <w:sz w:val="28"/>
          <w:szCs w:val="28"/>
          <w:lang w:bidi="ar-SA"/>
        </w:rPr>
        <w:t>246/98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نَطْوِي اَلسَّمٰاءَ كَطَيِّ اَلسِّجِلِّ لِلْكُتُبِ كَمٰا بَدَأْنٰا أَوَّلَ خَلْقٍ نُعِيدُهُ وَعْداً عَلَيْنٰا إِنّٰا كُنّٰا فٰاعِلِينَ </w:t>
      </w:r>
      <w:r>
        <w:rPr>
          <w:rFonts w:eastAsia="Amiri" w:cs="Amiri" w:ascii="Amiri" w:hAnsi="Amiri"/>
          <w:color w:val="111111"/>
          <w:sz w:val="28"/>
          <w:szCs w:val="28"/>
          <w:lang w:bidi="ar-SA"/>
        </w:rPr>
        <w:t>425/104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lang w:bidi="ar-SA"/>
        </w:rPr>
        <w:t>132/105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كُتِبَ عَلَيْهِ أَنَّهُ مَنْ تَوَلاّٰهُ فَأَنَّهُ يُضِلُّهُ وَ يَهْدِيهِ إِلىٰ عَذٰابِ اَلسَّعِيرِ </w:t>
      </w: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وَ أَنْبَتَتْ مِنْ كُلِّ زَوْجٍ بَهِيجٍ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أَنَّهُ يُحْيِ اَلْمَوْتىٰ وَ أَنَّهُ عَلىٰ كُلِّ شَيْ‌ءٍ قَدِيرٌ </w:t>
      </w:r>
      <w:r>
        <w:rPr>
          <w:rFonts w:eastAsia="Amiri" w:cs="Amiri" w:ascii="Amiri" w:hAnsi="Amiri"/>
          <w:color w:val="111111"/>
          <w:sz w:val="28"/>
          <w:szCs w:val="28"/>
          <w:lang w:bidi="ar-SA"/>
        </w:rPr>
        <w:t>190,169/6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Fonts w:eastAsia="Amiri" w:cs="Amiri" w:ascii="Amiri" w:hAnsi="Amiri"/>
          <w:color w:val="111111"/>
          <w:sz w:val="28"/>
          <w:szCs w:val="28"/>
          <w:lang w:bidi="ar-SA"/>
        </w:rPr>
        <w:t>231,190,169/7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يَفْصِلُ بَيْنَهُمْ يَوْمَ اَلْقِيٰامَةِ إِنَّ اَللّٰهَ عَلىٰ كُلِّ شَيْ‌ءٍ شَهِيدٌ </w:t>
      </w:r>
      <w:r>
        <w:rPr>
          <w:rFonts w:eastAsia="Amiri" w:cs="Amiri" w:ascii="Amiri" w:hAnsi="Amiri"/>
          <w:color w:val="111111"/>
          <w:sz w:val="28"/>
          <w:szCs w:val="28"/>
          <w:lang w:bidi="ar-SA"/>
        </w:rPr>
        <w:t>255/17</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اَلدَّوَابُّ وَ كَثِيرٌ مِنَ اَلنّٰاسِ </w:t>
      </w:r>
      <w:r>
        <w:rPr>
          <w:rFonts w:eastAsia="Amiri" w:cs="Amiri" w:ascii="Amiri" w:hAnsi="Amiri"/>
          <w:color w:val="111111"/>
          <w:sz w:val="28"/>
          <w:szCs w:val="28"/>
          <w:lang w:bidi="ar-SA"/>
        </w:rPr>
        <w:t>248/18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إِلَى اَلطَّيِّبِ مِنَ اَلْقَوْلِ وَ هُدُوا إِلىٰ صِرٰاطِ اَلْحَمِيدِ </w:t>
      </w:r>
      <w:r>
        <w:rPr>
          <w:rFonts w:eastAsia="Amiri" w:cs="Amiri" w:ascii="Amiri" w:hAnsi="Amiri"/>
          <w:color w:val="111111"/>
          <w:sz w:val="28"/>
          <w:szCs w:val="28"/>
          <w:lang w:bidi="ar-SA"/>
        </w:rPr>
        <w:t>268/24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Fonts w:eastAsia="Amiri" w:cs="Amiri" w:ascii="Amiri" w:hAnsi="Amiri"/>
          <w:color w:val="111111"/>
          <w:sz w:val="28"/>
          <w:szCs w:val="28"/>
          <w:lang w:bidi="ar-SA"/>
        </w:rPr>
        <w:t>128/30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هُوَ اَلْبٰاطِلُ </w:t>
      </w:r>
      <w:r>
        <w:rPr>
          <w:rFonts w:eastAsia="Amiri" w:cs="Amiri" w:ascii="Amiri" w:hAnsi="Amiri"/>
          <w:color w:val="111111"/>
          <w:sz w:val="28"/>
          <w:szCs w:val="28"/>
          <w:lang w:bidi="ar-SA"/>
        </w:rPr>
        <w:t>169/62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أَحْيٰاكُمْ ثُمَّ يُمِيتُكُمْ ثُمَّ يُحْيِيكُمْ </w:t>
      </w:r>
      <w:r>
        <w:rPr>
          <w:rFonts w:eastAsia="Amiri" w:cs="Amiri" w:ascii="Amiri" w:hAnsi="Amiri"/>
          <w:color w:val="111111"/>
          <w:sz w:val="28"/>
          <w:szCs w:val="28"/>
          <w:lang w:bidi="ar-SA"/>
        </w:rPr>
        <w:t>169/66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lang w:bidi="ar-SA"/>
        </w:rPr>
        <w:t>405/74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جَعَلَ عَلَيْكُمْ فِي اَلدِّينِ مِنْ حَرَجٍ مِلَّةَ أَبِيكُمْ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بِاللّٰهِ هُوَ مَوْلاٰكُمْ </w:t>
      </w:r>
      <w:r>
        <w:rPr>
          <w:rFonts w:eastAsia="Amiri" w:cs="Amiri" w:ascii="Amiri" w:hAnsi="Amiri"/>
          <w:color w:val="111111"/>
          <w:sz w:val="28"/>
          <w:szCs w:val="28"/>
          <w:lang w:bidi="ar-SA"/>
        </w:rPr>
        <w:t>258,97/78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وَ اَلَّذِينَ هُمْ لِفُرُوجِهِمْ حٰافِظُونَ </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مِنْ طِينٍ </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lang w:bidi="ar-SA"/>
        </w:rPr>
        <w:t>202/13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lang w:bidi="ar-SA"/>
        </w:rPr>
        <w:t>301,202,177/14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lang w:bidi="ar-SA"/>
        </w:rPr>
        <w:t>177/15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تُبْعَثُونَ </w:t>
      </w:r>
      <w:r>
        <w:rPr>
          <w:rFonts w:eastAsia="Amiri" w:cs="Amiri" w:ascii="Amiri" w:hAnsi="Amiri"/>
          <w:color w:val="111111"/>
          <w:sz w:val="28"/>
          <w:szCs w:val="28"/>
          <w:lang w:bidi="ar-SA"/>
        </w:rPr>
        <w:t>177/16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اَلَّذِينَ كَفَرُوا وَ كَذَّبُوا بِلِقٰاءِ اَلْآخِرَةِ وَ أَتْرَفْنٰاهُمْ فِي اَلْحَيٰاةِ اَلدُّنْيٰا مٰا هٰذٰا إِلاّٰ بَشَرٌ مِثْلُكُمْ يَأْكُلُ مِمّٰا تَأْكُلُونَ مِنْهُ وَ يَشْرَبُ مِمّٰا تَشْرَبُونَ </w:t>
      </w:r>
      <w:r>
        <w:rPr>
          <w:rFonts w:eastAsia="Amiri" w:cs="Amiri" w:ascii="Amiri" w:hAnsi="Amiri"/>
          <w:color w:val="111111"/>
          <w:sz w:val="28"/>
          <w:szCs w:val="28"/>
          <w:lang w:bidi="ar-SA"/>
        </w:rPr>
        <w:t>182/33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lang w:bidi="ar-SA"/>
        </w:rPr>
        <w:t>182/36</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هِيَ إِلاّٰ حَيٰاتُنَا اَلدُّنْيٰا نَمُوتُ وَ نَحْيٰا وَ مٰا نَحْنُ بِمَبْعُوثِينَ </w:t>
      </w:r>
      <w:r>
        <w:rPr>
          <w:rFonts w:eastAsia="Amiri" w:cs="Amiri" w:ascii="Amiri" w:hAnsi="Amiri"/>
          <w:color w:val="111111"/>
          <w:sz w:val="28"/>
          <w:szCs w:val="28"/>
          <w:lang w:bidi="ar-SA"/>
        </w:rPr>
        <w:t>182/37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لَتَدْعُوهُمْ إِلىٰ صِرٰاطٍ مُسْتَقِيمٍ </w:t>
      </w:r>
      <w:r>
        <w:rPr>
          <w:rFonts w:eastAsia="Amiri" w:cs="Amiri" w:ascii="Amiri" w:hAnsi="Amiri"/>
          <w:color w:val="111111"/>
          <w:sz w:val="28"/>
          <w:szCs w:val="28"/>
          <w:lang w:bidi="ar-SA"/>
        </w:rPr>
        <w:t>271/73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lang w:bidi="ar-SA"/>
        </w:rPr>
        <w:t>271/74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كُنّٰا تُرٰاباً وَ عِظٰاماً أَ إِنّٰا لَمَبْعُوثُونَ </w:t>
      </w:r>
      <w:r>
        <w:rPr>
          <w:rFonts w:eastAsia="Amiri" w:cs="Amiri" w:ascii="Amiri" w:hAnsi="Amiri"/>
          <w:color w:val="111111"/>
          <w:sz w:val="28"/>
          <w:szCs w:val="28"/>
          <w:lang w:bidi="ar-SA"/>
        </w:rPr>
        <w:t>184/82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أَسٰاطِيرُ اَلْأَوَّلِينَ </w:t>
      </w:r>
      <w:r>
        <w:rPr>
          <w:rFonts w:eastAsia="Amiri" w:cs="Amiri" w:ascii="Amiri" w:hAnsi="Amiri"/>
          <w:color w:val="111111"/>
          <w:sz w:val="28"/>
          <w:szCs w:val="28"/>
          <w:lang w:bidi="ar-SA"/>
        </w:rPr>
        <w:t>184/83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lang w:bidi="ar-SA"/>
        </w:rPr>
        <w:t>311,296/99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lang w:bidi="ar-SA"/>
        </w:rPr>
        <w:t>311,296,233/100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lang w:bidi="ar-SA"/>
        </w:rPr>
        <w:t>235,103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lang w:bidi="ar-SA"/>
        </w:rPr>
        <w:t>168/115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يَوْمَ تَشْهَدُ عَلَيْهِمْ أَلْسِنَتُهُمْ وَ أَيْدِيهِمْ وَ أَرْجُلُهُمْ بِمٰا كٰانُوا يَعْمَلُونَ </w:t>
      </w:r>
      <w:r>
        <w:rPr>
          <w:rFonts w:eastAsia="Amiri" w:cs="Amiri" w:ascii="Amiri" w:hAnsi="Amiri"/>
          <w:color w:val="111111"/>
          <w:sz w:val="28"/>
          <w:szCs w:val="28"/>
          <w:lang w:bidi="ar-SA"/>
        </w:rPr>
        <w:t>281,259/24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w:t>
      </w:r>
      <w:r>
        <w:rPr>
          <w:rFonts w:eastAsia="Amiri" w:cs="Amiri" w:ascii="Amiri" w:hAnsi="Amiri"/>
          <w:color w:val="111111"/>
          <w:sz w:val="28"/>
          <w:szCs w:val="28"/>
          <w:lang w:bidi="ar-SA"/>
        </w:rPr>
        <w:t>132/55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أَ رَأَيْتَ مَنِ اِتَّخَذَ إِلٰهَهُ هَوٰاهُ أَ فَأَنْتَ تَكُونُ عَلَيْهِ وَكِيلاً </w:t>
      </w:r>
      <w:r>
        <w:rPr>
          <w:rFonts w:eastAsia="Amiri" w:cs="Amiri" w:ascii="Amiri" w:hAnsi="Amiri"/>
          <w:color w:val="111111"/>
          <w:sz w:val="28"/>
          <w:szCs w:val="28"/>
          <w:lang w:bidi="ar-SA"/>
        </w:rPr>
        <w:t>181/43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اِضْرِبْ بِعَصٰاكَ اَلْبَحْرَ فَانْفَلَقَ </w:t>
      </w:r>
      <w:r>
        <w:rPr>
          <w:rFonts w:eastAsia="Amiri" w:cs="Amiri" w:ascii="Amiri" w:hAnsi="Amiri"/>
          <w:color w:val="111111"/>
          <w:sz w:val="28"/>
          <w:szCs w:val="28"/>
          <w:lang w:bidi="ar-SA"/>
        </w:rPr>
        <w:t>209/63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w:t>
      </w:r>
      <w:r>
        <w:rPr>
          <w:rFonts w:eastAsia="Amiri" w:cs="Amiri" w:ascii="Amiri" w:hAnsi="Amiri"/>
          <w:color w:val="111111"/>
          <w:sz w:val="28"/>
          <w:szCs w:val="28"/>
          <w:lang w:bidi="ar-SA"/>
        </w:rPr>
        <w:t>421/90</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lang w:bidi="ar-SA"/>
        </w:rPr>
        <w:t>421/91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فِيهٰا يَخْتَصِمُونَ </w:t>
      </w:r>
      <w:r>
        <w:rPr>
          <w:rFonts w:eastAsia="Amiri" w:cs="Amiri" w:ascii="Amiri" w:hAnsi="Amiri"/>
          <w:color w:val="111111"/>
          <w:sz w:val="28"/>
          <w:szCs w:val="28"/>
          <w:lang w:bidi="ar-SA"/>
        </w:rPr>
        <w:t>350/96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lang w:bidi="ar-SA"/>
        </w:rPr>
        <w:t>360,350/97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lang w:bidi="ar-SA"/>
        </w:rPr>
        <w:t>360,350/98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lang w:bidi="ar-SA"/>
        </w:rPr>
        <w:t>350/99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lang w:bidi="ar-SA"/>
        </w:rPr>
        <w:t>350/100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Fonts w:eastAsia="Amiri" w:cs="Amiri" w:ascii="Amiri" w:hAnsi="Amiri"/>
          <w:color w:val="111111"/>
          <w:sz w:val="28"/>
          <w:szCs w:val="28"/>
          <w:lang w:bidi="ar-SA"/>
        </w:rPr>
        <w:t>350/101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lang w:bidi="ar-SA"/>
        </w:rPr>
        <w:t>76/214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وَ جَحَدُوا بِهٰا وَ اِسْتَيْقَنَتْهٰا أَنْفُسُهُمْ ظُلْماً وَ عُلُوًّا فَانْظُرْ كَيْفَ كٰانَ عٰاقِبَةُ اَلْمُفْسِدِينَ </w:t>
      </w:r>
      <w:r>
        <w:rPr>
          <w:rFonts w:eastAsia="Amiri" w:cs="Amiri" w:ascii="Amiri" w:hAnsi="Amiri"/>
          <w:color w:val="111111"/>
          <w:sz w:val="28"/>
          <w:szCs w:val="28"/>
          <w:lang w:bidi="ar-SA"/>
        </w:rPr>
        <w:t>314/14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لَذُو فَضْلٍ عَلَى اَلنّٰاسِ وَ لَكِنَّ أَكْثَرَهُمْ لاٰ يَشْكُرُونَ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lang w:bidi="ar-SA"/>
        </w:rPr>
        <w:t>249/76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 لاٰ تُسْمِعُ اَلصُّمَّ اَلدُّعٰاءَ إِذٰا وَلَّوْا مُدْبِرِينَ </w:t>
      </w:r>
      <w:r>
        <w:rPr>
          <w:rFonts w:eastAsia="Amiri" w:cs="Amiri" w:ascii="Amiri" w:hAnsi="Amiri"/>
          <w:color w:val="111111"/>
          <w:sz w:val="28"/>
          <w:szCs w:val="28"/>
          <w:lang w:bidi="ar-SA"/>
        </w:rPr>
        <w:t>226,221/80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عَلَيْهِمْ أَخْرَجْنٰا لَهُمْ دَابَّةً مِنَ اَلْأَرْضِ تُكَلِّمُهُمْ أَنَّ اَلنّٰاسَ كٰانُوا بِآيٰاتِنٰا لاٰ يُوقِنُونَ </w:t>
      </w:r>
      <w:r>
        <w:rPr>
          <w:rFonts w:eastAsia="Amiri" w:cs="Amiri" w:ascii="Amiri" w:hAnsi="Amiri"/>
          <w:color w:val="111111"/>
          <w:sz w:val="28"/>
          <w:szCs w:val="28"/>
          <w:lang w:bidi="ar-SA"/>
        </w:rPr>
        <w:t>292,247/82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Fonts w:eastAsia="Amiri" w:cs="Amiri" w:ascii="Amiri" w:hAnsi="Amiri"/>
          <w:color w:val="111111"/>
          <w:sz w:val="28"/>
          <w:szCs w:val="28"/>
          <w:lang w:bidi="ar-SA"/>
        </w:rPr>
        <w:t>296,292/83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عَلَيْهِمْ بِمٰا ظَلَمُوا فَهُمْ لاٰ يَنْطِقُونَ </w:t>
      </w:r>
      <w:r>
        <w:rPr>
          <w:rFonts w:eastAsia="Amiri" w:cs="Amiri" w:ascii="Amiri" w:hAnsi="Amiri"/>
          <w:color w:val="111111"/>
          <w:sz w:val="28"/>
          <w:szCs w:val="28"/>
          <w:lang w:bidi="ar-SA"/>
        </w:rPr>
        <w:t>248/85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w:t>
      </w:r>
      <w:r>
        <w:rPr>
          <w:rFonts w:eastAsia="Amiri" w:cs="Amiri" w:ascii="Amiri" w:hAnsi="Amiri"/>
          <w:color w:val="111111"/>
          <w:sz w:val="28"/>
          <w:szCs w:val="28"/>
          <w:lang w:bidi="ar-SA"/>
        </w:rPr>
        <w:t>293,250/87</w:t>
      </w:r>
      <w:r>
        <w:rPr>
          <w:rFonts w:eastAsia="Amiri" w:cs="Amiri" w:ascii="Amiri" w:hAnsi="Amiri"/>
          <w:color w:val="111111"/>
          <w:sz w:val="28"/>
          <w:szCs w:val="28"/>
          <w:rtl w:val="true"/>
          <w:lang w:bidi="ar-SA"/>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القصص وَ نُرِيدُ أَنْ نَمُنَّ عَلَى اَلَّذِينَ اُسْتُضْعِفُوا فِي اَلْأَرْضِ وَ نَجْعَلَهُمْ أَئِمَّةً وَ نَجْعَلَهُمُ اَلْوٰارِثِينَ </w:t>
      </w:r>
      <w:r>
        <w:rPr>
          <w:rFonts w:eastAsia="Amiri" w:cs="Amiri" w:ascii="Amiri" w:hAnsi="Amiri"/>
          <w:color w:val="111111"/>
          <w:sz w:val="28"/>
          <w:szCs w:val="28"/>
          <w:lang w:bidi="ar-SA"/>
        </w:rPr>
        <w:t>132,128/5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lang w:bidi="ar-SA"/>
        </w:rPr>
        <w:t>432/20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lang w:bidi="ar-SA"/>
        </w:rPr>
        <w:t>118/30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أَعْلَمُ بِمَنْ جٰاءَ بِالْهُدىٰ مِنْ عِنْدِهِ وَ مَنْ تَكُونُ لَهُ عٰاقِبَةُ اَلدّٰارِ إِنَّهُ لاٰ يُفْلِحُ اَلظّٰالِمُونَ </w:t>
      </w:r>
      <w:r>
        <w:rPr>
          <w:rFonts w:eastAsia="Amiri" w:cs="Amiri" w:ascii="Amiri" w:hAnsi="Amiri"/>
          <w:color w:val="111111"/>
          <w:sz w:val="28"/>
          <w:szCs w:val="28"/>
          <w:lang w:bidi="ar-SA"/>
        </w:rPr>
        <w:t>164/37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يُنٰادِيهِمْ فَيَقُولُ أَيْنَ شُرَكٰائِيَ اَلَّذِينَ كُنْتُمْ تَزْعُمُونَ </w:t>
      </w:r>
      <w:r>
        <w:rPr>
          <w:rFonts w:eastAsia="Amiri" w:cs="Amiri" w:ascii="Amiri" w:hAnsi="Amiri"/>
          <w:color w:val="111111"/>
          <w:sz w:val="28"/>
          <w:szCs w:val="28"/>
          <w:lang w:bidi="ar-SA"/>
        </w:rPr>
        <w:t>256/74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مِنْ كُلِّ أُمَّةٍ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lang w:bidi="ar-SA"/>
        </w:rPr>
        <w:t>422/88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فَلَبِثَ فِيهِمْ أَلْفَ سَنَةٍ إِلاّٰ خَمْسِينَ عٰاماً </w:t>
      </w:r>
      <w:r>
        <w:rPr>
          <w:rFonts w:eastAsia="Amiri" w:cs="Amiri" w:ascii="Amiri" w:hAnsi="Amiri"/>
          <w:color w:val="111111"/>
          <w:sz w:val="28"/>
          <w:szCs w:val="28"/>
          <w:lang w:bidi="ar-SA"/>
        </w:rPr>
        <w:t>148/14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اُشْكُرُوا لَهُ إِلَيْهِ تُرْجَعُونَ </w:t>
      </w:r>
      <w:r>
        <w:rPr>
          <w:rFonts w:eastAsia="Amiri" w:cs="Amiri" w:ascii="Amiri" w:hAnsi="Amiri"/>
          <w:color w:val="111111"/>
          <w:sz w:val="28"/>
          <w:szCs w:val="28"/>
          <w:lang w:bidi="ar-SA"/>
        </w:rPr>
        <w:t>163/17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w:t>
      </w:r>
      <w:r>
        <w:rPr>
          <w:rFonts w:eastAsia="Amiri" w:cs="Amiri" w:ascii="Amiri" w:hAnsi="Amiri"/>
          <w:color w:val="111111"/>
          <w:sz w:val="28"/>
          <w:szCs w:val="28"/>
          <w:lang w:bidi="ar-SA"/>
        </w:rPr>
        <w:t>313/26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تُخْزِنِي يَوْمَ يُبْعَثُونَ </w:t>
      </w:r>
      <w:r>
        <w:rPr>
          <w:rFonts w:eastAsia="Amiri" w:cs="Amiri" w:ascii="Amiri" w:hAnsi="Amiri"/>
          <w:color w:val="111111"/>
          <w:sz w:val="28"/>
          <w:szCs w:val="28"/>
          <w:lang w:bidi="ar-SA"/>
        </w:rPr>
        <w:t>163/87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أَ وَ لَمْ يَتَفَكَّرُوا فِي أَنْفُسِهِمْ مٰا خَلَقَ اَللّٰهُ اَلسَّمٰاوٰاتِ وَ اَلْأَرْضَ وَ مٰا بَيْنَهُمٰا إِلاّٰ بِالْحَقِّ وَ أَجَلٍ مُسَمًّى وَ إِنَّ كَثِيراً مِنَ اَلنّٰاسِ بِلِقٰاءِ رَبِّهِمْ لَكٰافِرُونَ </w:t>
      </w:r>
      <w:r>
        <w:rPr>
          <w:rFonts w:eastAsia="Amiri" w:cs="Amiri" w:ascii="Amiri" w:hAnsi="Amiri"/>
          <w:color w:val="111111"/>
          <w:sz w:val="28"/>
          <w:szCs w:val="28"/>
          <w:lang w:bidi="ar-SA"/>
        </w:rPr>
        <w:t>403/8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دَعٰاكُمْ دَعْوَةً مِنَ اَلْأَرْضِ إِذٰا أَنْتُمْ تَخْرُجُونَ </w:t>
      </w:r>
      <w:r>
        <w:rPr>
          <w:rFonts w:eastAsia="Amiri" w:cs="Amiri" w:ascii="Amiri" w:hAnsi="Amiri"/>
          <w:color w:val="111111"/>
          <w:sz w:val="28"/>
          <w:szCs w:val="28"/>
          <w:lang w:bidi="ar-SA"/>
        </w:rPr>
        <w:t>385,280/25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يَبْدَؤُا اَلْخَلْقَ ثُمَّ يُعِيدُهُ وَ هُوَ أَهْوَنُ عَلَيْهِ </w:t>
      </w:r>
      <w:r>
        <w:rPr>
          <w:rFonts w:eastAsia="Amiri" w:cs="Amiri" w:ascii="Amiri" w:hAnsi="Amiri"/>
          <w:color w:val="111111"/>
          <w:sz w:val="28"/>
          <w:szCs w:val="28"/>
          <w:lang w:bidi="ar-SA"/>
        </w:rPr>
        <w:t>186/27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رَحْمَتِ اَللّٰهِ كَيْفَ يُحْيِ اَلْأَرْضَ بَعْدَ مَوْتِهٰا إِنَّ ذٰلِكَ لَمُحْيِ اَلْمَوْتىٰ وَ هُوَ عَلىٰ كُلِّ شَيْ‌ءٍ قَدِيرٌ </w:t>
      </w:r>
      <w:r>
        <w:rPr>
          <w:rFonts w:eastAsia="Amiri" w:cs="Amiri" w:ascii="Amiri" w:hAnsi="Amiri"/>
          <w:color w:val="111111"/>
          <w:sz w:val="28"/>
          <w:szCs w:val="28"/>
          <w:lang w:bidi="ar-SA"/>
        </w:rPr>
        <w:t>221,175/50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لقمان مٰا خَلْقُكُمْ وَ لاٰ بَعْثُكُمْ إِلاّٰ كَنَفْسٍ وٰاحِدَةٍ إِنَّ اَللّٰهَ سَمِيعٌ بَصِيرٌ </w:t>
      </w:r>
      <w:r>
        <w:rPr>
          <w:rFonts w:eastAsia="Amiri" w:cs="Amiri" w:ascii="Amiri" w:hAnsi="Amiri"/>
          <w:color w:val="111111"/>
          <w:sz w:val="28"/>
          <w:szCs w:val="28"/>
          <w:lang w:bidi="ar-SA"/>
        </w:rPr>
        <w:t>191/28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هُوَ اَلْحَقُّ وَ أَنَّ مٰا يَدْعُونَ مِنْ دُونِهِ اَلْبٰاطِلُ </w:t>
      </w:r>
      <w:r>
        <w:rPr>
          <w:rFonts w:eastAsia="Amiri" w:cs="Amiri" w:ascii="Amiri" w:hAnsi="Amiri"/>
          <w:color w:val="111111"/>
          <w:sz w:val="28"/>
          <w:szCs w:val="28"/>
          <w:lang w:bidi="ar-SA"/>
        </w:rPr>
        <w:t>169/30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رَبَّكُمْ وَ اِخْشَوْا يَوْماً لاٰ يَجْزِي وٰالِدٌ عَنْ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تَدْرِي نَفْسٌ بِأَيِّ أَرْضٍ تَمُوتُ </w:t>
      </w:r>
      <w:r>
        <w:rPr>
          <w:rFonts w:eastAsia="Amiri" w:cs="Amiri" w:ascii="Amiri" w:hAnsi="Amiri"/>
          <w:color w:val="111111"/>
          <w:sz w:val="28"/>
          <w:szCs w:val="28"/>
          <w:lang w:bidi="ar-SA"/>
        </w:rPr>
        <w:t>231/34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السجدة وَ قٰالُوا أَ إِذٰا ضَلَلْنٰا فِي اَلْأَرْضِ أَ إِنّٰا لَفِي خَلْقٍ جَدِيدٍ بَلْ هُمْ بِلِقٰاءِ رَبِّهِمْ كٰافِرُونَ </w:t>
      </w:r>
      <w:r>
        <w:rPr>
          <w:rFonts w:eastAsia="Amiri" w:cs="Amiri" w:ascii="Amiri" w:hAnsi="Amiri"/>
          <w:color w:val="111111"/>
          <w:sz w:val="28"/>
          <w:szCs w:val="28"/>
          <w:lang w:bidi="ar-SA"/>
        </w:rPr>
        <w:t>191,187/10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lang w:bidi="ar-SA"/>
        </w:rPr>
        <w:t>232,201,192/11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قَدْ يَعْلَمُ اَللّٰهُ اَلْمُعَوِّقِينَ مِنْكُمْ وَ اَلْقٰائِلِينَ لِإِخْوٰانِهِمْ هَلُمَّ إِلَيْنٰا وَ لاٰ يَأْتُونَ اَلْبَأْسَ إِلاّٰ قَلِيلاً </w:t>
      </w:r>
      <w:r>
        <w:rPr>
          <w:rFonts w:eastAsia="Amiri" w:cs="Amiri" w:ascii="Amiri" w:hAnsi="Amiri"/>
          <w:color w:val="111111"/>
          <w:sz w:val="28"/>
          <w:szCs w:val="28"/>
          <w:lang w:bidi="ar-SA"/>
        </w:rPr>
        <w:t>375/18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لَمْ يُؤْمِنُوا فَأَحْبَطَ اَللّٰهُ أَعْمٰالَهُمْ وَ كٰانَ ذٰلِكَ عَلَى اَللّٰهِ يَسِيراً </w:t>
      </w:r>
      <w:r>
        <w:rPr>
          <w:rFonts w:eastAsia="Amiri" w:cs="Amiri" w:ascii="Amiri" w:hAnsi="Amiri"/>
          <w:color w:val="111111"/>
          <w:sz w:val="28"/>
          <w:szCs w:val="28"/>
          <w:lang w:bidi="ar-SA"/>
        </w:rPr>
        <w:t>375/19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Fonts w:eastAsia="Amiri" w:cs="Amiri" w:ascii="Amiri" w:hAnsi="Amiri"/>
          <w:color w:val="111111"/>
          <w:sz w:val="28"/>
          <w:szCs w:val="28"/>
          <w:lang w:bidi="ar-SA"/>
        </w:rPr>
        <w:t>440/30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lang w:bidi="ar-SA"/>
        </w:rPr>
        <w:t>125,107/33</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سبأ 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lang w:bidi="ar-SA"/>
        </w:rPr>
        <w:t>420/15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وَ مِنَ اَلنّٰاسِ وَ اَلدَّوَابِّ </w:t>
      </w:r>
      <w:r>
        <w:rPr>
          <w:rFonts w:eastAsia="Amiri" w:cs="Amiri" w:ascii="Amiri" w:hAnsi="Amiri"/>
          <w:color w:val="111111"/>
          <w:sz w:val="28"/>
          <w:szCs w:val="28"/>
          <w:lang w:bidi="ar-SA"/>
        </w:rPr>
        <w:t>248/28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بِمٰا كَسَبُوا مٰا تَرَكَ عَلىٰ ظَهْرِهٰا مِنْ دَابَّةٍ </w:t>
      </w:r>
      <w:r>
        <w:rPr>
          <w:rFonts w:eastAsia="Amiri" w:cs="Amiri" w:ascii="Amiri" w:hAnsi="Amiri"/>
          <w:color w:val="111111"/>
          <w:sz w:val="28"/>
          <w:szCs w:val="28"/>
          <w:lang w:bidi="ar-SA"/>
        </w:rPr>
        <w:t>345/45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إِنّٰا نَحْنُ نُحْيِ اَلْمَوْتىٰ وَ نَكْتُبُ مٰا قَدَّمُوا وَ آثٰارَهُمْ وَ كُلَّ شَيْ‌ءٍ أَحْصَيْنٰاهُ فِي إِمٰامٍ مُبِينٍ </w:t>
      </w:r>
      <w:r>
        <w:rPr>
          <w:rFonts w:eastAsia="Amiri" w:cs="Amiri" w:ascii="Amiri" w:hAnsi="Amiri"/>
          <w:color w:val="111111"/>
          <w:sz w:val="28"/>
          <w:szCs w:val="28"/>
          <w:lang w:bidi="ar-SA"/>
        </w:rPr>
        <w:t>261/12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lang w:bidi="ar-SA"/>
        </w:rPr>
        <w:t>202,201/26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lang w:bidi="ar-SA"/>
        </w:rPr>
        <w:t>202,201/27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w:t>
      </w:r>
      <w:r>
        <w:rPr>
          <w:rFonts w:eastAsia="Amiri" w:cs="Amiri" w:ascii="Amiri" w:hAnsi="Amiri"/>
          <w:color w:val="111111"/>
          <w:sz w:val="28"/>
          <w:szCs w:val="28"/>
          <w:lang w:bidi="ar-SA"/>
        </w:rPr>
        <w:t>221/33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lang w:bidi="ar-SA"/>
        </w:rPr>
        <w:t>254,239,235/51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w:t>
      </w:r>
      <w:r>
        <w:rPr>
          <w:rFonts w:eastAsia="Amiri" w:cs="Amiri" w:ascii="Amiri" w:hAnsi="Amiri"/>
          <w:color w:val="111111"/>
          <w:sz w:val="28"/>
          <w:szCs w:val="28"/>
          <w:lang w:bidi="ar-SA"/>
        </w:rPr>
        <w:t>254/52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lang w:bidi="ar-SA"/>
        </w:rPr>
        <w:t>281,259/65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lang w:bidi="ar-SA"/>
        </w:rPr>
        <w:t>186/78</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lang w:bidi="ar-SA"/>
        </w:rPr>
        <w:t>194/79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lang w:bidi="ar-SA"/>
        </w:rPr>
        <w:t>399/81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lang w:bidi="ar-SA"/>
        </w:rPr>
        <w:t>128/82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فَبَشَّرْنٰاهُ بِغُلاٰمٍ حَلِيمٍ </w:t>
      </w:r>
      <w:r>
        <w:rPr>
          <w:rFonts w:eastAsia="Amiri" w:cs="Amiri" w:ascii="Amiri" w:hAnsi="Amiri"/>
          <w:color w:val="111111"/>
          <w:sz w:val="28"/>
          <w:szCs w:val="28"/>
          <w:lang w:bidi="ar-SA"/>
        </w:rPr>
        <w:t>121/101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lang w:bidi="ar-SA"/>
        </w:rPr>
        <w:t>150/143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lang w:bidi="ar-SA"/>
        </w:rPr>
        <w:t>150/144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وَ شَدَدْنٰا مُلْكَهُ وَ آتَيْنٰاهُ اَلْحِكْمَةَ وَ فَصْلَ اَلْخِطٰابِ </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lang w:bidi="ar-SA"/>
        </w:rPr>
        <w:t>172/28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لِي مُلْكاً لاٰ يَنْبَغِي لِأَحَدٍ مِنْ بَعْدِي إِنَّكَ أَنْتَ اَلْوَهّٰابُ </w:t>
      </w:r>
      <w:r>
        <w:rPr>
          <w:rFonts w:eastAsia="Amiri" w:cs="Amiri" w:ascii="Amiri" w:hAnsi="Amiri"/>
          <w:color w:val="111111"/>
          <w:sz w:val="28"/>
          <w:szCs w:val="28"/>
          <w:lang w:bidi="ar-SA"/>
        </w:rPr>
        <w:t>120/35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أَ فَمَنْ حَقَّ عَلَيْهِ كَلِمَةُ اَلْعَذٰابِ أَ فَأَنْتَ تُنْقِذُ مَنْ فِي اَلنّٰارِ </w:t>
      </w:r>
      <w:r>
        <w:rPr>
          <w:rFonts w:eastAsia="Amiri" w:cs="Amiri" w:ascii="Amiri" w:hAnsi="Amiri"/>
          <w:color w:val="111111"/>
          <w:sz w:val="28"/>
          <w:szCs w:val="28"/>
          <w:lang w:bidi="ar-SA"/>
        </w:rPr>
        <w:t>248/19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232,199,192/42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lang w:bidi="ar-SA"/>
        </w:rPr>
        <w:t>360/43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w:t>
      </w:r>
      <w:r>
        <w:rPr>
          <w:rFonts w:eastAsia="Amiri" w:cs="Amiri" w:ascii="Amiri" w:hAnsi="Amiri"/>
          <w:color w:val="111111"/>
          <w:sz w:val="28"/>
          <w:szCs w:val="28"/>
          <w:lang w:bidi="ar-SA"/>
        </w:rPr>
        <w:t>188/67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w:t>
      </w:r>
      <w:r>
        <w:rPr>
          <w:rFonts w:eastAsia="Amiri" w:cs="Amiri" w:ascii="Amiri" w:hAnsi="Amiri"/>
          <w:color w:val="111111"/>
          <w:sz w:val="28"/>
          <w:szCs w:val="28"/>
          <w:lang w:bidi="ar-SA"/>
        </w:rPr>
        <w:t>239,235/68</w:t>
      </w:r>
      <w:r>
        <w:rPr>
          <w:rFonts w:eastAsia="Amiri" w:cs="Amiri" w:ascii="Amiri" w:hAnsi="Amiri"/>
          <w:color w:val="111111"/>
          <w:sz w:val="28"/>
          <w:szCs w:val="28"/>
          <w:rtl w:val="true"/>
          <w:lang w:bidi="ar-SA"/>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غافر قٰالُوا رَبَّنٰا أَمَتَّنَا اِثْنَتَيْنِ وَ أَحْيَيْتَنَا اِثْنَتَيْنِ فَاعْتَرَفْنٰا بِذُنُوبِنٰا </w:t>
      </w:r>
      <w:r>
        <w:rPr>
          <w:rFonts w:eastAsia="Amiri" w:cs="Amiri" w:ascii="Amiri" w:hAnsi="Amiri"/>
          <w:color w:val="111111"/>
          <w:sz w:val="28"/>
          <w:szCs w:val="28"/>
          <w:lang w:bidi="ar-SA"/>
        </w:rPr>
        <w:t>234/11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lang w:bidi="ar-SA"/>
        </w:rPr>
        <w:t>349/18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عُذْتُ بِرَبِّي وَ رَبِّكُمْ مِنْ كُلِّ مُتَكَبِّرٍ لاٰ يُؤْمِنُ بِيَوْمِ اَلْحِسٰابِ </w:t>
      </w:r>
      <w:r>
        <w:rPr>
          <w:rFonts w:eastAsia="Amiri" w:cs="Amiri" w:ascii="Amiri" w:hAnsi="Amiri"/>
          <w:color w:val="111111"/>
          <w:sz w:val="28"/>
          <w:szCs w:val="28"/>
          <w:lang w:bidi="ar-SA"/>
        </w:rPr>
        <w:t>164/27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lang w:bidi="ar-SA"/>
        </w:rPr>
        <w:t>432/28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lang w:bidi="ar-SA"/>
        </w:rPr>
        <w:t>165/32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هٰذِهِ اَلْحَيٰاةُ اَلدُّنْيٰا مَتٰاعٌ وَ إِنَّ اَلْآخِرَةَ هِيَ دٰارُ اَلْقَرٰارِ </w:t>
      </w:r>
      <w:r>
        <w:rPr>
          <w:rFonts w:eastAsia="Amiri" w:cs="Amiri" w:ascii="Amiri" w:hAnsi="Amiri"/>
          <w:color w:val="111111"/>
          <w:sz w:val="28"/>
          <w:szCs w:val="28"/>
          <w:lang w:bidi="ar-SA"/>
        </w:rPr>
        <w:t>178,165/39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مَرَدَّنٰا إِلَى اَللّٰهِ </w:t>
      </w:r>
      <w:r>
        <w:rPr>
          <w:rFonts w:eastAsia="Amiri" w:cs="Amiri" w:ascii="Amiri" w:hAnsi="Amiri"/>
          <w:color w:val="111111"/>
          <w:sz w:val="28"/>
          <w:szCs w:val="28"/>
          <w:lang w:bidi="ar-SA"/>
        </w:rPr>
        <w:t>165/43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w:t>
      </w:r>
      <w:r>
        <w:rPr>
          <w:rFonts w:eastAsia="Amiri" w:cs="Amiri" w:ascii="Amiri" w:hAnsi="Amiri"/>
          <w:color w:val="111111"/>
          <w:sz w:val="28"/>
          <w:szCs w:val="28"/>
          <w:lang w:bidi="ar-SA"/>
        </w:rPr>
        <w:t>200/45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lang w:bidi="ar-SA"/>
        </w:rPr>
        <w:t>235,200/46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سَيَدْخُلُونَ جَهَنَّمَ دٰاخِرِينَ </w:t>
      </w:r>
      <w:r>
        <w:rPr>
          <w:rFonts w:eastAsia="Amiri" w:cs="Amiri" w:ascii="Amiri" w:hAnsi="Amiri"/>
          <w:color w:val="111111"/>
          <w:sz w:val="28"/>
          <w:szCs w:val="28"/>
          <w:lang w:bidi="ar-SA"/>
        </w:rPr>
        <w:t>359/60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lang w:bidi="ar-SA"/>
        </w:rPr>
        <w:t>230/84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w:t>
      </w:r>
      <w:r>
        <w:rPr>
          <w:rFonts w:eastAsia="Amiri" w:cs="Amiri" w:ascii="Amiri" w:hAnsi="Amiri"/>
          <w:color w:val="111111"/>
          <w:sz w:val="28"/>
          <w:szCs w:val="28"/>
          <w:lang w:bidi="ar-SA"/>
        </w:rPr>
        <w:t>230/85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اِئْتِيٰا طَوْعاً أَوْ كَرْهاً قٰالَتٰا أَتَيْنٰا طٰائِعِينَ </w:t>
      </w:r>
      <w:r>
        <w:rPr>
          <w:rFonts w:eastAsia="Amiri" w:cs="Amiri" w:ascii="Amiri" w:hAnsi="Amiri"/>
          <w:color w:val="111111"/>
          <w:sz w:val="28"/>
          <w:szCs w:val="28"/>
          <w:lang w:bidi="ar-SA"/>
        </w:rPr>
        <w:t>209/11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جٰاؤُهٰا شَهِدَ عَلَيْهِمْ سَمْعُهُمْ وَ أَبْصٰارُهُمْ وَ جُلُودُهُمْ بِمٰا كٰانُوا يَعْمَلُونَ </w:t>
      </w:r>
      <w:r>
        <w:rPr>
          <w:rFonts w:eastAsia="Amiri" w:cs="Amiri" w:ascii="Amiri" w:hAnsi="Amiri"/>
          <w:color w:val="111111"/>
          <w:sz w:val="28"/>
          <w:szCs w:val="28"/>
          <w:lang w:bidi="ar-SA"/>
        </w:rPr>
        <w:t>281,259/20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لِجُلُودِهِمْ لِمَ شَهِدْتُمْ عَلَيْنٰا قٰالُوا أَنْطَقَنَا اَللّٰهُ اَلَّذِي أَنْطَقَ كُلَّ شَيْ‌ءٍ </w:t>
      </w:r>
      <w:r>
        <w:rPr>
          <w:rFonts w:eastAsia="Amiri" w:cs="Amiri" w:ascii="Amiri" w:hAnsi="Amiri"/>
          <w:color w:val="111111"/>
          <w:sz w:val="28"/>
          <w:szCs w:val="28"/>
          <w:lang w:bidi="ar-SA"/>
        </w:rPr>
        <w:t>259/21</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سَنُرِيهِمْ آيٰاتِنٰا فِي اَلْآفٰاقِ وَ فِي أَنْفُسِهِمْ حَتّٰى يَتَبَيَّنَ لَهُمْ أَنَّهُ اَلْحَقُّ أَ وَ لَمْ يَكْفِ بِرَبِّكَ أَنَّهُ عَلىٰ كُلِّ شَيْ‌ءٍ شَهِيدٌ </w:t>
      </w:r>
      <w:r>
        <w:rPr>
          <w:rFonts w:eastAsia="Amiri" w:cs="Amiri" w:ascii="Amiri" w:hAnsi="Amiri"/>
          <w:color w:val="111111"/>
          <w:sz w:val="28"/>
          <w:szCs w:val="28"/>
          <w:lang w:bidi="ar-SA"/>
        </w:rPr>
        <w:t>249/53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اَللّٰهُ اَلَّذِي أَنْزَلَ اَلْكِتٰابَ بِالْحَقِّ وَ اَلْمِيزٰانَ وَ مٰا يُدْرِيكَ لَعَلَّ اَلسّٰاعَةَ قَرِيبٌ </w:t>
      </w:r>
      <w:r>
        <w:rPr>
          <w:rFonts w:eastAsia="Amiri" w:cs="Amiri" w:ascii="Amiri" w:hAnsi="Amiri"/>
          <w:color w:val="111111"/>
          <w:sz w:val="28"/>
          <w:szCs w:val="28"/>
          <w:lang w:bidi="ar-SA"/>
        </w:rPr>
        <w:t>112/17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lang w:bidi="ar-SA"/>
        </w:rPr>
        <w:t>112/23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اِسْتَجٰابُوا لِرَبِّهِمْ وَ أَقٰامُوا اَلصَّلاٰةَ وَ أَمْرُهُمْ شُورىٰ بَيْنَهُمْ وَ مِمّٰا رَزَقْنٰاهُمْ يُنْفِقُونَ </w:t>
      </w:r>
      <w:r>
        <w:rPr>
          <w:rFonts w:eastAsia="Amiri" w:cs="Amiri" w:ascii="Amiri" w:hAnsi="Amiri"/>
          <w:color w:val="111111"/>
          <w:sz w:val="28"/>
          <w:szCs w:val="28"/>
          <w:lang w:bidi="ar-SA"/>
        </w:rPr>
        <w:t>58/38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وَ سْئَلْ مَنْ أَرْسَلْنٰا مِنْ قَبْلِكَ مِنْ رُسُلِنٰا أَ جَعَلْنٰا مِنْ دُونِ اَلرَّحْمٰنِ آلِهَةً يُعْبَدُونَ </w:t>
      </w:r>
      <w:r>
        <w:rPr>
          <w:rFonts w:eastAsia="Amiri" w:cs="Amiri" w:ascii="Amiri" w:hAnsi="Amiri"/>
          <w:color w:val="111111"/>
          <w:sz w:val="28"/>
          <w:szCs w:val="28"/>
          <w:lang w:bidi="ar-SA"/>
        </w:rPr>
        <w:t>204/45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ضُرِبَ اِبْنُ مَرْيَمَ مَثَلاً إِذٰا قَوْمُكَ مِنْهُ يَصِدُّونَ </w:t>
      </w:r>
      <w:r>
        <w:rPr>
          <w:rFonts w:eastAsia="Amiri" w:cs="Amiri" w:ascii="Amiri" w:hAnsi="Amiri"/>
          <w:color w:val="111111"/>
          <w:sz w:val="28"/>
          <w:szCs w:val="28"/>
          <w:lang w:bidi="ar-SA"/>
        </w:rPr>
        <w:t>246/57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خَيْرٌ أَمْ هُوَ مٰا ضَرَبُوهُ لَكَ إِلاّٰ جَدَلاً بَلْ هُمْ قَوْمٌ خَصِمُونَ </w:t>
      </w:r>
      <w:r>
        <w:rPr>
          <w:rFonts w:eastAsia="Amiri" w:cs="Amiri" w:ascii="Amiri" w:hAnsi="Amiri"/>
          <w:color w:val="111111"/>
          <w:sz w:val="28"/>
          <w:szCs w:val="28"/>
          <w:lang w:bidi="ar-SA"/>
        </w:rPr>
        <w:t>246/58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 جَعَلْنٰاهُ مَثَلاً لِبَنِي إِسْرٰائِيلَ </w:t>
      </w:r>
      <w:r>
        <w:rPr>
          <w:rFonts w:eastAsia="Amiri" w:cs="Amiri" w:ascii="Amiri" w:hAnsi="Amiri"/>
          <w:color w:val="111111"/>
          <w:sz w:val="28"/>
          <w:szCs w:val="28"/>
          <w:lang w:bidi="ar-SA"/>
        </w:rPr>
        <w:t>246/59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مِنْكُمْ مَلاٰئِكَةً فِي اَلْأَرْضِ يَخْلُفُونَ </w:t>
      </w:r>
      <w:r>
        <w:rPr>
          <w:rFonts w:eastAsia="Amiri" w:cs="Amiri" w:ascii="Amiri" w:hAnsi="Amiri"/>
          <w:color w:val="111111"/>
          <w:sz w:val="28"/>
          <w:szCs w:val="28"/>
          <w:lang w:bidi="ar-SA"/>
        </w:rPr>
        <w:t>246/60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lang w:bidi="ar-SA"/>
        </w:rPr>
        <w:t>338/67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lang w:bidi="ar-SA"/>
        </w:rPr>
        <w:t>412/69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lang w:bidi="ar-SA"/>
        </w:rPr>
        <w:t>412/70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lang w:bidi="ar-SA"/>
        </w:rPr>
        <w:t>412/74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lang w:bidi="ar-SA"/>
        </w:rPr>
        <w:t>412/75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لٰكِنْ كٰانُوا هُمُ اَلظّٰالِمِينَ </w:t>
      </w:r>
      <w:r>
        <w:rPr>
          <w:rFonts w:eastAsia="Amiri" w:cs="Amiri" w:ascii="Amiri" w:hAnsi="Amiri"/>
          <w:color w:val="111111"/>
          <w:sz w:val="28"/>
          <w:szCs w:val="28"/>
          <w:lang w:bidi="ar-SA"/>
        </w:rPr>
        <w:t>412/76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lang w:bidi="ar-SA"/>
        </w:rPr>
        <w:t>174/83</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يَمْلِكُ اَلَّذِينَ يَدْعُونَ مِنْ دُونِهِ اَلشَّفٰاعَةَ إِلاّٰ مَنْ شَهِدَ بِالْحَقِّ وَ هُمْ يَعْلَمُونَ </w:t>
      </w:r>
      <w:r>
        <w:rPr>
          <w:rFonts w:eastAsia="Amiri" w:cs="Amiri" w:ascii="Amiri" w:hAnsi="Amiri"/>
          <w:color w:val="111111"/>
          <w:sz w:val="28"/>
          <w:szCs w:val="28"/>
          <w:lang w:bidi="ar-SA"/>
        </w:rPr>
        <w:t>361,355/86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الدخان فَارْتَقِبْ يَوْمَ تَأْتِي اَلسَّمٰاءُ بِدُخٰانٍ مُبِينٍ </w:t>
      </w:r>
      <w:r>
        <w:rPr>
          <w:rFonts w:eastAsia="Amiri" w:cs="Amiri" w:ascii="Amiri" w:hAnsi="Amiri"/>
          <w:color w:val="111111"/>
          <w:sz w:val="28"/>
          <w:szCs w:val="28"/>
          <w:lang w:bidi="ar-SA"/>
        </w:rPr>
        <w:t>244/10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lang w:bidi="ar-SA"/>
        </w:rPr>
        <w:t>244/11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lang w:bidi="ar-SA"/>
        </w:rPr>
        <w:t>244/12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 قَدْ جٰاءَهُمْ رَسُولٌ مُبِينٌ </w:t>
      </w:r>
      <w:r>
        <w:rPr>
          <w:rFonts w:eastAsia="Amiri" w:cs="Amiri" w:ascii="Amiri" w:hAnsi="Amiri"/>
          <w:color w:val="111111"/>
          <w:sz w:val="28"/>
          <w:szCs w:val="28"/>
          <w:lang w:bidi="ar-SA"/>
        </w:rPr>
        <w:t>244/13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lang w:bidi="ar-SA"/>
        </w:rPr>
        <w:t>244/14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lang w:bidi="ar-SA"/>
        </w:rPr>
        <w:t>244/15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lang w:bidi="ar-SA"/>
        </w:rPr>
        <w:t>244/16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اَلسَّمٰاوٰاتِ وَ اَلْأَرْضَ وَ مٰا بَيْنَهُمٰا لاٰعِبِينَ </w:t>
      </w:r>
      <w:r>
        <w:rPr>
          <w:rFonts w:eastAsia="Amiri" w:cs="Amiri" w:ascii="Amiri" w:hAnsi="Amiri"/>
          <w:color w:val="111111"/>
          <w:sz w:val="28"/>
          <w:szCs w:val="28"/>
          <w:lang w:bidi="ar-SA"/>
        </w:rPr>
        <w:t>168/38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لٰكِنَّ أَكْثَرَهُمْ لاٰ يَعْلَمُونَ </w:t>
      </w:r>
      <w:r>
        <w:rPr>
          <w:rFonts w:eastAsia="Amiri" w:cs="Amiri" w:ascii="Amiri" w:hAnsi="Amiri"/>
          <w:color w:val="111111"/>
          <w:sz w:val="28"/>
          <w:szCs w:val="28"/>
          <w:lang w:bidi="ar-SA"/>
        </w:rPr>
        <w:t>168/39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lang w:bidi="ar-SA"/>
        </w:rPr>
        <w:t>168/40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w:t>
      </w:r>
      <w:r>
        <w:rPr>
          <w:rFonts w:eastAsia="Amiri" w:cs="Amiri" w:ascii="Amiri" w:hAnsi="Amiri"/>
          <w:color w:val="111111"/>
          <w:sz w:val="28"/>
          <w:szCs w:val="28"/>
          <w:lang w:bidi="ar-SA"/>
        </w:rPr>
        <w:t>214/56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أَمْ حَسِبَ اَلَّذِينَ اِجْتَرَحُوا اَلسَّيِّئٰاتِ أَنْ نَجْعَلَهُمْ كَالَّذِينَ آمَنُوا وَ عَمِلُوا اَلصّٰالِحٰاتِ سَوٰاءً مَحْيٰاهُمْ وَ مَمٰاتُهُمْ سٰاءَ مٰا يَحْكُمُونَ </w:t>
      </w:r>
      <w:r>
        <w:rPr>
          <w:rFonts w:eastAsia="Amiri" w:cs="Amiri" w:ascii="Amiri" w:hAnsi="Amiri"/>
          <w:color w:val="111111"/>
          <w:sz w:val="28"/>
          <w:szCs w:val="28"/>
          <w:lang w:bidi="ar-SA"/>
        </w:rPr>
        <w:t>172/21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خَتَمَ عَلىٰ سَمْعِهِ وَ قَلْبِهِ وَ جَعَلَ عَلىٰ بَصَرِهِ غِشٰاوَةً فَمَنْ يَهْدِيهِ مِنْ بَعْدِ اَللّٰهِ أَ فَلاٰ تَذَكَّرُونَ </w:t>
      </w:r>
      <w:r>
        <w:rPr>
          <w:rFonts w:eastAsia="Amiri" w:cs="Amiri" w:ascii="Amiri" w:hAnsi="Amiri"/>
          <w:color w:val="111111"/>
          <w:sz w:val="28"/>
          <w:szCs w:val="28"/>
          <w:lang w:bidi="ar-SA"/>
        </w:rPr>
        <w:t>314/23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آيٰاتُنٰا بَيِّنٰاتٍ مٰا كٰانَ حُجَّتَهُمْ إِلاّٰ أَنْ قٰالُوا اِئْتُوا بِآبٰائِنٰا إِنْ كُنْتُمْ صٰادِقِينَ </w:t>
      </w:r>
      <w:r>
        <w:rPr>
          <w:rFonts w:eastAsia="Amiri" w:cs="Amiri" w:ascii="Amiri" w:hAnsi="Amiri"/>
          <w:color w:val="111111"/>
          <w:sz w:val="28"/>
          <w:szCs w:val="28"/>
          <w:lang w:bidi="ar-SA"/>
        </w:rPr>
        <w:t>185/25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 لٰكِنَّ أَكْثَرَ اَلنّٰاسِ لاٰ يَعْلَمُونَ </w:t>
      </w:r>
      <w:r>
        <w:rPr>
          <w:rFonts w:eastAsia="Amiri" w:cs="Amiri" w:ascii="Amiri" w:hAnsi="Amiri"/>
          <w:color w:val="111111"/>
          <w:sz w:val="28"/>
          <w:szCs w:val="28"/>
          <w:lang w:bidi="ar-SA"/>
        </w:rPr>
        <w:t>185/26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إِنَّ وَعْدَ اَللّٰهِ حَقٌّ وَ اَلسّٰاعَةُ لاٰ رَيْبَ فِيهٰا قُلْتُمْ مٰا نَدْرِي مَا اَلسّٰاعَةُ إِنْ نَظُنُّ إِلاّٰ ظَنًّا وَ مٰا نَحْنُ بِمُسْتَيْقِنِينَ </w:t>
      </w:r>
      <w:r>
        <w:rPr>
          <w:rFonts w:eastAsia="Amiri" w:cs="Amiri" w:ascii="Amiri" w:hAnsi="Amiri"/>
          <w:color w:val="111111"/>
          <w:sz w:val="28"/>
          <w:szCs w:val="28"/>
          <w:lang w:bidi="ar-SA"/>
        </w:rPr>
        <w:t>183/32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أَ وَ لَمْ يَرَوْا أَنَّ اَللّٰهَ اَلَّذِي خَلَقَ اَلسَّمٰاوٰاتِ وَ اَلْأَرْضَ وَ لَمْ يَعْيَ بِخَلْقِهِنَّ بِقٰادِرٍ عَلىٰ أَنْ يُحْيِيَ اَلْمَوْتىٰ </w:t>
      </w:r>
      <w:r>
        <w:rPr>
          <w:rFonts w:eastAsia="Amiri" w:cs="Amiri" w:ascii="Amiri" w:hAnsi="Amiri"/>
          <w:color w:val="111111"/>
          <w:sz w:val="28"/>
          <w:szCs w:val="28"/>
          <w:lang w:bidi="ar-SA"/>
        </w:rPr>
        <w:t>189/33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وَ اَلَّذِينَ آمَنُوا وَ عَمِلُوا اَلصّٰالِحٰاتِ وَ آمَنُوا بِمٰا نُزِّلَ عَلىٰ مُحَمَّدٍ وَ هُوَ اَلْحَقُّ مِنْ رَبِّهِمْ كَفَّرَ عَنْهُمْ سَيِّئٰاتِهِمْ وَ أَصْلَحَ بٰالَهُمْ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سُقُوا مٰاءً حَمِيماً فَقَطَّعَ أَمْعٰاءَهُمْ </w:t>
      </w:r>
      <w:r>
        <w:rPr>
          <w:rFonts w:eastAsia="Amiri" w:cs="Amiri" w:ascii="Amiri" w:hAnsi="Amiri"/>
          <w:color w:val="111111"/>
          <w:sz w:val="28"/>
          <w:szCs w:val="28"/>
          <w:lang w:bidi="ar-SA"/>
        </w:rPr>
        <w:t>281/15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lang w:bidi="ar-SA"/>
        </w:rPr>
        <w:t>242/18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 أَدْبٰارَهُمْ </w:t>
      </w:r>
      <w:r>
        <w:rPr>
          <w:rFonts w:eastAsia="Amiri" w:cs="Amiri" w:ascii="Amiri" w:hAnsi="Amiri"/>
          <w:color w:val="111111"/>
          <w:sz w:val="28"/>
          <w:szCs w:val="28"/>
          <w:lang w:bidi="ar-SA"/>
        </w:rPr>
        <w:t>226/27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الفتح هُوَ اَلَّذِي أَنْزَلَ اَلسَّكِينَةَ فِي قُلُوبِ اَلْمُؤْمِنِينَ لِيَزْدٰادُوا إِيمٰاناً مَعَ إِيمٰانِهِمْ </w:t>
      </w:r>
      <w:r>
        <w:rPr>
          <w:rFonts w:eastAsia="Amiri" w:cs="Amiri" w:ascii="Amiri" w:hAnsi="Amiri"/>
          <w:color w:val="111111"/>
          <w:sz w:val="28"/>
          <w:szCs w:val="28"/>
          <w:lang w:bidi="ar-SA"/>
        </w:rPr>
        <w:t>319/4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عٰاهَدَ عَلَيْهُ اَللّٰهَ فَسَيُؤْتِيهِ أَجْراً عَظِيماً </w:t>
      </w:r>
      <w:r>
        <w:rPr>
          <w:rFonts w:eastAsia="Amiri" w:cs="Amiri" w:ascii="Amiri" w:hAnsi="Amiri"/>
          <w:color w:val="111111"/>
          <w:sz w:val="28"/>
          <w:szCs w:val="28"/>
          <w:lang w:bidi="ar-SA"/>
        </w:rPr>
        <w:t>445,97/10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 أَثٰابَهُمْ فَتْحاً قَرِيباً </w:t>
      </w:r>
      <w:r>
        <w:rPr>
          <w:rFonts w:eastAsia="Amiri" w:cs="Amiri" w:ascii="Amiri" w:hAnsi="Amiri"/>
          <w:color w:val="111111"/>
          <w:sz w:val="28"/>
          <w:szCs w:val="28"/>
          <w:lang w:bidi="ar-SA"/>
        </w:rPr>
        <w:t>446,445,63/18</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سورة البقرة وَ مِنَ اَلنّٰاسِ مَنْ يَقُولُ آمَنّٰا بِاللّٰهِ وَ بِالْيَوْمِ اَلْآخِرِ وَ مٰا هُمْ بِمُؤْمِنِينَ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اِسْتَوْقَدَ نٰاراً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ثُمَّ إِلَيْهِ تُرْجَعُونَ </w:t>
      </w:r>
      <w:r>
        <w:rPr>
          <w:rFonts w:eastAsia="Amiri" w:cs="Amiri" w:ascii="Amiri" w:hAnsi="Amiri"/>
          <w:color w:val="111111"/>
          <w:sz w:val="28"/>
          <w:szCs w:val="28"/>
          <w:lang w:bidi="ar-SA"/>
        </w:rPr>
        <w:t>234,213/28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lang w:bidi="ar-SA"/>
        </w:rPr>
        <w:t>349,338/48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قُلْتُمْ يٰا مُوسىٰ لَنْ نُؤْمِنَ لَكَ حَتّٰى نَرَى اَللّٰهَ جَهْرَةً فَأَخَذَتْكُمُ اَلصّٰاعِقَةُ وَ أَنْتُمْ تَنْظُرُونَ </w:t>
      </w:r>
      <w:r>
        <w:rPr>
          <w:rFonts w:eastAsia="Amiri" w:cs="Amiri" w:ascii="Amiri" w:hAnsi="Amiri"/>
          <w:color w:val="111111"/>
          <w:sz w:val="28"/>
          <w:szCs w:val="28"/>
          <w:lang w:bidi="ar-SA"/>
        </w:rPr>
        <w:t>216/55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lang w:bidi="ar-SA"/>
        </w:rPr>
        <w:t>317/56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نَكٰالاً لِمٰا بَيْنَ يَدَيْهٰا وَ مٰا خَلْفَهٰا وَ مَوْعِظَةً لِلْمُتَّقِينَ </w:t>
      </w:r>
      <w:r>
        <w:rPr>
          <w:rFonts w:eastAsia="Amiri" w:cs="Amiri" w:ascii="Amiri" w:hAnsi="Amiri"/>
          <w:color w:val="111111"/>
          <w:sz w:val="28"/>
          <w:szCs w:val="28"/>
          <w:lang w:bidi="ar-SA"/>
        </w:rPr>
        <w:t>310/66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 تَتَّخِذُنٰا هُزُواً قٰالَ أَعُوذُ بِاللّٰهِ أَنْ أَكُونَ مِنَ اَلْجٰاهِلِينَ </w:t>
      </w:r>
      <w:r>
        <w:rPr>
          <w:rFonts w:eastAsia="Amiri" w:cs="Amiri" w:ascii="Amiri" w:hAnsi="Amiri"/>
          <w:color w:val="111111"/>
          <w:sz w:val="28"/>
          <w:szCs w:val="28"/>
          <w:lang w:bidi="ar-SA"/>
        </w:rPr>
        <w:t>214/67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lang w:bidi="ar-SA"/>
        </w:rPr>
        <w:t>214/72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كَذٰلِكَ يُحْيِ اَللّٰهُ اَلْمَوْتىٰ وَ يُرِيكُمْ آيٰاتِهِ لَعَلَّكُمْ تَعْقِلُونَ </w:t>
      </w:r>
      <w:r>
        <w:rPr>
          <w:rFonts w:eastAsia="Amiri" w:cs="Amiri" w:ascii="Amiri" w:hAnsi="Amiri"/>
          <w:color w:val="111111"/>
          <w:sz w:val="28"/>
          <w:szCs w:val="28"/>
          <w:lang w:bidi="ar-SA"/>
        </w:rPr>
        <w:t>214/73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 أَحٰاطَتْ بِهِ خَطِيئَتُهُ فَأُولٰئِكَ أَصْحٰابُ اَلنّٰارِ هُمْ فِيهٰا خٰالِدُونَ </w:t>
      </w:r>
      <w:r>
        <w:rPr>
          <w:rFonts w:eastAsia="Amiri" w:cs="Amiri" w:ascii="Amiri" w:hAnsi="Amiri"/>
          <w:color w:val="111111"/>
          <w:sz w:val="28"/>
          <w:szCs w:val="28"/>
          <w:lang w:bidi="ar-SA"/>
        </w:rPr>
        <w:t>412/81</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إِنْ جٰاءَكُمْ فٰاسِقٌ بِنَبَإٍ فَتَبَيَّنُوا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Fonts w:eastAsia="Amiri" w:cs="Amiri" w:ascii="Amiri" w:hAnsi="Amiri"/>
          <w:color w:val="111111"/>
          <w:sz w:val="28"/>
          <w:szCs w:val="28"/>
          <w:lang w:bidi="ar-SA"/>
        </w:rPr>
        <w:t>318,313/14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أَ إِذٰا مِتْنٰا وَ كُنّٰا تُرٰاباً ذٰلِكَ رَجْعٌ بَعِيدٌ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lang w:bidi="ar-SA"/>
        </w:rPr>
        <w:t>208,194,191,182/4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lang w:bidi="ar-SA"/>
        </w:rPr>
        <w:t>260/18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lang w:bidi="ar-SA"/>
        </w:rPr>
        <w:t>225/19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lang w:bidi="ar-SA"/>
        </w:rPr>
        <w:t>260/21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lang w:bidi="ar-SA"/>
        </w:rPr>
        <w:t>174/31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lang w:bidi="ar-SA"/>
        </w:rPr>
        <w:t>174/32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حَشْرٌ عَلَيْنٰا يَسِيرٌ </w:t>
      </w:r>
      <w:r>
        <w:rPr>
          <w:rFonts w:eastAsia="Amiri" w:cs="Amiri" w:ascii="Amiri" w:hAnsi="Amiri"/>
          <w:color w:val="111111"/>
          <w:sz w:val="28"/>
          <w:szCs w:val="28"/>
          <w:lang w:bidi="ar-SA"/>
        </w:rPr>
        <w:t>185/44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الطور يَوْمَ تَمُورُ اَلسَّمٰاءُ مَوْراً </w:t>
      </w:r>
      <w:r>
        <w:rPr>
          <w:rFonts w:eastAsia="Amiri" w:cs="Amiri" w:ascii="Amiri" w:hAnsi="Amiri"/>
          <w:color w:val="111111"/>
          <w:sz w:val="28"/>
          <w:szCs w:val="28"/>
          <w:lang w:bidi="ar-SA"/>
        </w:rPr>
        <w:t>403/9</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تَسِيرُ اَلْجِبٰالُ سَيْراً </w:t>
      </w:r>
      <w:r>
        <w:rPr>
          <w:rFonts w:eastAsia="Amiri" w:cs="Amiri" w:ascii="Amiri" w:hAnsi="Amiri"/>
          <w:color w:val="111111"/>
          <w:sz w:val="28"/>
          <w:szCs w:val="28"/>
          <w:lang w:bidi="ar-SA"/>
        </w:rPr>
        <w:t>403/10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وَ مٰا يَنْطِقُ عَنِ اَلْهَوىٰ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lang w:bidi="ar-SA"/>
        </w:rPr>
        <w:t>421/13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lang w:bidi="ar-SA"/>
        </w:rPr>
        <w:t>424,421/14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lang w:bidi="ar-SA"/>
        </w:rPr>
        <w:t>424,421/15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lang w:bidi="ar-SA"/>
        </w:rPr>
        <w:t>177/45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lang w:bidi="ar-SA"/>
        </w:rPr>
        <w:t>177/46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lang w:bidi="ar-SA"/>
        </w:rPr>
        <w:t>177/47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القمر يَوْمَ يَدْعُ اَلدّٰاعِ إِلىٰ شَيْ‌ءٍ نُكُرٍ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lang w:bidi="ar-SA"/>
        </w:rPr>
        <w:t>280,254/7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lang w:bidi="ar-SA"/>
        </w:rPr>
        <w:t>260/52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lang w:bidi="ar-SA"/>
        </w:rPr>
        <w:t>260/53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وَ اَلسَّمٰاءَ رَفَعَهٰا وَ وَضَعَ اَلْمِيزٰانَ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lang w:bidi="ar-SA"/>
        </w:rPr>
        <w:t>234/20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إِذٰا رُجَّتِ اَلْأَرْضُ رَجًّا </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lang w:bidi="ar-SA"/>
        </w:rPr>
        <w:t>223/60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الحديد فَالْيَوْمَ لاٰ يُؤْخَذُ مِنْكُمْ فِدْيَةٌ وَ لاٰ مِنَ اَلَّذِينَ كَفَرُوا مَأْوٰاكُمُ اَلنّٰارُ هِيَ مَوْلاٰكُمْ وَ بِئْسَ اَلْمَصِيرُ </w:t>
      </w:r>
      <w:r>
        <w:rPr>
          <w:rFonts w:eastAsia="Amiri" w:cs="Amiri" w:ascii="Amiri" w:hAnsi="Amiri"/>
          <w:color w:val="111111"/>
          <w:sz w:val="28"/>
          <w:szCs w:val="28"/>
          <w:lang w:bidi="ar-SA"/>
        </w:rPr>
        <w:t>88/15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لِلَّذِينَ آمَنُوا بِاللّٰهِ وَ رُسُلِهِ </w:t>
      </w:r>
      <w:r>
        <w:rPr>
          <w:rFonts w:eastAsia="Amiri" w:cs="Amiri" w:ascii="Amiri" w:hAnsi="Amiri"/>
          <w:color w:val="111111"/>
          <w:sz w:val="28"/>
          <w:szCs w:val="28"/>
          <w:lang w:bidi="ar-SA"/>
        </w:rPr>
        <w:t>424,421/21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أُولٰئِكَ كَتَبَ فِي قُلُوبِهِمُ اَلْإِيمٰانَ </w:t>
      </w:r>
      <w:r>
        <w:rPr>
          <w:rFonts w:eastAsia="Amiri" w:cs="Amiri" w:ascii="Amiri" w:hAnsi="Amiri"/>
          <w:color w:val="111111"/>
          <w:sz w:val="28"/>
          <w:szCs w:val="28"/>
          <w:lang w:bidi="ar-SA"/>
        </w:rPr>
        <w:t>313/22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الممتحنة إِذٰا جٰاءَكَ اَلْمُؤْمِنٰاتُ يُبٰايِعْنَكَ عَلىٰ أَنْ لاٰ يُشْرِكْنَ بِاللّٰهِ شَيْئاً وَ لاٰ يَسْرِقْنَ وَ لاٰ يَزْنِينَ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مَثَلُ اَلَّذِينَ حُمِّلُوا اَلتَّوْرٰاةَ ثُمَّ لَمْ يَحْمِلُوهٰا كَمَثَلِ اَلْحِمٰارِ يَحْمِلُ أَسْفٰاراً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المنافقون 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الطلاق يٰا أَيُّهَا اَلنَّبِيُّ إِذٰا طَلَّقْتُمُ اَلنِّسٰاءَ فَطَلِّقُوهُنَّ لِعِدَّتِهِنَّ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التحريم يٰا أَيُّهَا اَلَّذِينَ آمَنُوا تُوبُوا إِلَى اَللّٰهِ تَوْبَةً نَصُوحاً </w:t>
      </w:r>
      <w:r>
        <w:rPr>
          <w:rFonts w:eastAsia="Amiri" w:cs="Amiri" w:ascii="Amiri" w:hAnsi="Amiri"/>
          <w:color w:val="111111"/>
          <w:sz w:val="28"/>
          <w:szCs w:val="28"/>
          <w:lang w:bidi="ar-SA"/>
        </w:rPr>
        <w:t>326/8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lang w:bidi="ar-SA"/>
        </w:rPr>
        <w:t>440/10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اَلَّذِي خَلَقَ اَلْمَوْتَ وَ اَلْحَيٰاةَ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القلم أَ فَنَجْعَلُ اَلْمُسْلِمِينَ كَالْمُجْرِمِينَ </w:t>
      </w:r>
      <w:r>
        <w:rPr>
          <w:rFonts w:eastAsia="Amiri" w:cs="Amiri" w:ascii="Amiri" w:hAnsi="Amiri"/>
          <w:color w:val="111111"/>
          <w:sz w:val="28"/>
          <w:szCs w:val="28"/>
          <w:lang w:bidi="ar-SA"/>
        </w:rPr>
        <w:t>172/35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lang w:bidi="ar-SA"/>
        </w:rPr>
        <w:t>172/36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الحاقّة وَ حُمِلَتِ اَلْأَرْضُ وَ اَلْجِبٰالُ فَدُكَّتٰا دَكَّةً وٰاحِدَةً </w:t>
      </w:r>
      <w:r>
        <w:rPr>
          <w:rFonts w:eastAsia="Amiri" w:cs="Amiri" w:ascii="Amiri" w:hAnsi="Amiri"/>
          <w:color w:val="111111"/>
          <w:sz w:val="28"/>
          <w:szCs w:val="28"/>
          <w:lang w:bidi="ar-SA"/>
        </w:rPr>
        <w:t>395/14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المعراج يَوْمَ يَخْرُجُونَ مِنَ اَلْأَجْدٰاثِ سِرٰاعاً كَأَنَّهُمْ إِلىٰ نُصُبٍ يُوفِضُونَ </w:t>
      </w:r>
      <w:r>
        <w:rPr>
          <w:rFonts w:eastAsia="Amiri" w:cs="Amiri" w:ascii="Amiri" w:hAnsi="Amiri"/>
          <w:color w:val="111111"/>
          <w:sz w:val="28"/>
          <w:szCs w:val="28"/>
          <w:lang w:bidi="ar-SA"/>
        </w:rPr>
        <w:t>280/43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نوح وَ اَللّٰهُ أَنْبَتَكُمْ مِنَ اَلْأَرْضِ نَبٰاتاً </w:t>
      </w:r>
      <w:r>
        <w:rPr>
          <w:rFonts w:eastAsia="Amiri" w:cs="Amiri" w:ascii="Amiri" w:hAnsi="Amiri"/>
          <w:color w:val="111111"/>
          <w:sz w:val="28"/>
          <w:szCs w:val="28"/>
          <w:lang w:bidi="ar-SA"/>
        </w:rPr>
        <w:t>163/17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 يُخْرِجُكُمْ إِخْرٰاجاً </w:t>
      </w:r>
      <w:r>
        <w:rPr>
          <w:rFonts w:eastAsia="Amiri" w:cs="Amiri" w:ascii="Amiri" w:hAnsi="Amiri"/>
          <w:color w:val="111111"/>
          <w:sz w:val="28"/>
          <w:szCs w:val="28"/>
          <w:lang w:bidi="ar-SA"/>
        </w:rPr>
        <w:t>280,163/18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lang w:bidi="ar-SA"/>
        </w:rPr>
        <w:t>235,200/25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فَلاٰ تَدْعُوا مَعَ اَللّٰهِ أَحَداً </w:t>
      </w:r>
      <w:r>
        <w:rPr>
          <w:rFonts w:eastAsia="Amiri" w:cs="Amiri" w:ascii="Amiri" w:hAnsi="Amiri"/>
          <w:color w:val="111111"/>
          <w:sz w:val="28"/>
          <w:szCs w:val="28"/>
          <w:lang w:bidi="ar-SA"/>
        </w:rPr>
        <w:t>359/18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المدثر وَ كُنّٰا نُكَذِّبُ بِيَوْمِ اَلدِّينِ </w:t>
      </w:r>
      <w:r>
        <w:rPr>
          <w:rFonts w:eastAsia="Amiri" w:cs="Amiri" w:ascii="Amiri" w:hAnsi="Amiri"/>
          <w:color w:val="111111"/>
          <w:sz w:val="28"/>
          <w:szCs w:val="28"/>
          <w:lang w:bidi="ar-SA"/>
        </w:rPr>
        <w:t>350,339/46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lang w:bidi="ar-SA"/>
        </w:rPr>
        <w:t>350,339/47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lang w:bidi="ar-SA"/>
        </w:rPr>
        <w:t>350,339/48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أَ يَحْسَبُ اَلْإِنْسٰانُ أَلَّنْ نَجْمَعَ عِظٰامَهُ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lang w:bidi="ar-SA"/>
        </w:rPr>
        <w:t>178/30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lang w:bidi="ar-SA"/>
        </w:rPr>
        <w:t>189/36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lang w:bidi="ar-SA"/>
        </w:rPr>
        <w:t>189/37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lang w:bidi="ar-SA"/>
        </w:rPr>
        <w:t>189/38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lang w:bidi="ar-SA"/>
        </w:rPr>
        <w:t>189/39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lang w:bidi="ar-SA"/>
        </w:rPr>
        <w:t>189/40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الدهر إِنّٰا هَدَيْنٰاهُ اَلسَّبِيلَ إِمّٰا شٰاكِراً وَ إِمّٰا كَفُوراً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هٰذٰا يَوْمُ اَلْفَصْلِ جَمَعْنٰاكُمْ وَ اَلْأَوَّلِينَ </w:t>
      </w:r>
      <w:r>
        <w:rPr>
          <w:rFonts w:eastAsia="Amiri" w:cs="Amiri" w:ascii="Amiri" w:hAnsi="Amiri"/>
          <w:color w:val="111111"/>
          <w:sz w:val="28"/>
          <w:szCs w:val="28"/>
          <w:lang w:bidi="ar-SA"/>
        </w:rPr>
        <w:t>402/38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النبأ عَمَّ يَتَسٰاءَلُونَ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lang w:bidi="ar-SA"/>
        </w:rPr>
        <w:t>170/17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النازعات فَالْمُدَبِّرٰاتِ أَمْراً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عبس لِكُلِّ اِمْرِئٍ مِنْهُمْ يَوْمَئِذٍ شَأْنٌ يُغْنِيهِ </w:t>
      </w:r>
      <w:r>
        <w:rPr>
          <w:rFonts w:eastAsia="Amiri" w:cs="Amiri" w:ascii="Amiri" w:hAnsi="Amiri"/>
          <w:color w:val="111111"/>
          <w:sz w:val="28"/>
          <w:szCs w:val="28"/>
          <w:lang w:bidi="ar-SA"/>
        </w:rPr>
        <w:t>254/37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الانفطار وَ إِذَا اَلْقُبُورُ بُعْثِرَتْ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الانشقاق وَ إِذَا اَلْأَرْضُ مُدَّتْ </w:t>
      </w:r>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lang w:bidi="ar-SA"/>
        </w:rPr>
        <w:t>255/10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lang w:bidi="ar-SA"/>
        </w:rPr>
        <w:t>255/11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الأعلى وَ اَلْآخِرَةُ خَيْرٌ وَ أَبْقىٰ </w:t>
      </w: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يٰا أَيَّتُهَا اَلنَّفْسُ اَلْمُطْمَئِنَّةُ </w:t>
      </w:r>
      <w:r>
        <w:rPr>
          <w:rFonts w:eastAsia="Amiri" w:cs="Amiri" w:ascii="Amiri" w:hAnsi="Amiri"/>
          <w:color w:val="111111"/>
          <w:sz w:val="28"/>
          <w:szCs w:val="28"/>
          <w:lang w:bidi="ar-SA"/>
        </w:rPr>
        <w:t>223/27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lang w:bidi="ar-SA"/>
        </w:rPr>
        <w:t>223/28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إِنَّ إِلىٰ رَبِّكَ اَلرُّجْعىٰ </w:t>
      </w:r>
      <w:r>
        <w:rPr>
          <w:rFonts w:eastAsia="Amiri" w:cs="Amiri" w:ascii="Amiri" w:hAnsi="Amiri"/>
          <w:color w:val="111111"/>
          <w:sz w:val="28"/>
          <w:szCs w:val="28"/>
          <w:lang w:bidi="ar-SA"/>
        </w:rPr>
        <w:t>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الزلزلة يَوْمَئِذٍ تُحَدِّثُ أَخْبٰارَهٰا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lang w:bidi="ar-SA"/>
        </w:rPr>
        <w:t>409,361,262/7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العاديات أَ فَلاٰ يَعْلَمُ إِذٰا بُعْثِرَ مٰا فِي اَلْقُبُورِ </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bookmarkStart w:id="1136" w:name="pg16351_181414"/>
    </w:p>
    <w:p>
      <w:pPr>
        <w:pStyle w:val="Heading3"/>
        <w:numPr>
          <w:ilvl w:val="2"/>
          <w:numId w:val="1"/>
        </w:numPr>
        <w:rPr/>
      </w:pPr>
      <w:bookmarkStart w:id="1137" w:name="__RefHeading___Toc6422852_1280447820"/>
      <w:bookmarkStart w:id="1138" w:name="_Toc443"/>
      <w:bookmarkEnd w:id="1136"/>
      <w:bookmarkEnd w:id="1137"/>
      <w:r>
        <w:rPr>
          <w:rtl w:val="true"/>
        </w:rPr>
        <w:t>فهرس الأحاديث</w:t>
      </w:r>
      <w:bookmarkEnd w:id="113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 و لا يستنّون بسنّتي و سيقوم رجال قلوبهم قلوب الشياطين في جثمان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تسمع و تطيع للأمير، و إن ضرب ظهرك، و أخذ مالك، فاسمع و أطع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مهاجريّ مع أنصاريّ، فصرخ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و صرخ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 لمّا سمع النبيّ هذه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دعوها فإنّها دعوى 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أحد اليهود الفتنة بين الأوس و الخزرج حتى غضب الفريقان و انتضوا أسلحتهم للقتال، فبلغ ذلك النبيّ صلى اللّه عليه و آله و سلّم فخرج إليهم فيمن معه من المهاجرين،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اللّه اللّه أ بدعوى الجاهلية و أنا بين أظهركم بعد أن هداكم اللّه للإسلام و أكرمكم به، و قطع به عنكم أمر الجاهلية و استنقذكم به من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قصة الإفك قال النبيّ و هو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المسلمين من يعذرني من رجل قد بلغني عنه أذاه في أهلي، و اللّه ما علمت على أهلي إلاّ خيرا، و لقد ذكروا رجلا ما علمت عليه إلاّ خيرا، و ما يدخل على أهليّ إلاّ 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انهزم الناس في وادي حنين، انحاز رسول اللّه ذات اليمين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أيّها الناس؟ هلمّوا إليّ، أنا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يجاء برجال من 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عَلَيْهِمْ شَهِيداً مٰا دُمْتُ فِيهِمْ فَلَمّٰا تَوَفَّيْتَنِي كُنْتَ أَنْتَ اَلرَّقِيبَ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الرسول الأكرم بنو عامرة إلى الإسلام و قد جاءوا في موسم الحج إلى مكة، قال رئيسهم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إن نحن بايعناك على أمرك، ثمّ أظهرك اللّه على ما خلفك، أ يكون لنا الأمر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صلى اللّه عليه و آله و سلّم سليط بن عمرو العامري إلى ملك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هوزة بن 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 و كان نصرانيا فكتب إلى النبي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تدعو إليه و أجمله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بعض الأمر اتبعك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كتابه على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سألني سيابة من الأرض ما فعلته، باد و باد ما في 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هوزة إلى النبيّ وفدا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له الأمر من بعده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قصد حربه،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 اللّهمّ اكفنيه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إسرائيل تسوسهم الأنبياء كلّما هلك نبيّ خلفه نبيّ، و إنّه لا نبيّ بعدي، و سيكون بعدي خلفاء كثيرون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و سلّم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انذر عشيرتي الأقربين فضقت </w:t>
      </w:r>
    </w:p>
    <w:p>
      <w:pPr>
        <w:pStyle w:val="BookText"/>
        <w:rPr/>
      </w:pPr>
      <w:r>
        <w:rPr>
          <w:rFonts w:ascii="Amiri" w:hAnsi="Amiri" w:eastAsia="Amiri" w:cs="Amiri"/>
          <w:color w:val="111111"/>
          <w:sz w:val="28"/>
          <w:sz w:val="28"/>
          <w:szCs w:val="28"/>
          <w:rtl w:val="true"/>
          <w:lang w:bidi="ar-SA"/>
        </w:rPr>
        <w:t>بذلك ذرعا، و عرفت أنّي متى أباديهم بهذا الأمر، أرى منهم ما أكره، فصمدت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إنّ لا تفعل ما تؤمر به يعذّبك ربّك، فاصنع لنا صاعا من طعام و اجعل عليه رجل شاة، و املأ لنا عسّا من لبن، ثمّ دعوتهم له، و هم يومئذ أربعون رجلا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ما لهم بشيء حاجة ثم قال النبيّ صلى اللّه عليه و آله و سلّم اسقهم، فجئتهم بذلك العس فشربوا، ثم تكلّم رسول اللّه صلى اللّه عليه و آله و سلّم فقال يا بني عبد المطلب إنّي و اللّه ما أعلم شابّا في العرب، جاء قومه بأفضل ممّا جئتكم به، إنّي جئتكم بخير الدنيا و الآخرة، و قد أمرني اللّه تعالى أن أدعوكم إليه، فأيّكم يؤازرني على هذا الأمر على أن يكون أخي و وصيي و 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 قلت 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وصيي و خليفتي فيكم، فاسمعوا له و أطيعوه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رسول اللّه صلى اللّه عليه و آله و سلّم في غزوة تبوك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المنافقون ما خلّفه إلاّ استثقالا له، فلحق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سلّم و نقل له ما قاله المنافقون، فقال صلى اللّه عليه و آله و سلّم كذبوا، و لكنّي خلّفتك لما تركت ورائي، فارجع فاخلفني في أهلي و أهلك، أ فلا ترضى يا علي أن تكون منّي بمنزلة هارون من موسى إلاّ أنّه لا نبيّ بعدي؟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ذكرت ثلاثا قالهن له رسول اللّه صلى اللّه عليه و آله و سلّم فلن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له و قد خلّفه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تكون منّي بمنزلة هارون من موسى إلاّ أنّه لا نبوّة بعدي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w:t>
      </w:r>
    </w:p>
    <w:p>
      <w:pPr>
        <w:pStyle w:val="BookText"/>
        <w:rPr/>
      </w:pPr>
      <w:r>
        <w:rPr>
          <w:rFonts w:ascii="Amiri" w:hAnsi="Amiri" w:eastAsia="Amiri" w:cs="Amiri"/>
          <w:color w:val="111111"/>
          <w:sz w:val="28"/>
          <w:sz w:val="28"/>
          <w:szCs w:val="28"/>
          <w:rtl w:val="true"/>
          <w:lang w:bidi="ar-SA"/>
        </w:rPr>
        <w:t>و رسوله، و يحبّه اللّه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عليّا، فاتي به أرمد، فبصق في عينه، 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دعا رسول اللّه صلى اللّه عليه و آله و سلّم عليّا و فاطمة و حسنا و 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سمّى أبناء عليّ كأسماء أبناء هارون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سمّيتهم بأسماء ولد هارون شبّر و شبير و مشبر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آخى بين أصحابه جاءه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آخيت بين أصحابك، و لم تؤاخي بيني و بين أحد؟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رسول اللّه صلى اللّه عليه و آله و سلّم الخروج إلى الحجّ في السنة العاشرة من الهجرة، و أذّن في الناس بذلك، تلك الحجة التي سمّيت بحجّة الوداع، و اشترك معه جموع لا يعلم عددها إلاّ اللّه، و أقل ما قيل إنّه خرج معه تسعون ألفا، فلمّا قضى مناسكه و انصرف ، راجعا إلى المدينة، و معه تلك الجموع الغفيرة، و وصل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الجحفة، التي تتشعّب فيها طرق المدنيين و المصريين و العراقيين، و ذلك يوم الخميس، الثامن عشر من ذي الحجة نزل جبرائيل الأمين عن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كان أوائل القوم قريبين من الجحفة، فأمر رسول اللّه أن يرد من تقدّم منهم، و يحبس من تأخّر عنهم، حتّى إذا أخذ القوم منازلهم، نودي بالصلاة، صلاة الظهر، فصلّى بالناس، و كان يوما حارّا، فلمّا انصرف من صلاته، قام خطيبا وسط القوم، رافعا صوته و أسمع الجميع، فقال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نستعينه، و نؤمن به، و نتوكّل عليه، </w:t>
      </w:r>
    </w:p>
    <w:p>
      <w:pPr>
        <w:pStyle w:val="BookText"/>
        <w:rPr/>
      </w:pPr>
      <w:r>
        <w:rPr>
          <w:rFonts w:ascii="Amiri" w:hAnsi="Amiri" w:eastAsia="Amiri" w:cs="Amiri"/>
          <w:color w:val="111111"/>
          <w:sz w:val="28"/>
          <w:sz w:val="28"/>
          <w:szCs w:val="28"/>
          <w:rtl w:val="true"/>
          <w:lang w:bidi="ar-SA"/>
        </w:rPr>
        <w:t>و نعوذ باللّه من شرور أنفسنا و سيّئات أعمالنا، الذي لا هادي لمن أضلّ و لا مضلّ لمن هدى، و أشهد أن لا إله إلاّ اللّه، و أنّ محمّدا عبده و رسوله،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اوشك أن ادعى فأجبت، و إنّي مسئول و أنتم مسئولون، فما 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نشهد أنّك قد بلّغت و نصحت، و جهدت، فجزاك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تشهدون أن لا إله إلاّ اللّه، و أنّ محمدا عبده و رسوله، و أنّ جنّته حقّ و ناره حقّ، و أنّ الموت حقّ، و أنّ الساعة آتية لا ريب فيها، 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فرط على الحوض، فانظروني كيف تخلفوني في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الثقلان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الأكبر، كتاب اللّه، و الآخر الأصغر، عترتي، و إنّ اللطيف الخبير نبّأني انّهما لن يفترقا حتّى يردا عليّ الحوض، فلا تقدموهما فتهلكوا، و لا تقصروا عنهما فتهلكوا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عليّ فرفعها، حتى رؤي بياض آباطهما، و عرفه القوم أجمعون، فقال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 أنا مولى المؤمنين، و أنا 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 </w:t>
      </w:r>
    </w:p>
    <w:p>
      <w:pPr>
        <w:pStyle w:val="BookText"/>
        <w:rPr/>
      </w:pPr>
      <w:r>
        <w:rPr>
          <w:rFonts w:ascii="Amiri" w:hAnsi="Amiri" w:eastAsia="Amiri" w:cs="Amiri"/>
          <w:color w:val="111111"/>
          <w:sz w:val="28"/>
          <w:sz w:val="28"/>
          <w:szCs w:val="28"/>
          <w:rtl w:val="true"/>
          <w:lang w:bidi="ar-SA"/>
        </w:rPr>
        <w:t xml:space="preserve">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أحبّ من أحبّه، و أبغض من أبغضه، و انصر من نصره، و اخذل من خذله، و أدر الحقّ معه حيث دار، 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يتفرّقوا حتّى نزّل أمين وحي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الآية،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 إتمام النعمة و رضى الرب برسالتي، و 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الناس يهنّئون عليّا، و ممّن هنّأه الشيخان أبو بكر و 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يا رسول اللّه أن أقول في عليّ أبياتا،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حسّان، فقال</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يناديهم يوم الغدير نبيّهم بخمّ و اسمع بالرسول مناديا الى آخر الأبيات، فلمّا سمع النبيّ أبياته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 صلى اللّه عليه و آله و سلّم، و في البيت رجال فيهم عمر بن الخطاب،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هلمّ اكتب لكم كتابا لا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قد غلب عليه الوجع، و عندكم القرآن، 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أهل البيت، فاختصموا، فلمّا أكثروا اللغو و الاختلاف عند النبيّ، قال لهم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اهتمّ النبيّ ببعث سرية اسامة بن زيد اهتماما عظيما، فأمر الصحابة بالتهيّؤ لها، و حثّهم عليها، ثمّ عبّأهم بنفسه الزكية، فلم يبق أحدا من وجوه المهاجرين و الأنصار كأبي بكر و عمر، و أبي عبيدة، و سعد، و أمثالهم، إلاّ و قد عبّأه بالجيش، فلمّا كان يوم الثامن و العشرين من صفر، بدأ به صلى اللّه عليه و آله و سلّم مرض الموت، و وجدهم مثّاقلين، خرج إليهم فحضّهم على السير، </w:t>
      </w:r>
    </w:p>
    <w:p>
      <w:pPr>
        <w:pStyle w:val="BookText"/>
        <w:rPr/>
      </w:pPr>
      <w:r>
        <w:rPr>
          <w:rFonts w:ascii="Amiri" w:hAnsi="Amiri" w:eastAsia="Amiri" w:cs="Amiri"/>
          <w:color w:val="111111"/>
          <w:sz w:val="28"/>
          <w:sz w:val="28"/>
          <w:szCs w:val="28"/>
          <w:rtl w:val="true"/>
          <w:lang w:bidi="ar-SA"/>
        </w:rPr>
        <w:t>و عقد اللواء لاسامة بيده الشريفة، إرهافا لعزيمتهم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 باسم اللّه و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بلوائه معقودا، فدفعه إلى بريدة، و عسكر بالجرف، ثم تثاقلوا هناك، فلم يبرحوا، و قد أغضب النبي تثاقلهم،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اسامة، لعن اللّه من تخلّف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لرسول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لسنا على الحق، و 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لسنا قتلانا في الجنّة و قتلاهم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ففيم نعطي الدنية في ديننا، و نرجع و لمّا يحكم اللّه بيننا و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إنّي رسول اللّه، و لن يضيّعني اللّه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تركت فيكم ما إن أخذتم به لن تضلّوا، كتاب اللّه و عترتي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تمسّكتم به لن تضلّوا، كتاب اللّه، حبل ممدود من السماء إلى الأرض، و عترتي أهل بيتي، و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التطهير نزلت في بيتي و أنا جالسة عند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إنّك على خير، أنت من أزواج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رسول اللّه و عليّ و فاطمة و حسن و حسين، فجلّلهم بكسائه،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رسول اللّه صلى اللّه عليه و آله و سلّم كان يمرّ بباب فاطمة إذا خرج إلى الصلاة حين نزلت هذه الآية قريبا من ستّة أشهر، يقول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 فحمد اللّه و أثنى عليه، و وعظ و 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إنّما أنا بشر، يوشك أن يأتيني رسول ربّي فأجيب، و أنا تارك فيكم ثقلين، أوّلهما كتاب اللّه فيه الهدى و النور، فخذوا بكتاب اللّه، و 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 فحمد اللّه و أثنى عليه، و وعظ و 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إنّما أنا بشر، يوشك أن يأتيني رسول ربّي فأجيب، و أنا تارك فيكم ثقلين، أوّلهما كتاب اللّه فيه الهدى و النور، فخذوا بكتاب اللّه، و 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 اذكّركم اللّه في أهل بيتي، أذكّركم اللّه في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 أمّتي كمثل سفينة نوح، من ركبها نجا، و من تخلّف عنها 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أثنى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ناواه، لا يضرّه مخالف و لا مفارق حتّى يمضي من أمّتي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الأمر صالحا، حتّى 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فيملؤها عدلا و قسطا، كما ملئت جورا و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واحد، لبعث اللّه رجلا من أهل بيتي يملؤها عدلا كما ملئت 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الدنيا حتّى يملك العرب رجل من أهل بيتي يواطئ اسمه 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تكن فتنة في الأرض منذ ذرأ اللّه ذرية آدم اعظم من فتنة الدجّال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إمامهم رجل صالح، فبينما إمامهم قد تقدّم ليصلّي بهم الصبح، إذ نزل عليهم عيسى بن مريم، فرجع الإمام ينكص يمشي القهقرى، ليقدّم عيسى يصلّي بالناس، فيضع عيسى يده بين كتفيه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 فإنّها لك أقيمت، فيصلّي بهم 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نزل فيكم المسيح ابن مريم و إمامكم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الآيات الدجّال ، و نزول عيسى، و نار تخرج من قعر عدن أبين تسوق الناس الى المحشر، تقيل معهم إذا قالوا، و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الدخان؟ فتلا رسول اللّه صلى اللّه عليه و آله و سلّم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ما بين المشرق و المغرب يمكث أربعين يوما و ليلة، أمّا المؤمن فيصيبه منه كهيئة الزكام، و أمّا الكافر بمنزلة السكران يخرج من منخريه و اذنيه و دبره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رسول اللّه صلى اللّه عليه و آله و سلّم علينا و نحن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نتذاكر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لن تقوم حتى تروا قبلها عشر آيات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و الدجّال، و الدابّة، و طلوع الشمس من مغربها، و نزول عيسى ابن مريم، و يأجوج و مأجوج، و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 خسف بالمغرب، و خسف بجزيرة العرب، و آخر ذلك نار تطرد الناس إلى محشرهم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 آله و سلّم حجّة الوداع، فأخذ باب الكعبة، ثمّ أقبل علينا بوجهه،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أدنى الناس منه يومئذ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الصلاة، و اتّباع الشهوات، و الميل مع الأهواء، و تعظيم أصحاب المال، و بيع الدين بالدنيا، فعندها يذاب قلب المؤمن و جوفه كما يذوب الملح في الماء ممّا يرى من المنكر فلا يستطيع أن يغيره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النبيّ أنّه لم يرتحل من منزل إلاّ صلّى فيه ركعتين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يشهد عليّ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من رجل يجعل جبهته في بقعة من بقاع الأرض، إلاّ شهدت له بها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برّ و لا فاجر إلاّ دخلها فتكون على المؤمن بردا و سلاما، كما كانت على إبراهيم، حتّى أنّ للنار ضجيجا من بردهم، ثم ينجّي اللّه الذين اتّقوا و يذر الظالمين فيها جثيا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نبيّ إلاّ له دعوة قد تنجّزها في الدنيا، و إنّي قد اختبأت دعوتي، شفاعة لامتي و أنا سيّد ولد آدم يوم القيامة و لا فخر، و أنا أوّل من تنشقّ عنه الأرض و لا فخر و بيدي لواء الحمد و لا فخر، آدم فمن دونه تحت لواء و لا 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يتخلّص من هول القيامة فليتولّ وليي، و ليتّبع </w:t>
      </w:r>
    </w:p>
    <w:p>
      <w:pPr>
        <w:pStyle w:val="BookText"/>
        <w:rPr/>
      </w:pPr>
      <w:r>
        <w:rPr>
          <w:rFonts w:ascii="Amiri" w:hAnsi="Amiri" w:eastAsia="Amiri" w:cs="Amiri"/>
          <w:color w:val="111111"/>
          <w:sz w:val="28"/>
          <w:sz w:val="28"/>
          <w:szCs w:val="28"/>
          <w:rtl w:val="true"/>
          <w:lang w:bidi="ar-SA"/>
        </w:rPr>
        <w:t>وصيي و خليفتي من بعدي علي بن أبي طالب، فإنّه صاحب حوضي، يذود عنه أعداءه و يسقي أولياءه فمن لم يسق منه لم يزل عطشانا و لم يرو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سقي منه شربة، لم يشق و لم يظمأ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من ورد شرب، و من شرب لم يظمأ أبدا، و ليردنّ عليّ أقوام أعرفهم و يعرفونني، ثم يحال بينه و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و أهل النار النار، قيل يا أهل الجنة، فيشرئبّون و ينظرون، و قيل يا أهل النار، فيشرئبّون و ينظرون، فيجاء بالموت كأنّه كبش أملح،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الموت،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قد 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فيذبح،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فلا موت، و يا أهل النار خلود فلا 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كان قبلكم، شبرا بشبر، و ذراع بذراع، حتى لو دخلوا جحر ضبّ لتبعتموه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تؤخذ أمتي بأخذ القرون قبلها، شبرا بشبر، و ذراعا بذراع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كفارس و الروم،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إلاّ اولئك؟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الامم السابقة فإنّه يكون في هذه الامّة مثله، حذو النعل بالنعل، و القذّة بالقذّة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 أن أقاتل الناس حتى يشهدوا أن لا إله إلاّ اللّه، و يؤمنوا بما ارسلت به، فاذا فعلوا ذلك عصموا منّي دماءهم و أموالهم إلاّ بحقّها، و حسابهم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ابعث لأشقّ عن قلوب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دعوة مستجابة، فتعجّل كلّ نبيّ دعوته، و إنّي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اختبأت دعوتي، شفاعة لامّتي، و هي نائلة من مات منهم لا يشرك باللّه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 خمسا، و اعطيت الشفاعة، فادّخرتها لامّتي فهي لمن لا يشرك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نائلة إن شاء اللّه من مات و لا يشرك باللّه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لمن شهد أن لا إله إلا اللّه مخلصا، يصدّق قلبه لسانه، و لسانه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العرب لم يدخل في شفاعتي و لم تنله مودتي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في أمّتي، فليظهر العالم علمه، و إلاّ فعليه لعنة اللّه، و الملائكة و الناس أجمعين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مرّ بيّ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أن يكثروا من غرس الجنة، فإنّ أرضها واسعة و تربتها طيّبة،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غرس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ملئ إيمانا من قرنه إلى قدمه، و اختلط الإيمان بلحمه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عمار إلى رسول اللّه و هو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 ذكرت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أصحابيّ كالنجوم بأيّهم اهتديتم اقتديتم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يوم القيامة رهط من أصحابيّ فيحلئون عن الحوض، فأقول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 سحقا لمن بدل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من اقتدى بشيء منه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 و ما حل مصدّق، من جعله أمامه قاده إلى الجنّة، و من جعله خلفه ساقه إلى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خلّف النبي صلى اللّه عليه و آله و سلّم فيكم ما خلفت الأنبياء في اممها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ربّكم فيكم، مبيّنا حلاله و حرامه، و فرائضه و فضائله، و ناسخه و منسوخه، و رخصه و عزائمه، و خاصّه و عامّة، و عبره و أمثاله، و مرسله و محدوده، و محكمه و متشابهه، مفسّرا مجمله، و مبيّنا غوامضه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ظاهرا مشهورا، و إمّا خائفا مغمورا، لئلاّ تبطل حجج اللّه و بيّناته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استبد برأيه هلك، و من شاور الرجال في أمورها شاركها في عقولها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مخاطبا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بايعني القوم الذين بايعوا أبا بكر و عمر و عثمان على ما بايعوهم عليه، فلم يكن للشاهد أن يختار، و لا للغائب أن يرد، و إنّما الشورى للمهاجرين و الأنصار، فإنّ اجتمعوا على رجل و سمّوه إماما، كان ذلك للّه 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 بيعتي بالمدينة لزمتك و أنت بالشام لأنّه بايعني الذين بايعوا أبا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طلحة و الزبير بايعاني ثم نقضا بيعتي، و كان نقضهما كردّهما، فجاهدتهما على ذلكم حتى جاء الحق، و ظهر أمر اللّه و هم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كارهون، فادخل فيما دخل فيه المسلمون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الخلق لا مقصر لهم عن القيامة، مرفلين في مضمارها إلى الغاية القصوى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 و صاروا إلى مصائر الغايات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فيه الأوّلين و الآخرين لنقاش الحساب، و جزاء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فجدّدهم بعد إخلاقهم، و جمعهم بعد تفرّقهم، ثم ميّزهم لما يريده من مسألتهم عن خفايا الأعمال و خبايا الأفعال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خلقنا و إيّاكم للبقاء لا للفناء، لكنّكم من دار إلى دار تنتقلون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سخّر له ملك الجن و الأنس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في حياتكم مقهورين، و الحياة في موتكم قاهرين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تارك لإنكار المنكر بلسانه، و قلبه و يده، فذلك ميّت الأحياء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يعضّ يده ندامة على ما أصحر له عند الموت من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الصراط المستقيم صراطان صراط في الدنيا و صراط في الآخرة، أمّا الصراط المستقيم في الدنيا فهو ما قصر عن الغلو، و ارتفع عن التقصير، و استقام فلم يعدل إلى شيء من الباطل، و أمّا الطريق الآخر فهو طريق المؤمنين إلى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درجة العلّيين و هو اسم واقع على ستة معان</w:t>
      </w:r>
      <w:r>
        <w:rPr>
          <w:rFonts w:eastAsia="Amiri" w:cs="Amiri" w:ascii="Amiri" w:hAnsi="Amiri"/>
          <w:color w:val="111111"/>
          <w:sz w:val="28"/>
          <w:szCs w:val="28"/>
          <w:rtl w:val="true"/>
          <w:lang w:bidi="ar-SA"/>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الترك العود إليه أبدا،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ليست عليك تبعة،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ضيّعتها فتؤدّي حقّها،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تلصق الجلد بالعظم و ينشأ بينهما لحم جديد،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 و إنّ قوما عبدوا اللّه شكرا فتلك عبادة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يشفعون إلى اللّه عز و جلّ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بشفاعة رسول اللّه لم تنله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عليه فضل، و هو من أهل التقوى، و لم يشرك باللّه تعالى و اتقى الشرك به فهو من أهل المغفرة، يغفر اللّه له برحمته إن شاء و يتفضّل عليه بعفوه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اللّه على العلماء أن لا يقارّوا على كظّة ظالم و لا سغب مظلوم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هو الناصح الذي لا يغش، و الهادي الذي لا يضلّ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عليه الكتاب نورا لا تطفأ مصابيحه و سراجا لا يخبو توقّده، و منهاجا لا يضل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لا يخمد برهانه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أنّه سئل عن آية المتعة، أ منسوخة؟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نهي عن المتعة ما زنى إلاّ 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بني الكرام، فما الموت إلاّ قنطرة تعبر بكم عن البؤس و الضراء إلى الجنان الواسعة، و النعيم الدائمة، فأيّكم يكره أن ينتقل من سجن إلى قصر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قاتل حجر و أصحابه العابدين المخبتين الّذين كانوا يستفظعون البدع و يأمرون بالمعروف و ينهون عن المنكر، فقتلتهم ظلما و عدوانا من بعد ما أعطيتهم المواثيق الغليظة و العهود المؤكّدة، جرأة على اللّه و استخفافا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بقاتل عمرو بن الحمق الذي أخلقت و أبلت وجهه العبادة، فقتلته من بعد ما أعطيته من العهود ما لو فهمته العصم نزلت من سقف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قاتل الحضرمي الذي كتب إليك فيه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دين علي كرّم اللّه وجهه، و دين علي هو دين ابن عمه صلى اللّه عليه و آله و سلّم الّذي أجلسك مجلسك الذي أنت فيه، و لو لا ذلك كان أفضل شرفك و 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 رحلت الصيف، فوضعها اللّه عنكم بنا، منّة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 أهل الجنة، و دخل ولي اللّه إلى جنانه و مساكنه ، و اتكأ كل مؤمن منهم على أريكته، حفّته خدّامه و تهدّلت عليه الثمار، و تفجّرت حوله العيون، و جرت من تحته الأنهار، و بسطت له الزرابيّ، و صفّفت له النمارق، و أتته الخدام بما شاءت شهوته من قبل أن يسألهم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يخرجون عليهم الحور العين من الجنان فيمكثون بذلك ما شاء اللّه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الجبّار يشرف عليهم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و أهل طاعتي و سكّان جنّتي في جواري، هل أنبّئكم بخير ممّا أنتم فيه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أيّ شيء خير ممّا نحن فيه، نحن فيما اشتهت أنفسنا، و لذّت أعيننا من النعم في جوار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عليهم القول،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نعم، فائتنا بخير ممّا نحن فيه، فيقول لهم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رضائي عنكم و محبّتي لكم خير و أعظم ممّا أنتم فيه،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ربّنا، رضاك عنّا و محبّتك لنا خير لنا و أطيب لأنفسنا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شرّف بنيانه، و عظّم برهانه، و ثقّل ميزانه، و تقبّل شفاعته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أصحاب محمّد خاصّة الذين أحسنوا الصحبة و الّذين أبلوا البلاء الحسن في نصره، و كاتفوه و أسرعوا إلى وفادته، و سابقوا إلى دعوته، و استجابوا له حيث أسمعهم حجّة رسالاته، و فارقوا الأزواج و الأولاد في إظهار كلمته، و قاتلوا الآباء و الأبناء في تثبيت نبوّته، و انتصروا به، و من كانوا منطوين على محبّته، يرجون تجارة لن تبور في مودته، و الذين هجرتهم العشائر، إذا تعلّقوا بعروته، و انتفت منهم القربات، إذا سكنوا في ظل قرابته، فلا تنس اللّهمّ ما تركوا لك و فيك، و أرضهم من رضوانك و بما حاشوا الخلق عليك، و كانوا مع رسولك، دعاة لك إليك، و اشكرهم على هجرهم فيك ديار قومهم، و خروجهم من سعة المعاش إلى ضيقه، و من كثرت في إعزاز دينك من مظلومهم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أوصل إلى التابعين لهم بإحسان الذين يقولون ربّنا اغفر لنا و لإخواننا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يدع الأرض بغير عالم، و لو لا ذلك لما يعرف الحق من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زرارة قال 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 يعني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يده على رءوس العباد، فيجمع عقولهم، تكتمل به أحلامهم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 نفسك على ما في كتاب اللّه، فإن كنت سالكا سبيله، زاهدا في تزهيده، راغبا في ترغيبه، خائفا من تخويفه، فاثبت و ابشر، فإنّه لا يضرّك ما قيل فيك، و إن كان مبائنا للقرآن، فما ذا الذي يغرّك 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تؤمّن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فأنكروا بقلوبكم، و الفظوا بألسنتكم، و صكّوا بها جباههم، و لا تخافوا في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تخلوا إلاّ و فيها إمام، كيما زاد المؤمنون شيئا ردّهم، و إذا نقصوا شيئا أئمّة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في زمان القائم، و هو بالمشرق، يرى أخاه الذي في المغرب، و كذا الذي في المغرب يرى أخاه الذي بالمشرق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سئل عن أرواح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حجرات في الجنّة، يأكلون من طعامها، و يشربون من شرابها، و يقولون ربّنا اتمم لنا الساعة و أنجز ما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أرواح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النار يعذّبون،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يقولون لا تقم لنا الساعة، و لا تنجز لنا ما وعدتنا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فان ظننت بأنّ اللّه عنى بهذه الآية جميع أهل القبلة من الموحدين، أ فترى أنّ من لا تجوز شهادته في الدنيا على صاع من التمر، يطلب اللّه شهادته يوم القيامة، و يقبلها منه بحضرة جميع الأمم الماضية، كلاّ، لم يعن اللّه مثل هذا من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يمرّون على الصراط طبقات، و الصراط أدق من الشعرة و من حد السيف، فمنهم من يمرّ مثل البرق، و منهم مثل عدو الفرس، و منهم من يمرّ حبوا، و منهم من يمرّ مشيا، و منهم من يمرّ متعلّقا قد تأخذ النار منه شيئا و تترك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 محمدا عبده و رسوله، و يقرّ بالطاعة، و يعرف إمام زمانه، فإذا فعل ذلك فهو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ليشفع لحميمه، إلاّ أن يكون ناصبا، و لو أنّ ناصبا شفع له كل نبي مرسل و ملك مقرّب ما شفعوا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قبضه اللّه إليه، صيّر تلك الروح إلى الجنّة في صورة كصورته، فيأكلون و يشربون، فإذا قدم عليهم القادم عرفهم بتلك الصورة التي كانت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أبي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 ينال شفاعتنا من استخفّ بصلاته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سأل المأمون العباسي،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الرجعة،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حقّ قد كانت في الأمم السالفة و نطق بها القرآن،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الجنة و النار أ هما اليوم مخلوقتان؟ فقال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رسول اللّه قد دخل الجنّة و رأى النار، لما عرج به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إنّهما اليوم مقدّرتان غير مخلوقتين،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منّا و لا نحن منهم، من أنكر خلق الجنة و النار، فقد كذّب النبي صلّى اللّه عليه و آله و سلّم و كذّبنا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الانتفاع بي في غيبتي، فكالانتفاع بالشمس إذا غيّبتها عن الأبصار السحاب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1139" w:name="pg16351_181434"/>
    </w:p>
    <w:p>
      <w:pPr>
        <w:pStyle w:val="Heading3"/>
        <w:numPr>
          <w:ilvl w:val="2"/>
          <w:numId w:val="1"/>
        </w:numPr>
        <w:rPr/>
      </w:pPr>
      <w:bookmarkStart w:id="1140" w:name="__RefHeading___Toc6422854_1280447820"/>
      <w:bookmarkStart w:id="1141" w:name="_Toc444"/>
      <w:bookmarkEnd w:id="1139"/>
      <w:bookmarkEnd w:id="1140"/>
      <w:r>
        <w:rPr>
          <w:rtl w:val="true"/>
        </w:rPr>
        <w:t>فهرس الأشعار</w:t>
      </w:r>
      <w:bookmarkEnd w:id="1141"/>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نسخ و مسخ رسخ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و حيوانا جمادا نما</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 لا كتاب</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إنّ بني الأدرد ليسوا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توفّاهم قريش في العدد</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 xml:space="preserve">يا ليت جور بني مروان دام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عدل بني العباس في النار</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Amiri" w:hAnsi="Amiri" w:eastAsia="Amiri" w:cs="Amiri"/>
          <w:color w:val="111111"/>
          <w:sz w:val="28"/>
          <w:sz w:val="28"/>
          <w:szCs w:val="28"/>
          <w:rtl w:val="true"/>
          <w:lang w:bidi="ar-SA"/>
        </w:rPr>
        <w:t xml:space="preserve">إذا ما فصّلت عليّا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 لا في النفير</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هم المولى و إن جنفوا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من لقائهم لزور</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 xml:space="preserve">صرت نظرة لو صادف جوز دارع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 العواصي من دم الجوف تنعر</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 xml:space="preserve">و علي إمامنا 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أتى به التنزيل</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يوم قال النبيّ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مولاه خطب جليل</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و في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و الصحب لم ترحل</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فامنحه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مستخلف المنحل</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الخزرج من وقع الأسل</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كرة حذفت بصوالجة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فتلقّفها رجل رجل</w:t>
      </w:r>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اسمع بالرسول مناديا</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 xml:space="preserve">فقال فمن مولاكم و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التعاميا</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 xml:space="preserve">إلهك مولانا و 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تلق منافي الولاية عاصيا</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أتباع صدق مواليا</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 xml:space="preserve">الاختصاص كنداء دون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كأيها الفتى بإثر ارجونيا</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و 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 مخصّصة في علي</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للّه يمنعني شرابي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نقض 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أنّ النقض غير وارد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التعريف للفضل بن روزبهان الأشعري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لسيف الدين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المطبوع ضمن رسائل بإشراف حامد محمد 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ألّف لبيان مذاهب أهل العلم و أصحاب الأثر و أهل السّنة، و وصف من خالف شيئا من هذه المذاهب أو طغى فيها أو عاب قائلها، بأنّه مخالف مبتدع و خارج عن الجماعة، زائل عن منهج السنّة و سبيل الحق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للشيخ عبد الغني الميداني الحنفي الدمشقي،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أخذنا العبارة من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الطحاوي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الأشعري،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مروج الذهب للمسعودي،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للقاضي أبي بكر الباقلاني،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القاضي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شرح العقيدة الطحاوية،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لاحظ ما ذكره في شرحه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المتن لأبي حفص عمر بن محمد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الشرح لسعد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إسطنبول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مقالات الإسلاميين، للأشعري،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أصول الدين، لمحمد بن عبد الكريم اليزدوي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الماتريدية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لأبي منصور البغدادي، 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للسيد التّستري،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الحلبي بمصر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القرطبي لم يقرأ مأساة السقيفة بين المهاجرين و الأنصار، و إلاّ فالاعتراض و النزاع كان قائما على قدم و ساق و يكفي في ذلك مراجعة كتاب الإمامة و السياسة لابن قتيبة، و تاريخ الطبري، و سيرة ابن هشام، و كتاب السقيفة لأبي بكر الجوهري المتوفّى عام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يأتي من المباحث نشير إلى بعض تلك الوقائع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 عالم الكتب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 اسطنبول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حوادث عام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 للطبري أنّ عمر قام على رأس سعد،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أن أطأك حتى تندر عضوك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سعد بلحية عمر،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حصحصت منه شعرة ما رجعت و فيك واضحة، أما و اللّه لو أنّ بي قوة ما أقوى على النهوض لسمعت مني في أقطارها و سككها زئيرا يجحرك و أصحابك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يلزمهم دخول الجحر، و هو كناية عن شدّة التضييق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و اللّه، إذا لألحقنّك بقوم كنت فيهم تابعا غير متبوع، احملوني من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فحملوه، فأدخلوه في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 أياما، ثم بعث إليه أن أقبل، فبايع، فقد بايع الناس، و بايع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حتى أرميكم بما في كنانتي من نبلي و أخضّب سنان رمحي، و أضربكم بسيفي ما ملكته يدي، و أقاتلكم بأهل بيتي و من أطاعني من قومي، فلا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 اللّه، لو أنّ الجنّ اجتمعت لكم مع الإنس ما بايعتكم حتى أعرض على ربّي، و أعلم ما حسابي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سعد لا يصلّي بصلاتهم و لا يجمع معهم، و لا يفيض معهم إفاضتهم، فلم يزل كذلك حتى هلك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عبادة سيد الخزرجيين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الأمر بلزوم الجماعة، و باب حكم من فرّق أمر المسلمين،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 البابين نظائر كثيرة لهذا الحديث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ذلك ملاحظة غزوة الحديبية، و كيف تغلّب بقيادته الحكيمة على الاختلاف الناجم، من عقد الصلح مع المشركين و ما نجم في غزوة بني المصطلق من تمزيق وحدة الكلمة، أو ما ورد في حجة الوداع، حيث أمر من لم يسق هديا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بالإحلال، و نجم الخلاف من بعض أصحابه، فحسمه بفصله القاطع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كتاب السرقة،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الحدود،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توضيح حقيقة العول المصدرين المذكورين و الكتب الفقهية في الميراث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النبي صلى اللّه عليه و آله و سلّم كان يراعي في إبلاغ الحكم حاجة الناس، و مقتضيات الظروف الزمنية، فلا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إيفاء غرض التشريع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يستودع أحكام الشريعة من يخلفه، و يقوم مقامه، لإيفاء أغراضه التي لم يقدّر له تحقيقها في حياته الكريمة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النبوية، لابن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ط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الوثائق السياسية لمحمد حميد اللّه،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مكاتيب الرسول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لابن الجوزي، المتوفى عام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الخلفاء،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حياة محمد، لمحمد حسين هيكل،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الطبعة الثالثة عشر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أحمد، المنقولة من طبقات ابن السبكي، المطبوعة في آخر الجزء الأول من مسنده، طبقات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التهذيب،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برمّته متنا و هامشا من 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عن صاحب المواقف أنّه اعترض على تعريف الإمامة بأنّها رئاسة عامة في أمور الدين و الدنيا، بالنقض بالنبوة،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الطبري،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ط مصر في ثمانية أجزاء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مصادر نزول الآية يوم الغدير، كتاب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قد رواه عن ستة عشر محدثا، منهم أبو جعفر الطيري، و ابن مردويه الأصفهاني، و أبو نعيم الأصفهاني، و الخطيب البغدادي، و أبو سعيد السجستاني، و أبو الحسن المغازلي، و أبو القاسم الحسكاني، و ابن عساكر الدمشقي، و أخطب الخطباء الخوارزمي، و غيرهم من أعاظم المحدثين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الفن الثالث عشر في الإلهيات، المقالة العاشرة، الفصل الثالث،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للجزري،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التفاسير، في تفسير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لَيَقُولُنَّ إِنَّمٰا كُنّٰا نَخُوضُ وَ نَلْعَبُ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هذه القضية فيما تقدم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جَعَلْنٰاكُمْ شُعُوباً وَ قَبٰائِلَ لِتَعٰارَفُوا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غزوة بني المصطلق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غزوة بني المصطلق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يوم السقيفة من المهاجرين إلاّ خمسة أشخاص، و لأجل ذلك لم نصف القائل بممثل المهاجرين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بايعه الأوس من الأنصار، و أما الخزرجيون، فقد خرجوا غير مبايعين لأحد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الجنة و نعيمها، و مسند الإمام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الروايات الدالّة على ارتداد الصحابة بعد رحلة النبي الأكرم، كثيرة جدا، لا يمكن حملها على نفر أو اثنين منهم، بل لا يصحّ في تفسيرها إلاّ حملها على أمة كبيرة منهم، فلاحظ ما ورد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الأثير،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الحوض، الفرع الثاني في ورود الناس عليه، الأحاديث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الفن الثالث عشر في الإلهيات، المقالة العاشرة، الفصل الخامس،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نقلناه من كلام الماوردي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رجم الحبلى من الزنا إذا احصنت،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طالع بقية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شرح نهج البلاغة لابن أبي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الخلافة،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الشخصية الدولية، لمحمد كامل ياقوت،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وقعة صفين لنصر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حذف الرضي في نهج البلاغة من الرسالة ما لا يهمه، فإنّ عنايته كانت بالبلاغة فحسب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طه حسين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قد كان للمسلمين هذا النظام المكتوب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لعرف المسلمون في أيام عثمان ما يأتون من ذلك و ما يدعون، دون أن تكون بينهم فرقة أو 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الشيخ عبد الكريم الخطيب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البعض إليه على أنّ تعيين الإمام بالشورى نواة صالحة لأول تجربة، و أنّ الأيام كفيلة بأن تنميها، و تستكمل ما يبدو فيها من نقص، فلم تكن الأحوال التي تمّت فيها هذه التجربة تسمح بأكثر ممّا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بعض آخر إلى هذا الأسلوب بأنّه أسلوب بدائي عالج أهمّ مشكلة في الحياة، و قد كان لهذا الأسلوب أثره في تعطيل القوى المفكرة للبحث عن أسلوب آخر من أساليب الحكم التي جربتها الأمم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و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ما ذكره الخطيب، أنّ قضية الشورى كانت مجرد تجربة، و لم تكن قانونا إسلاميا أخذ به، و كانت في هذه القضية نقائص و عيوب، تركت آثارا سيئة على الفكر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المقام شبهة، يتشدق بها بعض المتعصبين، نذكرها و نجيب عليها في ملحق خاص آخر الكتاب، لاحظ الملحق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للتبسط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العلم،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الإمامة،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سعد في طبقاته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ابن الأثير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قد نقل موضوع استخلاف أبي بكر لعمر، عدّة من أعلام التاريخ و الحديث، و الكل يتحد جوهرا، و أنّ التنصيب صدر من الخليفة الأول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أنظر باقي الواقعة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إثبات الوصية، للمسعودي، مؤلّف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أحمد في مسنده،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لتتّبعنّ سنن الذين من قبلكم، شبرا بشبر، و ذراعا بذراع، حتى لو دخلوا جحر ضبّ لتبعتموهم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غيره من أصحاب الصحاح و السنن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لابن أثير الجزري، الفصل الثاني، فيمن تصح إمامته و إمارته،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أخرجه البخاري و مسلم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السند كلّهم ثقات إلاّ أبو مريم عبد الغفار بن القاسم، فقد ضعّفه القوم، ليس ذلك إلاّ لتشيعه، فقد أثنى عليه ابن عقدة و أطراه، و بالغ في مدحه، كما في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بهذا اللفظ أبو جعفر الإسكافي المتكلم المعتزلي البغدادي، في كتابه نقض العثمانية، على ما في شرح نهج البلاغة لابن أبي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روي في الخبر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الأثير في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أبو الفداء عماد الدين الدمشقي،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الخازن علاء الدين البغدادي في تفسيره،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الحفّاظ و أساتذة الحديث و أئمة الأثر، و المراجع في الجرح و التعديل، و لم يقذف أحد منهم الحديث بضعف أو غمز لمكان أبي مريم في أسناده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أخرجه الإمام أحمد في مسنده في غير مورد، فرواه في الجزء الأول،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عفان عن أبي عوانة عن عثمان بن المغيرة، عن أبي صادق، عن ربيعة بن ناجز، و رجال السند كلّهم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في الجزء الأول،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بسند رجاله كلّهم من رجال الصحاح بلا كلام، و هم شريك، و العمش، و المنهال، 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صور مختلفة رواها عدّة من الحفاظ، فمن أراد التوسع في ذلك فليرجع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للسيد البحراني، المقصد الثاني،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تعاليق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المراجعة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المراجعة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قد تكلم في إسناد الحديث في المتن و تعاليقه بما لا يدع للمريب شكا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الجزء الثالث من المجلد الثاني،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الطبعة الثانية، سنة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هذه الطبعة جاءت الطبعات اللاحقة، و نسخت الطبعة الأولى و كأنّ الأستاذ لم يكتبها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بالضم ثم السكون، موضع على بعد ثلاثة أميال من المدينة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قد نقله من أصحاب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غزوة تبوك،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في فضائل عليّ،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في فضائل أصحاب النبي،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المطبعة التازية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أحمد في مسنده في غير مورد لاحظ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الأثبات الحفاظ، فلم يشك في صحة سند الحديث إلاّ الآمدي، و ليس هو من علم الحديث في حلّ و لا ترحال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فصّلت عليا قريش فلا في العير أنت و لا النفير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 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أَشْرِكْهُ فِي أَمْرِي يدل على اشتراك هارون مع موسى في النبوة كما يدل عليه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وَهَبْنٰا لَهُ مِنْ رَحْمَتِنٰا أَخٰاهُ هٰارُونَ 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لأجل ذلك استثناها النبي من منزلة هارون من موسى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الأبواب كلّها إلاّ باب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الأحاديث المتضافرة المنقولة عن لفيف من الصحابة، منهم عبد اللّه بن عمر بن الخطاب، لاحظ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أبوه عمر بن الخطاب، لاحظ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التبسّط في أسانيده فعليه بالغدير،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المراجعة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تسميتها بالبلاغ و بالتمام و الكمال، لنزول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نِعْمَتِي وَ رَضِيتُ لَكُمُ اَلْإِسْلاٰمَ دِيناً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الحج</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متقدّمكم إليه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أعلام النبوة، فقد علم أنّه سوف ينحرف عن إمام الهدى في أخريات أيّامه، فعلّق دعاءه على ظرف استمراره في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هذه الأبيات عن حسان بن ثابت عدّة من أعلام المؤرخين و المحدّثين، و إن حذف من ديوانه، فحرّفت الكلم عن مواضعها، و لعب بديوانه كما لعب بكثير من الدواوين، كديوان الفرزدق، و ديوان كميت، و ديوان أبي فراس، و ديوان كشاجم، التي حذفت منها ما يرجع إلى مدح أهل البيت و رثائهم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شيخنا الحجة العلامة الأميني، أسماء المؤلفين و خصوصيات كتبهم، في الجزء الأول، من غديره،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التبسط فعليه الرجوع إلى ما ذكرنا من المصادر، و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لمصلح الدين، السيد شرف الدين العاملي رحمه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المعارف، لفريد وجدي،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فيها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ما استكثرت من إيراد السؤالات، فإنّي ما أردت إلاّ تكثير البحث و تشحيذ الخاطر، و الاعتماد في الكلّ على اللّه تعالى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نقلا عن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جميع ذلك في تفسير الرازي،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 للرازي، أيضا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التصريح، لخالد بن عبد اللّه الأزهري، باب أفعل التفضيل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السابقة نفسها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 تفسير سورة الحديد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معاني القرآن للفراء،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لابن البطريق،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نقولهم، في كتاب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موزعين حسب قرونهم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الوقوف على أشعارهم، فليرجع إلى الغدير بأجزائه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استندنا في هذا البحث الضافي إلى كتاب الغدير، فنقدر جهود شيخنا العلامة الأميني، المغفور 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غير مورد، لاحظ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كتابة العلم،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النسخة المطبوعة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أحمد في مسنده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فيه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 ما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إلى دموعه على خدّيه تحدر كأنّها نظام اللؤلؤ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ائتوني باللوح و الدواة، أو الكتف، أكتب لكم كتابا لا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يهجر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سابق نفسه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صلح الحديبية،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استغفر للمحلقين و رأى بعضهم غير محلق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الشروط،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النصّ و الاجتهاد، للسيد الإمام شرف الدين، و هو كتاب ممتع ملئ بالأحداث التي قدّم فيها الاجتهاد الخاطئ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الصحيح فإنّه تبع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النصّ النبوي الجليّ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قد أشبع الأستاذ دام حفظه، الكلام في حال الصحابة من حيث البرهان و العاطفة في بحوثه في الملل و النحل،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منا هذه الكلمة نقلا عن الشهرستاني في الملل و النحل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كفى في ذلك أن دار التقريب بين المذاهب الإسلامية قامت بنشر رسالة جمعت فيها مصادر الحديث و نذكر من طرقه الكثيرة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قام المحدث الكبير السيد حامد حسين الهندي بجمع طرق الحديث و نقل كلمات الأعاظم حوله و نشره في ستة أجزاء و هو من أجزاء كتابه الكبير العبقات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في الوقوف على مصادر الحديث، غاية المرام للسيد البحراني،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المراجعة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تعاليق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فيما نقلناه من الأحاديث، 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الثالث، من الباب الرابع،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للسيوطي،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طرق و مسانيد كثيرة، من أراد الوقوف عليها، فعليه بتعاليق إحقاق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مسائل ابن حجر أنّه إذا كان هذا مقام أهل البيت، فلما ذا لم يأخذ هو بهدي أئمتهم في شيء من فروع الدين و عقائده، و لا في شيء من علوم السنّة و الكتاب، و لا في شيء من الأخلاق و السلوك و الآداب؟ و لما ذا تخلّف عنهم، فأغرق نفسه في بحار كفر النعم، و أهلكها في مفاوز الطغيان؟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الاستخلاف،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ناقصا كما يظهر ممّا نقله مسلم و غيره، رواه أحمد في مسنده،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الإمارة، باب الناس تبع لقريش،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هذا المضمون تارة عن سماك بن حزب عن جابر، و أخرى عن الشعبي 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في مسنده،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الناس و ضجّوا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من صحيح مسلم، و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الدين عزيزا منيعا ينصرون على من ناواهم عليه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يقاتل عليه عصابة حتى تقوم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عصابة من المسلمين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أمر هذه الأمّة ظاهرا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للشيخ سليمان المعروف بالبلخي القندوزي،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ط اسطنبول عام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 حواشي صحيح الترمذي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 أشياخي ببدر شهدوا وقع الخزرج من وقع الأسل إلى آخر الأبيات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 هاشم بالملك فلا خبر جاء و لا وحي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الأثير،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 تذكرة الخواص، لابن الجوزي،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تاريخ الطبري، حوادث سنة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الكلام في الإمام المنتظر، و أحاديثه في السنّة النبوية، و طول عمره، و علائم ظهوره، و غير ذلك مما يرجع إليه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و أجمع كتاب في هذا الموضوع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الحرّ العاملي و قد جمع فيه النصوص المتضافرة على إمامة كلّ واحد من الأئمة الاثني عشر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أشبع شيخنا الأستاذ، البحث عن هذه الموضوعات الستّة في موسوعته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للرازي،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فإنّها من الوحي الابتدائي، و هي لا تشبه الخطاب الوارد في الآية الموجّه إلى الخليل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صدق عليها الأمومة للزوجة يحرم على الزوج تزوّجها، و إن طلق ابنتها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أفاض الشيخ الأستاذ الكلام في هذه المواضيع في موسوعته التفسيريّة، مفاهيم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من أقسام المنادى، يقول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كنداء دون يا كأيّها الفتى بإثر ارجونيا</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البيان،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حول الآية أبحاث لطيفة، فمن أراد التبسّط فليرجع إلى المصدر الذي تقدّم الإيعاز إليه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الشافي للسيد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تلخيصه لتلميذه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نهج الحق و كشف الصدق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إحقاق الحق للقاضي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الصدق للمظفر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مؤلفات كبار و رسائل صغار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ألّف غير واحد من أعلام السّنة كتبا حول الإمام المهدي عليه السلام، كالحافظ أبي نعيم الأصفهاني له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الكنجي الشافعي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ملاّ علي المتقي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علامات مهديّ آخر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عباد بن يعقوب الرواجني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السيوطي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العرف الوردي في أخبار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حجر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المختصر في علامات المهدي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جمال الدين الدمشقي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 الدرر في أخبار الإمام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 قديما و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 التضعيف لأخبار الإمام المهدي إلاّ من ابن خلدون في مقدمته، و قد فنّد مقاله الأستاذ أحمد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يلهج به بعض النواصب الأعداء، من أنّ الشيعة تذهب إلى غيبته في السرداب في سامراء، فهو من الأكاذيب التي ليس لها أصل أبدا، لا في الكتب، و لا في صدور العوام، و إنّما افتعلوه ازدراء بالعقيدة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فتنة الدجال و خروج عيسى،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38742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نزول عيسى،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جابر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طائفة من أمتي يقاتلون على الحق ظاهرين إلى يوم القيامة، فينزل عيسى، فيقول أميرهم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لنا،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اللّه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نزول عيسى بن مريم عليه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نزول عيسى،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38845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 الساعة للدكتور عبد الباقي،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بتعليقات عبده،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قصار الحكم، 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الغيبة الصغرى، غيبته صلوات اللّه عليه، منذ وفاة والده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 قد كانت الصلة بينه و بين الناس مستمرة بواسطة وكلائه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أبي عمرو عثمان بن سعيد العمري، و ولده الشيخ أبي جعفر محمد بن عثمان، و الشيخ أبي القاسم الحسين بن روح من بني نوبخت، و الشيخ أبي الحسن علي بن محمد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الغيبة الكبرى، غيبته من تلك السنة إلى زماننا هذا، انقطعت فيها النيابة الخاصة عن طريق أشخاص معينين، و حلّ محلّها النيابة العامة بواسطة الفقهاء و العلماء العدول، كما جاء في توقيعه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الحوادث الواقعة، فارجعوا فيها إلى رواة حديثنا، فإنّهم حجّتي عليكم، و أنا حجة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العلامة المجلسي في وجه تشبيهه بالشمس إذا سترها السحاب، وجوها، راجعها في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كمال الدين،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التكوين، الإصحاح الخامس، الجملة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ذكر هناك أعمار آدم، و شيث و نوح، و غيرهم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على طول عمر الإمام صاحب الزمان، للكراجكي، ملحق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أيضا،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ذكر المعمرين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 دار الأضواء،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مجلة المقتطف، الجزء الثالث من السنة التاسعة و الخمسين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هذه العلائم،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للسيد صدر الدين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حسن الختام، فراغنا من تدوين هذه المباحث ليلة الجمعة، الخامس عشر من شهر رمضان المبارك، عشية ولادة الإمام الطاهر الحسن بن علي بن أبي طالب، أبي محمد المجتبى، من شهور عام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النبوية، أسأله تعالى إدامة توفيقه لإخراج جميع ما تبقّى من المباحث التي تدور حول معاد الإنسان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الأديان، تأليف جان ناس، ترجمة علي أصغر حكمت،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المعارف لفريد وجدي،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الفارسي حميد نير نوري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مساهمة الإيرانيين في الحضارة العالمية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صموئيل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الأصحاح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المقدس</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مرقس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الجملات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يوحنّا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الجملتان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 دار الكتاب المقدس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لاحظ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رسالته إلى ابنه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اعلم يا بنيّ أنّك خلقت للآخرة لا للدنيا 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مع قطع النظر عن وعده و وعيده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سورة سبأ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المقصد السادس، المسألة الرابعة،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جَعَلْنٰا مِنْكُمْ شِرْعَةً وَ مِنْهٰاجاً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قد ورد في هذا المجال آيات أخر، فلاحظ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سورة 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البرهان ذكره الشيخ الرئيس في الإشارات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قسم الطبيعيات في موردين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المنظومة، للحكيم السبزواري،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الإشارات للشيخ الرئيس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الفلسفة للعلامة الطباطبائي، رحمه اللّه و ترجمة الأستاذ دام حفظه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المقالة الثالثة،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الأخير يجد المتتبع ضالته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تكلّم النبي مع أرواح المشركين في غزوة بدر،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غزوة بدر،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و 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 النبي مع أرواح المؤمنين المدفونين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تكلّم أمير المؤمنين مع النبي عند تغسيله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لَوْ تَعْلَمُونَ عِلْمَ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لَتَرَوُنَّ اَلْجَحِيمَ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لَتَرَوُنَّهٰا عَيْنَ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صرت 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قطعت نظرة، أي فعلت ذلك، و الجوز وسط الشيء و العواصي جمع العاصي و هو العرق، و يقال نعر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 منه الدم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وجوها في دعم هذه النظرية التي نقلها عن أبي مسلم، و قد استحسنها في آخر كلامه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درّ أبي مسلم، ما أدقّ فهمه و أشدّ استقلاله فيه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خرجنا في تفسير الآية عمّا اتبعناه من الإيجاز إيعازا للباحث بما في المنار و أمثاله من الدعوات التي لا تتفق مع مبادي الإسلام، و سيلاحظ نظيره في الآية التالية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كفية ذلك، العهد القديم سفر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دار الكتاب المقدس، و حاصله أنّهم يغسلون أيديهم في دم عجلة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أيدينا لم تسفك هذا الدم و أعيننا لم تبصر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بقية كلامه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الصفر المطلق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الآيات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لاحظ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لاحظ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هي الصلة بين هذه العوامل و تدمير المجتمع و انحلاله، فهو يحتاج إلى بيان خارج عن موضوع الكتاب، غير أنّا نقول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بين هذه العوامل و إهلاك المجتمع، رابطة مادية و طبيعية، و في الوقت نفسه رابطة إلهية، فالوقوف على العلل المادية لا يغني عن الإذعان بأنّ هناك رابطة غيبية بين هذه العلل و معلولها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لاحظ سورة الحج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بما أنّ الكلام فيه قد سبق في الجزء الثاني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فقد اكتفينا بهذا المقدار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الأول،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هاهنا وجه ثالث و هو أنّ علم الإنسان بزمن موته يشجّعه على الفجور و العصيان متكلا على التوبة و الإنابة قبل مدّة من حلول أجله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برزخ،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أحوال البرزخ،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الطبعة الحجرية الملحقة بشرح الباب الحادي عشر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 صيدا، و لاحظ إرشاد الطالبين،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لأحمد بن حنبل،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لاحظ الإبانة للأشعري،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العقول، للرازي،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ناظرة إلى النفخ الثاني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مادة شرط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 نفسه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جعله من أشراطها على حدة، فإنّها تحكي عن عموم حالة الفوضى و الهرج و المرج العالم بأسره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روايات أخر في المصدرين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أوردناه من الروايات في بحث الإمامة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التبسط في الآية، فعليه الرجوع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الأمالي،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نار تخرج من قعر عدن تسوق الناس إلى المحشر تنزل معهم إذا نزلوا، و تقبل معهم إذا اقبلوا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روى المجلسي في الجزء السادس من بحاره، في باب أشراط الساعة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اثنين و ثلاثين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نقلناه نموذج من تلك الأحاديث، كما روى الجزري، في الجزء الحادي عشر من جامع الأصول، في الباب المعقود لبيان أشراط الساعة،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مائة و ستة أحاديث</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 التكوير، و الانفطار، و الانشقاق و القارعة و غيرها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الزلزلة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بيان أوفى لإعطاء الكتب في الشهود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ينبغي التعجّب من ذلك، و قد توصّل الإنسان في هذه الدنيا إلى معرفة فاعل كل جريمة، و مرتكب كل جناية، بتشخيص بصمات أصابعه، و يكفي في إتمام الحجة عليه إظهار آثار جلد إصبعه و شهادتها عليه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بهذا المضمون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نقلها الشيخ الحرّ العاملي في الوسائل،</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و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وصايا الباقر عليه السلام،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التي ذكرها المحقق الدواني في شرح العقائد العضدية غير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 في 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فائدة في وضع الموازين التي أثبتموها، و معلوم أنّه إنّما يوضع ليوزن به الشيء، و لا شيء هناك يدخله الوزن و يتأتى فيه، فإنّ أعمال العباد و طاعاتهم و معاصيهم أعراض لا يتصور فيها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يمتنع أن يجعل اللّه تعالى النور علما للطاعة، و الظلم أمارة للمعصية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يجعل النور في إحدى الكفتين، و الظلم في الكفّة الأخرى، فإن ترجحت كفّة النور حكم لصاحبه بالثواب، و إن ترجحت الأخرى حكم له بالأخرى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القاضي يتخيل أنّ المراد من الميزان هو المتعارف بيننا، و قد عرفت ما في ذلك</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 مادة سبل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 أخرى بزيادة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أظلم من الليل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عَلَيْهِ أَنَّهُ مَنْ تَوَلاّٰهُ فَأَنَّهُ يُضِلُّهُ، وَ يَهْدِيهِ إِلىٰ عَذٰابِ اَلسَّعِيرِ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المجلس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لاحظ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المفسرون في ذلك على اثني عشر قولا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يوقف كل نبي و كل خليفة 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عند ذلك يكون ذكر النبي و الأئمة من باب تطبيق الكلي على المصاديق المثلى</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روايات كثيرة حول الحوض</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مصادره، ما دبّجه قلم المتتبع الكبير السيد مير حامد حسين الهندي، فقد جمع أسناده و بحث فيها و في دلالته في ستة مجلدات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كتاب المراجعات، للإمام شرف الدين، المراجعة الثانية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لاحظ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الياقوت،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حق اليقين، للسيد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نطيل الكلام بنقل كلمات الآخرين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الثالثة، الباب الرابع،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الشفاء، قسم الإلهيات، المقالة التاسعة،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من كلام الشيخ الرئيس أنه لا سبيل إلى المعاد الجسماني إلا بالشريعة و تصديق خبر النبوة، و قد فسّر كلامه بأنه لا يمكن إثبات المعاد الجسماني و عود البدن مع الروح في النشأة الأخرى بالبرهان، و إنما الطريق إليه هو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تفسير خاطئ، كيف و الأقلون من هذا الشيخ الإلهي مرتبة يثبتون ذلك بالبراهين الفلسفية، و إنما مراده من المعاد الجسماني هو اللذات و الآلام الجسمانية من الجنة و نعيمها و النار و لهيبها، فإن إثبات خصوص هذه اللذات يرجع إلى السمع و عالم الوحي، و لو لا السمع لما قدرنا على الحكم بأنّ للّه سبحانه في النشأة الأخرى هذه النعم و النقم، بل أقصى ما يمكن إثباته هو أن حشر الأجساد يمتنع أن يكون بلا غاية و بلا جهة، أو بلا ثواب و لا عقاب، و أما أن الثواب هو نفس ما ورد في الكتاب من الحور العين و الفواكه و الثمار و غيرها، أو أنّ العقاب هو النار و لهيبها،</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للمحقق الدواني،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تعليقة المحقق السبزواري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البحث الخامس من مباحث المعاد، حيث ذكرنا نماذج من إحياء الموتى في الشرائع السابقة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ورد هذا المضمون في الذكر الحكيم في سور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ذكرناه نماذج من اللذات و الآلام الروحية الدالة على أن الثواب و العقاب ليسا محصورين في الجسماني منهما، و من أراد التوسع فليلاحظ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للعارف الكبير، الشيخ جواد الملكي،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روايات وردت حول الموضوع، فمن أراد الوقوف عليها فليرجع إلى توحيد الصدوق، و إلى الموسوعة القرآنية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إلهيات الشفاء، و المبدأ و المعاد للشيخ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الأربعة لصدر المتألهين،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المنظومة، و أسرار الحكم، كلاهما للحكيم السبزواري، و غيرها من كتب الفلاسفة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للحكيم السبزواري، المقصد السادس، الفريدة الثانية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نقلا عن المسائل السروية، للشيخ المفيد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 نقلا عن رسالة كتبها السيد المرتضى جوابا على أسئلة أهل الريّ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و قد نقل أقوال علماء الشيعة و نصوصهم في هذا الجزء من بحاره فمن أراد زيادة الاطلاع فليرجع إليه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 الباب الثاني، الدليل الثالث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الفتن، و أشراط الساعة، باب في الآيات التي تكون قبل الساعة،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الاعتصام بقول النبي،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 بحثان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هم الراجعون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الهدف من إحيائهم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إجمال الجواب عن الأول أن الراجعين لفيف من المؤمنين و لفيف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إجمال الجواب عن الثاني ما جاء في كلام السيد المرتضى المنقول آنفا،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تعالى يعيد عند ظهور إمام الزمان، المهدي عليه السلام، قوما ممن كان تقدم موته من شيعته ليفوزوا بثواب نصرته و معونته، و مشاهدة دولته، و يعيد أيضا قوما من أعدائه لينتقم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جميع ذلك في البحار،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الايقاظ من الهجعة بالبرهان على الرجعة، للشيخ الحر العاملي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أحطت خبرا بما ذكرناه، يتبين لك سقوط كثير مما ذكره الألوسي في تفسيره عند البحث عن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مادة نسخ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مادة نسخ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محمود بن مسعود الشيرازي، المتوفي عام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المقالة الخامسة، الفصل الأول،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البدن و الهيكل المادي الإنساني في اصطلاح شيخ الإشراق و من تابعه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الثامن، 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يسمي الأول نسخا و الثاني مسخا و الثالث فسخا و الرابع رسخا، يقول الحكيم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و مسخ رسخ فسخ قسما إنسانا و حيوانا جمادا نما</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ذكرناه إجمال ما يرمي إليه أصحاب هذا القول، و التفصيل يطلب من محله، لاحظ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للحكيم السبزواري،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المستفاد أحد مراتب العقل الأربعة المصطلح عليها في الحكمة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عبارة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الهيولاني،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بالملكة،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بالفعل،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 المستفاد، راجع في توضيحها شرح المنظومة للحكيم السبزواري، قسم الطبيعيات، مباحث النفس،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حكمة الإشراق المقالة الخامسة، الفصل الأول،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الباب الثامن، الفصل الثاني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تقريرا واضح لما أفاده صدر المتألهين، في أسفاره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كشف المراد،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يضيف الأخير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هذا البرهان يختص المشائيين و قبله صدر المتألهين أيضا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الاستدلال مبني على أن المراد من النكالة هو العقوبة كما أن المراد من الموصول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بين يديها و ما خلفها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الذنوب المتقدمة على الاصطياد و المتأخرة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طبعة بيروت،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افترى على الشيعة في كتابه هذا ما افترى، و ندم عليه في أخريات عمره حيث لا ينفع الندم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جعل سكون القلب تفسيرا للمعنى الثاني أي التصديق لكان أحسن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نقلا عن معاني الأخبار للصدوق</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لابن حزم الظاهري،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أُمِرُوا إِلاّٰ لِيَعْبُدُوا اَللّٰهَ مُخْلِصِينَ لَهُ اَلدِّينَ حُنَفٰاءَ وَ يُقِيمُوا اَلصَّلاٰةَ وَ يُؤْتُوا اَلزَّكٰاةَ وَ ذٰلِكَ دِينُ اَلْقَيِّمَةِ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مستدلين بأنّ المشار إليه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جميع ما ورد بعد الأمر، من عبادة اللّه سبحانه بالإخلاص و إقامة الصلاة و إيتاء الزكاة، استدل به ابن حزم في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عنه الأستاذ دام ظله في الجزء الثالث من بحوثه في الملل و النحل، فلاحظ</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أنّ الإيمان مبثوث على الجوارح،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لاحظ سائر الروايات في هذا الكتاب</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الوافي، للفيض الكاشاني،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الكفر، و الشرك، باب أصناف الناس،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 قول المرجئة، و هو لا يفترق كثيرا عن القول الثالث من الاكتفاء بالتصديق اللساني، و من أراد التفصيل فليرجع إلى الجزء الثالث من أبحاث الشيخ الأستاذ حفظه اللّه في الملل و النحل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كسب حرام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سنرجع إلى هذا الحديث عند استعراض أحكام التوبة، و إنما أوردناه هنا جملة واحدة ليسهل الرجوع إليه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 العلامة المجلسي عن الشيخ البهائي، لاحظ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كتاب الحدود، الباب الرابع في حدّ المسكر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الباب الثاني، في أحكام اللواط</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شرح الأصول الخمسة، 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صيدا، بتصرف</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إذا اغتاب إنسان رجلا، فهل يجب عليه الاعتذار منه، خاصة إذا بلغته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و هذه مسألة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التائب عالما بذنوبه على التفصيل فهل يجب التوبة عن كل واحدة منها، أو تكفي التوبة عنها إجمالا؟ و هل يجب تجديد التوبة، كلما تذكر التائب، معصيته السابقة؟ و غير ذلك مما ذكره المتكلمون، لاحظ التجريد و شروحه، في التوبة، المسألة الحادية عشر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في هذه الأمور يحوجنا إلى تأليف مفرد، و لذا اقتصرنا في البحث على ما يناسب وضع الكتاب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دائرة معارف القرن الرابع عشر،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مادة شفع</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لاحظ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لاحظ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الثاني و الأربعون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التبسط فعليه الرجوع إلى المصادر التالية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لاحظ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المراد من العرب المسلمون، لأن المسلمين يوم ذاك كانوا منحصرين في العرب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للطوسي،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صحيح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صحيح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لفريد وجدي،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 قد تبنى مؤلّفه هذا الإشكال و ما يليه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الوقوف على سائر الإشكالات و أجوبتها، مفاهيم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أنوار التنزيل للبيضاوي،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الغيب، للرازي،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الرسائل الكبرى، لابن تيمية،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من الكتاب،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الشبهات لمحمد بن عبد الوهاب،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مادة حبط،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مادة كفر،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يظهر من القاضي عبد الجبار في شرح الأصول الخمسة،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أن القول بالإحباط و التكفير خيرة مشايخ المعتزلة، و إنما خالف منهم القليل مثل عبّاد بن سليمان الصيمري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سنذكرها في آخر البحث</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لاحظ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تعليل الوجه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أن يستحق الثواب فقط و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يستحق العقاب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لوضوحه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حاصل هذا الدليل أنّ المكلّف، بارتكاب الكبيرة تخرج نفسه من صلاحية استحقاق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دعوى بلا دليل، إذ لا دليل على أنّ كل معصية لها هذا الشأن، و ليست كل معصية كالكفر و الارتداد و النفاق</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في عامل الكفر،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كالغضب في محضره صلوات اللّه عليه و آله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الأمر بالمعروف و النهي عن المنكر من الأحكام الفرعية الفقهية، غير أنّ القوم بحثوا عنه في الكتب الكلامية لأنه من الأحكام الاجتماعية التي لها دور أساسي في تطوير المجتمع و سوقه إلى الصلاح، و نحن اقتفينا أثرهم في هذا المقام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الأمر بالمعروف،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أوائل المقالات،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الجهاد، الفصل الخامس،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الدليل الخامس من أدلة وجوب بعثة الأنبياء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الثالثة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الأستاذ الفقهية في التقية، فقد أثبت أنّ التقية ربما تحرم إذا كان الفساد في تركها أوسع و سيوافيك بحث التقية في الخاتمة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الثالث من أبواب الأمر بالمعروف،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لاحظ في ذلك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الكلّ يدل على أنّ تكوّن الإنسان عند بعثه، يحصل دفعة واحدة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قانون لاوازييه،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1,083,320,000,000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دلّت الإحصاءات الأخيرة أنّ عدد سكان الأرض حاليا يبلغ قرابة خمسة مليارات إنسان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18,750,000,000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5000,000,000,000,000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عند إجراء هذا الحساب، ملياري إنسان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مساحة بحيرة قزوين </w:t>
      </w:r>
      <w:r>
        <w:rPr>
          <w:rFonts w:eastAsia="IRNazanin" w:cs="IRNazanin"/>
          <w:b w:val="false"/>
          <w:bCs w:val="false"/>
          <w:i w:val="false"/>
          <w:iCs w:val="false"/>
          <w:color w:val="333333"/>
          <w:sz w:val="20"/>
          <w:szCs w:val="20"/>
        </w:rPr>
        <w:t>420,000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 مربع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المواقف للسيد شريف،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الإشكال الثاني وارد فيه دون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المراد،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 الصورتين هو أنّ الإشكال بالتقرير الأول يركز على نقص الإنسان المعاد من حيث البدن، و لكنه في التقرير الثاني يركز على أنّ المعاد الجسماني في المقام يستلزم خلاف العدل الإلهي، فالأساس في الإشكال في الصورتين واحد، و هو كون بدن إنسان جزء من بدن إنسان آخر، و لكن المترتب على الصورة الأولى هو عدم صدق كون المعاد هو المنشأ في الدنيا، و على الصورة الثانية هو تعذيب البريء مكان المجرم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أحوال البرزخ، 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إثبات الحشر،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درجة الصفر المطلق البالغة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مئوية تحت الصفر، و هي درجة سيلان غاز الهيليوم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الجزء الأول من كتابنا هذا، و قد جاء السؤال فيه أبسط مما ذكر هنا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من الخبر، ما تضافر عن النبي 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شفاعتي لأهل الكبائر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يَعْصِ اَللّٰهَ وَ رَسُولَهُ فَإِنَّ لَهُ نٰارَ جَهَنَّمَ خٰالِدِينَ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راجع إلى الكفار، كما هو واضح لمن لاحظ آيات السورة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تدل هذه الآيات على عدم الخلود في النار، تدل على جواز العفو عن الفاسق من بدء الأمر، و أنه يعفى عنه و لا يعذب من رأس، فهذا الصنف من الآيات كما يحتج به في هذه مسألة، يحتج به في المسألة السالفة أيضا فلاحظ</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الأساس لعقائد الأكياس،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المستدل في هذا، فإن الوعد إنشاء و ليس بإخبار حتى يلزم فيه الكذب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لجلال الدين الدواني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الحجرية الملحقة بشرح الباب الحادي عشر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لاحظ شرح التجريد للقوشجي،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العبارتان متحدتان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اعتمد على هذا الاحتمال السيد الرضى في حقائق التأويل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التعبير بالفعل الماضي، لصحته و تحقق وقوعه، و كأنه قد كان، فعبّر عنه بعبارة الكائن الواقع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التأويل،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للسيد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محدّد الجهات عبارة عن الفلك التاسع، و هو الفلك الأطلس الذي كان يعتقد به بطلميوس و يقول ليس فوقه خلاء و لا ملاء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هذه الوجوه الثلاثة في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غرس،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الخامس،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نقله غير واحد من المفسرين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هو مؤمن آل فرعون على ما في التفاسير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شريك بن شداد الحضرمي، كان من أصحاب حجر الذين بعث بهم زياد إلى معاوية و قتل مع حجر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هناك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مذكورة في أكثر الكتب التاريخية التي تعرضت لحوادث عامي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ذكرها شيخنا الطهراني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هنا بحث آخر و هو أنّه إذا عمل الشيعي على مقتضى التقية، كما إذا غسل رجليه مكان مسحهما أو سجد على غير ما يصح عليه السجود، كالسجاجيد، فكيف يحكم بصحة عمله مع أنّه لم يمتثل ما على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مسألة فقهية، لها بحثها، و إجمال الجواب أنّ أدلة التقية حاكمة على الأدلة الواقعية، موسعة لها في ظروفها كالتيمم في مواقع فقد الماء، فإجزاؤهما من باب واحد، و التفصيل يطلب من محله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هامش الإصابة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الفضائل،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المنافقون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هذه الأحاديث، جامع الأصول، لابن الأثير،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الحوض، في ورود الناس عليه،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جميع ذلك في تفسير البحر المحيط،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أعلام الموقعين،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الرابع مع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ظلال 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الأخذ بالسنة،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الحجرية الملحقة بشرح الباب الحادي عشر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المقدمة، الفن الخامس، و لاحظ بقية كلامه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تقريرا لأبحاث الإمام الخميني في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لاحظ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الشهادة تكون عند الحاكم في ولاية القضاء،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تفسير آلاء الرحمن للعلامة البلاغي،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تفسير البيان للمحقق الخوئي،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إظهار الحق للعلامة الهندي،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فإن فيها كفاية و غنى لطالب الحق</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الإحصان هو إحصان التعفف لا إحصان التزوّج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متعففين لا متزوجين و من فسّره بإحصان التزوّج فقد أخطأ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يشهد لما ذكرنا من التفسير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مُسٰافِحِينَ أي غير زانين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تفسير الرازي،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الشوكاني،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 الأولى، و نظيره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اَلْمُطَلَّقٰاتُ يَتَرَبَّصْنَ بِأَنْفُسِهِنَّ ثَلاٰثَةَ قُرُوءٍ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الوقوف على مصادر هذه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أصل الشيعة و أصولها،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الأقوال في الثاني أكثر ممّا ذكرنا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جاء في بعض نسخ البخاري، كما نص عليه العسقلاني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63232</Words>
  <Characters>257067</Characters>
  <CharactersWithSpaces>318738</CharactersWithSpaces>
  <Paragraphs>1857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2026-08-25T12:21:25Z</dcterms:created>
  <dc:creator>ghaemiyeh.com</dc:creator>
  <dc:description/>
  <dc:language>en-US</dc:language>
  <cp:lastModifiedBy/>
  <dcterms:modified xsi:type="dcterms:W3CDTF">2026-08-25T15:52:22Z</dcterms:modified>
  <cp:revision>1</cp:revision>
  <dc:subject/>
  <dc:title>الإلهیات علی هدی الکتاب و السنة و العقل جلد 4</dc:title>
</cp:coreProperties>
</file>

<file path=docProps/custom.xml><?xml version="1.0" encoding="utf-8"?>
<Properties xmlns="http://schemas.openxmlformats.org/officeDocument/2006/custom-properties" xmlns:vt="http://schemas.openxmlformats.org/officeDocument/2006/docPropsVTypes"/>
</file>