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سلسلة مصطلحات معاصرة جلد </w:t>
      </w:r>
      <w:r>
        <w:rPr/>
        <w:t>31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77263_1280447820">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5377265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377267_1280447820">
            <w:r>
              <w:rPr>
                <w:webHidden/>
                <w:rStyle w:val="IndexLink"/>
                <w:rtl w:val="true"/>
              </w:rPr>
              <w:t>الفهرس</w:t>
            </w:r>
            <w:r>
              <w:rPr>
                <w:rStyle w:val="IndexLink"/>
                <w:rtl w:val="true"/>
              </w:rPr>
              <w:tab/>
            </w:r>
            <w:r>
              <w:rPr>
                <w:rStyle w:val="IndexLink"/>
              </w:rPr>
              <w:t>8</w:t>
            </w:r>
          </w:hyperlink>
        </w:p>
        <w:p>
          <w:pPr>
            <w:pStyle w:val="Contents2"/>
            <w:tabs>
              <w:tab w:val="clear" w:pos="8743"/>
              <w:tab w:val="right" w:pos="9026" w:leader="dot"/>
            </w:tabs>
            <w:rPr/>
          </w:pPr>
          <w:hyperlink w:anchor="__RefHeading___Toc5377269_1280447820">
            <w:r>
              <w:rPr>
                <w:webHidden/>
                <w:rStyle w:val="IndexLink"/>
                <w:rtl w:val="true"/>
              </w:rPr>
              <w:t>مقدمة المركز</w:t>
            </w:r>
            <w:r>
              <w:rPr>
                <w:rStyle w:val="IndexLink"/>
                <w:rtl w:val="true"/>
              </w:rPr>
              <w:tab/>
            </w:r>
            <w:r>
              <w:rPr>
                <w:rStyle w:val="IndexLink"/>
              </w:rPr>
              <w:t>13</w:t>
            </w:r>
          </w:hyperlink>
        </w:p>
        <w:p>
          <w:pPr>
            <w:pStyle w:val="Contents2"/>
            <w:tabs>
              <w:tab w:val="clear" w:pos="8743"/>
              <w:tab w:val="right" w:pos="9026" w:leader="dot"/>
            </w:tabs>
            <w:rPr/>
          </w:pPr>
          <w:hyperlink w:anchor="__RefHeading___Toc5377271_1280447820">
            <w:r>
              <w:rPr>
                <w:webHidden/>
                <w:rStyle w:val="IndexLink"/>
                <w:rtl w:val="true"/>
              </w:rPr>
              <w:t>المقدمة</w:t>
            </w:r>
            <w:r>
              <w:rPr>
                <w:rStyle w:val="IndexLink"/>
                <w:rtl w:val="true"/>
              </w:rPr>
              <w:tab/>
            </w:r>
            <w:r>
              <w:rPr>
                <w:rStyle w:val="IndexLink"/>
              </w:rPr>
              <w:t>15</w:t>
            </w:r>
          </w:hyperlink>
        </w:p>
        <w:p>
          <w:pPr>
            <w:pStyle w:val="Contents2"/>
            <w:tabs>
              <w:tab w:val="clear" w:pos="8743"/>
              <w:tab w:val="right" w:pos="9026" w:leader="dot"/>
            </w:tabs>
            <w:rPr/>
          </w:pPr>
          <w:hyperlink w:anchor="__RefHeading___Toc5377273_1280447820">
            <w:r>
              <w:rPr>
                <w:webHidden/>
                <w:rStyle w:val="IndexLink"/>
                <w:rtl w:val="true"/>
              </w:rPr>
              <w:t xml:space="preserve">الفصل الأول </w:t>
            </w:r>
            <w:r>
              <w:rPr>
                <w:rStyle w:val="IndexLink"/>
                <w:rtl w:val="true"/>
              </w:rPr>
              <w:t xml:space="preserve">: </w:t>
            </w:r>
            <w:r>
              <w:rPr>
                <w:rStyle w:val="IndexLink"/>
                <w:rtl w:val="true"/>
              </w:rPr>
              <w:t>الجذور التاريخية للكانطية الجديدة</w:t>
            </w:r>
            <w:r>
              <w:rPr>
                <w:rStyle w:val="IndexLink"/>
                <w:rtl w:val="true"/>
              </w:rPr>
              <w:tab/>
            </w:r>
            <w:r>
              <w:rPr>
                <w:rStyle w:val="IndexLink"/>
              </w:rPr>
              <w:t>21</w:t>
            </w:r>
          </w:hyperlink>
        </w:p>
        <w:p>
          <w:pPr>
            <w:pStyle w:val="Contents3"/>
            <w:tabs>
              <w:tab w:val="clear" w:pos="8459"/>
              <w:tab w:val="right" w:pos="9026" w:leader="dot"/>
            </w:tabs>
            <w:rPr/>
          </w:pPr>
          <w:hyperlink w:anchor="__RefHeading___Toc5377275_1280447820">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5377277_1280447820">
            <w:r>
              <w:rPr>
                <w:webHidden/>
                <w:rStyle w:val="IndexLink"/>
                <w:rtl w:val="true"/>
              </w:rPr>
              <w:t xml:space="preserve">الجزء الأول </w:t>
            </w:r>
            <w:r>
              <w:rPr>
                <w:rStyle w:val="IndexLink"/>
                <w:rtl w:val="true"/>
              </w:rPr>
              <w:t xml:space="preserve">: </w:t>
            </w:r>
            <w:r>
              <w:rPr>
                <w:rStyle w:val="IndexLink"/>
                <w:rtl w:val="true"/>
              </w:rPr>
              <w:t>أسباب ظهور الكانطية الجديدة</w:t>
            </w:r>
            <w:r>
              <w:rPr>
                <w:rStyle w:val="IndexLink"/>
                <w:rtl w:val="true"/>
              </w:rPr>
              <w:tab/>
            </w:r>
            <w:r>
              <w:rPr>
                <w:rStyle w:val="IndexLink"/>
              </w:rPr>
              <w:t>22</w:t>
            </w:r>
          </w:hyperlink>
        </w:p>
        <w:p>
          <w:pPr>
            <w:pStyle w:val="Contents4"/>
            <w:tabs>
              <w:tab w:val="clear" w:pos="8176"/>
              <w:tab w:val="right" w:pos="9026" w:leader="dot"/>
            </w:tabs>
            <w:rPr/>
          </w:pPr>
          <w:hyperlink w:anchor="__RefHeading___Toc5377279_1280447820">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5377281_1280447820">
            <w:r>
              <w:rPr>
                <w:webHidden/>
                <w:rStyle w:val="IndexLink"/>
              </w:rPr>
              <w:t>1</w:t>
            </w:r>
            <w:r>
              <w:rPr>
                <w:rStyle w:val="IndexLink"/>
                <w:rtl w:val="true"/>
              </w:rPr>
              <w:t xml:space="preserve">. </w:t>
            </w:r>
            <w:r>
              <w:rPr>
                <w:rStyle w:val="IndexLink"/>
                <w:rtl w:val="true"/>
              </w:rPr>
              <w:t>السبب السياسي</w:t>
            </w:r>
            <w:r>
              <w:rPr>
                <w:rStyle w:val="IndexLink"/>
                <w:rtl w:val="true"/>
              </w:rPr>
              <w:tab/>
            </w:r>
            <w:r>
              <w:rPr>
                <w:rStyle w:val="IndexLink"/>
              </w:rPr>
              <w:t>23</w:t>
            </w:r>
          </w:hyperlink>
        </w:p>
        <w:p>
          <w:pPr>
            <w:pStyle w:val="Contents4"/>
            <w:tabs>
              <w:tab w:val="clear" w:pos="8176"/>
              <w:tab w:val="right" w:pos="9026" w:leader="dot"/>
            </w:tabs>
            <w:rPr/>
          </w:pPr>
          <w:hyperlink w:anchor="__RefHeading___Toc5377283_1280447820">
            <w:r>
              <w:rPr>
                <w:webHidden/>
                <w:rStyle w:val="IndexLink"/>
              </w:rPr>
              <w:t>2</w:t>
            </w:r>
            <w:r>
              <w:rPr>
                <w:rStyle w:val="IndexLink"/>
                <w:rtl w:val="true"/>
              </w:rPr>
              <w:t xml:space="preserve">. </w:t>
            </w:r>
            <w:r>
              <w:rPr>
                <w:rStyle w:val="IndexLink"/>
                <w:rtl w:val="true"/>
              </w:rPr>
              <w:t xml:space="preserve">السبب الفكري </w:t>
            </w:r>
            <w:r>
              <w:rPr>
                <w:rStyle w:val="IndexLink"/>
                <w:rtl w:val="true"/>
              </w:rPr>
              <w:t>-</w:t>
            </w:r>
            <w:r>
              <w:rPr>
                <w:rStyle w:val="IndexLink"/>
                <w:rtl w:val="true"/>
              </w:rPr>
              <w:t>الديني</w:t>
            </w:r>
            <w:r>
              <w:rPr>
                <w:rStyle w:val="IndexLink"/>
                <w:rtl w:val="true"/>
              </w:rPr>
              <w:tab/>
            </w:r>
            <w:r>
              <w:rPr>
                <w:rStyle w:val="IndexLink"/>
              </w:rPr>
              <w:t>26</w:t>
            </w:r>
          </w:hyperlink>
        </w:p>
        <w:p>
          <w:pPr>
            <w:pStyle w:val="Contents4"/>
            <w:tabs>
              <w:tab w:val="clear" w:pos="8176"/>
              <w:tab w:val="right" w:pos="9026" w:leader="dot"/>
            </w:tabs>
            <w:rPr/>
          </w:pPr>
          <w:hyperlink w:anchor="__RefHeading___Toc5377285_1280447820">
            <w:r>
              <w:rPr>
                <w:webHidden/>
                <w:rStyle w:val="IndexLink"/>
              </w:rPr>
              <w:t>3</w:t>
            </w:r>
            <w:r>
              <w:rPr>
                <w:rStyle w:val="IndexLink"/>
                <w:rtl w:val="true"/>
              </w:rPr>
              <w:t xml:space="preserve">. </w:t>
            </w:r>
            <w:r>
              <w:rPr>
                <w:rStyle w:val="IndexLink"/>
                <w:rtl w:val="true"/>
              </w:rPr>
              <w:t>وضع حدودِ مع المسيحية والطبيعانية والتشاؤم</w:t>
            </w:r>
            <w:r>
              <w:rPr>
                <w:rStyle w:val="IndexLink"/>
                <w:rtl w:val="true"/>
              </w:rPr>
              <w:tab/>
            </w:r>
            <w:r>
              <w:rPr>
                <w:rStyle w:val="IndexLink"/>
              </w:rPr>
              <w:t>27</w:t>
            </w:r>
          </w:hyperlink>
        </w:p>
        <w:p>
          <w:pPr>
            <w:pStyle w:val="Contents3"/>
            <w:tabs>
              <w:tab w:val="clear" w:pos="8459"/>
              <w:tab w:val="right" w:pos="9026" w:leader="dot"/>
            </w:tabs>
            <w:rPr/>
          </w:pPr>
          <w:hyperlink w:anchor="__RefHeading___Toc5377287_1280447820">
            <w:r>
              <w:rPr>
                <w:webHidden/>
                <w:rStyle w:val="IndexLink"/>
                <w:rtl w:val="true"/>
              </w:rPr>
              <w:t xml:space="preserve">الجزء الثاني </w:t>
            </w:r>
            <w:r>
              <w:rPr>
                <w:rStyle w:val="IndexLink"/>
                <w:rtl w:val="true"/>
              </w:rPr>
              <w:t xml:space="preserve">: </w:t>
            </w:r>
            <w:r>
              <w:rPr>
                <w:rStyle w:val="IndexLink"/>
                <w:rtl w:val="true"/>
              </w:rPr>
              <w:t>تعريف الكانطية الجديدة</w:t>
            </w:r>
            <w:r>
              <w:rPr>
                <w:rStyle w:val="IndexLink"/>
                <w:rtl w:val="true"/>
              </w:rPr>
              <w:tab/>
            </w:r>
            <w:r>
              <w:rPr>
                <w:rStyle w:val="IndexLink"/>
              </w:rPr>
              <w:t>31</w:t>
            </w:r>
          </w:hyperlink>
        </w:p>
        <w:p>
          <w:pPr>
            <w:pStyle w:val="Contents3"/>
            <w:tabs>
              <w:tab w:val="clear" w:pos="8459"/>
              <w:tab w:val="right" w:pos="9026" w:leader="dot"/>
            </w:tabs>
            <w:rPr/>
          </w:pPr>
          <w:hyperlink w:anchor="__RefHeading___Toc5377289_1280447820">
            <w:r>
              <w:rPr>
                <w:webHidden/>
                <w:rStyle w:val="IndexLink"/>
                <w:rtl w:val="true"/>
              </w:rPr>
              <w:t>الجزء الثالث</w:t>
            </w:r>
            <w:r>
              <w:rPr>
                <w:rStyle w:val="IndexLink"/>
                <w:rtl w:val="true"/>
              </w:rPr>
              <w:t xml:space="preserve">: </w:t>
            </w:r>
            <w:r>
              <w:rPr>
                <w:rStyle w:val="IndexLink"/>
                <w:rtl w:val="true"/>
              </w:rPr>
              <w:t>ظهور مصطلح الكانطية الجديدة</w:t>
            </w:r>
            <w:r>
              <w:rPr>
                <w:rStyle w:val="IndexLink"/>
                <w:rtl w:val="true"/>
              </w:rPr>
              <w:tab/>
            </w:r>
            <w:r>
              <w:rPr>
                <w:rStyle w:val="IndexLink"/>
              </w:rPr>
              <w:t>32</w:t>
            </w:r>
          </w:hyperlink>
        </w:p>
        <w:p>
          <w:pPr>
            <w:pStyle w:val="Contents2"/>
            <w:tabs>
              <w:tab w:val="clear" w:pos="8743"/>
              <w:tab w:val="right" w:pos="9026" w:leader="dot"/>
            </w:tabs>
            <w:rPr/>
          </w:pPr>
          <w:hyperlink w:anchor="__RefHeading___Toc5377291_1280447820">
            <w:r>
              <w:rPr>
                <w:webHidden/>
                <w:rStyle w:val="IndexLink"/>
                <w:rtl w:val="true"/>
              </w:rPr>
              <w:t xml:space="preserve">الفصل الثاني </w:t>
            </w:r>
            <w:r>
              <w:rPr>
                <w:rStyle w:val="IndexLink"/>
                <w:rtl w:val="true"/>
              </w:rPr>
              <w:t xml:space="preserve">: </w:t>
            </w:r>
            <w:r>
              <w:rPr>
                <w:rStyle w:val="IndexLink"/>
                <w:rtl w:val="true"/>
              </w:rPr>
              <w:t>بواكر الكانطية الجديدة</w:t>
            </w:r>
            <w:r>
              <w:rPr>
                <w:rStyle w:val="IndexLink"/>
                <w:rtl w:val="true"/>
              </w:rPr>
              <w:tab/>
            </w:r>
            <w:r>
              <w:rPr>
                <w:rStyle w:val="IndexLink"/>
              </w:rPr>
              <w:t>39</w:t>
            </w:r>
          </w:hyperlink>
        </w:p>
        <w:p>
          <w:pPr>
            <w:pStyle w:val="Contents3"/>
            <w:tabs>
              <w:tab w:val="clear" w:pos="8459"/>
              <w:tab w:val="right" w:pos="9026" w:leader="dot"/>
            </w:tabs>
            <w:rPr/>
          </w:pPr>
          <w:hyperlink w:anchor="__RefHeading___Toc5377293_1280447820">
            <w:r>
              <w:rPr>
                <w:webHidden/>
                <w:rStyle w:val="IndexLink"/>
                <w:rtl w:val="true"/>
              </w:rPr>
              <w:t>اشارة</w:t>
            </w:r>
            <w:r>
              <w:rPr>
                <w:rStyle w:val="IndexLink"/>
                <w:rtl w:val="true"/>
              </w:rPr>
              <w:tab/>
            </w:r>
            <w:r>
              <w:rPr>
                <w:rStyle w:val="IndexLink"/>
              </w:rPr>
              <w:t>39</w:t>
            </w:r>
          </w:hyperlink>
        </w:p>
        <w:p>
          <w:pPr>
            <w:pStyle w:val="Contents3"/>
            <w:tabs>
              <w:tab w:val="clear" w:pos="8459"/>
              <w:tab w:val="right" w:pos="9026" w:leader="dot"/>
            </w:tabs>
            <w:rPr/>
          </w:pPr>
          <w:hyperlink w:anchor="__RefHeading___Toc5377295_1280447820">
            <w:r>
              <w:rPr>
                <w:webHidden/>
                <w:rStyle w:val="IndexLink"/>
              </w:rPr>
              <w:t>1</w:t>
            </w:r>
            <w:r>
              <w:rPr>
                <w:rStyle w:val="IndexLink"/>
                <w:rtl w:val="true"/>
              </w:rPr>
              <w:t xml:space="preserve">. </w:t>
            </w:r>
            <w:r>
              <w:rPr>
                <w:rStyle w:val="IndexLink"/>
                <w:rtl w:val="true"/>
              </w:rPr>
              <w:t>فريدريك أدولف تريند لينبورغ</w:t>
            </w:r>
            <w:r>
              <w:rPr>
                <w:rStyle w:val="IndexLink"/>
                <w:rtl w:val="true"/>
              </w:rPr>
              <w:tab/>
            </w:r>
            <w:r>
              <w:rPr>
                <w:rStyle w:val="IndexLink"/>
              </w:rPr>
              <w:t>40</w:t>
            </w:r>
          </w:hyperlink>
        </w:p>
        <w:p>
          <w:pPr>
            <w:pStyle w:val="Contents3"/>
            <w:tabs>
              <w:tab w:val="clear" w:pos="8459"/>
              <w:tab w:val="right" w:pos="9026" w:leader="dot"/>
            </w:tabs>
            <w:rPr/>
          </w:pPr>
          <w:hyperlink w:anchor="__RefHeading___Toc5377297_1280447820">
            <w:r>
              <w:rPr>
                <w:webHidden/>
                <w:rStyle w:val="IndexLink"/>
              </w:rPr>
              <w:t>2</w:t>
            </w:r>
            <w:r>
              <w:rPr>
                <w:rStyle w:val="IndexLink"/>
                <w:rtl w:val="true"/>
              </w:rPr>
              <w:t xml:space="preserve">. </w:t>
            </w:r>
            <w:r>
              <w:rPr>
                <w:rStyle w:val="IndexLink"/>
                <w:rtl w:val="true"/>
              </w:rPr>
              <w:t>فيخنر</w:t>
            </w:r>
            <w:r>
              <w:rPr>
                <w:rStyle w:val="IndexLink"/>
                <w:rtl w:val="true"/>
              </w:rPr>
              <w:tab/>
            </w:r>
            <w:r>
              <w:rPr>
                <w:rStyle w:val="IndexLink"/>
              </w:rPr>
              <w:t>41</w:t>
            </w:r>
          </w:hyperlink>
        </w:p>
        <w:p>
          <w:pPr>
            <w:pStyle w:val="Contents3"/>
            <w:tabs>
              <w:tab w:val="clear" w:pos="8459"/>
              <w:tab w:val="right" w:pos="9026" w:leader="dot"/>
            </w:tabs>
            <w:rPr/>
          </w:pPr>
          <w:hyperlink w:anchor="__RefHeading___Toc5377299_1280447820">
            <w:r>
              <w:rPr>
                <w:webHidden/>
                <w:rStyle w:val="IndexLink"/>
              </w:rPr>
              <w:t>3</w:t>
            </w:r>
            <w:r>
              <w:rPr>
                <w:rStyle w:val="IndexLink"/>
                <w:rtl w:val="true"/>
              </w:rPr>
              <w:t xml:space="preserve">. </w:t>
            </w:r>
            <w:r>
              <w:rPr>
                <w:rStyle w:val="IndexLink"/>
                <w:rtl w:val="true"/>
              </w:rPr>
              <w:t>هيرمان لوتسا</w:t>
            </w:r>
            <w:r>
              <w:rPr>
                <w:rStyle w:val="IndexLink"/>
                <w:rtl w:val="true"/>
              </w:rPr>
              <w:tab/>
            </w:r>
            <w:r>
              <w:rPr>
                <w:rStyle w:val="IndexLink"/>
              </w:rPr>
              <w:t>42</w:t>
            </w:r>
          </w:hyperlink>
        </w:p>
        <w:p>
          <w:pPr>
            <w:pStyle w:val="Contents3"/>
            <w:tabs>
              <w:tab w:val="clear" w:pos="8459"/>
              <w:tab w:val="right" w:pos="9026" w:leader="dot"/>
            </w:tabs>
            <w:rPr/>
          </w:pPr>
          <w:hyperlink w:anchor="__RefHeading___Toc5377301_1280447820">
            <w:r>
              <w:rPr>
                <w:webHidden/>
                <w:rStyle w:val="IndexLink"/>
              </w:rPr>
              <w:t>4</w:t>
            </w:r>
            <w:r>
              <w:rPr>
                <w:rStyle w:val="IndexLink"/>
                <w:rtl w:val="true"/>
              </w:rPr>
              <w:t xml:space="preserve">. </w:t>
            </w:r>
            <w:r>
              <w:rPr>
                <w:rStyle w:val="IndexLink"/>
                <w:rtl w:val="true"/>
              </w:rPr>
              <w:t>أوطو ليبمان</w:t>
            </w:r>
            <w:r>
              <w:rPr>
                <w:rStyle w:val="IndexLink"/>
                <w:rtl w:val="true"/>
              </w:rPr>
              <w:tab/>
            </w:r>
            <w:r>
              <w:rPr>
                <w:rStyle w:val="IndexLink"/>
              </w:rPr>
              <w:t>43</w:t>
            </w:r>
          </w:hyperlink>
        </w:p>
        <w:p>
          <w:pPr>
            <w:pStyle w:val="Contents2"/>
            <w:tabs>
              <w:tab w:val="clear" w:pos="8743"/>
              <w:tab w:val="right" w:pos="9026" w:leader="dot"/>
            </w:tabs>
            <w:rPr/>
          </w:pPr>
          <w:hyperlink w:anchor="__RefHeading___Toc5377303_1280447820">
            <w:r>
              <w:rPr>
                <w:webHidden/>
                <w:rStyle w:val="IndexLink"/>
                <w:rtl w:val="true"/>
              </w:rPr>
              <w:t xml:space="preserve">الفصل الثالث </w:t>
            </w:r>
            <w:r>
              <w:rPr>
                <w:rStyle w:val="IndexLink"/>
                <w:rtl w:val="true"/>
              </w:rPr>
              <w:t>:</w:t>
            </w:r>
            <w:r>
              <w:rPr>
                <w:rStyle w:val="IndexLink"/>
                <w:rtl w:val="true"/>
              </w:rPr>
              <w:t>المدارس الثلاثة الرئيسية للكانطية الجديدة</w:t>
            </w:r>
            <w:r>
              <w:rPr>
                <w:rStyle w:val="IndexLink"/>
                <w:rtl w:val="true"/>
              </w:rPr>
              <w:tab/>
            </w:r>
            <w:r>
              <w:rPr>
                <w:rStyle w:val="IndexLink"/>
              </w:rPr>
              <w:t>47</w:t>
            </w:r>
          </w:hyperlink>
        </w:p>
        <w:p>
          <w:pPr>
            <w:pStyle w:val="Contents3"/>
            <w:tabs>
              <w:tab w:val="clear" w:pos="8459"/>
              <w:tab w:val="right" w:pos="9026" w:leader="dot"/>
            </w:tabs>
            <w:rPr/>
          </w:pPr>
          <w:hyperlink w:anchor="__RefHeading___Toc5377305_1280447820">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5377307_1280447820">
            <w:r>
              <w:rPr>
                <w:webHidden/>
                <w:rStyle w:val="IndexLink"/>
                <w:rtl w:val="true"/>
              </w:rPr>
              <w:t>الجزء الأول</w:t>
            </w:r>
            <w:r>
              <w:rPr>
                <w:rStyle w:val="IndexLink"/>
                <w:rtl w:val="true"/>
              </w:rPr>
              <w:t xml:space="preserve">: </w:t>
            </w:r>
            <w:r>
              <w:rPr>
                <w:rStyle w:val="IndexLink"/>
                <w:rtl w:val="true"/>
              </w:rPr>
              <w:t>مدرسة بادن</w:t>
            </w:r>
            <w:r>
              <w:rPr>
                <w:rStyle w:val="IndexLink"/>
                <w:rtl w:val="true"/>
              </w:rPr>
              <w:tab/>
            </w:r>
            <w:r>
              <w:rPr>
                <w:rStyle w:val="IndexLink"/>
              </w:rPr>
              <w:t>48</w:t>
            </w:r>
          </w:hyperlink>
        </w:p>
        <w:p>
          <w:pPr>
            <w:pStyle w:val="Contents4"/>
            <w:tabs>
              <w:tab w:val="clear" w:pos="8176"/>
              <w:tab w:val="right" w:pos="9026" w:leader="dot"/>
            </w:tabs>
            <w:rPr/>
          </w:pPr>
          <w:hyperlink w:anchor="__RefHeading___Toc5377309_1280447820">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5377311_1280447820">
            <w:r>
              <w:rPr>
                <w:webHidden/>
                <w:rStyle w:val="IndexLink"/>
              </w:rPr>
              <w:t>1</w:t>
            </w:r>
            <w:r>
              <w:rPr>
                <w:rStyle w:val="IndexLink"/>
                <w:rtl w:val="true"/>
              </w:rPr>
              <w:t xml:space="preserve">. </w:t>
            </w:r>
            <w:r>
              <w:rPr>
                <w:rStyle w:val="IndexLink"/>
                <w:rtl w:val="true"/>
              </w:rPr>
              <w:t>فيلهيلم فیندلباند</w:t>
            </w:r>
            <w:r>
              <w:rPr>
                <w:rStyle w:val="IndexLink"/>
                <w:rtl w:val="true"/>
              </w:rPr>
              <w:tab/>
            </w:r>
            <w:r>
              <w:rPr>
                <w:rStyle w:val="IndexLink"/>
              </w:rPr>
              <w:t>49</w:t>
            </w:r>
          </w:hyperlink>
        </w:p>
        <w:p>
          <w:pPr>
            <w:pStyle w:val="Contents4"/>
            <w:tabs>
              <w:tab w:val="clear" w:pos="8176"/>
              <w:tab w:val="right" w:pos="9026" w:leader="dot"/>
            </w:tabs>
            <w:rPr/>
          </w:pPr>
          <w:hyperlink w:anchor="__RefHeading___Toc5377313_1280447820">
            <w:r>
              <w:rPr>
                <w:webHidden/>
                <w:rStyle w:val="IndexLink"/>
              </w:rPr>
              <w:t>2</w:t>
            </w:r>
            <w:r>
              <w:rPr>
                <w:rStyle w:val="IndexLink"/>
                <w:rtl w:val="true"/>
              </w:rPr>
              <w:t xml:space="preserve">. </w:t>
            </w:r>
            <w:r>
              <w:rPr>
                <w:rStyle w:val="IndexLink"/>
                <w:rtl w:val="true"/>
              </w:rPr>
              <w:t>هاينريك ريكرت</w:t>
            </w:r>
            <w:r>
              <w:rPr>
                <w:rStyle w:val="IndexLink"/>
                <w:rtl w:val="true"/>
              </w:rPr>
              <w:tab/>
            </w:r>
            <w:r>
              <w:rPr>
                <w:rStyle w:val="IndexLink"/>
              </w:rPr>
              <w:t>52</w:t>
            </w:r>
          </w:hyperlink>
        </w:p>
        <w:p>
          <w:pPr>
            <w:pStyle w:val="Contents4"/>
            <w:tabs>
              <w:tab w:val="clear" w:pos="8176"/>
              <w:tab w:val="right" w:pos="9026" w:leader="dot"/>
            </w:tabs>
            <w:rPr/>
          </w:pPr>
          <w:hyperlink w:anchor="__RefHeading___Toc5377315_1280447820">
            <w:r>
              <w:rPr>
                <w:webHidden/>
                <w:rStyle w:val="IndexLink"/>
              </w:rPr>
              <w:t>3</w:t>
            </w:r>
            <w:r>
              <w:rPr>
                <w:rStyle w:val="IndexLink"/>
                <w:rtl w:val="true"/>
              </w:rPr>
              <w:t xml:space="preserve">. </w:t>
            </w:r>
            <w:r>
              <w:rPr>
                <w:rStyle w:val="IndexLink"/>
                <w:rtl w:val="true"/>
              </w:rPr>
              <w:t>هوغو مونستير بيرغ</w:t>
            </w:r>
            <w:r>
              <w:rPr>
                <w:rStyle w:val="IndexLink"/>
                <w:rtl w:val="true"/>
              </w:rPr>
              <w:tab/>
            </w:r>
            <w:r>
              <w:rPr>
                <w:rStyle w:val="IndexLink"/>
              </w:rPr>
              <w:t>56</w:t>
            </w:r>
          </w:hyperlink>
        </w:p>
        <w:p>
          <w:pPr>
            <w:pStyle w:val="Contents4"/>
            <w:tabs>
              <w:tab w:val="clear" w:pos="8176"/>
              <w:tab w:val="right" w:pos="9026" w:leader="dot"/>
            </w:tabs>
            <w:rPr/>
          </w:pPr>
          <w:hyperlink w:anchor="__RefHeading___Toc5377317_1280447820">
            <w:r>
              <w:rPr>
                <w:webHidden/>
                <w:rStyle w:val="IndexLink"/>
              </w:rPr>
              <w:t>4</w:t>
            </w:r>
            <w:r>
              <w:rPr>
                <w:rStyle w:val="IndexLink"/>
                <w:rtl w:val="true"/>
              </w:rPr>
              <w:t xml:space="preserve">. </w:t>
            </w:r>
            <w:r>
              <w:rPr>
                <w:rStyle w:val="IndexLink"/>
                <w:rtl w:val="true"/>
              </w:rPr>
              <w:t>ماكسيميليان كارل إيميل فيبر</w:t>
            </w:r>
            <w:r>
              <w:rPr>
                <w:rStyle w:val="IndexLink"/>
                <w:rtl w:val="true"/>
              </w:rPr>
              <w:tab/>
            </w:r>
            <w:r>
              <w:rPr>
                <w:rStyle w:val="IndexLink"/>
              </w:rPr>
              <w:t>58</w:t>
            </w:r>
          </w:hyperlink>
        </w:p>
        <w:p>
          <w:pPr>
            <w:pStyle w:val="Contents4"/>
            <w:tabs>
              <w:tab w:val="clear" w:pos="8176"/>
              <w:tab w:val="right" w:pos="9026" w:leader="dot"/>
            </w:tabs>
            <w:rPr/>
          </w:pPr>
          <w:hyperlink w:anchor="__RefHeading___Toc5377319_1280447820">
            <w:r>
              <w:rPr>
                <w:webHidden/>
                <w:rStyle w:val="IndexLink"/>
              </w:rPr>
              <w:t>5</w:t>
            </w:r>
            <w:r>
              <w:rPr>
                <w:rStyle w:val="IndexLink"/>
                <w:rtl w:val="true"/>
              </w:rPr>
              <w:t xml:space="preserve">. </w:t>
            </w:r>
            <w:r>
              <w:rPr>
                <w:rStyle w:val="IndexLink"/>
                <w:rtl w:val="true"/>
              </w:rPr>
              <w:t>يونس كون</w:t>
            </w:r>
            <w:r>
              <w:rPr>
                <w:rStyle w:val="IndexLink"/>
                <w:rtl w:val="true"/>
              </w:rPr>
              <w:tab/>
            </w:r>
            <w:r>
              <w:rPr>
                <w:rStyle w:val="IndexLink"/>
              </w:rPr>
              <w:t>61</w:t>
            </w:r>
          </w:hyperlink>
        </w:p>
        <w:p>
          <w:pPr>
            <w:pStyle w:val="Contents4"/>
            <w:tabs>
              <w:tab w:val="clear" w:pos="8176"/>
              <w:tab w:val="right" w:pos="9026" w:leader="dot"/>
            </w:tabs>
            <w:rPr/>
          </w:pPr>
          <w:hyperlink w:anchor="__RefHeading___Toc5377321_1280447820">
            <w:r>
              <w:rPr>
                <w:webHidden/>
                <w:rStyle w:val="IndexLink"/>
              </w:rPr>
              <w:t>6</w:t>
            </w:r>
            <w:r>
              <w:rPr>
                <w:rStyle w:val="IndexLink"/>
                <w:rtl w:val="true"/>
              </w:rPr>
              <w:t xml:space="preserve">. </w:t>
            </w:r>
            <w:r>
              <w:rPr>
                <w:rStyle w:val="IndexLink"/>
                <w:rtl w:val="true"/>
              </w:rPr>
              <w:t>إيميل لاسك</w:t>
            </w:r>
            <w:r>
              <w:rPr>
                <w:rStyle w:val="IndexLink"/>
                <w:rtl w:val="true"/>
              </w:rPr>
              <w:tab/>
            </w:r>
            <w:r>
              <w:rPr>
                <w:rStyle w:val="IndexLink"/>
              </w:rPr>
              <w:t>64</w:t>
            </w:r>
          </w:hyperlink>
        </w:p>
        <w:p>
          <w:pPr>
            <w:pStyle w:val="Contents4"/>
            <w:tabs>
              <w:tab w:val="clear" w:pos="8176"/>
              <w:tab w:val="right" w:pos="9026" w:leader="dot"/>
            </w:tabs>
            <w:rPr/>
          </w:pPr>
          <w:hyperlink w:anchor="__RefHeading___Toc5377323_1280447820">
            <w:r>
              <w:rPr>
                <w:webHidden/>
                <w:rStyle w:val="IndexLink"/>
              </w:rPr>
              <w:t>7</w:t>
            </w:r>
            <w:r>
              <w:rPr>
                <w:rStyle w:val="IndexLink"/>
                <w:rtl w:val="true"/>
              </w:rPr>
              <w:t xml:space="preserve">. </w:t>
            </w:r>
            <w:r>
              <w:rPr>
                <w:rStyle w:val="IndexLink"/>
                <w:rtl w:val="true"/>
              </w:rPr>
              <w:t>برونو باخ</w:t>
            </w:r>
            <w:r>
              <w:rPr>
                <w:rStyle w:val="IndexLink"/>
                <w:rtl w:val="true"/>
              </w:rPr>
              <w:tab/>
            </w:r>
            <w:r>
              <w:rPr>
                <w:rStyle w:val="IndexLink"/>
              </w:rPr>
              <w:t>66</w:t>
            </w:r>
          </w:hyperlink>
        </w:p>
        <w:p>
          <w:pPr>
            <w:pStyle w:val="Contents4"/>
            <w:tabs>
              <w:tab w:val="clear" w:pos="8176"/>
              <w:tab w:val="right" w:pos="9026" w:leader="dot"/>
            </w:tabs>
            <w:rPr/>
          </w:pPr>
          <w:hyperlink w:anchor="__RefHeading___Toc5377325_1280447820">
            <w:r>
              <w:rPr>
                <w:webHidden/>
                <w:rStyle w:val="IndexLink"/>
              </w:rPr>
              <w:t>8</w:t>
            </w:r>
            <w:r>
              <w:rPr>
                <w:rStyle w:val="IndexLink"/>
                <w:rtl w:val="true"/>
              </w:rPr>
              <w:t xml:space="preserve">. </w:t>
            </w:r>
            <w:r>
              <w:rPr>
                <w:rStyle w:val="IndexLink"/>
                <w:rtl w:val="true"/>
              </w:rPr>
              <w:t>غوستاف لامبيرت را بروخ</w:t>
            </w:r>
            <w:r>
              <w:rPr>
                <w:rStyle w:val="IndexLink"/>
                <w:rtl w:val="true"/>
              </w:rPr>
              <w:tab/>
            </w:r>
            <w:r>
              <w:rPr>
                <w:rStyle w:val="IndexLink"/>
              </w:rPr>
              <w:t>69</w:t>
            </w:r>
          </w:hyperlink>
        </w:p>
        <w:p>
          <w:pPr>
            <w:pStyle w:val="Contents4"/>
            <w:tabs>
              <w:tab w:val="clear" w:pos="8176"/>
              <w:tab w:val="right" w:pos="9026" w:leader="dot"/>
            </w:tabs>
            <w:rPr/>
          </w:pPr>
          <w:hyperlink w:anchor="__RefHeading___Toc5377327_1280447820">
            <w:r>
              <w:rPr>
                <w:webHidden/>
                <w:rStyle w:val="IndexLink"/>
              </w:rPr>
              <w:t>9</w:t>
            </w:r>
            <w:r>
              <w:rPr>
                <w:rStyle w:val="IndexLink"/>
                <w:rtl w:val="true"/>
              </w:rPr>
              <w:t xml:space="preserve">. </w:t>
            </w:r>
            <w:r>
              <w:rPr>
                <w:rStyle w:val="IndexLink"/>
                <w:rtl w:val="true"/>
              </w:rPr>
              <w:t>هيلموت بليسنير</w:t>
            </w:r>
            <w:r>
              <w:rPr>
                <w:rStyle w:val="IndexLink"/>
                <w:rtl w:val="true"/>
              </w:rPr>
              <w:tab/>
            </w:r>
            <w:r>
              <w:rPr>
                <w:rStyle w:val="IndexLink"/>
              </w:rPr>
              <w:t>72</w:t>
            </w:r>
          </w:hyperlink>
        </w:p>
        <w:p>
          <w:pPr>
            <w:pStyle w:val="Contents3"/>
            <w:tabs>
              <w:tab w:val="clear" w:pos="8459"/>
              <w:tab w:val="right" w:pos="9026" w:leader="dot"/>
            </w:tabs>
            <w:rPr/>
          </w:pPr>
          <w:hyperlink w:anchor="__RefHeading___Toc5377329_1280447820">
            <w:r>
              <w:rPr>
                <w:webHidden/>
                <w:rStyle w:val="IndexLink"/>
                <w:rtl w:val="true"/>
              </w:rPr>
              <w:t xml:space="preserve">الجزء الثاني </w:t>
            </w:r>
            <w:r>
              <w:rPr>
                <w:rStyle w:val="IndexLink"/>
                <w:rtl w:val="true"/>
              </w:rPr>
              <w:t xml:space="preserve">: </w:t>
            </w:r>
            <w:r>
              <w:rPr>
                <w:rStyle w:val="IndexLink"/>
                <w:rtl w:val="true"/>
              </w:rPr>
              <w:t>مدرسة ماربوغ</w:t>
            </w:r>
            <w:r>
              <w:rPr>
                <w:rStyle w:val="IndexLink"/>
                <w:rtl w:val="true"/>
              </w:rPr>
              <w:tab/>
            </w:r>
            <w:r>
              <w:rPr>
                <w:rStyle w:val="IndexLink"/>
              </w:rPr>
              <w:t>79</w:t>
            </w:r>
          </w:hyperlink>
        </w:p>
        <w:p>
          <w:pPr>
            <w:pStyle w:val="Contents4"/>
            <w:tabs>
              <w:tab w:val="clear" w:pos="8176"/>
              <w:tab w:val="right" w:pos="9026" w:leader="dot"/>
            </w:tabs>
            <w:rPr/>
          </w:pPr>
          <w:hyperlink w:anchor="__RefHeading___Toc5377331_1280447820">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5377333_1280447820">
            <w:r>
              <w:rPr>
                <w:webHidden/>
                <w:rStyle w:val="IndexLink"/>
              </w:rPr>
              <w:t>1</w:t>
            </w:r>
            <w:r>
              <w:rPr>
                <w:rStyle w:val="IndexLink"/>
                <w:rtl w:val="true"/>
              </w:rPr>
              <w:t>.</w:t>
            </w:r>
            <w:r>
              <w:rPr>
                <w:rStyle w:val="IndexLink"/>
                <w:rtl w:val="true"/>
              </w:rPr>
              <w:t>هيرمان كوهن</w:t>
            </w:r>
            <w:r>
              <w:rPr>
                <w:rStyle w:val="IndexLink"/>
                <w:rtl w:val="true"/>
              </w:rPr>
              <w:tab/>
            </w:r>
            <w:r>
              <w:rPr>
                <w:rStyle w:val="IndexLink"/>
              </w:rPr>
              <w:t>82</w:t>
            </w:r>
          </w:hyperlink>
        </w:p>
        <w:p>
          <w:pPr>
            <w:pStyle w:val="Contents4"/>
            <w:tabs>
              <w:tab w:val="clear" w:pos="8176"/>
              <w:tab w:val="right" w:pos="9026" w:leader="dot"/>
            </w:tabs>
            <w:rPr/>
          </w:pPr>
          <w:hyperlink w:anchor="__RefHeading___Toc5377335_1280447820">
            <w:r>
              <w:rPr>
                <w:webHidden/>
                <w:rStyle w:val="IndexLink"/>
              </w:rPr>
              <w:t>2</w:t>
            </w:r>
            <w:r>
              <w:rPr>
                <w:rStyle w:val="IndexLink"/>
                <w:rtl w:val="true"/>
              </w:rPr>
              <w:t>.</w:t>
            </w:r>
            <w:r>
              <w:rPr>
                <w:rStyle w:val="IndexLink"/>
                <w:rtl w:val="true"/>
              </w:rPr>
              <w:t>باول ناتروب</w:t>
            </w:r>
            <w:r>
              <w:rPr>
                <w:rStyle w:val="IndexLink"/>
                <w:rtl w:val="true"/>
              </w:rPr>
              <w:tab/>
            </w:r>
            <w:r>
              <w:rPr>
                <w:rStyle w:val="IndexLink"/>
              </w:rPr>
              <w:t>89</w:t>
            </w:r>
          </w:hyperlink>
        </w:p>
        <w:p>
          <w:pPr>
            <w:pStyle w:val="Contents4"/>
            <w:tabs>
              <w:tab w:val="clear" w:pos="8176"/>
              <w:tab w:val="right" w:pos="9026" w:leader="dot"/>
            </w:tabs>
            <w:rPr/>
          </w:pPr>
          <w:hyperlink w:anchor="__RefHeading___Toc5377337_1280447820">
            <w:r>
              <w:rPr>
                <w:webHidden/>
                <w:rStyle w:val="IndexLink"/>
              </w:rPr>
              <w:t>3</w:t>
            </w:r>
            <w:r>
              <w:rPr>
                <w:rStyle w:val="IndexLink"/>
                <w:rtl w:val="true"/>
              </w:rPr>
              <w:t>.</w:t>
            </w:r>
            <w:r>
              <w:rPr>
                <w:rStyle w:val="IndexLink"/>
                <w:rtl w:val="true"/>
              </w:rPr>
              <w:t>إرنست كاسيرر</w:t>
            </w:r>
            <w:r>
              <w:rPr>
                <w:rStyle w:val="IndexLink"/>
                <w:rtl w:val="true"/>
              </w:rPr>
              <w:tab/>
            </w:r>
            <w:r>
              <w:rPr>
                <w:rStyle w:val="IndexLink"/>
              </w:rPr>
              <w:t>94</w:t>
            </w:r>
          </w:hyperlink>
        </w:p>
        <w:p>
          <w:pPr>
            <w:pStyle w:val="Contents4"/>
            <w:tabs>
              <w:tab w:val="clear" w:pos="8176"/>
              <w:tab w:val="right" w:pos="9026" w:leader="dot"/>
            </w:tabs>
            <w:rPr/>
          </w:pPr>
          <w:hyperlink w:anchor="__RefHeading___Toc5377339_1280447820">
            <w:r>
              <w:rPr>
                <w:webHidden/>
                <w:rStyle w:val="IndexLink"/>
              </w:rPr>
              <w:t>4</w:t>
            </w:r>
            <w:r>
              <w:rPr>
                <w:rStyle w:val="IndexLink"/>
                <w:rtl w:val="true"/>
              </w:rPr>
              <w:t xml:space="preserve">. </w:t>
            </w:r>
            <w:r>
              <w:rPr>
                <w:rStyle w:val="IndexLink"/>
                <w:rtl w:val="true"/>
              </w:rPr>
              <w:t>کارل فورليندر</w:t>
            </w:r>
            <w:r>
              <w:rPr>
                <w:rStyle w:val="IndexLink"/>
                <w:rtl w:val="true"/>
              </w:rPr>
              <w:tab/>
            </w:r>
            <w:r>
              <w:rPr>
                <w:rStyle w:val="IndexLink"/>
              </w:rPr>
              <w:t>98</w:t>
            </w:r>
          </w:hyperlink>
        </w:p>
        <w:p>
          <w:pPr>
            <w:pStyle w:val="Contents4"/>
            <w:tabs>
              <w:tab w:val="clear" w:pos="8176"/>
              <w:tab w:val="right" w:pos="9026" w:leader="dot"/>
            </w:tabs>
            <w:rPr/>
          </w:pPr>
          <w:hyperlink w:anchor="__RefHeading___Toc5377341_1280447820">
            <w:r>
              <w:rPr>
                <w:webHidden/>
                <w:rStyle w:val="IndexLink"/>
              </w:rPr>
              <w:t>5</w:t>
            </w:r>
            <w:r>
              <w:rPr>
                <w:rStyle w:val="IndexLink"/>
                <w:rtl w:val="true"/>
              </w:rPr>
              <w:t xml:space="preserve">. </w:t>
            </w:r>
            <w:r>
              <w:rPr>
                <w:rStyle w:val="IndexLink"/>
                <w:rtl w:val="true"/>
              </w:rPr>
              <w:t>كارل يوليوس تيودور رودولف شتاملر</w:t>
            </w:r>
            <w:r>
              <w:rPr>
                <w:rStyle w:val="IndexLink"/>
                <w:rtl w:val="true"/>
              </w:rPr>
              <w:tab/>
            </w:r>
            <w:r>
              <w:rPr>
                <w:rStyle w:val="IndexLink"/>
              </w:rPr>
              <w:t>101</w:t>
            </w:r>
          </w:hyperlink>
        </w:p>
        <w:p>
          <w:pPr>
            <w:pStyle w:val="Contents4"/>
            <w:tabs>
              <w:tab w:val="clear" w:pos="8176"/>
              <w:tab w:val="right" w:pos="9026" w:leader="dot"/>
            </w:tabs>
            <w:rPr/>
          </w:pPr>
          <w:hyperlink w:anchor="__RefHeading___Toc5377343_1280447820">
            <w:r>
              <w:rPr>
                <w:webHidden/>
                <w:rStyle w:val="IndexLink"/>
              </w:rPr>
              <w:t>6</w:t>
            </w:r>
            <w:r>
              <w:rPr>
                <w:rStyle w:val="IndexLink"/>
                <w:rtl w:val="true"/>
              </w:rPr>
              <w:t xml:space="preserve">. </w:t>
            </w:r>
            <w:r>
              <w:rPr>
                <w:rStyle w:val="IndexLink"/>
                <w:rtl w:val="true"/>
              </w:rPr>
              <w:t>فالتر أدريان شوكين</w:t>
            </w:r>
            <w:r>
              <w:rPr>
                <w:rStyle w:val="IndexLink"/>
                <w:rtl w:val="true"/>
              </w:rPr>
              <w:tab/>
            </w:r>
            <w:r>
              <w:rPr>
                <w:rStyle w:val="IndexLink"/>
              </w:rPr>
              <w:t>103</w:t>
            </w:r>
          </w:hyperlink>
        </w:p>
        <w:p>
          <w:pPr>
            <w:pStyle w:val="Contents3"/>
            <w:tabs>
              <w:tab w:val="clear" w:pos="8459"/>
              <w:tab w:val="right" w:pos="9026" w:leader="dot"/>
            </w:tabs>
            <w:rPr/>
          </w:pPr>
          <w:hyperlink w:anchor="__RefHeading___Toc5377345_1280447820">
            <w:r>
              <w:rPr>
                <w:webHidden/>
                <w:rStyle w:val="IndexLink"/>
                <w:rtl w:val="true"/>
              </w:rPr>
              <w:t>الجزء الثالث</w:t>
            </w:r>
            <w:r>
              <w:rPr>
                <w:rStyle w:val="IndexLink"/>
                <w:rtl w:val="true"/>
              </w:rPr>
              <w:t xml:space="preserve">: </w:t>
            </w:r>
            <w:r>
              <w:rPr>
                <w:rStyle w:val="IndexLink"/>
                <w:rtl w:val="true"/>
              </w:rPr>
              <w:t>اتجاه التعديل النقدي في الكانطية الجديدة</w:t>
            </w:r>
            <w:r>
              <w:rPr>
                <w:rStyle w:val="IndexLink"/>
                <w:rtl w:val="true"/>
              </w:rPr>
              <w:tab/>
            </w:r>
            <w:r>
              <w:rPr>
                <w:rStyle w:val="IndexLink"/>
              </w:rPr>
              <w:t>105</w:t>
            </w:r>
          </w:hyperlink>
        </w:p>
        <w:p>
          <w:pPr>
            <w:pStyle w:val="Contents4"/>
            <w:tabs>
              <w:tab w:val="clear" w:pos="8176"/>
              <w:tab w:val="right" w:pos="9026" w:leader="dot"/>
            </w:tabs>
            <w:rPr/>
          </w:pPr>
          <w:hyperlink w:anchor="__RefHeading___Toc5377347_1280447820">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5377349_1280447820">
            <w:r>
              <w:rPr>
                <w:webHidden/>
                <w:rStyle w:val="IndexLink"/>
              </w:rPr>
              <w:t>1</w:t>
            </w:r>
            <w:r>
              <w:rPr>
                <w:rStyle w:val="IndexLink"/>
                <w:rtl w:val="true"/>
              </w:rPr>
              <w:t xml:space="preserve">. </w:t>
            </w:r>
            <w:r>
              <w:rPr>
                <w:rStyle w:val="IndexLink"/>
                <w:rtl w:val="true"/>
              </w:rPr>
              <w:t>روبيرت راينينغر</w:t>
            </w:r>
            <w:r>
              <w:rPr>
                <w:rStyle w:val="IndexLink"/>
                <w:rtl w:val="true"/>
              </w:rPr>
              <w:tab/>
            </w:r>
            <w:r>
              <w:rPr>
                <w:rStyle w:val="IndexLink"/>
              </w:rPr>
              <w:t>106</w:t>
            </w:r>
          </w:hyperlink>
        </w:p>
        <w:p>
          <w:pPr>
            <w:pStyle w:val="Contents4"/>
            <w:tabs>
              <w:tab w:val="clear" w:pos="8176"/>
              <w:tab w:val="right" w:pos="9026" w:leader="dot"/>
            </w:tabs>
            <w:rPr/>
          </w:pPr>
          <w:hyperlink w:anchor="__RefHeading___Toc5377351_1280447820">
            <w:r>
              <w:rPr>
                <w:webHidden/>
                <w:rStyle w:val="IndexLink"/>
              </w:rPr>
              <w:t>2</w:t>
            </w:r>
            <w:r>
              <w:rPr>
                <w:rStyle w:val="IndexLink"/>
                <w:rtl w:val="true"/>
              </w:rPr>
              <w:t xml:space="preserve">. </w:t>
            </w:r>
            <w:r>
              <w:rPr>
                <w:rStyle w:val="IndexLink"/>
                <w:rtl w:val="true"/>
              </w:rPr>
              <w:t>ألوايس أدولف ريهل</w:t>
            </w:r>
            <w:r>
              <w:rPr>
                <w:rStyle w:val="IndexLink"/>
                <w:rtl w:val="true"/>
              </w:rPr>
              <w:tab/>
            </w:r>
            <w:r>
              <w:rPr>
                <w:rStyle w:val="IndexLink"/>
              </w:rPr>
              <w:t>108</w:t>
            </w:r>
          </w:hyperlink>
        </w:p>
        <w:p>
          <w:pPr>
            <w:pStyle w:val="Contents4"/>
            <w:tabs>
              <w:tab w:val="clear" w:pos="8176"/>
              <w:tab w:val="right" w:pos="9026" w:leader="dot"/>
            </w:tabs>
            <w:rPr/>
          </w:pPr>
          <w:hyperlink w:anchor="__RefHeading___Toc5377353_1280447820">
            <w:r>
              <w:rPr>
                <w:webHidden/>
                <w:rStyle w:val="IndexLink"/>
              </w:rPr>
              <w:t>3</w:t>
            </w:r>
            <w:r>
              <w:rPr>
                <w:rStyle w:val="IndexLink"/>
                <w:rtl w:val="true"/>
              </w:rPr>
              <w:t>.</w:t>
            </w:r>
            <w:r>
              <w:rPr>
                <w:rStyle w:val="IndexLink"/>
                <w:rtl w:val="true"/>
              </w:rPr>
              <w:t>هانس فايهنغر</w:t>
            </w:r>
            <w:r>
              <w:rPr>
                <w:rStyle w:val="IndexLink"/>
                <w:rtl w:val="true"/>
              </w:rPr>
              <w:tab/>
            </w:r>
            <w:r>
              <w:rPr>
                <w:rStyle w:val="IndexLink"/>
              </w:rPr>
              <w:t>110</w:t>
            </w:r>
          </w:hyperlink>
        </w:p>
        <w:p>
          <w:pPr>
            <w:pStyle w:val="Contents4"/>
            <w:tabs>
              <w:tab w:val="clear" w:pos="8176"/>
              <w:tab w:val="right" w:pos="9026" w:leader="dot"/>
            </w:tabs>
            <w:rPr/>
          </w:pPr>
          <w:hyperlink w:anchor="__RefHeading___Toc5377355_1280447820">
            <w:r>
              <w:rPr>
                <w:webHidden/>
                <w:rStyle w:val="IndexLink"/>
              </w:rPr>
              <w:t>4</w:t>
            </w:r>
            <w:r>
              <w:rPr>
                <w:rStyle w:val="IndexLink"/>
                <w:rtl w:val="true"/>
              </w:rPr>
              <w:t xml:space="preserve">. </w:t>
            </w:r>
            <w:r>
              <w:rPr>
                <w:rStyle w:val="IndexLink"/>
                <w:rtl w:val="true"/>
              </w:rPr>
              <w:t>ريخارد هونيغسفالد</w:t>
            </w:r>
            <w:r>
              <w:rPr>
                <w:rStyle w:val="IndexLink"/>
                <w:rtl w:val="true"/>
              </w:rPr>
              <w:tab/>
            </w:r>
            <w:r>
              <w:rPr>
                <w:rStyle w:val="IndexLink"/>
              </w:rPr>
              <w:t>115</w:t>
            </w:r>
          </w:hyperlink>
        </w:p>
        <w:p>
          <w:pPr>
            <w:pStyle w:val="Contents4"/>
            <w:tabs>
              <w:tab w:val="clear" w:pos="8176"/>
              <w:tab w:val="right" w:pos="9026" w:leader="dot"/>
            </w:tabs>
            <w:rPr/>
          </w:pPr>
          <w:hyperlink w:anchor="__RefHeading___Toc5377357_1280447820">
            <w:r>
              <w:rPr>
                <w:webHidden/>
                <w:rStyle w:val="IndexLink"/>
              </w:rPr>
              <w:t>5</w:t>
            </w:r>
            <w:r>
              <w:rPr>
                <w:rStyle w:val="IndexLink"/>
                <w:rtl w:val="true"/>
              </w:rPr>
              <w:t xml:space="preserve">. </w:t>
            </w:r>
            <w:r>
              <w:rPr>
                <w:rStyle w:val="IndexLink"/>
                <w:rtl w:val="true"/>
              </w:rPr>
              <w:t>إيريك كاوفمان</w:t>
            </w:r>
            <w:r>
              <w:rPr>
                <w:rStyle w:val="IndexLink"/>
                <w:rtl w:val="true"/>
              </w:rPr>
              <w:tab/>
            </w:r>
            <w:r>
              <w:rPr>
                <w:rStyle w:val="IndexLink"/>
              </w:rPr>
              <w:t>120</w:t>
            </w:r>
          </w:hyperlink>
        </w:p>
        <w:p>
          <w:pPr>
            <w:pStyle w:val="Contents4"/>
            <w:tabs>
              <w:tab w:val="clear" w:pos="8176"/>
              <w:tab w:val="right" w:pos="9026" w:leader="dot"/>
            </w:tabs>
            <w:rPr/>
          </w:pPr>
          <w:hyperlink w:anchor="__RefHeading___Toc5377359_1280447820">
            <w:r>
              <w:rPr>
                <w:webHidden/>
                <w:rStyle w:val="IndexLink"/>
              </w:rPr>
              <w:t>6</w:t>
            </w:r>
            <w:r>
              <w:rPr>
                <w:rStyle w:val="IndexLink"/>
                <w:rtl w:val="true"/>
              </w:rPr>
              <w:t xml:space="preserve">. </w:t>
            </w:r>
            <w:r>
              <w:rPr>
                <w:rStyle w:val="IndexLink"/>
                <w:rtl w:val="true"/>
              </w:rPr>
              <w:t>ليونارد نيلسون</w:t>
            </w:r>
            <w:r>
              <w:rPr>
                <w:rStyle w:val="IndexLink"/>
                <w:rtl w:val="true"/>
              </w:rPr>
              <w:tab/>
            </w:r>
            <w:r>
              <w:rPr>
                <w:rStyle w:val="IndexLink"/>
              </w:rPr>
              <w:t>124</w:t>
            </w:r>
          </w:hyperlink>
        </w:p>
        <w:p>
          <w:pPr>
            <w:pStyle w:val="Contents2"/>
            <w:tabs>
              <w:tab w:val="clear" w:pos="8743"/>
              <w:tab w:val="right" w:pos="9026" w:leader="dot"/>
            </w:tabs>
            <w:rPr/>
          </w:pPr>
          <w:hyperlink w:anchor="__RefHeading___Toc5377361_1280447820">
            <w:r>
              <w:rPr>
                <w:webHidden/>
                <w:rStyle w:val="IndexLink"/>
                <w:rtl w:val="true"/>
              </w:rPr>
              <w:t xml:space="preserve">الفصل الرابع </w:t>
            </w:r>
            <w:r>
              <w:rPr>
                <w:rStyle w:val="IndexLink"/>
                <w:rtl w:val="true"/>
              </w:rPr>
              <w:t>:</w:t>
            </w:r>
            <w:r>
              <w:rPr>
                <w:rStyle w:val="IndexLink"/>
                <w:rtl w:val="true"/>
              </w:rPr>
              <w:t>انتشار الكانطية الجديدة وراهنيتها</w:t>
            </w:r>
            <w:r>
              <w:rPr>
                <w:rStyle w:val="IndexLink"/>
                <w:rtl w:val="true"/>
              </w:rPr>
              <w:tab/>
            </w:r>
            <w:r>
              <w:rPr>
                <w:rStyle w:val="IndexLink"/>
              </w:rPr>
              <w:t>127</w:t>
            </w:r>
          </w:hyperlink>
        </w:p>
        <w:p>
          <w:pPr>
            <w:pStyle w:val="Contents3"/>
            <w:tabs>
              <w:tab w:val="clear" w:pos="8459"/>
              <w:tab w:val="right" w:pos="9026" w:leader="dot"/>
            </w:tabs>
            <w:rPr/>
          </w:pPr>
          <w:hyperlink w:anchor="__RefHeading___Toc5377363_1280447820">
            <w:r>
              <w:rPr>
                <w:webHidden/>
                <w:rStyle w:val="IndexLink"/>
                <w:rtl w:val="true"/>
              </w:rPr>
              <w:t>اشارة</w:t>
            </w:r>
            <w:r>
              <w:rPr>
                <w:rStyle w:val="IndexLink"/>
                <w:rtl w:val="true"/>
              </w:rPr>
              <w:tab/>
            </w:r>
            <w:r>
              <w:rPr>
                <w:rStyle w:val="IndexLink"/>
              </w:rPr>
              <w:t>127</w:t>
            </w:r>
          </w:hyperlink>
        </w:p>
        <w:p>
          <w:pPr>
            <w:pStyle w:val="Contents3"/>
            <w:tabs>
              <w:tab w:val="clear" w:pos="8459"/>
              <w:tab w:val="right" w:pos="9026" w:leader="dot"/>
            </w:tabs>
            <w:rPr/>
          </w:pPr>
          <w:hyperlink w:anchor="__RefHeading___Toc5377365_1280447820">
            <w:r>
              <w:rPr>
                <w:webHidden/>
                <w:rStyle w:val="IndexLink"/>
                <w:rtl w:val="true"/>
              </w:rPr>
              <w:t>الجزء الأول</w:t>
            </w:r>
            <w:r>
              <w:rPr>
                <w:rStyle w:val="IndexLink"/>
                <w:rtl w:val="true"/>
              </w:rPr>
              <w:t xml:space="preserve">: </w:t>
            </w:r>
            <w:r>
              <w:rPr>
                <w:rStyle w:val="IndexLink"/>
                <w:rtl w:val="true"/>
              </w:rPr>
              <w:t>انتشار الكانطية الجديدة</w:t>
            </w:r>
            <w:r>
              <w:rPr>
                <w:rStyle w:val="IndexLink"/>
                <w:rtl w:val="true"/>
              </w:rPr>
              <w:tab/>
            </w:r>
            <w:r>
              <w:rPr>
                <w:rStyle w:val="IndexLink"/>
              </w:rPr>
              <w:t>128</w:t>
            </w:r>
          </w:hyperlink>
        </w:p>
        <w:p>
          <w:pPr>
            <w:pStyle w:val="Contents4"/>
            <w:tabs>
              <w:tab w:val="clear" w:pos="8176"/>
              <w:tab w:val="right" w:pos="9026" w:leader="dot"/>
            </w:tabs>
            <w:rPr/>
          </w:pPr>
          <w:hyperlink w:anchor="__RefHeading___Toc5377367_1280447820">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5377369_1280447820">
            <w:r>
              <w:rPr>
                <w:webHidden/>
                <w:rStyle w:val="IndexLink"/>
              </w:rPr>
              <w:t>1</w:t>
            </w:r>
            <w:r>
              <w:rPr>
                <w:rStyle w:val="IndexLink"/>
                <w:rtl w:val="true"/>
              </w:rPr>
              <w:t xml:space="preserve">. </w:t>
            </w:r>
            <w:r>
              <w:rPr>
                <w:rStyle w:val="IndexLink"/>
                <w:rtl w:val="true"/>
              </w:rPr>
              <w:t>في روسيا</w:t>
            </w:r>
            <w:r>
              <w:rPr>
                <w:rStyle w:val="IndexLink"/>
                <w:rtl w:val="true"/>
              </w:rPr>
              <w:tab/>
            </w:r>
            <w:r>
              <w:rPr>
                <w:rStyle w:val="IndexLink"/>
              </w:rPr>
              <w:t>128</w:t>
            </w:r>
          </w:hyperlink>
        </w:p>
        <w:p>
          <w:pPr>
            <w:pStyle w:val="Contents4"/>
            <w:tabs>
              <w:tab w:val="clear" w:pos="8176"/>
              <w:tab w:val="right" w:pos="9026" w:leader="dot"/>
            </w:tabs>
            <w:rPr/>
          </w:pPr>
          <w:hyperlink w:anchor="__RefHeading___Toc5377371_1280447820">
            <w:r>
              <w:rPr>
                <w:webHidden/>
                <w:rStyle w:val="IndexLink"/>
              </w:rPr>
              <w:t>2</w:t>
            </w:r>
            <w:r>
              <w:rPr>
                <w:rStyle w:val="IndexLink"/>
                <w:rtl w:val="true"/>
              </w:rPr>
              <w:t xml:space="preserve">. </w:t>
            </w:r>
            <w:r>
              <w:rPr>
                <w:rStyle w:val="IndexLink"/>
                <w:rtl w:val="true"/>
              </w:rPr>
              <w:t>في بولندا</w:t>
            </w:r>
            <w:r>
              <w:rPr>
                <w:rStyle w:val="IndexLink"/>
                <w:rtl w:val="true"/>
              </w:rPr>
              <w:tab/>
            </w:r>
            <w:r>
              <w:rPr>
                <w:rStyle w:val="IndexLink"/>
              </w:rPr>
              <w:t>130</w:t>
            </w:r>
          </w:hyperlink>
        </w:p>
        <w:p>
          <w:pPr>
            <w:pStyle w:val="Contents4"/>
            <w:tabs>
              <w:tab w:val="clear" w:pos="8176"/>
              <w:tab w:val="right" w:pos="9026" w:leader="dot"/>
            </w:tabs>
            <w:rPr/>
          </w:pPr>
          <w:hyperlink w:anchor="__RefHeading___Toc5377373_1280447820">
            <w:r>
              <w:rPr>
                <w:webHidden/>
                <w:rStyle w:val="IndexLink"/>
              </w:rPr>
              <w:t>3</w:t>
            </w:r>
            <w:r>
              <w:rPr>
                <w:rStyle w:val="IndexLink"/>
                <w:rtl w:val="true"/>
              </w:rPr>
              <w:t xml:space="preserve">. </w:t>
            </w:r>
            <w:r>
              <w:rPr>
                <w:rStyle w:val="IndexLink"/>
                <w:rtl w:val="true"/>
              </w:rPr>
              <w:t>في فرنسا</w:t>
            </w:r>
            <w:r>
              <w:rPr>
                <w:rStyle w:val="IndexLink"/>
                <w:rtl w:val="true"/>
              </w:rPr>
              <w:tab/>
            </w:r>
            <w:r>
              <w:rPr>
                <w:rStyle w:val="IndexLink"/>
              </w:rPr>
              <w:t>133</w:t>
            </w:r>
          </w:hyperlink>
        </w:p>
        <w:p>
          <w:pPr>
            <w:pStyle w:val="Contents4"/>
            <w:tabs>
              <w:tab w:val="clear" w:pos="8176"/>
              <w:tab w:val="right" w:pos="9026" w:leader="dot"/>
            </w:tabs>
            <w:rPr/>
          </w:pPr>
          <w:hyperlink w:anchor="__RefHeading___Toc5377375_1280447820">
            <w:r>
              <w:rPr>
                <w:webHidden/>
                <w:rStyle w:val="IndexLink"/>
              </w:rPr>
              <w:t>4</w:t>
            </w:r>
            <w:r>
              <w:rPr>
                <w:rStyle w:val="IndexLink"/>
                <w:rtl w:val="true"/>
              </w:rPr>
              <w:t xml:space="preserve">. </w:t>
            </w:r>
            <w:r>
              <w:rPr>
                <w:rStyle w:val="IndexLink"/>
                <w:rtl w:val="true"/>
              </w:rPr>
              <w:t>في انجلترا</w:t>
            </w:r>
            <w:r>
              <w:rPr>
                <w:rStyle w:val="IndexLink"/>
                <w:rtl w:val="true"/>
              </w:rPr>
              <w:tab/>
            </w:r>
            <w:r>
              <w:rPr>
                <w:rStyle w:val="IndexLink"/>
              </w:rPr>
              <w:t>134</w:t>
            </w:r>
          </w:hyperlink>
        </w:p>
        <w:p>
          <w:pPr>
            <w:pStyle w:val="Contents4"/>
            <w:tabs>
              <w:tab w:val="clear" w:pos="8176"/>
              <w:tab w:val="right" w:pos="9026" w:leader="dot"/>
            </w:tabs>
            <w:rPr/>
          </w:pPr>
          <w:hyperlink w:anchor="__RefHeading___Toc5377377_1280447820">
            <w:r>
              <w:rPr>
                <w:webHidden/>
                <w:rStyle w:val="IndexLink"/>
              </w:rPr>
              <w:t>5</w:t>
            </w:r>
            <w:r>
              <w:rPr>
                <w:rStyle w:val="IndexLink"/>
                <w:rtl w:val="true"/>
              </w:rPr>
              <w:t xml:space="preserve">. </w:t>
            </w:r>
            <w:r>
              <w:rPr>
                <w:rStyle w:val="IndexLink"/>
                <w:rtl w:val="true"/>
              </w:rPr>
              <w:t>في الدول الإسكندنافية</w:t>
            </w:r>
            <w:r>
              <w:rPr>
                <w:rStyle w:val="IndexLink"/>
                <w:rtl w:val="true"/>
              </w:rPr>
              <w:tab/>
            </w:r>
            <w:r>
              <w:rPr>
                <w:rStyle w:val="IndexLink"/>
              </w:rPr>
              <w:t>134</w:t>
            </w:r>
          </w:hyperlink>
        </w:p>
        <w:p>
          <w:pPr>
            <w:pStyle w:val="Contents4"/>
            <w:tabs>
              <w:tab w:val="clear" w:pos="8176"/>
              <w:tab w:val="right" w:pos="9026" w:leader="dot"/>
            </w:tabs>
            <w:rPr/>
          </w:pPr>
          <w:hyperlink w:anchor="__RefHeading___Toc5377379_1280447820">
            <w:r>
              <w:rPr>
                <w:webHidden/>
                <w:rStyle w:val="IndexLink"/>
              </w:rPr>
              <w:t>6</w:t>
            </w:r>
            <w:r>
              <w:rPr>
                <w:rStyle w:val="IndexLink"/>
                <w:rtl w:val="true"/>
              </w:rPr>
              <w:t xml:space="preserve">. </w:t>
            </w:r>
            <w:r>
              <w:rPr>
                <w:rStyle w:val="IndexLink"/>
                <w:rtl w:val="true"/>
              </w:rPr>
              <w:t>في إسبانيا والبرتغال</w:t>
            </w:r>
            <w:r>
              <w:rPr>
                <w:rStyle w:val="IndexLink"/>
                <w:rtl w:val="true"/>
              </w:rPr>
              <w:tab/>
            </w:r>
            <w:r>
              <w:rPr>
                <w:rStyle w:val="IndexLink"/>
              </w:rPr>
              <w:t>135</w:t>
            </w:r>
          </w:hyperlink>
        </w:p>
        <w:p>
          <w:pPr>
            <w:pStyle w:val="Contents4"/>
            <w:tabs>
              <w:tab w:val="clear" w:pos="8176"/>
              <w:tab w:val="right" w:pos="9026" w:leader="dot"/>
            </w:tabs>
            <w:rPr/>
          </w:pPr>
          <w:hyperlink w:anchor="__RefHeading___Toc5377381_1280447820">
            <w:r>
              <w:rPr>
                <w:webHidden/>
                <w:rStyle w:val="IndexLink"/>
              </w:rPr>
              <w:t>7</w:t>
            </w:r>
            <w:r>
              <w:rPr>
                <w:rStyle w:val="IndexLink"/>
                <w:rtl w:val="true"/>
              </w:rPr>
              <w:t xml:space="preserve">. </w:t>
            </w:r>
            <w:r>
              <w:rPr>
                <w:rStyle w:val="IndexLink"/>
                <w:rtl w:val="true"/>
              </w:rPr>
              <w:t>في إيطاليا</w:t>
            </w:r>
            <w:r>
              <w:rPr>
                <w:rStyle w:val="IndexLink"/>
                <w:rtl w:val="true"/>
              </w:rPr>
              <w:tab/>
            </w:r>
            <w:r>
              <w:rPr>
                <w:rStyle w:val="IndexLink"/>
              </w:rPr>
              <w:t>136</w:t>
            </w:r>
          </w:hyperlink>
        </w:p>
        <w:p>
          <w:pPr>
            <w:pStyle w:val="Contents4"/>
            <w:tabs>
              <w:tab w:val="clear" w:pos="8176"/>
              <w:tab w:val="right" w:pos="9026" w:leader="dot"/>
            </w:tabs>
            <w:rPr/>
          </w:pPr>
          <w:hyperlink w:anchor="__RefHeading___Toc5377383_1280447820">
            <w:r>
              <w:rPr>
                <w:webHidden/>
                <w:rStyle w:val="IndexLink"/>
              </w:rPr>
              <w:t>8</w:t>
            </w:r>
            <w:r>
              <w:rPr>
                <w:rStyle w:val="IndexLink"/>
                <w:rtl w:val="true"/>
              </w:rPr>
              <w:t xml:space="preserve">. </w:t>
            </w:r>
            <w:r>
              <w:rPr>
                <w:rStyle w:val="IndexLink"/>
                <w:rtl w:val="true"/>
              </w:rPr>
              <w:t>في هولندا</w:t>
            </w:r>
            <w:r>
              <w:rPr>
                <w:rStyle w:val="IndexLink"/>
                <w:rtl w:val="true"/>
              </w:rPr>
              <w:tab/>
            </w:r>
            <w:r>
              <w:rPr>
                <w:rStyle w:val="IndexLink"/>
              </w:rPr>
              <w:t>137</w:t>
            </w:r>
          </w:hyperlink>
        </w:p>
        <w:p>
          <w:pPr>
            <w:pStyle w:val="Contents4"/>
            <w:tabs>
              <w:tab w:val="clear" w:pos="8176"/>
              <w:tab w:val="right" w:pos="9026" w:leader="dot"/>
            </w:tabs>
            <w:rPr/>
          </w:pPr>
          <w:hyperlink w:anchor="__RefHeading___Toc5377385_1280447820">
            <w:r>
              <w:rPr>
                <w:webHidden/>
                <w:rStyle w:val="IndexLink"/>
              </w:rPr>
              <w:t>9</w:t>
            </w:r>
            <w:r>
              <w:rPr>
                <w:rStyle w:val="IndexLink"/>
                <w:rtl w:val="true"/>
              </w:rPr>
              <w:t xml:space="preserve">. </w:t>
            </w:r>
            <w:r>
              <w:rPr>
                <w:rStyle w:val="IndexLink"/>
                <w:rtl w:val="true"/>
              </w:rPr>
              <w:t xml:space="preserve">في اليابان </w:t>
            </w:r>
            <w:r>
              <w:rPr>
                <w:rStyle w:val="IndexLink"/>
                <w:rtl w:val="true"/>
              </w:rPr>
              <w:t>.</w:t>
              <w:tab/>
            </w:r>
            <w:r>
              <w:rPr>
                <w:rStyle w:val="IndexLink"/>
              </w:rPr>
              <w:t>139</w:t>
            </w:r>
          </w:hyperlink>
        </w:p>
        <w:p>
          <w:pPr>
            <w:pStyle w:val="Contents4"/>
            <w:tabs>
              <w:tab w:val="clear" w:pos="8176"/>
              <w:tab w:val="right" w:pos="9026" w:leader="dot"/>
            </w:tabs>
            <w:rPr/>
          </w:pPr>
          <w:hyperlink w:anchor="__RefHeading___Toc5377387_1280447820">
            <w:r>
              <w:rPr>
                <w:webHidden/>
                <w:rStyle w:val="IndexLink"/>
              </w:rPr>
              <w:t>10</w:t>
            </w:r>
            <w:r>
              <w:rPr>
                <w:rStyle w:val="IndexLink"/>
                <w:rtl w:val="true"/>
              </w:rPr>
              <w:t xml:space="preserve">. </w:t>
            </w:r>
            <w:r>
              <w:rPr>
                <w:rStyle w:val="IndexLink"/>
                <w:rtl w:val="true"/>
              </w:rPr>
              <w:t>في كوريا</w:t>
            </w:r>
            <w:r>
              <w:rPr>
                <w:rStyle w:val="IndexLink"/>
                <w:rtl w:val="true"/>
              </w:rPr>
              <w:tab/>
            </w:r>
            <w:r>
              <w:rPr>
                <w:rStyle w:val="IndexLink"/>
              </w:rPr>
              <w:t>141</w:t>
            </w:r>
          </w:hyperlink>
        </w:p>
        <w:p>
          <w:pPr>
            <w:pStyle w:val="Contents4"/>
            <w:tabs>
              <w:tab w:val="clear" w:pos="8176"/>
              <w:tab w:val="right" w:pos="9026" w:leader="dot"/>
            </w:tabs>
            <w:rPr/>
          </w:pPr>
          <w:hyperlink w:anchor="__RefHeading___Toc5377389_1280447820">
            <w:r>
              <w:rPr>
                <w:webHidden/>
                <w:rStyle w:val="IndexLink"/>
              </w:rPr>
              <w:t>11</w:t>
            </w:r>
            <w:r>
              <w:rPr>
                <w:rStyle w:val="IndexLink"/>
                <w:rtl w:val="true"/>
              </w:rPr>
              <w:t xml:space="preserve">. </w:t>
            </w:r>
            <w:r>
              <w:rPr>
                <w:rStyle w:val="IndexLink"/>
                <w:rtl w:val="true"/>
              </w:rPr>
              <w:t>في الدول العربية والمسلمة</w:t>
            </w:r>
            <w:r>
              <w:rPr>
                <w:rStyle w:val="IndexLink"/>
                <w:rtl w:val="true"/>
              </w:rPr>
              <w:tab/>
            </w:r>
            <w:r>
              <w:rPr>
                <w:rStyle w:val="IndexLink"/>
              </w:rPr>
              <w:t>143</w:t>
            </w:r>
          </w:hyperlink>
        </w:p>
        <w:p>
          <w:pPr>
            <w:pStyle w:val="Contents3"/>
            <w:tabs>
              <w:tab w:val="clear" w:pos="8459"/>
              <w:tab w:val="right" w:pos="9026" w:leader="dot"/>
            </w:tabs>
            <w:rPr/>
          </w:pPr>
          <w:hyperlink w:anchor="__RefHeading___Toc5377391_1280447820">
            <w:r>
              <w:rPr>
                <w:webHidden/>
                <w:rStyle w:val="IndexLink"/>
                <w:rtl w:val="true"/>
              </w:rPr>
              <w:t xml:space="preserve">الجزء الثاني </w:t>
            </w:r>
            <w:r>
              <w:rPr>
                <w:rStyle w:val="IndexLink"/>
                <w:rtl w:val="true"/>
              </w:rPr>
              <w:t xml:space="preserve">: </w:t>
            </w:r>
            <w:r>
              <w:rPr>
                <w:rStyle w:val="IndexLink"/>
                <w:rtl w:val="true"/>
              </w:rPr>
              <w:t>راهنية الكانطية الجديدة</w:t>
            </w:r>
            <w:r>
              <w:rPr>
                <w:rStyle w:val="IndexLink"/>
                <w:rtl w:val="true"/>
              </w:rPr>
              <w:tab/>
            </w:r>
            <w:r>
              <w:rPr>
                <w:rStyle w:val="IndexLink"/>
              </w:rPr>
              <w:t>148</w:t>
            </w:r>
          </w:hyperlink>
        </w:p>
        <w:p>
          <w:pPr>
            <w:pStyle w:val="Contents4"/>
            <w:tabs>
              <w:tab w:val="clear" w:pos="8176"/>
              <w:tab w:val="right" w:pos="9026" w:leader="dot"/>
            </w:tabs>
            <w:rPr/>
          </w:pPr>
          <w:hyperlink w:anchor="__RefHeading___Toc5377393_1280447820">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5377395_1280447820">
            <w:r>
              <w:rPr>
                <w:webHidden/>
                <w:rStyle w:val="IndexLink"/>
              </w:rPr>
              <w:t>1</w:t>
            </w:r>
            <w:r>
              <w:rPr>
                <w:rStyle w:val="IndexLink"/>
                <w:rtl w:val="true"/>
              </w:rPr>
              <w:t xml:space="preserve">. </w:t>
            </w:r>
            <w:r>
              <w:rPr>
                <w:rStyle w:val="IndexLink"/>
                <w:rtl w:val="true"/>
              </w:rPr>
              <w:t>فتور الاهتمام بالكانطية الجديدة بعد الحرب العالمية الثانية</w:t>
            </w:r>
            <w:r>
              <w:rPr>
                <w:rStyle w:val="IndexLink"/>
                <w:rtl w:val="true"/>
              </w:rPr>
              <w:tab/>
            </w:r>
            <w:r>
              <w:rPr>
                <w:rStyle w:val="IndexLink"/>
              </w:rPr>
              <w:t>149</w:t>
            </w:r>
          </w:hyperlink>
        </w:p>
        <w:p>
          <w:pPr>
            <w:pStyle w:val="Contents4"/>
            <w:tabs>
              <w:tab w:val="clear" w:pos="8176"/>
              <w:tab w:val="right" w:pos="9026" w:leader="dot"/>
            </w:tabs>
            <w:rPr/>
          </w:pPr>
          <w:hyperlink w:anchor="__RefHeading___Toc5377397_1280447820">
            <w:r>
              <w:rPr>
                <w:webHidden/>
                <w:rStyle w:val="IndexLink"/>
              </w:rPr>
              <w:t>2</w:t>
            </w:r>
            <w:r>
              <w:rPr>
                <w:rStyle w:val="IndexLink"/>
                <w:rtl w:val="true"/>
              </w:rPr>
              <w:t xml:space="preserve">. </w:t>
            </w:r>
            <w:r>
              <w:rPr>
                <w:rStyle w:val="IndexLink"/>
                <w:rtl w:val="true"/>
              </w:rPr>
              <w:t>ما بعد الكانطية الجديدة</w:t>
            </w:r>
            <w:r>
              <w:rPr>
                <w:rStyle w:val="IndexLink"/>
                <w:rtl w:val="true"/>
              </w:rPr>
              <w:tab/>
            </w:r>
            <w:r>
              <w:rPr>
                <w:rStyle w:val="IndexLink"/>
              </w:rPr>
              <w:t>153</w:t>
            </w:r>
          </w:hyperlink>
        </w:p>
        <w:p>
          <w:pPr>
            <w:pStyle w:val="Contents4"/>
            <w:tabs>
              <w:tab w:val="clear" w:pos="8176"/>
              <w:tab w:val="right" w:pos="9026" w:leader="dot"/>
            </w:tabs>
            <w:rPr/>
          </w:pPr>
          <w:hyperlink w:anchor="__RefHeading___Toc5377399_1280447820">
            <w:r>
              <w:rPr>
                <w:webHidden/>
                <w:rStyle w:val="IndexLink"/>
              </w:rPr>
              <w:t>3</w:t>
            </w:r>
            <w:r>
              <w:rPr>
                <w:rStyle w:val="IndexLink"/>
                <w:rtl w:val="true"/>
              </w:rPr>
              <w:t xml:space="preserve">. </w:t>
            </w:r>
            <w:r>
              <w:rPr>
                <w:rStyle w:val="IndexLink"/>
                <w:rtl w:val="true"/>
              </w:rPr>
              <w:t>الكانطية وما بعد الحداثة</w:t>
            </w:r>
            <w:r>
              <w:rPr>
                <w:rStyle w:val="IndexLink"/>
                <w:rtl w:val="true"/>
              </w:rPr>
              <w:tab/>
            </w:r>
            <w:r>
              <w:rPr>
                <w:rStyle w:val="IndexLink"/>
              </w:rPr>
              <w:t>155</w:t>
            </w:r>
          </w:hyperlink>
        </w:p>
        <w:p>
          <w:pPr>
            <w:pStyle w:val="Contents4"/>
            <w:tabs>
              <w:tab w:val="clear" w:pos="8176"/>
              <w:tab w:val="right" w:pos="9026" w:leader="dot"/>
            </w:tabs>
            <w:rPr/>
          </w:pPr>
          <w:hyperlink w:anchor="__RefHeading___Toc5377401_1280447820">
            <w:r>
              <w:rPr>
                <w:webHidden/>
                <w:rStyle w:val="IndexLink"/>
              </w:rPr>
              <w:t>4</w:t>
            </w:r>
            <w:r>
              <w:rPr>
                <w:rStyle w:val="IndexLink"/>
                <w:rtl w:val="true"/>
              </w:rPr>
              <w:t xml:space="preserve">. </w:t>
            </w:r>
            <w:r>
              <w:rPr>
                <w:rStyle w:val="IndexLink"/>
                <w:rtl w:val="true"/>
              </w:rPr>
              <w:t>دائرة فيينا المعاصرة والكانطية الجديدة</w:t>
            </w:r>
            <w:r>
              <w:rPr>
                <w:rStyle w:val="IndexLink"/>
                <w:rtl w:val="true"/>
              </w:rPr>
              <w:tab/>
            </w:r>
            <w:r>
              <w:rPr>
                <w:rStyle w:val="IndexLink"/>
              </w:rPr>
              <w:t>158</w:t>
            </w:r>
          </w:hyperlink>
        </w:p>
        <w:p>
          <w:pPr>
            <w:pStyle w:val="Contents2"/>
            <w:tabs>
              <w:tab w:val="clear" w:pos="8743"/>
              <w:tab w:val="right" w:pos="9026" w:leader="dot"/>
            </w:tabs>
            <w:rPr/>
          </w:pPr>
          <w:hyperlink w:anchor="__RefHeading___Toc5377403_1280447820">
            <w:r>
              <w:rPr>
                <w:webHidden/>
                <w:rStyle w:val="IndexLink"/>
                <w:rtl w:val="true"/>
              </w:rPr>
              <w:t xml:space="preserve">الفصل الخامس </w:t>
            </w:r>
            <w:r>
              <w:rPr>
                <w:rStyle w:val="IndexLink"/>
                <w:rtl w:val="true"/>
              </w:rPr>
              <w:t xml:space="preserve">: </w:t>
            </w:r>
            <w:r>
              <w:rPr>
                <w:rStyle w:val="IndexLink"/>
                <w:rtl w:val="true"/>
              </w:rPr>
              <w:t>مرتكزات الكانطية الجديدة ونقدها</w:t>
            </w:r>
            <w:r>
              <w:rPr>
                <w:rStyle w:val="IndexLink"/>
                <w:rtl w:val="true"/>
              </w:rPr>
              <w:tab/>
            </w:r>
            <w:r>
              <w:rPr>
                <w:rStyle w:val="IndexLink"/>
              </w:rPr>
              <w:t>161</w:t>
            </w:r>
          </w:hyperlink>
        </w:p>
        <w:p>
          <w:pPr>
            <w:pStyle w:val="Contents3"/>
            <w:tabs>
              <w:tab w:val="clear" w:pos="8459"/>
              <w:tab w:val="right" w:pos="9026" w:leader="dot"/>
            </w:tabs>
            <w:rPr/>
          </w:pPr>
          <w:hyperlink w:anchor="__RefHeading___Toc5377405_1280447820">
            <w:r>
              <w:rPr>
                <w:webHidden/>
                <w:rStyle w:val="IndexLink"/>
                <w:rtl w:val="true"/>
              </w:rPr>
              <w:t>اشارة</w:t>
            </w:r>
            <w:r>
              <w:rPr>
                <w:rStyle w:val="IndexLink"/>
                <w:rtl w:val="true"/>
              </w:rPr>
              <w:tab/>
            </w:r>
            <w:r>
              <w:rPr>
                <w:rStyle w:val="IndexLink"/>
              </w:rPr>
              <w:t>161</w:t>
            </w:r>
          </w:hyperlink>
        </w:p>
        <w:p>
          <w:pPr>
            <w:pStyle w:val="Contents3"/>
            <w:tabs>
              <w:tab w:val="clear" w:pos="8459"/>
              <w:tab w:val="right" w:pos="9026" w:leader="dot"/>
            </w:tabs>
            <w:rPr/>
          </w:pPr>
          <w:hyperlink w:anchor="__RefHeading___Toc5377407_1280447820">
            <w:r>
              <w:rPr>
                <w:webHidden/>
                <w:rStyle w:val="IndexLink"/>
                <w:rtl w:val="true"/>
              </w:rPr>
              <w:t xml:space="preserve">الجزء الأول </w:t>
            </w:r>
            <w:r>
              <w:rPr>
                <w:rStyle w:val="IndexLink"/>
                <w:rtl w:val="true"/>
              </w:rPr>
              <w:t xml:space="preserve">: </w:t>
            </w:r>
            <w:r>
              <w:rPr>
                <w:rStyle w:val="IndexLink"/>
                <w:rtl w:val="true"/>
              </w:rPr>
              <w:t>بعض مرتكزات الكانطية الجديدة</w:t>
            </w:r>
            <w:r>
              <w:rPr>
                <w:rStyle w:val="IndexLink"/>
                <w:rtl w:val="true"/>
              </w:rPr>
              <w:tab/>
            </w:r>
            <w:r>
              <w:rPr>
                <w:rStyle w:val="IndexLink"/>
              </w:rPr>
              <w:t>162</w:t>
            </w:r>
          </w:hyperlink>
        </w:p>
        <w:p>
          <w:pPr>
            <w:pStyle w:val="Contents3"/>
            <w:tabs>
              <w:tab w:val="clear" w:pos="8459"/>
              <w:tab w:val="right" w:pos="9026" w:leader="dot"/>
            </w:tabs>
            <w:rPr/>
          </w:pPr>
          <w:hyperlink w:anchor="__RefHeading___Toc5377409_1280447820">
            <w:r>
              <w:rPr>
                <w:webHidden/>
                <w:rStyle w:val="IndexLink"/>
                <w:rtl w:val="true"/>
              </w:rPr>
              <w:t xml:space="preserve">الجزء الثاني </w:t>
            </w:r>
            <w:r>
              <w:rPr>
                <w:rStyle w:val="IndexLink"/>
                <w:rtl w:val="true"/>
              </w:rPr>
              <w:t xml:space="preserve">: </w:t>
            </w:r>
            <w:r>
              <w:rPr>
                <w:rStyle w:val="IndexLink"/>
                <w:rtl w:val="true"/>
              </w:rPr>
              <w:t>القبلي ونظرية المعرفة</w:t>
            </w:r>
            <w:r>
              <w:rPr>
                <w:rStyle w:val="IndexLink"/>
                <w:rtl w:val="true"/>
              </w:rPr>
              <w:tab/>
            </w:r>
            <w:r>
              <w:rPr>
                <w:rStyle w:val="IndexLink"/>
              </w:rPr>
              <w:t>166</w:t>
            </w:r>
          </w:hyperlink>
        </w:p>
        <w:p>
          <w:pPr>
            <w:pStyle w:val="Contents3"/>
            <w:tabs>
              <w:tab w:val="clear" w:pos="8459"/>
              <w:tab w:val="right" w:pos="9026" w:leader="dot"/>
            </w:tabs>
            <w:rPr/>
          </w:pPr>
          <w:hyperlink w:anchor="__RefHeading___Toc5377411_1280447820">
            <w:r>
              <w:rPr>
                <w:webHidden/>
                <w:rStyle w:val="IndexLink"/>
                <w:rtl w:val="true"/>
              </w:rPr>
              <w:t>الجزء الثالث</w:t>
            </w:r>
            <w:r>
              <w:rPr>
                <w:rStyle w:val="IndexLink"/>
                <w:rtl w:val="true"/>
              </w:rPr>
              <w:t xml:space="preserve">: </w:t>
            </w:r>
            <w:r>
              <w:rPr>
                <w:rStyle w:val="IndexLink"/>
                <w:rtl w:val="true"/>
              </w:rPr>
              <w:t>النقد السياسي</w:t>
            </w:r>
            <w:r>
              <w:rPr>
                <w:rStyle w:val="IndexLink"/>
                <w:rtl w:val="true"/>
              </w:rPr>
              <w:t xml:space="preserve">- </w:t>
            </w:r>
            <w:r>
              <w:rPr>
                <w:rStyle w:val="IndexLink"/>
                <w:rtl w:val="true"/>
              </w:rPr>
              <w:t>الأخلاقي للكانطية الجديدة</w:t>
            </w:r>
            <w:r>
              <w:rPr>
                <w:rStyle w:val="IndexLink"/>
                <w:rtl w:val="true"/>
              </w:rPr>
              <w:tab/>
            </w:r>
            <w:r>
              <w:rPr>
                <w:rStyle w:val="IndexLink"/>
              </w:rPr>
              <w:t>172</w:t>
            </w:r>
          </w:hyperlink>
        </w:p>
        <w:p>
          <w:pPr>
            <w:pStyle w:val="Contents3"/>
            <w:tabs>
              <w:tab w:val="clear" w:pos="8459"/>
              <w:tab w:val="right" w:pos="9026" w:leader="dot"/>
            </w:tabs>
            <w:rPr/>
          </w:pPr>
          <w:hyperlink w:anchor="__RefHeading___Toc5377413_1280447820">
            <w:r>
              <w:rPr>
                <w:webHidden/>
                <w:rStyle w:val="IndexLink"/>
                <w:rtl w:val="true"/>
              </w:rPr>
              <w:t>الجزء الرابع</w:t>
            </w:r>
            <w:r>
              <w:rPr>
                <w:rStyle w:val="IndexLink"/>
                <w:rtl w:val="true"/>
              </w:rPr>
              <w:t xml:space="preserve">: </w:t>
            </w:r>
            <w:r>
              <w:rPr>
                <w:rStyle w:val="IndexLink"/>
                <w:rtl w:val="true"/>
              </w:rPr>
              <w:t>نقد فلسفة الدين للكانطية الجديدة</w:t>
            </w:r>
            <w:r>
              <w:rPr>
                <w:rStyle w:val="IndexLink"/>
                <w:rtl w:val="true"/>
              </w:rPr>
              <w:tab/>
            </w:r>
            <w:r>
              <w:rPr>
                <w:rStyle w:val="IndexLink"/>
              </w:rPr>
              <w:t>178</w:t>
            </w:r>
          </w:hyperlink>
        </w:p>
        <w:p>
          <w:pPr>
            <w:pStyle w:val="Contents3"/>
            <w:tabs>
              <w:tab w:val="clear" w:pos="8459"/>
              <w:tab w:val="right" w:pos="9026" w:leader="dot"/>
            </w:tabs>
            <w:rPr/>
          </w:pPr>
          <w:hyperlink w:anchor="__RefHeading___Toc5377415_1280447820">
            <w:r>
              <w:rPr>
                <w:webHidden/>
                <w:rStyle w:val="IndexLink"/>
                <w:rtl w:val="true"/>
              </w:rPr>
              <w:t>الجزء الخامس</w:t>
            </w:r>
            <w:r>
              <w:rPr>
                <w:rStyle w:val="IndexLink"/>
                <w:rtl w:val="true"/>
              </w:rPr>
              <w:t xml:space="preserve">: </w:t>
            </w:r>
            <w:r>
              <w:rPr>
                <w:rStyle w:val="IndexLink"/>
                <w:rtl w:val="true"/>
              </w:rPr>
              <w:t>نقد غض طرف الكانطية الجديدة عن الإسلام</w:t>
            </w:r>
            <w:r>
              <w:rPr>
                <w:rStyle w:val="IndexLink"/>
                <w:rtl w:val="true"/>
              </w:rPr>
              <w:tab/>
            </w:r>
            <w:r>
              <w:rPr>
                <w:rStyle w:val="IndexLink"/>
              </w:rPr>
              <w:t>192</w:t>
            </w:r>
          </w:hyperlink>
        </w:p>
        <w:p>
          <w:pPr>
            <w:pStyle w:val="Contents3"/>
            <w:tabs>
              <w:tab w:val="clear" w:pos="8459"/>
              <w:tab w:val="right" w:pos="9026" w:leader="dot"/>
            </w:tabs>
            <w:rPr/>
          </w:pPr>
          <w:hyperlink w:anchor="__RefHeading___Toc5377417_1280447820">
            <w:r>
              <w:rPr>
                <w:webHidden/>
                <w:rStyle w:val="IndexLink"/>
                <w:rtl w:val="true"/>
              </w:rPr>
              <w:t xml:space="preserve">الجزء السادس </w:t>
            </w:r>
            <w:r>
              <w:rPr>
                <w:rStyle w:val="IndexLink"/>
                <w:rtl w:val="true"/>
              </w:rPr>
              <w:t>:</w:t>
            </w:r>
            <w:r>
              <w:rPr>
                <w:rStyle w:val="IndexLink"/>
                <w:rtl w:val="true"/>
              </w:rPr>
              <w:t>نقد إهمال مشروع السلام الدائم في الكانطية الجديدة</w:t>
            </w:r>
            <w:r>
              <w:rPr>
                <w:rStyle w:val="IndexLink"/>
                <w:rtl w:val="true"/>
              </w:rPr>
              <w:tab/>
            </w:r>
            <w:r>
              <w:rPr>
                <w:rStyle w:val="IndexLink"/>
              </w:rPr>
              <w:t>201</w:t>
            </w:r>
          </w:hyperlink>
        </w:p>
        <w:p>
          <w:pPr>
            <w:pStyle w:val="Contents2"/>
            <w:tabs>
              <w:tab w:val="clear" w:pos="8743"/>
              <w:tab w:val="right" w:pos="9026" w:leader="dot"/>
            </w:tabs>
            <w:rPr/>
          </w:pPr>
          <w:hyperlink w:anchor="__RefHeading___Toc5377419_1280447820">
            <w:r>
              <w:rPr>
                <w:webHidden/>
                <w:rStyle w:val="IndexLink"/>
                <w:rtl w:val="true"/>
              </w:rPr>
              <w:t>خلاصة</w:t>
            </w:r>
            <w:r>
              <w:rPr>
                <w:rStyle w:val="IndexLink"/>
                <w:rtl w:val="true"/>
              </w:rPr>
              <w:tab/>
            </w:r>
            <w:r>
              <w:rPr>
                <w:rStyle w:val="IndexLink"/>
              </w:rPr>
              <w:t>207</w:t>
            </w:r>
          </w:hyperlink>
        </w:p>
        <w:p>
          <w:pPr>
            <w:pStyle w:val="Contents2"/>
            <w:tabs>
              <w:tab w:val="clear" w:pos="8743"/>
              <w:tab w:val="right" w:pos="9026" w:leader="dot"/>
            </w:tabs>
            <w:rPr/>
          </w:pPr>
          <w:hyperlink w:anchor="__RefHeading___Toc5377421_1280447820">
            <w:r>
              <w:rPr>
                <w:webHidden/>
                <w:rStyle w:val="IndexLink"/>
                <w:rtl w:val="true"/>
              </w:rPr>
              <w:t>قائمه المراجع</w:t>
            </w:r>
            <w:r>
              <w:rPr>
                <w:rStyle w:val="IndexLink"/>
                <w:rtl w:val="true"/>
              </w:rPr>
              <w:tab/>
            </w:r>
            <w:r>
              <w:rPr>
                <w:rStyle w:val="IndexLink"/>
              </w:rPr>
              <w:t>210</w:t>
            </w:r>
          </w:hyperlink>
        </w:p>
        <w:p>
          <w:pPr>
            <w:pStyle w:val="Contents2"/>
            <w:tabs>
              <w:tab w:val="clear" w:pos="8743"/>
              <w:tab w:val="right" w:pos="9026" w:leader="dot"/>
            </w:tabs>
            <w:rPr/>
          </w:pPr>
          <w:hyperlink w:anchor="__RefHeading___Toc5377423_1280447820">
            <w:r>
              <w:rPr>
                <w:webHidden/>
                <w:rStyle w:val="IndexLink"/>
                <w:rtl w:val="true"/>
              </w:rPr>
              <w:t>نبذة موجزة عن المؤلف</w:t>
            </w:r>
            <w:r>
              <w:rPr>
                <w:rStyle w:val="IndexLink"/>
                <w:rtl w:val="true"/>
              </w:rPr>
              <w:tab/>
            </w:r>
            <w:r>
              <w:rPr>
                <w:rStyle w:val="IndexLink"/>
              </w:rPr>
              <w:t>217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00_179293"/>
      <w:bookmarkStart w:id="1" w:name="pg16300_179293"/>
      <w:bookmarkEnd w:id="1"/>
    </w:p>
    <w:p>
      <w:pPr>
        <w:pStyle w:val="Heading2"/>
        <w:numPr>
          <w:ilvl w:val="1"/>
          <w:numId w:val="1"/>
        </w:numPr>
        <w:rPr/>
      </w:pPr>
      <w:bookmarkStart w:id="2" w:name="pg16300_179293"/>
      <w:bookmarkStart w:id="3" w:name="__RefHeading___Toc5377263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الكانطية الجديدة</w:t>
      </w:r>
    </w:p>
    <w:p>
      <w:pPr>
        <w:pStyle w:val="BookText"/>
        <w:rPr/>
      </w:pPr>
      <w:r>
        <w:rPr>
          <w:rFonts w:ascii="Amiri" w:hAnsi="Amiri" w:eastAsia="Amiri" w:cs="Amiri"/>
          <w:color w:val="111111"/>
          <w:sz w:val="28"/>
          <w:sz w:val="28"/>
          <w:szCs w:val="28"/>
          <w:rtl w:val="true"/>
          <w:lang w:bidi="ar-SA"/>
        </w:rPr>
        <w:t>رؤية تحليلية نقدية</w:t>
      </w:r>
    </w:p>
    <w:p>
      <w:pPr>
        <w:pStyle w:val="BookText"/>
        <w:rPr/>
      </w:pPr>
      <w:r>
        <w:rPr>
          <w:rFonts w:ascii="IRNazanin" w:hAnsi="IRNazanin" w:eastAsia="IRNazanin"/>
          <w:color w:val="111111"/>
          <w:sz w:val="28"/>
          <w:sz w:val="28"/>
          <w:szCs w:val="28"/>
          <w:rtl w:val="true"/>
          <w:lang w:bidi="fa-IR"/>
        </w:rPr>
        <w:t>لمفهومها ومدارسها</w:t>
      </w:r>
    </w:p>
    <w:p>
      <w:pPr>
        <w:pStyle w:val="BookText"/>
        <w:rPr/>
      </w:pPr>
      <w:r>
        <w:rPr>
          <w:rFonts w:ascii="Amiri" w:hAnsi="Amiri" w:eastAsia="Amiri" w:cs="Amiri"/>
          <w:color w:val="111111"/>
          <w:sz w:val="28"/>
          <w:sz w:val="28"/>
          <w:szCs w:val="28"/>
          <w:rtl w:val="true"/>
          <w:lang w:bidi="ar-SA"/>
        </w:rPr>
        <w:t>حميد لشهب</w:t>
      </w:r>
    </w:p>
    <w:p>
      <w:pPr>
        <w:pStyle w:val="BookText"/>
        <w:rPr/>
      </w:pPr>
      <w:r>
        <w:rPr>
          <w:rFonts w:ascii="Amiri" w:hAnsi="Amiri" w:eastAsia="Amiri" w:cs="Amiri"/>
          <w:color w:val="111111"/>
          <w:sz w:val="28"/>
          <w:sz w:val="28"/>
          <w:szCs w:val="28"/>
          <w:rtl w:val="true"/>
          <w:lang w:bidi="ar-SA"/>
        </w:rPr>
        <w:t>لشهب حميد، مؤلف</w:t>
      </w:r>
    </w:p>
    <w:p>
      <w:pPr>
        <w:pStyle w:val="BookText"/>
        <w:rPr/>
      </w:pPr>
      <w:r>
        <w:rPr>
          <w:rFonts w:ascii="Amiri" w:hAnsi="Amiri" w:eastAsia="Amiri" w:cs="Amiri"/>
          <w:color w:val="111111"/>
          <w:sz w:val="28"/>
          <w:sz w:val="28"/>
          <w:szCs w:val="28"/>
          <w:rtl w:val="true"/>
          <w:lang w:bidi="ar-SA"/>
        </w:rPr>
        <w:t>الكانطية الجديدة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رؤية تحليلية نقدية لمفهومها ومدارسها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لشهب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العباسية المقدسة، المركز الإسلامي للدراسات الاستراتيجية،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مخططات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سلسلة مصطلحات معاصرة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يتضمن إرجاعات ببليوجرافية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9789922604299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LCC : P121 .S27 2019</w:t>
      </w:r>
    </w:p>
    <w:p>
      <w:pPr>
        <w:pStyle w:val="BookText"/>
        <w:rPr/>
      </w:pPr>
      <w:r>
        <w:rPr>
          <w:rFonts w:eastAsia="Times New Roman" w:cs="Times New Roman" w:ascii="Times New Roman" w:hAnsi="Times New Roman"/>
          <w:color w:val="111111"/>
          <w:sz w:val="28"/>
          <w:szCs w:val="28"/>
          <w:lang w:val="en-US" w:bidi="en-US"/>
        </w:rPr>
        <w:t>DCC: 410</w:t>
      </w:r>
    </w:p>
    <w:p>
      <w:pPr>
        <w:pStyle w:val="BookText"/>
        <w:rPr/>
      </w:pPr>
      <w:r>
        <w:rPr>
          <w:rFonts w:ascii="Amiri" w:hAnsi="Amiri" w:eastAsia="Amiri" w:cs="Amiri"/>
          <w:color w:val="111111"/>
          <w:sz w:val="28"/>
          <w:sz w:val="28"/>
          <w:szCs w:val="28"/>
          <w:rtl w:val="true"/>
          <w:lang w:bidi="ar-SA"/>
        </w:rPr>
        <w:t>مركز الفهرسة ونظم المعلومات التابع لمكتبة ودار مخطوطات العتبة العباسية المقدسة</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عليرضا حقاني فر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77265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لشهب حميد، مؤلف</w:t>
      </w:r>
    </w:p>
    <w:p>
      <w:pPr>
        <w:pStyle w:val="BookText"/>
        <w:rPr/>
      </w:pPr>
      <w:r>
        <w:rPr>
          <w:rFonts w:ascii="Amiri" w:hAnsi="Amiri" w:eastAsia="Amiri" w:cs="Amiri"/>
          <w:color w:val="111111"/>
          <w:sz w:val="28"/>
          <w:sz w:val="28"/>
          <w:szCs w:val="28"/>
          <w:rtl w:val="true"/>
          <w:lang w:bidi="ar-SA"/>
        </w:rPr>
        <w:t>الكانطية الجديدة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رؤية تحليلية نقدية لمفهومها ومدارسها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لشهب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العباسية المقدسة، المركز الإسلامي للدراسات الاستراتيجية،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مخططات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سلسلة مصطلحات معاصرة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يتضمن إرجاعات ببليوجرافية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9789922604299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LCC : P121 .S27 2019</w:t>
      </w:r>
    </w:p>
    <w:p>
      <w:pPr>
        <w:pStyle w:val="BookText"/>
        <w:rPr/>
      </w:pPr>
      <w:r>
        <w:rPr>
          <w:rFonts w:eastAsia="Times New Roman" w:cs="Times New Roman" w:ascii="Times New Roman" w:hAnsi="Times New Roman"/>
          <w:color w:val="111111"/>
          <w:sz w:val="28"/>
          <w:szCs w:val="28"/>
          <w:lang w:val="en-US" w:bidi="en-US"/>
        </w:rPr>
        <w:t>DCC: 410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الفهرسة ونظم المعلومات التابع لمكتبة ودار مخطوطات العتبة العباسية المقدسة </w:t>
      </w:r>
      <w:bookmarkStart w:id="7" w:name="pg16300_179296"/>
    </w:p>
    <w:p>
      <w:pPr>
        <w:pStyle w:val="Heading2"/>
        <w:numPr>
          <w:ilvl w:val="1"/>
          <w:numId w:val="1"/>
        </w:numPr>
        <w:rPr/>
      </w:pPr>
      <w:bookmarkStart w:id="8" w:name="__RefHeading___Toc5377267_1280447820"/>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مقدمة المركز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الجذور التاريخية للكانطية الجديدة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ظهور الكانطية الجديدة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السبب السياسي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السبب الفكري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وضع حدود مع المسيحية والطبيعانية والتشاؤم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الكانطية الجديدة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الجزء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مصطلح الكانطية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بواكر الكانطية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فريدريك أدولف تريندلينبورغ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فیخنر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هيرمان لوتسا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أوطو ليبمان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المدارس الثلاثة الرئيسية للكانطية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بادن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فيلهيلم فيندلباند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هاينريك ريكرت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هوغو مونستير بيرغ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ماكسيميليان كارل إيميل فيبر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إيميل لاسك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برونو باوخ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غوستاف لامبيرت رادبروخ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هيلموت بليسنير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ماربوغ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هيرمان كوهن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باول ناتروب</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إرنست كاسيرر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کارل فورليندر</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فالتر أدريان شوكين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الجزء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اتجاه التعديل النقدي في الكانطية الجديدة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روبيرت راينينغر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ألوايس أدولف ريهل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هانس فايهنغر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ریخارد هونیغسفالد</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ليونارد نيلسون </w:t>
      </w:r>
      <w:r>
        <w:rPr>
          <w:rFonts w:eastAsia="Times New Roman" w:cs="Times New Roman" w:ascii="Times New Roman" w:hAnsi="Times New Roman"/>
          <w:color w:val="111111"/>
          <w:sz w:val="28"/>
          <w:szCs w:val="28"/>
          <w:lang w:val="en-US" w:bidi="en-US"/>
        </w:rPr>
        <w:t>Leonard Nelson ... 110</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المدارس الثلاثة الرئيسية للكانطية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 الكانطية الجديدة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روسيا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بولندا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فرنسا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أنجلترا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الدول الإسكندنافية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فى إسبانيا والبرتغال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إيطاليا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هولندا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اليابان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كوريا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الدول العربية والمسلمة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راهنية الكانطية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فتور الاهتمام بالكانطية الجديدة بعد الحرب العالمية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بعد الكانطية الجديدة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الكانطية وما بعد الحداثة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دائرة فيينا المعاصرة والكانطية الجديدة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مرتكزات الكانطية الجديدة ونقدها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مرتكزات الكانطية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القبلي ونظرية المعرفة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الجزء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 السياسي الأخلاقي للكانطية الجديدة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الجزء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فلسفة الدين للكانطية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الجزء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غض طرف الكانطية الجديدة عن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الجزء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إهمال مشروع السلام الدائم في الكانطية الجديدة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خلاصة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قائمة المراجع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نبذة موجزة عن المؤلف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bookmarkStart w:id="10" w:name="pg16300_179299"/>
    </w:p>
    <w:p>
      <w:pPr>
        <w:pStyle w:val="Heading2"/>
        <w:numPr>
          <w:ilvl w:val="1"/>
          <w:numId w:val="1"/>
        </w:numPr>
        <w:rPr/>
      </w:pPr>
      <w:bookmarkStart w:id="11" w:name="__RefHeading___Toc5377269_1280447820"/>
      <w:bookmarkStart w:id="12" w:name="_Toc4"/>
      <w:bookmarkEnd w:id="10"/>
      <w:bookmarkEnd w:id="11"/>
      <w:r>
        <w:rPr>
          <w:rtl w:val="true"/>
        </w:rPr>
        <w:t>مقدمة المركز</w:t>
      </w:r>
      <w:bookmarkEnd w:id="12"/>
    </w:p>
    <w:p>
      <w:pPr>
        <w:pStyle w:val="BookText"/>
        <w:rPr/>
      </w:pPr>
      <w:r>
        <w:rPr>
          <w:rFonts w:ascii="Amiri" w:hAnsi="Amiri" w:eastAsia="Amiri" w:cs="Amiri"/>
          <w:color w:val="111111"/>
          <w:sz w:val="28"/>
          <w:sz w:val="28"/>
          <w:szCs w:val="28"/>
          <w:rtl w:val="true"/>
          <w:lang w:bidi="ar-SA"/>
        </w:rPr>
        <w:t>تدخل هذه السلسلة التي يصدرها المركز الإسلامي للدراسات الإستراتيجية في سياق منظومة معرفية يعكف المركز على تظهيرها، وتهدف إلى درس وتأصيل ونقد مفاهيم شكلت ولما تزل مرتكزات أساسية في فضاء التفكير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وسعياً إلى هذا الهدف وضعت الهيئة المشرفة خارطة برامجية شاملة للعناية بالمصطلحات والمفاهيم الأكثر حضوراً وتداولاً وتأثيراً في العلوم الإنسانية، ولا سيما في حقول الفلسفة، وعلم الإجتماع، والفكر السياسي، وفلسفة الدين والاقتصاد وتاريخ الحضارات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الغاية من هذا المشروع المعرفي فيمكن إجمالها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بالمفاهيم وأهميتها المركزية في تشكيل وتنمية المعارف والعلوم الإنسانية وإدراك مبانيها وغاياتها، وبالتالي التعامل معها كضرورة للتواصل مع عالم الأفكار، والتعرف على النظريات والمناهج التي تتشكل منها الأنظمة الفكرية المختلفة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الغموض حول الكثير من المصطلحات والمفاهيم التي غالباً ما تستعمل في غير موضعها أويجري تفسيرها على خلاف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وأن كثيراً من الإشكاليات المعرفية ناتجة من اضطراب الفهم في تحديد المفاهيم والوقوف على مقاصدها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حقيقة ما يؤديه توظيف المفاهيم في ميادين الاحتدام </w:t>
      </w:r>
    </w:p>
    <w:p>
      <w:pPr>
        <w:pStyle w:val="BookText"/>
        <w:rPr/>
      </w:pPr>
      <w:r>
        <w:rPr>
          <w:rFonts w:ascii="Amiri" w:hAnsi="Amiri" w:eastAsia="Amiri" w:cs="Amiri"/>
          <w:color w:val="111111"/>
          <w:sz w:val="28"/>
          <w:sz w:val="28"/>
          <w:szCs w:val="28"/>
          <w:rtl w:val="true"/>
          <w:lang w:bidi="ar-SA"/>
        </w:rPr>
        <w:t>الحضاري بين الشرق والغرب، وما يترتب على هذا التوظيف من آثار سلبية بفعل العولمة الثقافية والقيمية التي تتعرض لها المجتمعات العربية والإسلامية وخصوصاً في الحقبة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رفد المعاهد الجامعية ومراكز الأبحاث والمنتديات الفكرية بعمل موسوعي جديد يحيط بنشأة المفهوم ومعناه ودلالاته الإصطلاحية، ومجال استخداماته العلمية، فضلاً عن صلاته وارتباطه بالعلوم والمعارف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وانطلاقاً من البعد العلمي والمنهجي والتحكيمي لهذا المشروع فقد حرص لامركز على أن يشارك في إنجازه نخبة من كبار الأكاديميين والباحثين والمفكرين من العالمين العربي والإسلامي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تركز هذه الدراسة التي تندرج ضمن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مصطلحات معاصرة على بيان المرتكزات الأساسية 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الكانطية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شاع أمره في الأوساط العلمية والأكاديمية والثقافية غرباً وشرقاً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يتناول بالتحليل والنقد أهم التيارات التي تدخل تحت هذا المصطلح، ولا سيما مدرسة بادن وماربورغ والنقدية الكانطية المعدّلة وذلك لأهميتها في تطور المفهوم وأثره الكبير في الفلسفة المعاصرة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ولي التوفيق </w:t>
      </w:r>
      <w:bookmarkStart w:id="13" w:name="pg16300_179301"/>
    </w:p>
    <w:p>
      <w:pPr>
        <w:pStyle w:val="Heading2"/>
        <w:numPr>
          <w:ilvl w:val="1"/>
          <w:numId w:val="1"/>
        </w:numPr>
        <w:rPr/>
      </w:pPr>
      <w:bookmarkStart w:id="14" w:name="__RefHeading___Toc5377271_1280447820"/>
      <w:bookmarkStart w:id="15" w:name="_Toc5"/>
      <w:bookmarkEnd w:id="13"/>
      <w:bookmarkEnd w:id="14"/>
      <w:r>
        <w:rPr>
          <w:rtl w:val="true"/>
        </w:rPr>
        <w:t>المقدمة</w:t>
      </w:r>
      <w:bookmarkEnd w:id="15"/>
    </w:p>
    <w:p>
      <w:pPr>
        <w:pStyle w:val="BookText"/>
        <w:rPr/>
      </w:pPr>
      <w:r>
        <w:rPr>
          <w:rFonts w:ascii="Amiri" w:hAnsi="Amiri" w:eastAsia="Amiri" w:cs="Amiri"/>
          <w:color w:val="111111"/>
          <w:sz w:val="28"/>
          <w:sz w:val="28"/>
          <w:szCs w:val="28"/>
          <w:rtl w:val="true"/>
          <w:lang w:bidi="ar-SA"/>
        </w:rPr>
        <w:t>عندما يتمعن المرء زَخم وزحام الفكر الفلسفي الجرماني في مطلع القرن العشرين، لا بد له من ملاحظة تلك المنافسة المكشوفة أو الضمنية بين أبناء العم النمساويين والألمان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الوقت الذي نشطت فيه دائرة فيينا بالعاصمة النمساوية</w:t>
      </w:r>
      <w:r>
        <w:rPr>
          <w:rStyle w:val="FootnoteAnchor"/>
          <w:rtl w:val="true"/>
        </w:rPr>
        <w:footnoteReference w:id="2"/>
      </w:r>
      <w:r>
        <w:rPr>
          <w:rFonts w:ascii="Amiri" w:hAnsi="Amiri" w:eastAsia="Amiri" w:cs="Amiri"/>
          <w:color w:val="111111"/>
          <w:sz w:val="28"/>
          <w:sz w:val="28"/>
          <w:szCs w:val="28"/>
          <w:rtl w:val="true"/>
          <w:lang w:bidi="ar-SA"/>
        </w:rPr>
        <w:t>، نشطت الكانطية الجديدة في مدن مختلفة بألمانيا كَرَد فعل على رفض المثالية الهيغيلية بالخصوص وقد كان لمدرسة بادن ونظيرتها ماربورغ والنقدية الكانطية المعدلة الدور الحاسم في محاولات فهم كانط وتطوير بعض جوانب فلسفته والدفاع عنها، بل وأيضا تجاوزها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يمكن الحديث أحاديا على أي اتجاه من اتجاهات الكانطية الجديدة المتعددة، دون الأخذ بعين الإعتبار مساهمة كل اتجاه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سنركز حديثنا في هذه الدراسة على أهم هذه الاتجاهات ونعني مدرسة بادن ومدرسة ماربورغ والنقدية الكانطية المعدلة، نظرا لأهميتها في تطور الكانطية الجديدة ومساهمتها الكبيرة في الفلسفة المعاصرة عامة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الكثير من المداخل والمسارب تضمن التوغل في دراسة الكانطية الجديدة، فقد يلجأ المرء إلى تقديم هذا الاتجاه مركزا على مجال أو أكثر من مجالات اهتمامها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المعرفة، </w:t>
      </w:r>
    </w:p>
    <w:p>
      <w:pPr>
        <w:pStyle w:val="BookText"/>
        <w:rPr/>
      </w:pPr>
      <w:r>
        <w:rPr>
          <w:rFonts w:ascii="Amiri" w:hAnsi="Amiri" w:eastAsia="Amiri" w:cs="Amiri"/>
          <w:color w:val="111111"/>
          <w:sz w:val="28"/>
          <w:sz w:val="28"/>
          <w:szCs w:val="28"/>
          <w:rtl w:val="true"/>
          <w:lang w:bidi="ar-SA"/>
        </w:rPr>
        <w:t>الفلسفة السياسية، الأخلاق، فلسفة ،القانون، فلسفة الدين، تاريخ الفلسفة إلخ؛ أو تقديم نماذج من ممثليها وبعض ما اشتغلوا عليه، أو وضعها في سياقها التاريخي وتقديمها في هذا الإطار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هذه المداخل مشروعة وممكنة، لأنها تعبر عن الغنى الكبير للكانطية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ويوحي عنوان دراستنا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الكانطية الجديدة ومدارسها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تحليلٌ، 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العام الذي استعملناه، بحيث إننا لجأنا إلى عرض تاريخي للكانطية الجديدة وبعض مضامين فلسفتها وفلاسفتها ومدارسها، معتمدين في ذلك على أهم المراجع القديمة والمعاصرة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والهدف من هذا كان هو تقديم شامل للكانطية الجديدة للقارئ العربي بالاعتماد مباشرةً على مراجع ألمانية 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ونتمنى أن هذا التقديم يُشكل جديدًا في الساحة الثقافية والفلسفية العربية، فلم يتم إلى حد الآن بهذه الطريقة، بل هناك على أكبر تقدير بعض الأعمال الموجزة عن الكانطية الجديدة في شموليتها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المقصود بالتحليل في عنوان كتابنا هذا، فإنه يعني تمعن مختلف ما نوقش في هذا البحر الهائل للكانطية الجديدة في مختلف ميادين الفلسفة ولابد أن ننبه إلى أننا لم نقم بمسح شامل لكل ما نوقش، بل ركزنا اهتمامنا على ما ظهر لنا مهما لكي يُعرف من طرف القارئ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وتفرغنا في الجانب النقدي لهذه الدراسة على النتائج السلبية المباشرة أو غير المباشرة للكانطية الجديدة في الساحة الثقافية الناطقة بالعربية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لتحقيق هذا الهدف الثلاثي الأبعاد، خصصنا لكتابنا هذا خمسة فصول، موزعةً على أجزاء غير متساوية في الطول، طبقًا لما عكفنا عليه في كل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خصصنا الفصل الأول إلى تتبع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الجذور التاريخية </w:t>
      </w:r>
    </w:p>
    <w:p>
      <w:pPr>
        <w:pStyle w:val="BookText"/>
        <w:rPr/>
      </w:pPr>
      <w:r>
        <w:rPr>
          <w:rFonts w:ascii="Amiri" w:hAnsi="Amiri" w:eastAsia="Amiri" w:cs="Amiri"/>
          <w:color w:val="111111"/>
          <w:sz w:val="28"/>
          <w:sz w:val="28"/>
          <w:szCs w:val="28"/>
          <w:rtl w:val="true"/>
          <w:lang w:bidi="ar-SA"/>
        </w:rPr>
        <w:t>للكانطية الجديدة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مركزين عل أسباب الظهور وتعريف الكانطية الجديدة بصفة عامة وبدايات استعمال المصطلح في حد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استعرضنا في الفصل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بواكر الكانطية الجديدة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ممثلةً في أربعة وجوه علمية وفلسفية رجعت في أعمالها إلى كانط مثل فريدريك أدولف تريندلينبورغ، فيخنر، هيرمان لوتسا، أوطو ليبمان، الذين كانوا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الأوائل في هذه الحركة الفلسفية التي شغلت القرنين التاسع عشر والعشرين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عكفنا في الفصل الثالث على تقديم المدارس الثلاثة للكانطية</w:t>
      </w:r>
    </w:p>
    <w:p>
      <w:pPr>
        <w:pStyle w:val="BookText"/>
        <w:rPr/>
      </w:pPr>
      <w:r>
        <w:rPr>
          <w:rFonts w:ascii="Amiri" w:hAnsi="Amiri" w:eastAsia="Amiri" w:cs="Amiri"/>
          <w:color w:val="111111"/>
          <w:sz w:val="28"/>
          <w:sz w:val="28"/>
          <w:szCs w:val="28"/>
          <w:rtl w:val="true"/>
          <w:lang w:bidi="ar-SA"/>
        </w:rPr>
        <w:t>الجديدة في شخص ممثليها وعملنا جاهدين على تقديم أكبر عدد منهم وما تناولوه بالدراسة والتمحيص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خلاصاتنا في هذا الفصل هو غياب أي وحدة بين مختلف المدارس التي مثلت الكانطية الجديدة، بل نلمس في قلب كل مدرسة على حدة هذا الغياب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يُعد هذا نقصًا في نظرنا فيها، بقدر ما يُعتبر غنّى كبيراً للفلسفة الكانطية في حد ذاتها، لأنها هي التي فرضت هذه التعددية في الكانطية الجديدة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نظرا لغنى الكانطية الجديدة السالف الذكر، خصصنا فصلاً رابعًا لتتبع خطواتها في مختلف أقطار المعمورة، سميناه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انتشار الكانطية الجديدة وراهنيتها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ويبين هذا الفصل مدى حيوية الكانطية الجديدة منذ ظهورها، وهي حيوية لم تفتر لا أثناء الحرب العالمية الأولى ولا إبان الحرب العالمية الثانية، بل اخترقت الأمصار والعصور لنجدها تشغل الكثير من الفلاسفة المعاصرين في الكثير من الدول، وهذا ما يسمح بالقول مع هانس لودفيغ أوليغ </w:t>
      </w:r>
      <w:r>
        <w:rPr>
          <w:rStyle w:val="FootnoteAnchor"/>
        </w:rPr>
        <w:footnoteReference w:id="3"/>
      </w:r>
      <w:r>
        <w:rPr>
          <w:rFonts w:eastAsia="Times New Roman" w:cs="Times New Roman" w:ascii="Times New Roman" w:hAnsi="Times New Roman"/>
          <w:color w:val="111111"/>
          <w:sz w:val="28"/>
          <w:szCs w:val="28"/>
          <w:lang w:val="en-US" w:bidi="en-US"/>
        </w:rPr>
        <w:t>Hans-Ludwig Ollig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بأن </w:t>
      </w:r>
    </w:p>
    <w:p>
      <w:pPr>
        <w:pStyle w:val="BookText"/>
        <w:rPr/>
      </w:pP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كانطيةً جديدةً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داعي للتذكير هنا بأن الكانطية الجديدة حاضرة بقوة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ما بعد الحداثة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وبالخصوص في جناحها الفرنسي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أكثر من هذا، وكانت هذه من المفاجئات التي أوصلنا لها بحثنا هذا، هناك اهتمام واضح المعالم للوضعية الجديدة المعاصرة بالكانطية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عكفنا في الفصل الخامس والأخير من دراستنا على عرض بعض مرتكزات الكانطية الجديدة، مركزين بالخصوص على إشكاليات بعينها كقضية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القبلي ونظرية المعرفة، والطريقة التي درست بها من طرف مختلف ممثلي الكانطية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وساعدنا هذا العرض على بناء جملة من الانتقادات لهذه المدرسة الفلسفية، وبالخصوص في ما يتعلق بفلسفتها الدينية وغضّها طرفها عن الإسلام، على الرغم من أن أباها الروحي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 بهذا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اهتمام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أنهينا بحثنا بخلاصة عامة، ركزنا فيها بالخصوص على النتائج السلبية المباشرة أو غير المباشرة للكانطية الجديدة في الساحة الثقافية العربية وما قد يقود إليه الاستهلاك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للمنتوجات الفكرية والفلسفية الغربية، إذا لم يكن هذا الاستهلاك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ومصحوبًا بنقد مسؤول، لا بنية رفض كل ما هو غربي من أجل الرفض، بل بوعي نتائج ما يروجه في أوساطنا الثقافية ومدى مساعدة ما يُروج في تقدمنا أو استلابنا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نؤكد، من موقع تواجدنا منذ أكثر من ربع قرن في الغرب وفهمنا لبعض ميكانيزمات استحواذه على الآخرين، باستعمال </w:t>
      </w:r>
    </w:p>
    <w:p>
      <w:pPr>
        <w:pStyle w:val="BookText"/>
        <w:rPr/>
      </w:pPr>
      <w:r>
        <w:rPr>
          <w:rFonts w:ascii="IRNazanin" w:hAnsi="IRNazanin" w:eastAsia="IRNazanin"/>
          <w:color w:val="111111"/>
          <w:sz w:val="28"/>
          <w:sz w:val="28"/>
          <w:szCs w:val="28"/>
          <w:rtl w:val="true"/>
          <w:lang w:bidi="fa-IR"/>
        </w:rPr>
        <w:t>أجنحته الثقافية والفلسفية أيضا، على ضرورة الحيطة والحذر في تعاملنا مع الفكر الغربي عموما، لأنه على الرغم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قد شب وترعرع في بيئة غير بيئاتنا بل في بيئة تحتقرنا وتعمل على إذلالنا بكل الوسائل، سواءً أثقافيا أم عسكريًا أم تجاريا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تعيث في أمتن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العربية والمسلمة فسادًا، تفرق من تريد تفرقتهم وتجمع من ترید جمعهم بغية تفريق الآخرين، وما نفع الغرب فكر كانط العظيم الذي نَظَر بطريقة غير مباشرة لمنظمة الأمم المتحدة، التي وعوض أن تكون بالفعل منظمة لكل الأمم ، فهي منظمة البعض الأمم فقط ، عَين البعض منها على المسلمين لتنحيتهم من الكرة الأرضية، بكرهها لهم لمجرد الكراهية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نأمل أن يقدم بحثنا هذا حول الكانطية الجديدة للقراء العرب بعض ما يحتاجونه لإتمام معرفتنا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وحتى وإن لم نكن نزعم بأننا وصلنا فيه إلى الكمال، فإننا واعون بأن العرض الذي قمنا به هنا لهذا الاتجاه أصيل شكلاً ومضمونا، ساعدنا في ذلك رجوعنا المباشر إلى مؤلفات أقطاب الكانطية الجديدة أنفسهم، وهو رجوع قليل حتى في الثقافات الأوروبية نفسها، ذلك أن الكانطية الجديدة لم تبح بعد بكل أسرارها للأوروبيين والغربيين بصفة عامة، فالترجمات من الألمانية إلى اللغات الأوروبية الأخرى حديثة العهد؛ ولربما تفتح هذه الترجمات أبوابا جديدة في الفكر الغربي نفسه، الذي لم يهضم بعد بما فيه الكفاية، لا الكانطية الجديدة ولا كانط نفسه</w:t>
      </w:r>
      <w:r>
        <w:rPr>
          <w:rFonts w:eastAsia="Amiri" w:cs="Amiri" w:ascii="Amiri" w:hAnsi="Amiri"/>
          <w:color w:val="111111"/>
          <w:sz w:val="28"/>
          <w:szCs w:val="28"/>
          <w:rtl w:val="true"/>
          <w:lang w:bidi="ar-SA"/>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6300_179307"/>
      <w:bookmarkStart w:id="17" w:name="pg16300_179307"/>
      <w:bookmarkEnd w:id="17"/>
    </w:p>
    <w:p>
      <w:pPr>
        <w:pStyle w:val="Heading2"/>
        <w:numPr>
          <w:ilvl w:val="1"/>
          <w:numId w:val="1"/>
        </w:numPr>
        <w:rPr/>
      </w:pPr>
      <w:bookmarkStart w:id="18" w:name="pg16300_179307"/>
      <w:bookmarkStart w:id="19" w:name="__RefHeading___Toc5377273_1280447820"/>
      <w:bookmarkStart w:id="20" w:name="_Toc6"/>
      <w:bookmarkEnd w:id="18"/>
      <w:bookmarkEnd w:id="19"/>
      <w:r>
        <w:rPr>
          <w:rtl w:val="true"/>
        </w:rPr>
        <w:t xml:space="preserve">الفصل الأول </w:t>
      </w:r>
      <w:r>
        <w:rPr>
          <w:rtl w:val="true"/>
        </w:rPr>
        <w:t xml:space="preserve">: </w:t>
      </w:r>
      <w:r>
        <w:rPr>
          <w:rtl w:val="true"/>
        </w:rPr>
        <w:t>الجذور التاريخية للكانطية الجديدة</w:t>
      </w:r>
      <w:bookmarkEnd w:id="2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5377275_1280447820"/>
      <w:bookmarkStart w:id="22" w:name="_Toc7"/>
      <w:bookmarkEnd w:id="21"/>
      <w:r>
        <w:rPr>
          <w:rtl w:val="true"/>
        </w:rPr>
        <w:t>اشارة</w:t>
      </w:r>
      <w:bookmarkStart w:id="23" w:name="pg16300_179308"/>
      <w:bookmarkEnd w:id="22"/>
    </w:p>
    <w:p>
      <w:pPr>
        <w:pStyle w:val="BookText"/>
        <w:rPr/>
      </w:pPr>
      <w:bookmarkEnd w:id="23"/>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الجذور التاريخية للكانطية الجديدة</w:t>
      </w:r>
    </w:p>
    <w:p>
      <w:pPr>
        <w:pStyle w:val="Heading3"/>
        <w:numPr>
          <w:ilvl w:val="2"/>
          <w:numId w:val="1"/>
        </w:numPr>
        <w:rPr/>
      </w:pPr>
      <w:bookmarkStart w:id="24" w:name="__RefHeading___Toc5377277_1280447820"/>
      <w:bookmarkStart w:id="25" w:name="_Toc8"/>
      <w:bookmarkEnd w:id="24"/>
      <w:r>
        <w:rPr>
          <w:rtl w:val="true"/>
        </w:rPr>
        <w:t xml:space="preserve">الجزء الأول </w:t>
      </w:r>
      <w:r>
        <w:rPr>
          <w:rtl w:val="true"/>
        </w:rPr>
        <w:t xml:space="preserve">: </w:t>
      </w:r>
      <w:r>
        <w:rPr>
          <w:rtl w:val="true"/>
        </w:rPr>
        <w:t>أسباب ظهور الكانطية الجديدة</w:t>
      </w:r>
      <w:bookmarkEnd w:id="25"/>
    </w:p>
    <w:p>
      <w:pPr>
        <w:pStyle w:val="Heading4"/>
        <w:numPr>
          <w:ilvl w:val="3"/>
          <w:numId w:val="1"/>
        </w:numPr>
        <w:rPr/>
      </w:pPr>
      <w:bookmarkStart w:id="26" w:name="__RefHeading___Toc5377279_1280447820"/>
      <w:bookmarkStart w:id="27" w:name="_Toc9"/>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 xml:space="preserve">يؤكد كلاوس كريستيان كونكا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والوضعية </w:t>
      </w:r>
      <w:r>
        <w:rPr>
          <w:rFonts w:eastAsia="Times New Roman" w:cs="Times New Roman" w:ascii="Times New Roman" w:hAnsi="Times New Roman"/>
          <w:color w:val="111111"/>
          <w:sz w:val="28"/>
          <w:szCs w:val="28"/>
          <w:lang w:val="en-US" w:bidi="en-US"/>
        </w:rPr>
        <w:t>Klaus Christian Köhnke. Entstehung und Aufstieg des zwischen deutsche Universitätphilosophie Neukantianismus. Die 1986 ,Idealismus und Positivismus. Suhrkamp. Frankfurt am Main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ويُعد هذا المؤلف أهم تأريخ للكانطية الجديدة في الوقت المعاصر، لأنه اشتغل على نصوص مؤسسة لهذا الاتجاه بطريقة نقدية لا سردية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Klaus Christian Köhn ke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 نفريد 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Manfred Pacher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بأن هناك أسبابًا عديدةً لظهور الكانطية الجديدة مسايرين في ذلك مختلف مؤرخي الفلسفة الألمانية الحديثة والمعاصرة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بين أهم هذه الأسباب تقدم العلوم الطبيعية ابتداءً من النصف الثاني للقرن 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هذا التطور كان من أسباب أفول نجم الفلسفة الهيغيلية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ويؤول الكثيرون هذا برجوع الفلسفة من جديد إلى سكة العلوم، بعدما كانت غادرتها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المثالية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مركزةً في هذا الرجوع على نظرية المعرفة بما يتضمنه ذلك من مُعاودةً الاهتمام بفلسفة كانط</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كونكا </w:t>
      </w:r>
      <w:r>
        <w:rPr>
          <w:rFonts w:eastAsia="Times New Roman" w:cs="Times New Roman" w:ascii="Times New Roman" w:hAnsi="Times New Roman"/>
          <w:color w:val="111111"/>
          <w:sz w:val="28"/>
          <w:szCs w:val="28"/>
          <w:lang w:val="en-US" w:bidi="en-US"/>
        </w:rPr>
        <w:t>Köhnke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بما فيه الكفاية كيف كان ضروريًا الرجوع إلى كانط بعد أفول المثالية الهيغيلية والشروط التي كانت وراء </w:t>
      </w:r>
      <w:bookmarkStart w:id="28" w:name="pg16300_179309"/>
    </w:p>
    <w:p>
      <w:pPr>
        <w:pStyle w:val="BookText"/>
        <w:rPr/>
      </w:pPr>
      <w:bookmarkEnd w:id="28"/>
      <w:r>
        <w:rPr>
          <w:rFonts w:ascii="Amiri" w:hAnsi="Amiri" w:eastAsia="Amiri" w:cs="Amiri"/>
          <w:color w:val="111111"/>
          <w:sz w:val="28"/>
          <w:sz w:val="28"/>
          <w:szCs w:val="28"/>
          <w:rtl w:val="true"/>
          <w:lang w:bidi="ar-SA"/>
        </w:rPr>
        <w:t>ظهور الكانطية الجديدة وانتشارها بسرعة قياسية في سبعينيات القرن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وسنعول على هذا المؤلف الثمين هنا ونقدم أهم ما جاء فيه، لأنه يُعتبر حاليًا من أهم المراجع المتوفرة في ما يخص الكانطية الجديدة في الوقت الحالي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أهم جديد في تأريخ كونكا هذا هو تأكيده على أن ما أيقظ في الواقع الاهتمام بكانط لم يكن هو الاهتمام المبدئي بكانط نفسه، بقدر ما كان يتمثل في اندماج فلسفته في روح نهاية القرن الثامن عشر وبداية التاسع عشر في الأوساط الجامعية الألمانية</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5377281_1280447820"/>
      <w:bookmarkStart w:id="30" w:name="_Toc10"/>
      <w:bookmarkEnd w:id="29"/>
      <w:r>
        <w:rPr/>
        <w:t>1</w:t>
      </w:r>
      <w:r>
        <w:rPr>
          <w:rtl w:val="true"/>
        </w:rPr>
        <w:t xml:space="preserve">. </w:t>
      </w:r>
      <w:r>
        <w:rPr>
          <w:rtl w:val="true"/>
        </w:rPr>
        <w:t>السبب السياسي</w:t>
      </w:r>
      <w:bookmarkEnd w:id="30"/>
    </w:p>
    <w:p>
      <w:pPr>
        <w:pStyle w:val="BookText"/>
        <w:rPr/>
      </w:pPr>
      <w:r>
        <w:rPr>
          <w:rFonts w:ascii="Amiri" w:hAnsi="Amiri" w:eastAsia="Amiri" w:cs="Amiri"/>
          <w:color w:val="111111"/>
          <w:sz w:val="28"/>
          <w:sz w:val="28"/>
          <w:szCs w:val="28"/>
          <w:rtl w:val="true"/>
          <w:lang w:bidi="ar-SA"/>
        </w:rPr>
        <w:t xml:space="preserve">كانت هناك ظروف سياسية بعينها ساعدت على ذلك وعلى رأسها إخفاق ثورة </w:t>
      </w: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ألمانيا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بين أهم نتائج هذا الإخفاق إبعاد القضايا السياسية والاجتماعية من مقررات الجامعة، كما تم تضييق الخناق على جيوش الفلسفة التطبيقية والسياسية ونقد الثقافة بقيت في الجامعة الإتجاهات المحافظة القوية وممثلي الفلسفة التأملية وفلاسفة نظرية المعرفة الجدد،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حين بقيت الاتجاهات الفلسفية الأخرى خارج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النقد الديني لليسار الهيغيلي والفلسفة المادية وفلسفة التشاؤم </w:t>
      </w:r>
    </w:p>
    <w:p>
      <w:pPr>
        <w:pStyle w:val="BookText"/>
        <w:rPr/>
      </w:pPr>
      <w:r>
        <w:rPr>
          <w:rFonts w:ascii="IRNazanin" w:hAnsi="IRNazanin" w:eastAsia="IRNazanin"/>
          <w:color w:val="111111"/>
          <w:sz w:val="28"/>
          <w:sz w:val="28"/>
          <w:szCs w:val="28"/>
          <w:rtl w:val="true"/>
          <w:lang w:bidi="fa-IR"/>
        </w:rPr>
        <w:t>الشوبنهاور</w:t>
      </w:r>
      <w:r>
        <w:rPr>
          <w:rFonts w:eastAsia="IRNazanin" w:cs="IRNazanin"/>
          <w:color w:val="111111"/>
          <w:sz w:val="28"/>
          <w:szCs w:val="28"/>
          <w:rtl w:val="true"/>
          <w:lang w:bidi="fa-IR"/>
        </w:rPr>
        <w:t>»</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فإن أصل الكانطية الجديدة لم يكن متوغلاً في معارضته للاتجاهات المادية الوضعية التي كانت منتشرةً بعد المثالية الهيغيلية، بقد ما استفادت من منعطف تاريخي في السياسة الألمانية بعد الثورة آنفة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عامل آخر كان حاسمًا في ظهور الكانطية الجديدة، يتمثل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المحاجات المادية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المعرفيّة النظرية لتصور مادي للعالم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Materialismusstreit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السنوات التالية على عام </w:t>
      </w:r>
      <w:r>
        <w:rPr>
          <w:rFonts w:eastAsia="Amiri" w:cs="Amiri" w:ascii="Amiri" w:hAnsi="Amiri"/>
          <w:color w:val="111111"/>
          <w:sz w:val="28"/>
          <w:szCs w:val="28"/>
          <w:lang w:bidi="ar-SA"/>
        </w:rPr>
        <w:t>1854</w:t>
      </w:r>
      <w:r>
        <w:rPr>
          <w:rFonts w:ascii="Amiri" w:hAnsi="Amiri" w:eastAsia="Amiri" w:cs="Amiri"/>
          <w:color w:val="111111"/>
          <w:sz w:val="28"/>
          <w:sz w:val="28"/>
          <w:szCs w:val="28"/>
          <w:rtl w:val="true"/>
          <w:lang w:bidi="ar-SA"/>
        </w:rPr>
        <w:t>، بحيث فرض على ممثلي مختلف الاتجاهات الفلسفية في الجامعات الاعتراف بالمسيحية كأيديولوجيا مُؤَسِّسة للدولة أو التصريح العلني بالانتماء إلى تصور مادي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الأمر أسهل آنذاك على كل فيلسوف ربط حباله بحبال الفلسفة الكانطية، بالاعتماد على الإرث الذي خلفه كانط في ميدان فلسفة الدين؛ وبالخصوص عدم معاداته للدين على الأقل علانيةً وصراحةً ، بل حاول في مواضع مختلفة من فكره توضيح كون عالم التجربة في العلوم ليس هو العلوم ليس هو عالم الدين لاختلاف في الموضوع والمنهج</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نتيجة الضغوط السياسية لعام </w:t>
      </w: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انفصال مفكري الرأي العام عن المتخصصين الأكاديميين في الجامعات، استمر الأولون في نضالهم في إطار نقد ثقافي عام للأوضاع واهتموا بالإشكاليات السياسية والفلسفة التطبيقية، في حين انسحب </w:t>
      </w:r>
    </w:p>
    <w:p>
      <w:pPr>
        <w:pStyle w:val="BookText"/>
        <w:rPr/>
      </w:pPr>
      <w:r>
        <w:rPr>
          <w:rFonts w:ascii="Amiri" w:hAnsi="Amiri" w:eastAsia="Amiri" w:cs="Amiri"/>
          <w:color w:val="111111"/>
          <w:sz w:val="28"/>
          <w:sz w:val="28"/>
          <w:szCs w:val="28"/>
          <w:rtl w:val="true"/>
          <w:lang w:bidi="ar-SA"/>
        </w:rPr>
        <w:t>الأخيرين من مناقشات هذه المواضيع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ضغط السلطات الألمانية السياسية في ذلك الوقت كان معظم الفلاسفة الذين كانوا يعيشون من وظائفهم كأساتذة مضطرين للانضباط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من تجاوز السياج الذي وضعته السلطات، كان يغامر بقوت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النتيجة الفضيعة لهذا هو فقدان الفلسفة بصفة عامة الكثير من مصداقيتها وشهرتها ومكانتها عند الرأي العام إلى حدود نهاية خمسينيات القرن التاسع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الرغم من كل هذا حافظت التيارات المادية، إلى جانب فلسفة شوبنهاور، على تأثيرها إلى غاية نهاية القرن التاسع عشر، وحدث في حالات معينة نوع من مزج للمادية والوضعية، كما حاول ذلك لودفيغ بوخنر </w:t>
      </w:r>
      <w:r>
        <w:rPr>
          <w:rFonts w:eastAsia="Times New Roman" w:cs="Times New Roman" w:ascii="Times New Roman" w:hAnsi="Times New Roman"/>
          <w:color w:val="111111"/>
          <w:sz w:val="28"/>
          <w:szCs w:val="28"/>
          <w:lang w:val="en-US" w:bidi="en-US"/>
        </w:rPr>
        <w:t>Ludwig Buchner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كتابه </w:t>
      </w:r>
      <w:r>
        <w:rPr>
          <w:rFonts w:eastAsia="Times New Roman" w:cs="Times New Roman" w:ascii="Times New Roman" w:hAnsi="Times New Roman"/>
          <w:color w:val="111111"/>
          <w:sz w:val="28"/>
          <w:szCs w:val="28"/>
          <w:lang w:val="en-US" w:bidi="en-US"/>
        </w:rPr>
        <w:t>Kraft und Stoft</w:t>
      </w:r>
      <w:r>
        <w:rPr>
          <w:rFonts w:ascii="Amiri" w:hAnsi="Amiri" w:eastAsia="Amiri" w:cs="Amiri"/>
          <w:color w:val="111111"/>
          <w:sz w:val="28"/>
          <w:sz w:val="28"/>
          <w:szCs w:val="28"/>
          <w:rtl w:val="true"/>
          <w:lang w:bidi="ar-SA"/>
        </w:rPr>
        <w:t>، وكان ثمن مثل هذه المحاولات هو العزل عن التدريس كما وقع له شخصياً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المصير نفسه 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قبل الكانطيين الجدد، بحيث إن مسارهم الجامعي، كما يحكي باشر </w:t>
      </w:r>
      <w:r>
        <w:rPr>
          <w:rFonts w:eastAsia="Times New Roman" w:cs="Times New Roman" w:ascii="Times New Roman" w:hAnsi="Times New Roman"/>
          <w:color w:val="111111"/>
          <w:sz w:val="28"/>
          <w:szCs w:val="28"/>
          <w:lang w:val="en-US" w:bidi="en-US"/>
        </w:rPr>
        <w:t>Pascher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كتابه آنف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معتمدًا على كونكا </w:t>
      </w:r>
      <w:r>
        <w:rPr>
          <w:rFonts w:eastAsia="Times New Roman" w:cs="Times New Roman" w:ascii="Times New Roman" w:hAnsi="Times New Roman"/>
          <w:color w:val="111111"/>
          <w:sz w:val="28"/>
          <w:szCs w:val="28"/>
          <w:lang w:val="en-US" w:bidi="en-US"/>
        </w:rPr>
        <w:t>Kohnke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كان يعرف الكثير من العقبات والصعاب لا لشيء إلا لكونهم كانوا فلاسفةً، ومن كان كذلك في ذاك الوقت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خمسينيات القرن التاسع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ينج من مراقبة وضغط السلطات عليه بطريقة أو بأخرى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بین الاستثناءات كان هناك هيرمان هيلمهولتس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Hermann Helm holtz</w:t>
      </w:r>
      <w:r>
        <w:rPr>
          <w:rFonts w:ascii="Amiri" w:hAnsi="Amiri" w:eastAsia="Amiri" w:cs="Amiri"/>
          <w:color w:val="111111"/>
          <w:sz w:val="28"/>
          <w:sz w:val="28"/>
          <w:szCs w:val="28"/>
          <w:rtl w:val="true"/>
          <w:lang w:bidi="ar-SA"/>
        </w:rPr>
        <w:t xml:space="preserve">، الذي يُعتبر في نظر كونكا </w:t>
      </w:r>
      <w:r>
        <w:rPr>
          <w:rFonts w:eastAsia="Times New Roman" w:cs="Times New Roman" w:ascii="Times New Roman" w:hAnsi="Times New Roman"/>
          <w:color w:val="111111"/>
          <w:sz w:val="28"/>
          <w:szCs w:val="28"/>
          <w:lang w:val="en-US" w:bidi="en-US"/>
        </w:rPr>
        <w:t>Köhnke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 معبدي الطريق للكانطية الجديدة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بين الفلاسفة الذين كانوا ضحيةً لهذا الأمر كان هناك رودولف هایم کارل برانتل، فريدريك أوبيرفيغ، كونو </w:t>
      </w:r>
      <w:bookmarkStart w:id="31" w:name="pg16300_179312"/>
    </w:p>
    <w:p>
      <w:pPr>
        <w:pStyle w:val="BookText"/>
        <w:rPr/>
      </w:pPr>
      <w:bookmarkEnd w:id="31"/>
      <w:r>
        <w:rPr>
          <w:rFonts w:ascii="Amiri" w:hAnsi="Amiri" w:eastAsia="Amiri" w:cs="Amiri"/>
          <w:color w:val="111111"/>
          <w:sz w:val="28"/>
          <w:sz w:val="28"/>
          <w:szCs w:val="28"/>
          <w:rtl w:val="true"/>
          <w:lang w:bidi="ar-SA"/>
        </w:rPr>
        <w:t>فيشر، يورغن بونا ماير، ألبيرت لانغا</w:t>
      </w:r>
      <w:r>
        <w:rPr>
          <w:rStyle w:val="FootnoteAnchor"/>
          <w:rtl w:val="true"/>
        </w:rPr>
        <w:footnoteReference w:id="8"/>
      </w:r>
      <w:r>
        <w:rPr>
          <w:rFonts w:ascii="Amiri" w:hAnsi="Amiri" w:eastAsia="Amiri" w:cs="Amiri"/>
          <w:color w:val="111111"/>
          <w:sz w:val="28"/>
          <w:sz w:val="28"/>
          <w:szCs w:val="28"/>
          <w:rtl w:val="true"/>
          <w:lang w:bidi="ar-SA"/>
        </w:rPr>
        <w:t>، إما بحرمانهم من التقدم إلى الأستاذية بعد الحصول على الدكتوراه أو بتوقيفهم عن التدريس، أو غادروا البلاد كما حدث لهايم وفيشر</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سنرى في معرض حديثنا عن الكانطيين الجدد كل واحد على حدة، فإن الوقت الذي كان يمر بين الحصول على شهادة الأستاذية، عند القبل الكانطيين الجدد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والإدماج في التدريس هو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في المعدل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هذه المدة تقلصت إلى حوالي ثمانية سنوات ونصف في المعدل مع المعدل الجيل الأول للكانطيين الجدد في سبعينيات القرن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البدايات الحقيقية للكانطية الجديدة كان في هذا الوقت، على الرغم من أن أقطابها لم ينتظموا في مجموعات تحمل هذا الاسم إلا بعد ذلك بكثير</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5377283_1280447820"/>
      <w:bookmarkStart w:id="33" w:name="_Toc11"/>
      <w:bookmarkEnd w:id="32"/>
      <w:r>
        <w:rPr/>
        <w:t>2</w:t>
      </w:r>
      <w:r>
        <w:rPr>
          <w:rtl w:val="true"/>
        </w:rPr>
        <w:t xml:space="preserve">. </w:t>
      </w:r>
      <w:r>
        <w:rPr>
          <w:rtl w:val="true"/>
        </w:rPr>
        <w:t xml:space="preserve">السبب الفكري </w:t>
      </w:r>
      <w:r>
        <w:rPr>
          <w:rtl w:val="true"/>
        </w:rPr>
        <w:t>-</w:t>
      </w:r>
      <w:r>
        <w:rPr>
          <w:rtl w:val="true"/>
        </w:rPr>
        <w:t>الديني</w:t>
      </w:r>
      <w:bookmarkEnd w:id="3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أشرنا إلى ذلك باقتضاب في مستهل حديثنا في هذه النقطة، فإن ما شجع على الرجوع إلى كانط كان هو موقفه الفلسفي الإيجابي من العلوم الطبيعية، على عكس هيغل، الذي بنى نوعًا من الفلسفة الطبيعية المبللة بنوع من إدخال روح للطبيعة ليست فيها، ليسقط في الكثير من الأوقات في فلسفة طبيعية تأملية، تتماشى وروح الرومنطيقية المثالية أكثر من هذا فُهم كانط في بدايات الاهتمام به من طرف الكانطيين الجدد كمؤسس النظرية معرفية في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ولربما لم يكن من قبيل الصدفة أن هيلمهولتس </w:t>
      </w:r>
      <w:r>
        <w:rPr>
          <w:rFonts w:eastAsia="Times New Roman" w:cs="Times New Roman" w:ascii="Times New Roman" w:hAnsi="Times New Roman"/>
          <w:color w:val="111111"/>
          <w:sz w:val="28"/>
          <w:szCs w:val="28"/>
          <w:lang w:val="en-US" w:bidi="en-US"/>
        </w:rPr>
        <w:t>Helmholtz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سالف </w:t>
      </w:r>
      <w:bookmarkStart w:id="34" w:name="pg16300_179313"/>
    </w:p>
    <w:p>
      <w:pPr>
        <w:pStyle w:val="BookText"/>
        <w:rPr/>
      </w:pPr>
      <w:bookmarkEnd w:id="34"/>
      <w:r>
        <w:rPr>
          <w:rFonts w:ascii="Amiri" w:hAnsi="Amiri" w:eastAsia="Amiri" w:cs="Amiri"/>
          <w:color w:val="111111"/>
          <w:sz w:val="28"/>
          <w:sz w:val="28"/>
          <w:szCs w:val="28"/>
          <w:rtl w:val="true"/>
          <w:lang w:bidi="ar-SA"/>
        </w:rPr>
        <w:t xml:space="preserve">الذكر ، أحد أهم العلماء الطبيعيين في ذلك الوقت، كان من بين من اهتم بكانط وشجع بذلك، بقصد أو بدون قصد، على تنامي الاهتمام بما خلفه كانط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قبيل ظهور الكانطية الجديدة، وبعد انتهاء الهيغلية، انتشرت كما قلنا اتجاهات طبيعية ومادية قلبت النسق الهيغلي رأساً على عقب؛ لكنها لم تَرقَ إلى دقة وعمق الكانطية، وبالخصوص في أهم شيء كان يشغل الفكر آنذاك علاقة العلم بالدين، أو محاولة القضاء على الدين باسم العلم أو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كانط أكد في أكثر من موضع بأن المرء لا يمكنه، لا في الفلسفة النظرية ولا في الفلسفة التطبيقية، فهم المعرفة والسلوك الأخلاقي انطلاقا من موقع العلوم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السبب ميز بين ميدان المعرفة والميدان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فُهم موقفه كبديل عن المثالية الذاتية وعن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وطدت الكانطية، بوعي أو بدون وعي، الميول التي أصبحت في ذلك واضحةً أكثر فأكثر ، والمتمثلة في القبول بتقدم العلوم ورفض المادية</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5377285_1280447820"/>
      <w:bookmarkStart w:id="36" w:name="_Toc12"/>
      <w:bookmarkEnd w:id="35"/>
      <w:r>
        <w:rPr/>
        <w:t>3</w:t>
      </w:r>
      <w:r>
        <w:rPr>
          <w:rtl w:val="true"/>
        </w:rPr>
        <w:t xml:space="preserve">. </w:t>
      </w:r>
      <w:r>
        <w:rPr>
          <w:rtl w:val="true"/>
        </w:rPr>
        <w:t>وضع حدودِ مع المسيحية والطبيعانية والتشاؤم</w:t>
      </w:r>
      <w:bookmarkEnd w:id="3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نقطة مهمة أخرى لا بد من الإشارة إليها ولو باقتضاب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ثلاثة ميادين وضعت الكانطية الجديدة حدودًا واضحةً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المؤسساتي، الطبيعانية والتشاؤم وكان الدين المؤسساتي هو أهم ما عارضته لأنها كانت ترى بأنه يُقدم تصورًا شموليا للعالم، بل يحتكر هذا التصور ويُقدمه كالتصور الممكن الوحيد والمقبول بصفة نهائية، دون تقديم أي برهان مقنع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أن أغلبية الكانطيين الجدد كانوا متدينين، فإنهم كانوا ليبراليين </w:t>
      </w:r>
    </w:p>
    <w:p>
      <w:pPr>
        <w:pStyle w:val="BookText"/>
        <w:rPr/>
      </w:pPr>
      <w:r>
        <w:rPr>
          <w:rFonts w:ascii="Amiri" w:hAnsi="Amiri" w:eastAsia="Amiri" w:cs="Amiri"/>
          <w:color w:val="111111"/>
          <w:sz w:val="28"/>
          <w:sz w:val="28"/>
          <w:szCs w:val="28"/>
          <w:rtl w:val="true"/>
          <w:lang w:bidi="ar-SA"/>
        </w:rPr>
        <w:t>في ما يخص الدين، كما أنهم طالبوا بالتفريق بين الكنيسة والدولة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 أهم ما تصدوا له بهذا الصدد هو التعليم الديني بالمدارس الحكومية، بحيث أنهم طالبوا بالحد منه أو إلغائه تمامًا نظرًا للتأثير الواضح الذي تمارسه الكاثوليكية السياسية من خلاله في الحياة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سببًا كافيًا للوقوف في صف بيسمارك ضد الكنيسة المسيحية، لأنها كانت ضد التفريق بين الكنيسة والدولة وضد إمكانية استقلال العقل والفلسفة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ويقودنا هذا للتأكيد بأن الكانطية الجديدة لم تكن محايدةً ولم تكتف بالتفرج على الصراع بين العلوم الطبيعية والدين، بل انخرطت فيه بطرق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فبإعطائها الأولوية للمادة على حساب الروح نفت العلوم الطبيعية أي مشروعية لإمكانية الوصول إلى أي معرفة من خلال الدين، وبهذا هاجمت</w:t>
      </w:r>
    </w:p>
    <w:p>
      <w:pPr>
        <w:pStyle w:val="BookText"/>
        <w:rPr/>
      </w:pPr>
      <w:r>
        <w:rPr>
          <w:rFonts w:ascii="Amiri" w:hAnsi="Amiri" w:eastAsia="Amiri" w:cs="Amiri"/>
          <w:color w:val="111111"/>
          <w:sz w:val="28"/>
          <w:sz w:val="28"/>
          <w:szCs w:val="28"/>
          <w:rtl w:val="true"/>
          <w:lang w:bidi="ar-SA"/>
        </w:rPr>
        <w:t xml:space="preserve">الروح بدون هوادة، وهو الهجوم الذي قاد عام </w:t>
      </w: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اصطلح عليه المحاجات المادية </w:t>
      </w:r>
      <w:r>
        <w:rPr>
          <w:rFonts w:eastAsia="Times New Roman" w:cs="Times New Roman" w:ascii="Times New Roman" w:hAnsi="Times New Roman"/>
          <w:color w:val="111111"/>
          <w:sz w:val="28"/>
          <w:szCs w:val="28"/>
          <w:lang w:val="en-US" w:bidi="en-US"/>
        </w:rPr>
        <w:t>Materialismusstreit</w:t>
      </w:r>
      <w:r>
        <w:rPr>
          <w:rStyle w:val="FootnoteAnchor"/>
          <w:rtl w:val="true"/>
        </w:rPr>
        <w:footnoteReference w:id="10"/>
      </w:r>
      <w:r>
        <w:rPr>
          <w:rFonts w:ascii="Amiri" w:hAnsi="Amiri" w:eastAsia="Amiri" w:cs="Amiri"/>
          <w:color w:val="111111"/>
          <w:sz w:val="28"/>
          <w:sz w:val="28"/>
          <w:szCs w:val="28"/>
          <w:rtl w:val="true"/>
          <w:lang w:bidi="ar-SA"/>
        </w:rPr>
        <w:t xml:space="preserve">دافع الفيزيولوجي رودولف فاغنر </w:t>
      </w:r>
      <w:r>
        <w:rPr>
          <w:rFonts w:eastAsia="Times New Roman" w:cs="Times New Roman" w:ascii="Times New Roman" w:hAnsi="Times New Roman"/>
          <w:color w:val="111111"/>
          <w:sz w:val="28"/>
          <w:szCs w:val="28"/>
          <w:lang w:val="en-US" w:bidi="en-US"/>
        </w:rPr>
        <w:t>Rudolf Wagner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مثلا على المسيحية كأساس للعلوم الطبيعية، في الوقت الذي كان فيه الخبير في علم الحيوان كارل فوغت </w:t>
      </w:r>
      <w:r>
        <w:rPr>
          <w:rFonts w:eastAsia="Times New Roman" w:cs="Times New Roman" w:ascii="Times New Roman" w:hAnsi="Times New Roman"/>
          <w:color w:val="111111"/>
          <w:sz w:val="28"/>
          <w:szCs w:val="28"/>
          <w:lang w:val="en-US" w:bidi="en-US"/>
        </w:rPr>
        <w:t>Carl Vogt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يرى بأن المادة هي شرط وجود ما هو روحي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واشتد الصراع بين الجانبين بعد نشر کتاب شارل داروین أصل الأنواع عام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أصبح صراعًا حول تصور ظهور العالم، ذلك أن النزعة الطبيعانية حاولت تعويض التصور المسيحي لخلق العالم بتصور مادي محضِ</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أشرنا إلى ذلك فإن معارضة الكانطية الجديدة للإمبريقية تكمن في تفريقها بين المنهج العلمي وتصور أو تمثل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p>
    <w:p>
      <w:pPr>
        <w:pStyle w:val="BookText"/>
        <w:rPr/>
      </w:pPr>
      <w:r>
        <w:rPr>
          <w:rFonts w:ascii="Amiri" w:hAnsi="Amiri" w:eastAsia="Amiri" w:cs="Amiri"/>
          <w:color w:val="111111"/>
          <w:sz w:val="28"/>
          <w:sz w:val="28"/>
          <w:szCs w:val="28"/>
          <w:rtl w:val="true"/>
          <w:lang w:bidi="ar-SA"/>
        </w:rPr>
        <w:t>الرغم من أنها كانت تشجع وتطالب بتطبيق المناهج العلمية، معتبرةً إياها ناجعةً في العلوم الطبيعية فإنها كانت ضد التصور الحتمي للعالم المادي، وهو التصور الذي كانت العلوم تقدمه كبديل عن التصور الديني للعالم، لأنها كانت ترى في ذلك فرض نوع من إطلاقية نظرية معرفة العلوم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تفوتنا الإشارة أيضا، في غمار الحديث عن تطور الكانطية الجديدة، إلى الأزمة السياسية الكبيرة التي وقعت في ألمانيا القيصرية إثر محاولة اغتيال القيصر عام </w:t>
      </w:r>
      <w:r>
        <w:rPr>
          <w:rFonts w:eastAsia="Amiri" w:cs="Amiri" w:ascii="Amiri" w:hAnsi="Amiri"/>
          <w:color w:val="111111"/>
          <w:sz w:val="28"/>
          <w:szCs w:val="28"/>
          <w:lang w:bidi="ar-SA"/>
        </w:rPr>
        <w:t>1878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أدت إلى إعادة النظر في الليبرالية كوسيلة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تنج الكانطية الجديدة من الآثار السلبية لنتائج هذه الأزمة، وبالخصوص في ما يخص اليهود منهم؛ ذلك أن حركة معاداة السامية تقوَّت بشكل ملحوظ في ذلك الوقت، حتى وإن كان المرء يميز بين اليهودية كدين واليهود ، ومن أهم ما اتهموا به هو سلوكهم الاحتكاري في التجارة ورافق هذه الأزمة أيضا نوع من الاضطراب في الأوساط البورجوازية، التي كانت تمثل العمود الفقري لليبرالية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إثر هذه الإضطرابات غيرت الكانطية الجديدة مجرى تيارها من الاهتمام النظري الفكري إلى الفلسفة العملية أو التطبيقية، إلى درجة أن المرء قد يؤكد مع باشر </w:t>
      </w:r>
      <w:r>
        <w:rPr>
          <w:rFonts w:eastAsia="Times New Roman" w:cs="Times New Roman" w:ascii="Times New Roman" w:hAnsi="Times New Roman"/>
          <w:color w:val="111111"/>
          <w:sz w:val="28"/>
          <w:szCs w:val="28"/>
          <w:lang w:val="en-US" w:bidi="en-US"/>
        </w:rPr>
        <w:t>Pascher</w:t>
      </w:r>
      <w:r>
        <w:rPr>
          <w:rFonts w:ascii="Amiri" w:hAnsi="Amiri" w:eastAsia="Amiri" w:cs="Amiri"/>
          <w:color w:val="111111"/>
          <w:sz w:val="28"/>
          <w:sz w:val="28"/>
          <w:szCs w:val="28"/>
          <w:rtl w:val="true"/>
          <w:lang w:bidi="ar-SA"/>
        </w:rPr>
        <w:t>، بأنها تحولت من كونها 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فلسفة وضعية</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إذا نوع من الردة على المبادئ في الكانطية الجديدة، ذلك أنها تحولت مثلاً من مقاومة أيّ تصور للعالم إلى فلسفة ذات مثل هذا التصور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إذا رجوع إلى المثالية، بما يمثله ذلك من 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الاهتمام بنظرية المعرفة وانصب </w:t>
      </w:r>
    </w:p>
    <w:p>
      <w:pPr>
        <w:pStyle w:val="BookText"/>
        <w:rPr/>
      </w:pPr>
      <w:r>
        <w:rPr>
          <w:rFonts w:ascii="Amiri" w:hAnsi="Amiri" w:eastAsia="Amiri" w:cs="Amiri"/>
          <w:color w:val="111111"/>
          <w:sz w:val="28"/>
          <w:sz w:val="28"/>
          <w:szCs w:val="28"/>
          <w:rtl w:val="true"/>
          <w:lang w:bidi="ar-SA"/>
        </w:rPr>
        <w:t xml:space="preserve">على نظرية ثقافية أقرب إلى هيغل منها إلى كانط؛ بما يعنيه ذلك من إعطاء سلطة للعقل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حساب نقد هذا العقل وإظهار حدوده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وحتى وإن لم يكن المرء في ذلك الوقت، قام بالخطوة الحاسمة بين المثالية النقدية الكانطية إلى المثالية الذاتية الهيغلية </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Hans Friedrich Fulda/Christian Krijnen (Hsrg.). Systemphilosophie als Selbserkenntins. Hegel und der Neukantianismus. Königshausen &amp; Neumann, Würzburg, 2006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فإن هذه الخطوة تحققت بالفعل بعد الحرب العالمية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الكانطي الجديد ناتروب من الأمثلة على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Heinrich Levy: Die Hegel-Renaissance in der deutschen Philosphie mit besonderer Berücksichtigung des Neukantianismus. Berlin- Charlottenburg 1927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القول عموما بأن ما شجع على ازدهار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الكانطية الجديدة بعد </w:t>
      </w: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أيضا المناخ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الفكري، وبالخصوص ما ورث عن كانط في ما يخص موقفه المتعلق بالتمييز بين العلم والتصور أو التمثل العامي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فإنه لم يطور فقط طريقةً ممتازةً للعلوم الطبيعية، بل وضح بأن هذه العلوم لا تمس بأي طريقة من الطرق تصوراتنا الدينية والأخلاقية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يتبين لنا إذا بأن ظهور الكانطية الجديدة كان مشروطًا بعوامل سياسية وفكرية في المقام الأول، كانت في العمق في صالحها، على الرغم من أن أقطابها الأوائل عانوا من الكثير من المضايقات كفلاسفة، لكن عندما تغيرت الأوضاع أصبحت الكانطية الجديدة </w:t>
      </w:r>
      <w:bookmarkStart w:id="37" w:name="pg16300_179317"/>
    </w:p>
    <w:p>
      <w:pPr>
        <w:pStyle w:val="BookText"/>
        <w:rPr/>
      </w:pPr>
      <w:bookmarkEnd w:id="37"/>
      <w:r>
        <w:rPr>
          <w:rFonts w:ascii="Amiri" w:hAnsi="Amiri" w:eastAsia="Amiri" w:cs="Amiri"/>
          <w:color w:val="111111"/>
          <w:sz w:val="28"/>
          <w:sz w:val="28"/>
          <w:szCs w:val="28"/>
          <w:rtl w:val="true"/>
          <w:lang w:bidi="ar-SA"/>
        </w:rPr>
        <w:t>تقليعةً، وبالخصوص بفضل مواقف كانط من الدين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روادها من كبار الأساتذة في الجامعات الألمانية، وبهذه الطريقة غرست جذورها في الفضاء الأكاديمي الألماني، الذي عرف توسيعا كبيرا له وأصبح الطلب على الأساتذة الجامعيين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هذا كانت الليبرالية قد وصلت إلى مستوى مقبول، ومعلوم أن أغلبية الكانطيين الجدد كانوا ذوي ميولات ليبرالية</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5377287_1280447820"/>
      <w:bookmarkStart w:id="39" w:name="_Toc13"/>
      <w:bookmarkEnd w:id="38"/>
      <w:r>
        <w:rPr>
          <w:rtl w:val="true"/>
        </w:rPr>
        <w:t xml:space="preserve">الجزء الثاني </w:t>
      </w:r>
      <w:r>
        <w:rPr>
          <w:rtl w:val="true"/>
        </w:rPr>
        <w:t xml:space="preserve">: </w:t>
      </w:r>
      <w:r>
        <w:rPr>
          <w:rtl w:val="true"/>
        </w:rPr>
        <w:t>تعريف الكانطية الجديدة</w:t>
      </w:r>
      <w:bookmarkEnd w:id="3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يوجد تعريف موحد للكانطية الجديدة، لا فقط لكثرة مدارسها، بل لإمكانية تقديمها بطرق مختلفة كما أكد على ذلك طوماتس كوباليكا</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الكثير من الباحثين الذين يشتغلون على الكانطية الجديدة، في محاولة لتحديدها، لكن لا يمكن لأي منهم البرهنة على أن أقواله في هذا الإطار نهائية وغير قابلة للدحض أو للنقاش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وتبدأ الصعوبات في محاولة التحديد التاريخي الدقيق لبداية ونهاية الكانطية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وتتمثل الصعوبة الإضافية في صعوبة التمييز بين الكانطية الجديدة وتيارات فلسفية أخرى معاصرة كالهيغلية والفينومينولوجيا والفلسفة التحليلية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وتتعقد الأمور أكثر عندما يُحاول المرء شرح ظاهرة ظهور مختلف أنواع الكانطية الجديدة ومساراتها ومراحل تطورها وتحديد تشكيل أعضائها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الإعلان عن جائزة</w:t>
      </w:r>
      <w:r>
        <w:rPr>
          <w:rStyle w:val="FootnoteAnchor"/>
          <w:rtl w:val="true"/>
        </w:rPr>
        <w:footnoteReference w:id="14"/>
      </w:r>
      <w:r>
        <w:rPr>
          <w:rFonts w:ascii="Amiri" w:hAnsi="Amiri" w:eastAsia="Amiri" w:cs="Amiri"/>
          <w:color w:val="111111"/>
          <w:sz w:val="28"/>
          <w:sz w:val="28"/>
          <w:szCs w:val="28"/>
          <w:rtl w:val="true"/>
          <w:lang w:bidi="ar-SA"/>
        </w:rPr>
        <w:t xml:space="preserve">كانت الجمعية الألمانية لكانط أعلنت عنها </w:t>
      </w:r>
      <w:bookmarkStart w:id="40" w:name="pg16300_179318"/>
    </w:p>
    <w:p>
      <w:pPr>
        <w:pStyle w:val="BookText"/>
        <w:rPr/>
      </w:pPr>
      <w:bookmarkEnd w:id="40"/>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الصعوبة الجمة لتحديد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الكانطية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موضوع الجائزة يدور 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النقدي للكانطية الجديدة من بداياتها حتى اليوم</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المرء تاريخ تسليم الأعمال مرتين متتابعتين إلى حدود عام </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 واستغني عن الجائزة لعدم تقديم أيّ عمل لنيلها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دل هذا على شيء، في اعتقادنا، فإنما يدل على الصعوبة الجمة لإعطاء تعريف إجرائي دقيق لمصطلح الكانطية الجديدة</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5377289_1280447820"/>
      <w:bookmarkStart w:id="42" w:name="_Toc14"/>
      <w:bookmarkEnd w:id="41"/>
      <w:r>
        <w:rPr>
          <w:rtl w:val="true"/>
        </w:rPr>
        <w:t>الجزء الثالث</w:t>
      </w:r>
      <w:r>
        <w:rPr>
          <w:rtl w:val="true"/>
        </w:rPr>
        <w:t xml:space="preserve">: </w:t>
      </w:r>
      <w:r>
        <w:rPr>
          <w:rtl w:val="true"/>
        </w:rPr>
        <w:t>ظهور مصطلح الكانطية الجديدة</w:t>
      </w:r>
      <w:bookmarkEnd w:id="42"/>
    </w:p>
    <w:p>
      <w:pPr>
        <w:pStyle w:val="BookText"/>
        <w:rPr/>
      </w:pPr>
      <w:r>
        <w:rPr>
          <w:rFonts w:ascii="Amiri" w:hAnsi="Amiri" w:eastAsia="Amiri" w:cs="Amiri"/>
          <w:color w:val="111111"/>
          <w:sz w:val="28"/>
          <w:sz w:val="28"/>
          <w:szCs w:val="28"/>
          <w:rtl w:val="true"/>
          <w:lang w:bidi="ar-SA"/>
        </w:rPr>
        <w:t>قد يكون كتاب شوبنهاور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إرادة وتصور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وكتابه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نقد العقل الخالص</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الخطوة الأولى لما اصطلح عليه لاحقًا بالكانطية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ويطلق هذا المصطلح على تلك الاتجاهات الفلسفية التي تنادي بالعودة إلى روح فلسفة كانط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تُطلق عبارة الكانطية بصفة عامة على المواقف أو الإتجاهات الفلسفية التي تُعتبر منتمية لكانط بطريقة مباشرة، وتعبر عن ذلك 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مجموعات مختلفةٌ تُع تعتبر كذلك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التلامذة المباشرون ،لكانط ممن نشروا فلسفته مثل </w:t>
      </w:r>
      <w:r>
        <w:rPr>
          <w:rFonts w:eastAsia="Times New Roman" w:cs="Times New Roman" w:ascii="Times New Roman" w:hAnsi="Times New Roman"/>
          <w:color w:val="111111"/>
          <w:sz w:val="28"/>
          <w:szCs w:val="28"/>
          <w:lang w:val="en-US" w:bidi="en-US"/>
        </w:rPr>
        <w:t>Marcus</w:t>
      </w:r>
    </w:p>
    <w:p>
      <w:pPr>
        <w:pStyle w:val="BookText"/>
        <w:rPr/>
      </w:pPr>
      <w:r>
        <w:rPr>
          <w:rFonts w:eastAsia="Times New Roman" w:cs="Times New Roman" w:ascii="Times New Roman" w:hAnsi="Times New Roman"/>
          <w:color w:val="111111"/>
          <w:sz w:val="28"/>
          <w:szCs w:val="28"/>
          <w:lang w:val="en-US" w:bidi="en-US"/>
        </w:rPr>
        <w:t>Herz, Gottlob Benjamin Jäsche, Carl Christian Erhard</w:t>
      </w:r>
    </w:p>
    <w:p>
      <w:pPr>
        <w:pStyle w:val="BookText"/>
        <w:rPr/>
      </w:pPr>
      <w:r>
        <w:rPr>
          <w:rFonts w:eastAsia="Times New Roman" w:cs="Times New Roman" w:ascii="Times New Roman" w:hAnsi="Times New Roman"/>
          <w:color w:val="111111"/>
          <w:sz w:val="28"/>
          <w:szCs w:val="28"/>
          <w:lang w:val="en-US" w:bidi="en-US"/>
        </w:rPr>
        <w:t>Schmid, Johann Gottfried Kiesewetter, Wilhelm Traugott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Krug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وبالخصوص </w:t>
      </w:r>
      <w:r>
        <w:rPr>
          <w:rFonts w:eastAsia="Times New Roman" w:cs="Times New Roman" w:ascii="Times New Roman" w:hAnsi="Times New Roman"/>
          <w:color w:val="111111"/>
          <w:sz w:val="28"/>
          <w:szCs w:val="28"/>
          <w:lang w:val="en-US" w:bidi="en-US"/>
        </w:rPr>
        <w:t>Friedrich Gottlob Born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الفلاسفة الذين اشتغلوا بطريقة مكثفة على فلسفة كانط، حتى وإن حدثت في دراساتهم بعض التغييرات مثل </w:t>
      </w:r>
      <w:r>
        <w:rPr>
          <w:rFonts w:eastAsia="Times New Roman" w:cs="Times New Roman" w:ascii="Times New Roman" w:hAnsi="Times New Roman"/>
          <w:color w:val="111111"/>
          <w:sz w:val="28"/>
          <w:szCs w:val="28"/>
          <w:lang w:val="en-US" w:bidi="en-US"/>
        </w:rPr>
        <w:t>Carl Leon hard Reinhold, Jakob Friedrich Fries, Salomon Maimon, .Friedrich Eduard Beneke</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الكانطيون الجدد للنصف الثاني من القرن التاسع، وخاصة المنتمين لمدرسة بادن ومدرسة ماربورغ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النقديون إما أنهم كانوا في صفوف الكانطية الجديدة واستقلوا عنها ، أو اشتغلوا باستقلال عنها منذ البداية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الباحثون المتخصصون ،المعاصرون الذين يرجعون إلى فلسفته بصفة عامة أو جانب محدد منها لدراسته بعمق مثل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Hen- ry E. Allison, Rainer Brandt, Paul Guyer, Dieter Henrich, Otfried Höffe, Helmut Holzhey, Gerold Prauss, Dieter .Schönecker, Dietmar Heidemann</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ممثلون آخرون للكانطية مثل </w:t>
      </w:r>
      <w:r>
        <w:rPr>
          <w:rFonts w:eastAsia="Times New Roman" w:cs="Times New Roman" w:ascii="Times New Roman" w:hAnsi="Times New Roman"/>
          <w:color w:val="111111"/>
          <w:sz w:val="28"/>
          <w:szCs w:val="28"/>
          <w:lang w:val="en-US" w:bidi="en-US"/>
        </w:rPr>
        <w:t>Friedrich Karl For</w:t>
      </w:r>
    </w:p>
    <w:p>
      <w:pPr>
        <w:pStyle w:val="BookText"/>
        <w:rPr/>
      </w:pPr>
      <w:r>
        <w:rPr>
          <w:rFonts w:eastAsia="Times New Roman" w:cs="Times New Roman" w:ascii="Times New Roman" w:hAnsi="Times New Roman"/>
          <w:color w:val="111111"/>
          <w:sz w:val="28"/>
          <w:szCs w:val="28"/>
          <w:lang w:val="en-US" w:bidi="en-US"/>
        </w:rPr>
        <w:t>berg, Eric Weil, Jean Ferrari, Claude Piché, Monique Ca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stillo, Robert Theis</w:t>
      </w:r>
      <w:r>
        <w:rPr>
          <w:rFonts w:eastAsia="Times New Roman" w:cs="Times New Roman" w:ascii="Times New Roman" w:hAnsi="Times New Roman"/>
          <w:color w:val="111111"/>
          <w:sz w:val="28"/>
          <w:szCs w:val="28"/>
          <w:rtl w:val="true"/>
          <w:lang w:val="en-US" w:bidi="en-US"/>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 تداول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الكانطية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ألمانيا منذ حوالي عام </w:t>
      </w: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 منذ بدايتها اتجاهات متعددة ما يجمعها هو رجوعها كلها للإرث الفلسفي الكانطي الكبير، لا لإحيائه والمحافظة عليه، بل لدراسته في عمقه ونقده، ولربما تطويره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تتطلع أبداً إلى شيء أكثر من العودة إلى روح كانط، ولم </w:t>
      </w:r>
    </w:p>
    <w:p>
      <w:pPr>
        <w:pStyle w:val="BookText"/>
        <w:rPr/>
      </w:pPr>
      <w:r>
        <w:rPr>
          <w:rFonts w:ascii="Amiri" w:hAnsi="Amiri" w:eastAsia="Amiri" w:cs="Amiri"/>
          <w:color w:val="111111"/>
          <w:sz w:val="28"/>
          <w:sz w:val="28"/>
          <w:szCs w:val="28"/>
          <w:rtl w:val="true"/>
          <w:lang w:bidi="ar-SA"/>
        </w:rPr>
        <w:t>تسع على الإطلاق إلى إحياء نظامه الفلسفي برمته</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وتجدر الإشارة إلى أنه لا يوجد هناك تحديد قار 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الكانطية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فتراوغوت كونستانتين أوسترياخ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Traugott Kon stantine Oesterreich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مثلا يتحدث عن سبعة اتجاهات</w:t>
      </w:r>
      <w:r>
        <w:rPr>
          <w:rStyle w:val="FootnoteAnchor"/>
          <w:rtl w:val="true"/>
        </w:rPr>
        <w:footnoteReference w:id="18"/>
      </w:r>
      <w:r>
        <w:rPr>
          <w:rFonts w:ascii="Amiri" w:hAnsi="Amiri" w:eastAsia="Amiri" w:cs="Amiri"/>
          <w:color w:val="111111"/>
          <w:sz w:val="28"/>
          <w:sz w:val="28"/>
          <w:szCs w:val="28"/>
          <w:rtl w:val="true"/>
          <w:lang w:bidi="ar-SA"/>
        </w:rPr>
        <w:t xml:space="preserve">الاتجاه الفيزيولوجي الممثل من طرف هلمهولتز ولانغي </w:t>
      </w:r>
      <w:r>
        <w:rPr>
          <w:rFonts w:eastAsia="Times New Roman" w:cs="Times New Roman" w:ascii="Times New Roman" w:hAnsi="Times New Roman"/>
          <w:color w:val="111111"/>
          <w:sz w:val="28"/>
          <w:szCs w:val="28"/>
          <w:lang w:val="en-US" w:bidi="en-US"/>
        </w:rPr>
        <w:t>Helmholtz, Lange</w:t>
      </w:r>
      <w:r>
        <w:rPr>
          <w:rFonts w:ascii="Amiri" w:hAnsi="Amiri" w:eastAsia="Amiri" w:cs="Amiri"/>
          <w:color w:val="111111"/>
          <w:sz w:val="28"/>
          <w:sz w:val="28"/>
          <w:szCs w:val="28"/>
          <w:rtl w:val="true"/>
          <w:lang w:bidi="ar-SA"/>
        </w:rPr>
        <w:t xml:space="preserve">، والاتجاه الميتافيزيقي الممثل من طرف ليبمان وفولكلت </w:t>
      </w:r>
      <w:r>
        <w:rPr>
          <w:rFonts w:eastAsia="Times New Roman" w:cs="Times New Roman" w:ascii="Times New Roman" w:hAnsi="Times New Roman"/>
          <w:color w:val="111111"/>
          <w:sz w:val="28"/>
          <w:szCs w:val="28"/>
          <w:lang w:val="en-US" w:bidi="en-US"/>
        </w:rPr>
        <w:t>Liebmann, Volkelt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والاتجاه الواقعي الممثل من طرف ريهل </w:t>
      </w:r>
      <w:r>
        <w:rPr>
          <w:rFonts w:eastAsia="Times New Roman" w:cs="Times New Roman" w:ascii="Times New Roman" w:hAnsi="Times New Roman"/>
          <w:color w:val="111111"/>
          <w:sz w:val="28"/>
          <w:szCs w:val="28"/>
          <w:lang w:val="en-US" w:bidi="en-US"/>
        </w:rPr>
        <w:t>Rihl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والاتجاه المنطقي الممثل من طرف کوهن و ناتورب وكاسيرر </w:t>
      </w:r>
      <w:r>
        <w:rPr>
          <w:rFonts w:eastAsia="Times New Roman" w:cs="Times New Roman" w:ascii="Times New Roman" w:hAnsi="Times New Roman"/>
          <w:color w:val="111111"/>
          <w:sz w:val="28"/>
          <w:szCs w:val="28"/>
          <w:lang w:val="en-US" w:bidi="en-US"/>
        </w:rPr>
        <w:t>Cohen, Nator, assirer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أصحاب مدرسة ماربورغ </w:t>
      </w:r>
      <w:r>
        <w:rPr>
          <w:rFonts w:eastAsia="Times New Roman" w:cs="Times New Roman" w:ascii="Times New Roman" w:hAnsi="Times New Roman"/>
          <w:color w:val="111111"/>
          <w:sz w:val="28"/>
          <w:szCs w:val="28"/>
          <w:lang w:val="en-US" w:bidi="en-US"/>
        </w:rPr>
        <w:t>Marburger Schule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ونظرية القيم النقدية الممثلة من طرف فیندلباند، ریکرت مونستر بيرغ </w:t>
      </w:r>
      <w:r>
        <w:rPr>
          <w:rFonts w:eastAsia="Times New Roman" w:cs="Times New Roman" w:ascii="Times New Roman" w:hAnsi="Times New Roman"/>
          <w:color w:val="111111"/>
          <w:sz w:val="28"/>
          <w:szCs w:val="28"/>
          <w:lang w:val="en-US" w:bidi="en-US"/>
        </w:rPr>
        <w:t>Windelband, Rickert, Münsterberg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ممثلي مدرسة بادن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واتجاه التعديل النسبي للنقدية ممثلة من طرف سيمل </w:t>
      </w:r>
      <w:r>
        <w:rPr>
          <w:rFonts w:eastAsia="Times New Roman" w:cs="Times New Roman" w:ascii="Times New Roman" w:hAnsi="Times New Roman"/>
          <w:color w:val="111111"/>
          <w:sz w:val="28"/>
          <w:szCs w:val="28"/>
          <w:lang w:val="en-US" w:bidi="en-US"/>
        </w:rPr>
        <w:t>Simmel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والاتجاه السيكولوجي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النفساني، الممثل من طرف نيلسون وآخرون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الكانطية الجديدة عرفت العديد من المدارس والمدارس الفرعية، وهناك اثنتان منهما فقط عُرفتا على نطاق واسع،لاستمراريتهما وتأثيرهما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مدرسة بادن أو هايدلبيرغ أو ألمانيا الجنوبية الشرقية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كلها أسماء أطلقت عليها ومدرسة ماربورغ</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إجماع شبه عامّ عند الفلاسفة الناطقين بالألمانية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الجرمانيين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وجمهور المهتمين بالفلسفة الألمانية عموماً</w:t>
      </w:r>
      <w:r>
        <w:rPr>
          <w:rStyle w:val="FootnoteAnchor"/>
          <w:rtl w:val="true"/>
        </w:rPr>
        <w:footnoteReference w:id="19"/>
      </w:r>
      <w:r>
        <w:rPr>
          <w:rFonts w:ascii="Amiri" w:hAnsi="Amiri" w:eastAsia="Amiri" w:cs="Amiri"/>
          <w:color w:val="111111"/>
          <w:sz w:val="28"/>
          <w:sz w:val="28"/>
          <w:szCs w:val="28"/>
          <w:rtl w:val="true"/>
          <w:lang w:bidi="ar-SA"/>
        </w:rPr>
        <w:t>، وخاصة المتخصصين منهم، على كون ظهور الكانطية الجديدة كان تعبيراً على أزمة حقيقية للفكر الألماني، الذي وجد نفسه مستمراً في السباحة في مثالية موروثة، في الوقت التي هاجمت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تيارات فلسفيةٌ أخرى الصوامع الهادئة للتفكير المثالي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الهدف الرئيسي للبوادر الأولى للتيار الكانطي الجديد هي محاولة التوفيق بين العلوم الطبيعية والفكر المثالي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وتعتبر هذه المحاولة رداً صريحًا على اختيار دائرة فيينا ،تجاوز بل ولربما مقاومة المثالية الألمانية باختيارها هدم الميتافيزيقا والتركيز على فلسفة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بين أهم من انتبه إلى الخطر المحدق بالفلسفة المثالية نذكر بالخصوص كلا من فيخنر </w:t>
      </w:r>
      <w:r>
        <w:rPr>
          <w:rFonts w:eastAsia="Times New Roman" w:cs="Times New Roman" w:ascii="Times New Roman" w:hAnsi="Times New Roman"/>
          <w:color w:val="111111"/>
          <w:sz w:val="28"/>
          <w:szCs w:val="28"/>
          <w:lang w:val="en-US" w:bidi="en-US"/>
        </w:rPr>
        <w:t>Fechner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ولوتسا </w:t>
      </w:r>
      <w:r>
        <w:rPr>
          <w:rFonts w:eastAsia="Times New Roman" w:cs="Times New Roman" w:ascii="Times New Roman" w:hAnsi="Times New Roman"/>
          <w:color w:val="111111"/>
          <w:sz w:val="28"/>
          <w:szCs w:val="28"/>
          <w:lang w:val="en-US" w:bidi="en-US"/>
        </w:rPr>
        <w:t>Lotze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وأوطو ليبمان </w:t>
      </w:r>
      <w:r>
        <w:rPr>
          <w:rFonts w:eastAsia="Times New Roman" w:cs="Times New Roman" w:ascii="Times New Roman" w:hAnsi="Times New Roman"/>
          <w:color w:val="111111"/>
          <w:sz w:val="28"/>
          <w:szCs w:val="28"/>
          <w:lang w:val="en-US" w:bidi="en-US"/>
        </w:rPr>
        <w:t>Liebmann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ينطلق كلّ منهم من العلوم الطبيعية، وكانت لهم علاقة خاصة بما نصطلح عليه حاليًّا العلوم الإنسانية، وبالخصوص الموضوع الفلسفي الأهم عندهما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بين الروح والجسد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النداء إلى الرجوع إلى كانط رجوعاً عادياً، بل دعوةً لتعميق الفلسفة الكانطية في اتجاهين أساسيين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اتجاه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اتجاه بناء نظرية معرفية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إبستمولوجيه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كاسيرر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انهيار المثالية التأملية أصبح الإلحاح قويا للرجوع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كانط، للخروج بالفلسفة من وضعها الحرج، لأنه يساعد في الوقت نفسه على التفكير في العلوم وفي مكانة العقل في الفكر </w:t>
      </w:r>
    </w:p>
    <w:p>
      <w:pPr>
        <w:pStyle w:val="BookText"/>
        <w:rPr/>
      </w:pPr>
      <w:r>
        <w:rPr>
          <w:rFonts w:ascii="Amiri" w:hAnsi="Amiri" w:eastAsia="Amiri" w:cs="Amiri"/>
          <w:color w:val="111111"/>
          <w:sz w:val="28"/>
          <w:sz w:val="28"/>
          <w:szCs w:val="28"/>
          <w:rtl w:val="true"/>
          <w:lang w:bidi="ar-SA"/>
        </w:rPr>
        <w:t>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أن كانط اهتم في فلسفته بميادين عديدة، فإن اهتمامه بالعلوم الطبيعية كان قوياً أيضًا، على خلاف تام مع المثالية التأملية التي كانت تدّعي بأنها قضت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وللتجربة </w:t>
      </w:r>
      <w:r>
        <w:rPr>
          <w:rFonts w:eastAsia="Times New Roman" w:cs="Times New Roman" w:ascii="Times New Roman" w:hAnsi="Times New Roman"/>
          <w:color w:val="111111"/>
          <w:sz w:val="28"/>
          <w:szCs w:val="28"/>
          <w:lang w:val="en-US" w:bidi="en-US"/>
        </w:rPr>
        <w:t>Erfahrung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الفهم الكانطي، باعتبارها تجربةً معيشةً، أهميةٌ مركزية بالنسبة لكانط، خصوصا إذا استحضرنا للذهن أن هذه التجربة تبقى متوافقةً مع العلوم الطبيعية ومنهجها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عكس الهيغلية، فإن كانط لم يزعم معرفة الأشياء في كليتها، ولم يرجع إلى الدوغمائية التأملية، بل إن طغيان هذه الأخيرة هو الذي شجّع أيضا على ظهور الكانطية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والشيء نفسه يمكن أن يُقال عن الدوغمائية المادية، ذلك أن الفلسفة الكانطية نجحت إلى حدود بعيدة في إعادة الاعتبار للذات المفكرة وللتجربة في الوقت نفسه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غير المشروع إذا توهم الرجوع إلى كانط إلى كانط كرجوعٍ إلى الكانطية الخالصة، لكنه كان رجوعاً إلى نتائجها النهائية لفتح ممرات جديدة ومساربَ عديدة في طريق التفكير الفلسفي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فالتطور الكبير للفيزياء منذ نيوتن، بالرجوع إلى الرياضيات، وظهور النسبية والفيزياء الكوانطية، والتقدم الهائل للبيولوجيا، منح الكانطية الجديدة برنامج عمل يتمثل في إعادة النظر في نظريات كانط على ضوء كل هذا التطور العلمي وتكييفها إذا اقتضى الأمر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هذا فمن الأسباب الحاسمة للنداء بالرجوع إلى كانط، على حساب كل ما بنته الهيغلية والهيغلية الجديدة كانت هناك كذلك الأزمات السياسية المتعاقبة بين مختلف الدويلات الألمانية، بروسيا والنمسا وبروسيا وفرنسا بمعنى أن الحاجة إلى </w:t>
      </w:r>
    </w:p>
    <w:p>
      <w:pPr>
        <w:pStyle w:val="BookText"/>
        <w:rPr/>
      </w:pPr>
      <w:r>
        <w:rPr>
          <w:rFonts w:ascii="Amiri" w:hAnsi="Amiri" w:eastAsia="Amiri" w:cs="Amiri"/>
          <w:color w:val="111111"/>
          <w:sz w:val="28"/>
          <w:sz w:val="28"/>
          <w:szCs w:val="28"/>
          <w:rtl w:val="true"/>
          <w:lang w:bidi="ar-SA"/>
        </w:rPr>
        <w:t>الرجوع إلى فلسفة التنوير كما عبر عنها كانط</w:t>
      </w:r>
      <w:r>
        <w:rPr>
          <w:rStyle w:val="FootnoteAnchor"/>
          <w:rtl w:val="true"/>
        </w:rPr>
        <w:footnoteReference w:id="20"/>
      </w:r>
      <w:r>
        <w:rPr>
          <w:rFonts w:ascii="Amiri" w:hAnsi="Amiri" w:eastAsia="Amiri" w:cs="Amiri"/>
          <w:color w:val="111111"/>
          <w:sz w:val="28"/>
          <w:sz w:val="28"/>
          <w:szCs w:val="28"/>
          <w:rtl w:val="true"/>
          <w:lang w:bidi="ar-SA"/>
        </w:rPr>
        <w:t>أصبحت في ذلك الوقت ملحةً، أي الرّجوع إلى فلسفة تحرير داخلية، لا إلى هيغل وشلينغ وفيخته، الذين كانوا يعتبرون سلطويين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اهتمت الكانطية الجديدة بكانط بالتمييز بين نتائج ما توصل له هو نفسه والمنهج الذي استعمله للوصول إلى ذلك، مؤكدةً على أن المنهج يبقى صحيحًا باستقلال عن تطور النظريات العلمية، بحيث إنه منهج يسمح بتوحيد مختلف الميادين العلمية وإعطاء معنًى للإنسان عن طريق هذه الوحدة بمعنى أن الكانطية الجديدة تعتبر الأسئلة الكانطية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يمكنني معرفته؟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يمكنني تمنيه؟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علي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وللإشارة فإن الكانطية الجديدة اهتمت بالسؤال الأول بصورة خاصة وحيّنته، مُعتبرةً إشكالية شروط العلم وتركيبها من اختصاص الفلسفة وميدان عملها بامتياز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هذا فإن الخطوة النقدية لم تكن عند الكانطية الجديدة لحظة بسيطة في تاريخ الفلسفة، بل اعتبرتها مكونا من مكوناتها الأساسية</w:t>
      </w:r>
      <w:r>
        <w:rPr>
          <w:rFonts w:eastAsia="Amiri" w:cs="Amiri" w:ascii="Amiri" w:hAnsi="Amiri"/>
          <w:color w:val="111111"/>
          <w:sz w:val="28"/>
          <w:szCs w:val="28"/>
          <w:rtl w:val="true"/>
          <w:lang w:bidi="ar-SA"/>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16300_179325"/>
      <w:bookmarkStart w:id="44" w:name="pg16300_179325"/>
      <w:bookmarkEnd w:id="44"/>
    </w:p>
    <w:p>
      <w:pPr>
        <w:pStyle w:val="Heading2"/>
        <w:numPr>
          <w:ilvl w:val="1"/>
          <w:numId w:val="1"/>
        </w:numPr>
        <w:rPr/>
      </w:pPr>
      <w:bookmarkStart w:id="45" w:name="pg16300_179325"/>
      <w:bookmarkStart w:id="46" w:name="__RefHeading___Toc5377291_1280447820"/>
      <w:bookmarkStart w:id="47" w:name="_Toc15"/>
      <w:bookmarkEnd w:id="45"/>
      <w:bookmarkEnd w:id="46"/>
      <w:r>
        <w:rPr>
          <w:rtl w:val="true"/>
        </w:rPr>
        <w:t xml:space="preserve">الفصل الثاني </w:t>
      </w:r>
      <w:r>
        <w:rPr>
          <w:rtl w:val="true"/>
        </w:rPr>
        <w:t xml:space="preserve">: </w:t>
      </w:r>
      <w:r>
        <w:rPr>
          <w:rtl w:val="true"/>
        </w:rPr>
        <w:t>بواكر الكانطية الجديدة</w:t>
      </w:r>
      <w:bookmarkEnd w:id="4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 w:name="__RefHeading___Toc5377293_1280447820"/>
      <w:bookmarkStart w:id="49" w:name="_Toc16"/>
      <w:bookmarkEnd w:id="48"/>
      <w:r>
        <w:rPr>
          <w:rtl w:val="true"/>
        </w:rPr>
        <w:t>اشارة</w:t>
      </w:r>
      <w:bookmarkStart w:id="50" w:name="pg16300_179326"/>
      <w:bookmarkEnd w:id="49"/>
    </w:p>
    <w:p>
      <w:pPr>
        <w:pStyle w:val="BookText"/>
        <w:rPr/>
      </w:pPr>
      <w:bookmarkEnd w:id="50"/>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بواكر الكانطية الجديدة</w:t>
      </w:r>
    </w:p>
    <w:p>
      <w:pPr>
        <w:pStyle w:val="Heading3"/>
        <w:numPr>
          <w:ilvl w:val="2"/>
          <w:numId w:val="1"/>
        </w:numPr>
        <w:rPr/>
      </w:pPr>
      <w:bookmarkStart w:id="51" w:name="__RefHeading___Toc5377295_1280447820"/>
      <w:bookmarkStart w:id="52" w:name="_Toc17"/>
      <w:bookmarkEnd w:id="51"/>
      <w:r>
        <w:rPr/>
        <w:t>1</w:t>
      </w:r>
      <w:r>
        <w:rPr>
          <w:rtl w:val="true"/>
        </w:rPr>
        <w:t xml:space="preserve">. </w:t>
      </w:r>
      <w:r>
        <w:rPr>
          <w:rtl w:val="true"/>
        </w:rPr>
        <w:t>فريدريك أدولف تريند لينبورغ</w:t>
      </w:r>
      <w:bookmarkEnd w:id="52"/>
    </w:p>
    <w:p>
      <w:pPr>
        <w:pStyle w:val="BookText"/>
        <w:rPr/>
      </w:pPr>
      <w:r>
        <w:rPr>
          <w:rFonts w:eastAsia="Times New Roman" w:cs="Times New Roman" w:ascii="Times New Roman" w:hAnsi="Times New Roman"/>
          <w:color w:val="111111"/>
          <w:sz w:val="28"/>
          <w:szCs w:val="28"/>
          <w:lang w:val="en-US" w:bidi="en-US"/>
        </w:rPr>
        <w:t>Friedrich Adolf Trendelenburg</w:t>
      </w:r>
    </w:p>
    <w:p>
      <w:pPr>
        <w:pStyle w:val="BookText"/>
        <w:rPr/>
      </w:pPr>
      <w:r>
        <w:rPr>
          <w:rFonts w:ascii="Amiri" w:hAnsi="Amiri" w:eastAsia="Amiri" w:cs="Amiri"/>
          <w:color w:val="111111"/>
          <w:sz w:val="28"/>
          <w:sz w:val="28"/>
          <w:szCs w:val="28"/>
          <w:rtl w:val="true"/>
          <w:lang w:bidi="ar-SA"/>
        </w:rPr>
        <w:t xml:space="preserve">هناك في تاريخ الفلسفة الألمانية للقرن التاسع عشر فيلسوف غيرُ ،معروف كان نقده لهيغل لا يُناقش كما أن نقده لكانط كان إضافةً إلى مساهمة كونو فيشر </w:t>
      </w:r>
      <w:r>
        <w:rPr>
          <w:rFonts w:eastAsia="Times New Roman" w:cs="Times New Roman" w:ascii="Times New Roman" w:hAnsi="Times New Roman"/>
          <w:color w:val="111111"/>
          <w:sz w:val="28"/>
          <w:szCs w:val="28"/>
          <w:lang w:val="en-US" w:bidi="en-US"/>
        </w:rPr>
        <w:t>Kuno Fischer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أكبر عمل أدى إلى ظهور الاتجاهات الفلسفية المختلفة للكانطية الجديدة وكان نشر أهم مؤلَّف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منطقية </w:t>
      </w:r>
      <w:r>
        <w:rPr>
          <w:rFonts w:eastAsia="Times New Roman" w:cs="Times New Roman" w:ascii="Times New Roman" w:hAnsi="Times New Roman"/>
          <w:color w:val="111111"/>
          <w:sz w:val="28"/>
          <w:szCs w:val="28"/>
          <w:lang w:val="en-US" w:bidi="en-US"/>
        </w:rPr>
        <w:t>Logische Untersuchungen (1840)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بمثابة بداية تاريخ الحركة الجديدة لنظرية المعرفة والنظرية العلمية في ألمانيا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هذا الفيلسوف الكبير غير المعروف أستاذ مجموعة مهمة من الفلاسفة الألمان ومنهم على الخصوص برينطانو </w:t>
      </w:r>
      <w:r>
        <w:rPr>
          <w:rFonts w:eastAsia="Times New Roman" w:cs="Times New Roman" w:ascii="Times New Roman" w:hAnsi="Times New Roman"/>
          <w:color w:val="111111"/>
          <w:sz w:val="28"/>
          <w:szCs w:val="28"/>
          <w:lang w:val="en-US" w:bidi="en-US"/>
        </w:rPr>
        <w:t>Brentano</w:t>
      </w:r>
      <w:r>
        <w:rPr>
          <w:rFonts w:ascii="IRNazanin" w:hAnsi="IRNazanin" w:eastAsia="IRNazanin"/>
          <w:color w:val="111111"/>
          <w:sz w:val="28"/>
          <w:sz w:val="28"/>
          <w:szCs w:val="28"/>
          <w:rtl w:val="true"/>
          <w:lang w:bidi="fa-IR"/>
        </w:rPr>
        <w:t xml:space="preserve">، کوهن </w:t>
      </w:r>
      <w:r>
        <w:rPr>
          <w:rFonts w:eastAsia="Times New Roman" w:cs="Times New Roman" w:ascii="Times New Roman" w:hAnsi="Times New Roman"/>
          <w:color w:val="111111"/>
          <w:sz w:val="28"/>
          <w:szCs w:val="28"/>
          <w:lang w:val="en-US" w:bidi="en-US"/>
        </w:rPr>
        <w:t>Cohen</w:t>
      </w:r>
      <w:r>
        <w:rPr>
          <w:rFonts w:ascii="Amiri" w:hAnsi="Amiri" w:eastAsia="Amiri" w:cs="Amiri"/>
          <w:color w:val="111111"/>
          <w:sz w:val="28"/>
          <w:sz w:val="28"/>
          <w:szCs w:val="28"/>
          <w:rtl w:val="true"/>
          <w:lang w:bidi="ar-SA"/>
        </w:rPr>
        <w:t xml:space="preserve">، ديلتي </w:t>
      </w:r>
      <w:r>
        <w:rPr>
          <w:rFonts w:eastAsia="Times New Roman" w:cs="Times New Roman" w:ascii="Times New Roman" w:hAnsi="Times New Roman"/>
          <w:color w:val="111111"/>
          <w:sz w:val="28"/>
          <w:szCs w:val="28"/>
          <w:lang w:val="en-US" w:bidi="en-US"/>
        </w:rPr>
        <w:t>Dilthey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دورينغ </w:t>
      </w:r>
      <w:r>
        <w:rPr>
          <w:rFonts w:eastAsia="Times New Roman" w:cs="Times New Roman" w:ascii="Times New Roman" w:hAnsi="Times New Roman"/>
          <w:color w:val="111111"/>
          <w:sz w:val="28"/>
          <w:szCs w:val="28"/>
          <w:lang w:val="en-US" w:bidi="en-US"/>
        </w:rPr>
        <w:t>During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أويكن </w:t>
      </w:r>
      <w:r>
        <w:rPr>
          <w:rFonts w:eastAsia="Times New Roman" w:cs="Times New Roman" w:ascii="Times New Roman" w:hAnsi="Times New Roman"/>
          <w:color w:val="111111"/>
          <w:sz w:val="28"/>
          <w:szCs w:val="28"/>
          <w:lang w:val="en-US" w:bidi="en-US"/>
        </w:rPr>
        <w:t>Euk ken</w:t>
      </w:r>
      <w:r>
        <w:rPr>
          <w:rFonts w:ascii="IRNazanin" w:hAnsi="IRNazanin" w:eastAsia="IRNazanin"/>
          <w:color w:val="111111"/>
          <w:sz w:val="28"/>
          <w:sz w:val="28"/>
          <w:szCs w:val="28"/>
          <w:rtl w:val="true"/>
          <w:lang w:bidi="fa-IR"/>
        </w:rPr>
        <w:t xml:space="preserve">، برانتل </w:t>
      </w:r>
      <w:r>
        <w:rPr>
          <w:rFonts w:eastAsia="Times New Roman" w:cs="Times New Roman" w:ascii="Times New Roman" w:hAnsi="Times New Roman"/>
          <w:color w:val="111111"/>
          <w:sz w:val="28"/>
          <w:szCs w:val="28"/>
          <w:lang w:val="en-US" w:bidi="en-US"/>
        </w:rPr>
        <w:t>Prantl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أوبر في </w:t>
      </w:r>
      <w:r>
        <w:rPr>
          <w:rFonts w:eastAsia="Times New Roman" w:cs="Times New Roman" w:ascii="Times New Roman" w:hAnsi="Times New Roman"/>
          <w:color w:val="111111"/>
          <w:sz w:val="28"/>
          <w:szCs w:val="28"/>
          <w:lang w:val="en-US" w:bidi="en-US"/>
        </w:rPr>
        <w:t>Ueberweg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يورغن بونا ميير </w:t>
      </w:r>
      <w:r>
        <w:rPr>
          <w:rFonts w:eastAsia="Times New Roman" w:cs="Times New Roman" w:ascii="Times New Roman" w:hAnsi="Times New Roman"/>
          <w:color w:val="111111"/>
          <w:sz w:val="28"/>
          <w:szCs w:val="28"/>
          <w:lang w:val="en-US" w:bidi="en-US"/>
        </w:rPr>
        <w:t>Jürgen Bona Meyer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ويتعلق الأمر ب فريدريك أدولف تريندلينبورغ، الذي يُعتبر حلقة وصل بين كانط والكانطيين الجدد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تتلمذ تريند لينبورغ على يد كارل ليونارد راینهولد </w:t>
      </w:r>
      <w:r>
        <w:rPr>
          <w:rFonts w:eastAsia="Times New Roman" w:cs="Times New Roman" w:ascii="Times New Roman" w:hAnsi="Times New Roman"/>
          <w:color w:val="111111"/>
          <w:sz w:val="28"/>
          <w:szCs w:val="28"/>
          <w:lang w:val="en-US" w:bidi="en-US"/>
        </w:rPr>
        <w:t>Karl Leonhard Reinhold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الذي يرجع الفضل له في نشر الفلسفة الكانطية في ألمانيا، الفضل نفسه في هذا الإطار يرجع إلى الأستاذ الثاني لتريندلينبورغ إيريك فون بيرغر </w:t>
      </w:r>
      <w:r>
        <w:rPr>
          <w:rFonts w:eastAsia="Times New Roman" w:cs="Times New Roman" w:ascii="Times New Roman" w:hAnsi="Times New Roman"/>
          <w:color w:val="111111"/>
          <w:sz w:val="28"/>
          <w:szCs w:val="28"/>
          <w:lang w:val="en-US" w:bidi="en-US"/>
        </w:rPr>
        <w:t>rich von Berger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كان تلميذ فيخته</w:t>
      </w:r>
      <w:r>
        <w:rPr>
          <w:rFonts w:eastAsia="Amiri" w:cs="Amiri" w:ascii="Amiri" w:hAnsi="Amiri"/>
          <w:color w:val="111111"/>
          <w:sz w:val="28"/>
          <w:szCs w:val="28"/>
          <w:rtl w:val="true"/>
          <w:lang w:bidi="ar-SA"/>
        </w:rPr>
        <w:t xml:space="preserve">-. </w:t>
      </w:r>
      <w:bookmarkStart w:id="53" w:name="pg16300_179327"/>
    </w:p>
    <w:p>
      <w:pPr>
        <w:pStyle w:val="BookText"/>
        <w:rPr/>
      </w:pPr>
      <w:bookmarkEnd w:id="53"/>
      <w:r>
        <w:rPr>
          <w:rFonts w:ascii="Amiri" w:hAnsi="Amiri" w:eastAsia="Amiri" w:cs="Amiri"/>
          <w:color w:val="111111"/>
          <w:sz w:val="28"/>
          <w:sz w:val="28"/>
          <w:szCs w:val="28"/>
          <w:rtl w:val="true"/>
          <w:lang w:bidi="ar-SA"/>
        </w:rPr>
        <w:t xml:space="preserve">في وقت كان يتسم بأفول الاهتمام بفلاسفة ألمان كبار في الجامعات العريقة للمدن الكبيرة مثل ياكوبي </w:t>
      </w:r>
      <w:r>
        <w:rPr>
          <w:rFonts w:eastAsia="Times New Roman" w:cs="Times New Roman" w:ascii="Times New Roman" w:hAnsi="Times New Roman"/>
          <w:color w:val="111111"/>
          <w:sz w:val="28"/>
          <w:szCs w:val="28"/>
          <w:lang w:val="en-US" w:bidi="en-US"/>
        </w:rPr>
        <w:t>Jacobi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وشيلر وراینهولد </w:t>
      </w:r>
      <w:r>
        <w:rPr>
          <w:rFonts w:eastAsia="Times New Roman" w:cs="Times New Roman" w:ascii="Times New Roman" w:hAnsi="Times New Roman"/>
          <w:color w:val="111111"/>
          <w:sz w:val="28"/>
          <w:szCs w:val="28"/>
          <w:lang w:val="en-US" w:bidi="en-US"/>
        </w:rPr>
        <w:t>Reinhold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وحتى كانط نفسه وفيخته وشيلنغ؛ كانت بعض المدن الصغيرة كأويتينر </w:t>
      </w:r>
      <w:r>
        <w:rPr>
          <w:rFonts w:eastAsia="Times New Roman" w:cs="Times New Roman" w:ascii="Times New Roman" w:hAnsi="Times New Roman"/>
          <w:color w:val="111111"/>
          <w:sz w:val="28"/>
          <w:szCs w:val="28"/>
          <w:lang w:val="en-US" w:bidi="en-US"/>
        </w:rPr>
        <w:t>Eutiner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مهد ظهور فلاسفة اهتموا أيما اهتمام بكانط مثل يوهان هاينريك فوس </w:t>
      </w:r>
      <w:r>
        <w:rPr>
          <w:rFonts w:eastAsia="Times New Roman" w:cs="Times New Roman" w:ascii="Times New Roman" w:hAnsi="Times New Roman"/>
          <w:color w:val="111111"/>
          <w:sz w:val="28"/>
          <w:szCs w:val="28"/>
          <w:lang w:val="en-US" w:bidi="en-US"/>
        </w:rPr>
        <w:t>Johann Heinrich Voss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غيورغ لودفيغ كونغ </w:t>
      </w:r>
      <w:r>
        <w:rPr>
          <w:rFonts w:eastAsia="Times New Roman" w:cs="Times New Roman" w:ascii="Times New Roman" w:hAnsi="Times New Roman"/>
          <w:color w:val="111111"/>
          <w:sz w:val="28"/>
          <w:szCs w:val="28"/>
          <w:lang w:val="en-US" w:bidi="en-US"/>
        </w:rPr>
        <w:t>Georg Ludwig König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فريدريك کارل فولف </w:t>
      </w:r>
      <w:r>
        <w:rPr>
          <w:rFonts w:eastAsia="Times New Roman" w:cs="Times New Roman" w:ascii="Times New Roman" w:hAnsi="Times New Roman"/>
          <w:color w:val="111111"/>
          <w:sz w:val="28"/>
          <w:szCs w:val="28"/>
          <w:lang w:val="en-US" w:bidi="en-US"/>
        </w:rPr>
        <w:t>Friedrich Charl Wolf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Boite</w:t>
      </w:r>
      <w:r>
        <w:rPr>
          <w:rFonts w:ascii="Amiri" w:hAnsi="Amiri" w:eastAsia="Amiri" w:cs="Amiri"/>
          <w:color w:val="111111"/>
          <w:sz w:val="28"/>
          <w:sz w:val="28"/>
          <w:szCs w:val="28"/>
          <w:rtl w:val="true"/>
          <w:lang w:bidi="ar-SA"/>
        </w:rPr>
        <w:t xml:space="preserve">، تحت تأثير أو بفضل ومساعدة كارل ليونارد راينهولد وإيريك فون بيرغر في مدينة كيل </w:t>
      </w:r>
      <w:r>
        <w:rPr>
          <w:rFonts w:eastAsia="Times New Roman" w:cs="Times New Roman" w:ascii="Times New Roman" w:hAnsi="Times New Roman"/>
          <w:color w:val="111111"/>
          <w:sz w:val="28"/>
          <w:szCs w:val="28"/>
          <w:lang w:val="en-US" w:bidi="en-US"/>
        </w:rPr>
        <w:t>Kiel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وفريس </w:t>
      </w:r>
      <w:r>
        <w:rPr>
          <w:rFonts w:eastAsia="Times New Roman" w:cs="Times New Roman" w:ascii="Times New Roman" w:hAnsi="Times New Roman"/>
          <w:color w:val="111111"/>
          <w:sz w:val="28"/>
          <w:szCs w:val="28"/>
          <w:lang w:val="en-US" w:bidi="en-US"/>
        </w:rPr>
        <w:t>Fries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مدينة بينا </w:t>
      </w:r>
      <w:r>
        <w:rPr>
          <w:rFonts w:eastAsia="Times New Roman" w:cs="Times New Roman" w:ascii="Times New Roman" w:hAnsi="Times New Roman"/>
          <w:color w:val="111111"/>
          <w:sz w:val="28"/>
          <w:szCs w:val="28"/>
          <w:lang w:val="en-US" w:bidi="en-US"/>
        </w:rPr>
        <w:t>Jena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وهيربارت </w:t>
      </w:r>
      <w:r>
        <w:rPr>
          <w:rFonts w:eastAsia="Times New Roman" w:cs="Times New Roman" w:ascii="Times New Roman" w:hAnsi="Times New Roman"/>
          <w:color w:val="111111"/>
          <w:sz w:val="28"/>
          <w:szCs w:val="28"/>
          <w:lang w:val="en-US" w:bidi="en-US"/>
        </w:rPr>
        <w:t>Herbart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مدينة غوتينغن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كونكا </w:t>
      </w:r>
      <w:r>
        <w:rPr>
          <w:rFonts w:eastAsia="Times New Roman" w:cs="Times New Roman" w:ascii="Times New Roman" w:hAnsi="Times New Roman"/>
          <w:color w:val="111111"/>
          <w:sz w:val="28"/>
          <w:szCs w:val="28"/>
          <w:lang w:val="en-US" w:bidi="en-US"/>
        </w:rPr>
        <w:t>Köhnke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هذا الإطار على أهمية تريندلينبورغ كباكورة للكانطية الجديدة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تريندلينبورغ مصمم مهندس الفهم الفلسفي الكانطي الجديد والنظرية العلمية</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5377297_1280447820"/>
      <w:bookmarkStart w:id="55" w:name="_Toc18"/>
      <w:bookmarkEnd w:id="54"/>
      <w:r>
        <w:rPr/>
        <w:t>2</w:t>
      </w:r>
      <w:r>
        <w:rPr>
          <w:rtl w:val="true"/>
        </w:rPr>
        <w:t xml:space="preserve">. </w:t>
      </w:r>
      <w:r>
        <w:rPr>
          <w:rtl w:val="true"/>
        </w:rPr>
        <w:t>فيخنر</w:t>
      </w:r>
      <w:bookmarkEnd w:id="5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دافع فيخنر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تزيند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أمور السماء والآخرة</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على الميتافيزيقا معتبرًا إياها علماً حقًا، تؤسس حاجة الإنسان للاعتقاد بمبدأ الخير والعدل ويحاول البرهنة على هذا الأمر بالقول بأن الإنسان دائم البحث عن هذا المبدأ، وليس هناك اختيار آخر له من غير الاستمرار في بحثه هذا</w:t>
      </w:r>
      <w:r>
        <w:rPr>
          <w:rFonts w:eastAsia="Amiri" w:cs="Amiri" w:ascii="Amiri" w:hAnsi="Amiri"/>
          <w:color w:val="111111"/>
          <w:sz w:val="28"/>
          <w:szCs w:val="28"/>
          <w:rtl w:val="true"/>
          <w:lang w:bidi="ar-SA"/>
        </w:rPr>
        <w:t xml:space="preserve">. </w:t>
      </w:r>
      <w:bookmarkStart w:id="56" w:name="pg16300_179328"/>
    </w:p>
    <w:p>
      <w:pPr>
        <w:pStyle w:val="BookText"/>
        <w:rPr/>
      </w:pPr>
      <w:bookmarkEnd w:id="56"/>
      <w:r>
        <w:rPr>
          <w:rFonts w:ascii="Amiri" w:hAnsi="Amiri" w:eastAsia="Amiri" w:cs="Amiri"/>
          <w:color w:val="111111"/>
          <w:sz w:val="28"/>
          <w:sz w:val="28"/>
          <w:szCs w:val="28"/>
          <w:rtl w:val="true"/>
          <w:lang w:bidi="ar-SA"/>
        </w:rPr>
        <w:t>كما أنه كان يرى بأن المنهج الاستنباطي الذي تستعمله الميتافيزيقا في دراساتها لمواضيعها لا يقل أهمية عن المنهج الاستقرائي للعلوم الطبيعية، بما في ذلك الرياضيات والفيزياء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اشتهر فيخنر كمؤسس علم النفس الفيزيقي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كتابه عناصر علم النفس الفيزيائي </w:t>
      </w:r>
      <w:r>
        <w:rPr>
          <w:rFonts w:eastAsia="Times New Roman" w:cs="Times New Roman" w:ascii="Times New Roman" w:hAnsi="Times New Roman"/>
          <w:color w:val="111111"/>
          <w:sz w:val="28"/>
          <w:szCs w:val="28"/>
          <w:lang w:val="en-US" w:bidi="en-US"/>
        </w:rPr>
        <w:t>Elemente der Psychophysik (1860)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أول مُؤلَّف منظّم في علم النفس مبني على الرياضيات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همه الأساس هو البرهنة على علمية تخصصه والدفاع عن مبدأ العلاقة بين العالم الفيزيقي والعالم النفسي ومن خلال هذه العلاقة إثبات العلاقة بين النفس والجسد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وحاول حل التعارض بينهما بما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التوازي </w:t>
      </w:r>
      <w:r>
        <w:rPr>
          <w:rFonts w:eastAsia="Times New Roman" w:cs="Times New Roman" w:ascii="Times New Roman" w:hAnsi="Times New Roman"/>
          <w:color w:val="111111"/>
          <w:sz w:val="28"/>
          <w:szCs w:val="28"/>
          <w:lang w:val="en-US" w:bidi="en-US"/>
        </w:rPr>
        <w:t>Parallelism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النفس فيزيقي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التأكيد على علاقة التأثير المتبادل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فيخنر للإحساس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يربط هذا القانون بين المثير والإحساس بمعادلة رياضية مفادها أن شدة الإحساس تتناسب تناسباً طردياً مع لوغاريتم شدة المثير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الزيادة في شدة المثير تؤدى إلى الزيادة في شدة الإحساس</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5377299_1280447820"/>
      <w:bookmarkStart w:id="58" w:name="_Toc19"/>
      <w:bookmarkEnd w:id="57"/>
      <w:r>
        <w:rPr/>
        <w:t>3</w:t>
      </w:r>
      <w:r>
        <w:rPr>
          <w:rtl w:val="true"/>
        </w:rPr>
        <w:t xml:space="preserve">. </w:t>
      </w:r>
      <w:r>
        <w:rPr>
          <w:rtl w:val="true"/>
        </w:rPr>
        <w:t>هيرمان لوتسا</w:t>
      </w:r>
      <w:bookmarkEnd w:id="5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هیرمان لوتسا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Hermann Lotze 1881- 1817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العلوم الطبيعية والطب  </w:t>
      </w:r>
      <w:r>
        <w:rPr>
          <w:rStyle w:val="FootnoteAnchor"/>
          <w:rtl w:val="true"/>
        </w:rPr>
        <w:footnoteReference w:id="23"/>
      </w:r>
      <w:r>
        <w:rPr>
          <w:rFonts w:ascii="Amiri" w:hAnsi="Amiri" w:eastAsia="Amiri" w:cs="Amiri"/>
          <w:color w:val="111111"/>
          <w:sz w:val="28"/>
          <w:sz w:val="28"/>
          <w:szCs w:val="28"/>
          <w:rtl w:val="true"/>
          <w:lang w:bidi="ar-SA"/>
        </w:rPr>
        <w:t xml:space="preserve">، ولم يكتب إلى أن بلغ من العمر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إلا كتبًا في هذا الميدان إلى جانب مؤهلاته العلمية كانت له مؤهلات فلسفيةٌ كذلك؛ أعتبر إلى ما بعد الحرب العالمية الثانية أهم ميتافيزيقي ألماني بعد هيغل، وكان يُقر بأن لايبنتز </w:t>
      </w:r>
      <w:r>
        <w:rPr>
          <w:rFonts w:eastAsia="Times New Roman" w:cs="Times New Roman" w:ascii="Times New Roman" w:hAnsi="Times New Roman"/>
          <w:color w:val="111111"/>
          <w:sz w:val="28"/>
          <w:szCs w:val="28"/>
          <w:lang w:val="en-US" w:bidi="en-US"/>
        </w:rPr>
        <w:t>Leibniz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هو فيلسوفه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ناقشه كلّ من الفيلسوف يوهان فريديريك </w:t>
      </w:r>
      <w:bookmarkStart w:id="59" w:name="pg16300_179329"/>
    </w:p>
    <w:p>
      <w:pPr>
        <w:pStyle w:val="BookText"/>
        <w:rPr/>
      </w:pPr>
      <w:bookmarkEnd w:id="59"/>
      <w:r>
        <w:rPr>
          <w:rFonts w:ascii="Amiri" w:hAnsi="Amiri" w:eastAsia="Amiri" w:cs="Amiri"/>
          <w:color w:val="111111"/>
          <w:sz w:val="28"/>
          <w:sz w:val="28"/>
          <w:szCs w:val="28"/>
          <w:rtl w:val="true"/>
          <w:lang w:bidi="ar-SA"/>
        </w:rPr>
        <w:t xml:space="preserve">هير بارت </w:t>
      </w:r>
      <w:r>
        <w:rPr>
          <w:rFonts w:eastAsia="Times New Roman" w:cs="Times New Roman" w:ascii="Times New Roman" w:hAnsi="Times New Roman"/>
          <w:color w:val="111111"/>
          <w:sz w:val="28"/>
          <w:szCs w:val="28"/>
          <w:lang w:val="en-US" w:bidi="en-US"/>
        </w:rPr>
        <w:t>Johann Friedrich Herbart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ونظيره کریستیان هیرمان فايسا </w:t>
      </w:r>
      <w:r>
        <w:rPr>
          <w:rFonts w:eastAsia="Times New Roman" w:cs="Times New Roman" w:ascii="Times New Roman" w:hAnsi="Times New Roman"/>
          <w:color w:val="111111"/>
          <w:sz w:val="28"/>
          <w:szCs w:val="28"/>
          <w:lang w:val="en-US" w:bidi="en-US"/>
        </w:rPr>
        <w:t>Christian Hermann Weisse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أفكاره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باستمرار التوفيق بين الفلسفة والعلوم والمنطق</w:t>
      </w:r>
      <w:r>
        <w:rPr>
          <w:rStyle w:val="FootnoteAnchor"/>
          <w:rtl w:val="true"/>
        </w:rPr>
        <w:footnoteReference w:id="24"/>
      </w:r>
      <w:r>
        <w:rPr>
          <w:rFonts w:ascii="Amiri" w:hAnsi="Amiri" w:eastAsia="Amiri" w:cs="Amiri"/>
          <w:color w:val="111111"/>
          <w:sz w:val="28"/>
          <w:sz w:val="28"/>
          <w:szCs w:val="28"/>
          <w:rtl w:val="true"/>
          <w:lang w:bidi="ar-SA"/>
        </w:rPr>
        <w:t>والميتافيزيقا</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حاول في دراساته المتأخرة القيام بنوع من الوحدة بين الاتجاهات الفلسفية المختلفة ، لربما كجواب على محاولة دائرة فيينا المتمثلة في النداء إلى وحدة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يقتصر تأثيره على الكانطية الجديدة فقط، بل تعداه إلى الهيغلية المحدثة في أنجلترا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ريتشل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Ritschl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والبرغماتية الأمريكية والفينومينولوجيا ومدرسة ديلتي </w:t>
      </w:r>
      <w:r>
        <w:rPr>
          <w:rFonts w:eastAsia="Times New Roman" w:cs="Times New Roman" w:ascii="Times New Roman" w:hAnsi="Times New Roman"/>
          <w:color w:val="111111"/>
          <w:sz w:val="28"/>
          <w:szCs w:val="28"/>
          <w:lang w:val="en-US" w:bidi="en-US"/>
        </w:rPr>
        <w:t>Dilthey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وللتذكير فإن لوتسا هو الذي أدخل مفهومي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w:t>
      </w:r>
      <w:r>
        <w:rPr>
          <w:rFonts w:eastAsia="Times New Roman" w:cs="Times New Roman" w:ascii="Times New Roman" w:hAnsi="Times New Roman"/>
          <w:color w:val="111111"/>
          <w:sz w:val="28"/>
          <w:szCs w:val="28"/>
          <w:lang w:val="en-US" w:bidi="en-US"/>
        </w:rPr>
        <w:t>Geltung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والقيمة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Wert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النقاشات الفلسفية</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ويذهب برونو باوخ </w:t>
      </w:r>
      <w:r>
        <w:rPr>
          <w:rFonts w:eastAsia="Times New Roman" w:cs="Times New Roman" w:ascii="Times New Roman" w:hAnsi="Times New Roman"/>
          <w:color w:val="111111"/>
          <w:sz w:val="28"/>
          <w:szCs w:val="28"/>
          <w:lang w:val="en-US" w:bidi="en-US"/>
        </w:rPr>
        <w:t>Bruno Bauch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إلى القول بأن هناك علاقةً بین منطق لوتسا وبعض المقاطع المهمة لفلسفة فريغي </w:t>
      </w:r>
      <w:r>
        <w:rPr>
          <w:rFonts w:eastAsia="Times New Roman" w:cs="Times New Roman" w:ascii="Times New Roman" w:hAnsi="Times New Roman"/>
          <w:color w:val="111111"/>
          <w:sz w:val="28"/>
          <w:szCs w:val="28"/>
          <w:lang w:val="en-US" w:bidi="en-US"/>
        </w:rPr>
        <w:t>Gottlob Fre ge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ويبرر باوخ هذا الأمر باتفاقهما مثلاً على المعارضة النفسانية </w:t>
      </w:r>
      <w:r>
        <w:rPr>
          <w:rFonts w:eastAsia="Times New Roman" w:cs="Times New Roman" w:ascii="Times New Roman" w:hAnsi="Times New Roman"/>
          <w:color w:val="111111"/>
          <w:sz w:val="28"/>
          <w:szCs w:val="28"/>
          <w:lang w:val="en-US" w:bidi="en-US"/>
        </w:rPr>
        <w:t>Antipsychologismus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لنظرية الصحة وتأكيد لوتسا على إمكانية</w:t>
      </w:r>
    </w:p>
    <w:p>
      <w:pPr>
        <w:pStyle w:val="BookText"/>
        <w:rPr/>
      </w:pPr>
      <w:r>
        <w:rPr>
          <w:rFonts w:ascii="Amiri" w:hAnsi="Amiri" w:eastAsia="Amiri" w:cs="Amiri"/>
          <w:color w:val="111111"/>
          <w:sz w:val="28"/>
          <w:sz w:val="28"/>
          <w:szCs w:val="28"/>
          <w:rtl w:val="true"/>
          <w:lang w:bidi="ar-SA"/>
        </w:rPr>
        <w:t>تأسيس الرياضيات على المنطق</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5377301_1280447820"/>
      <w:bookmarkStart w:id="61" w:name="_Toc20"/>
      <w:bookmarkEnd w:id="60"/>
      <w:r>
        <w:rPr/>
        <w:t>4</w:t>
      </w:r>
      <w:r>
        <w:rPr>
          <w:rtl w:val="true"/>
        </w:rPr>
        <w:t xml:space="preserve">. </w:t>
      </w:r>
      <w:r>
        <w:rPr>
          <w:rtl w:val="true"/>
        </w:rPr>
        <w:t>أوطو ليبمان</w:t>
      </w:r>
      <w:bookmarkEnd w:id="6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أوطو ليبمان</w:t>
      </w:r>
      <w:r>
        <w:rPr>
          <w:rStyle w:val="FootnoteAnchor"/>
        </w:rPr>
        <w:footnoteReference w:id="27"/>
      </w:r>
      <w:r>
        <w:rPr>
          <w:rFonts w:eastAsia="Times New Roman" w:cs="Times New Roman" w:ascii="Times New Roman" w:hAnsi="Times New Roman"/>
          <w:color w:val="111111"/>
          <w:sz w:val="28"/>
          <w:szCs w:val="28"/>
          <w:lang w:val="en-US" w:bidi="en-US"/>
        </w:rPr>
        <w:t>to Limann 1912-1840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أول من </w:t>
      </w:r>
    </w:p>
    <w:p>
      <w:pPr>
        <w:pStyle w:val="BookText"/>
        <w:rPr/>
      </w:pPr>
      <w:r>
        <w:rPr>
          <w:rFonts w:ascii="Amiri" w:hAnsi="Amiri" w:eastAsia="Amiri" w:cs="Amiri"/>
          <w:color w:val="111111"/>
          <w:sz w:val="28"/>
          <w:sz w:val="28"/>
          <w:szCs w:val="28"/>
          <w:rtl w:val="true"/>
          <w:lang w:bidi="ar-SA"/>
        </w:rPr>
        <w:t xml:space="preserve">رفع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العودة إلى كانط</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zurück zu 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كتابه كانط والمقلدون الذى نشر عام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إن كل فصل من فصول هذا الكتاب ينتهى تقريبًا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لذلك فمن الضرورى العودة إلى كانط </w:t>
      </w:r>
      <w:r>
        <w:rPr>
          <w:rFonts w:eastAsia="Times New Roman" w:cs="Times New Roman" w:ascii="Times New Roman" w:hAnsi="Times New Roman"/>
          <w:color w:val="111111"/>
          <w:sz w:val="28"/>
          <w:szCs w:val="28"/>
          <w:lang w:val="en-US" w:bidi="en-US"/>
        </w:rPr>
        <w:t>Also mus auf Kant zurückgegangen werden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وهنا مقطع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المكان والزمان أفترضا، إذا فالروح ليس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المكان والزمان لم يُفترضا مطلقًا، إذًا فإنه خارج المكان وخارج الزمان، يعني أنه تصور لا يمكن تصوره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الشيء في ذاته </w:t>
      </w:r>
      <w:r>
        <w:rPr>
          <w:rFonts w:eastAsia="Times New Roman" w:cs="Times New Roman" w:ascii="Times New Roman" w:hAnsi="Times New Roman"/>
          <w:color w:val="111111"/>
          <w:sz w:val="28"/>
          <w:szCs w:val="28"/>
          <w:lang w:val="en-US" w:bidi="en-US"/>
        </w:rPr>
        <w:t>Ding ansich</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يحق لنا هنا تطبيق طريقتنا النقدية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نرى بأن هيغل لا يفترض الفلسفة الكانطية بطريقة غير مباشرة فقط، بما أنه يتمم تخمينات فيخته وشلينغ، والتي لن تكون ممكنةً إلا بكانط، لكن أيضا بطريقة ،مباشرة ما دامت الثنائية النقدية كخطوة ضرورية سابقة ، في تطور الفلسفة وكمرفوعة في فلسفة الهوية صالحة في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هذا فقد كان يعرف جيدًا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 في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الكانطي وناقشه بتفصيل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فإنه لم يحذفه من الفلسفة الكانطية، بل سقط بنفسه في الخطأ نفسه، لأنه اعتبر روحه المطلق خارج المكان والزمان يُوجد في 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 في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فإنه لم يصحح الفلسفة الكانطية، ولهذا يجب الرجوع إلى كانط</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يستعرض ليبمان في هذا الكتاب فلسفة كانط ومن جاء بعده من الكانطيين، بحيث إنه يُقدم التعاليم الكانطية الرئيسية ونقائصها، ثم ينتقل إلى جانبها المثالي مع فيخته وشلينغ وهيغل، وينتقل إلى </w:t>
      </w:r>
    </w:p>
    <w:p>
      <w:pPr>
        <w:pStyle w:val="BookText"/>
        <w:rPr/>
      </w:pPr>
      <w:r>
        <w:rPr>
          <w:rFonts w:ascii="Amiri" w:hAnsi="Amiri" w:eastAsia="Amiri" w:cs="Amiri"/>
          <w:color w:val="111111"/>
          <w:sz w:val="28"/>
          <w:sz w:val="28"/>
          <w:szCs w:val="28"/>
          <w:rtl w:val="true"/>
          <w:lang w:bidi="ar-SA"/>
        </w:rPr>
        <w:t xml:space="preserve">جانبها الواقعي مع هيربارت </w:t>
      </w:r>
      <w:r>
        <w:rPr>
          <w:rFonts w:eastAsia="Times New Roman" w:cs="Times New Roman" w:ascii="Times New Roman" w:hAnsi="Times New Roman"/>
          <w:color w:val="111111"/>
          <w:sz w:val="28"/>
          <w:szCs w:val="28"/>
          <w:lang w:val="en-US" w:bidi="en-US"/>
        </w:rPr>
        <w:t>Herbart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ويخصص حيزاً من الكتاب لفريز </w:t>
      </w:r>
      <w:r>
        <w:rPr>
          <w:rFonts w:eastAsia="Times New Roman" w:cs="Times New Roman" w:ascii="Times New Roman" w:hAnsi="Times New Roman"/>
          <w:color w:val="111111"/>
          <w:sz w:val="28"/>
          <w:szCs w:val="28"/>
          <w:lang w:val="en-US" w:bidi="en-US"/>
        </w:rPr>
        <w:t>Fries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كممثل للإتجاه التجريبي، قبل أن يختم بجزء كامل عن شوبنهاور كممثل للاتجاه المتعالي في فلسفة كانط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يقوم بنقد لكل ممثلي كانط مجتمعين، محاولاً وضع الأصبع على هفواتهم في سوء فهم كانط، وتوغل جلّهم في دوغمائية نظرية، ومن ثَمَّ فإنّ مطالبته بالعودة إلى كانط، ليست تمجيدًا، بل نقدًا وتكميلاً، مستخرجًا بذلك ما سماه الميتافيزيقا النقدية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روح الفلسفة المتعالية لكانط </w:t>
      </w:r>
      <w:r>
        <w:rPr>
          <w:rFonts w:eastAsia="Times New Roman" w:cs="Times New Roman" w:ascii="Times New Roman" w:hAnsi="Times New Roman"/>
          <w:color w:val="111111"/>
          <w:sz w:val="28"/>
          <w:szCs w:val="28"/>
          <w:lang w:val="en-US" w:bidi="en-US"/>
        </w:rPr>
        <w:t>Transzendentalphilosophies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أزليَّا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قابل للاندثار بالنسبة له ولهذا السبب طالب بإعادة فهمه وإعادة تأسيسه والدفاع عنه ضد كل تجريبية كانطية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ليبمان كان يرى في كانط أسمى مفكر جادت به ألمانيا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وأكد بأن الشرط الأساسي لمجموع العالم الإمبريقي يوجد كمضمون للتمثل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 الواعية الخاصة بذكاء العنصر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وطبقا لليبمان فإننا نعرف ونتعرف على العالم فقط بالطريقة التي ننظم بها ملكاتنا المعرفية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معرفة الواقع كما هو </w:t>
      </w:r>
      <w:r>
        <w:rPr>
          <w:rFonts w:eastAsia="Times New Roman" w:cs="Times New Roman" w:ascii="Times New Roman" w:hAnsi="Times New Roman"/>
          <w:color w:val="111111"/>
          <w:sz w:val="28"/>
          <w:szCs w:val="28"/>
          <w:lang w:val="en-US" w:bidi="en-US"/>
        </w:rPr>
        <w:t>So-Sein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للحقيقة لا تقدم لنا في نظر لیبمان ضرورةً في الواقع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يعتبر التجربة الخالصة من باب الخيال النظري، لأنه كان يرى بأن التجربة هي هدية من الفهم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فواقعةً ما تكون حقيقية صحيحةً فقط عندما تكون قانونًا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ميتافيزيقاه النقدية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للرموز، لكنها كانت شروحًا تخمينيةً للتمثل الإنساني في ما يخص السبب والجوهر والعلاقة المتبادلة بين كل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تكن مفاهيم هذه الميتافيزيقا النقدية لليبمان من طبيعة المفاهيم الدوغمائية الأنطولوجية، لكن تعبيراً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تأويل منطقي حاسم للتجربة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المنطلق، وكما أكد على ذلك فيندلباند </w:t>
      </w:r>
      <w:r>
        <w:rPr>
          <w:rFonts w:eastAsia="Times New Roman" w:cs="Times New Roman" w:ascii="Times New Roman" w:hAnsi="Times New Roman"/>
          <w:color w:val="111111"/>
          <w:sz w:val="28"/>
          <w:szCs w:val="28"/>
          <w:lang w:val="en-US" w:bidi="en-US"/>
        </w:rPr>
        <w:t>Windelband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فإن ليبمان كان من أكثر الأوفياء لكانط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قاد فلسفة كانط إلى ميتافيزيقا نقدية، وأظهر بأن الطريقة النقدية تتطلب أيضا مناقشة مضامينية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تقدم فلسفته في هذا الإطار أي أجوبة وحلول جاهزة، لكنها فتحت إمكانية الدخول إلى غنى العالم والفكر في داخل حدود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خصص حياته للعرض الحيوي للفكر الكانطي الأساسي واستمراره</w:t>
      </w:r>
      <w:r>
        <w:rPr>
          <w:rFonts w:eastAsia="Amiri" w:cs="Amiri" w:ascii="Amiri" w:hAnsi="Amiri"/>
          <w:color w:val="111111"/>
          <w:sz w:val="28"/>
          <w:szCs w:val="28"/>
          <w:rtl w:val="true"/>
          <w:lang w:bidi="ar-SA"/>
        </w:rPr>
        <w:t xml:space="preserve">. </w:t>
      </w:r>
      <w:bookmarkStart w:id="62" w:name="pg16300_179333"/>
    </w:p>
    <w:p>
      <w:pPr>
        <w:pStyle w:val="Heading2"/>
        <w:numPr>
          <w:ilvl w:val="1"/>
          <w:numId w:val="1"/>
        </w:numPr>
        <w:rPr/>
      </w:pPr>
      <w:bookmarkStart w:id="63" w:name="__RefHeading___Toc5377303_1280447820"/>
      <w:bookmarkStart w:id="64" w:name="_Toc21"/>
      <w:bookmarkEnd w:id="62"/>
      <w:bookmarkEnd w:id="63"/>
      <w:r>
        <w:rPr>
          <w:rtl w:val="true"/>
        </w:rPr>
        <w:t xml:space="preserve">الفصل الثالث </w:t>
      </w:r>
      <w:r>
        <w:rPr>
          <w:rtl w:val="true"/>
        </w:rPr>
        <w:t>:</w:t>
      </w:r>
      <w:r>
        <w:rPr>
          <w:rtl w:val="true"/>
        </w:rPr>
        <w:t>المدارس الثلاثة الرئيسية للكانطية الجديدة</w:t>
      </w:r>
      <w:bookmarkEnd w:id="6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 w:name="__RefHeading___Toc5377305_1280447820"/>
      <w:bookmarkStart w:id="66" w:name="_Toc22"/>
      <w:bookmarkEnd w:id="65"/>
      <w:r>
        <w:rPr>
          <w:rtl w:val="true"/>
        </w:rPr>
        <w:t>اشارة</w:t>
      </w:r>
      <w:bookmarkStart w:id="67" w:name="pg16300_179334"/>
      <w:bookmarkEnd w:id="66"/>
    </w:p>
    <w:p>
      <w:pPr>
        <w:pStyle w:val="BookText"/>
        <w:rPr/>
      </w:pPr>
      <w:bookmarkEnd w:id="67"/>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المدارس الثلاثة الرئيسية للكانطية الجديدة</w:t>
      </w:r>
    </w:p>
    <w:p>
      <w:pPr>
        <w:pStyle w:val="Heading3"/>
        <w:numPr>
          <w:ilvl w:val="2"/>
          <w:numId w:val="1"/>
        </w:numPr>
        <w:rPr/>
      </w:pPr>
      <w:bookmarkStart w:id="68" w:name="__RefHeading___Toc5377307_1280447820"/>
      <w:bookmarkStart w:id="69" w:name="_Toc23"/>
      <w:bookmarkEnd w:id="68"/>
      <w:r>
        <w:rPr>
          <w:rtl w:val="true"/>
        </w:rPr>
        <w:t>الجزء الأول</w:t>
      </w:r>
      <w:r>
        <w:rPr>
          <w:rtl w:val="true"/>
        </w:rPr>
        <w:t xml:space="preserve">: </w:t>
      </w:r>
      <w:r>
        <w:rPr>
          <w:rtl w:val="true"/>
        </w:rPr>
        <w:t>مدرسة بادن</w:t>
      </w:r>
      <w:bookmarkEnd w:id="69"/>
    </w:p>
    <w:p>
      <w:pPr>
        <w:pStyle w:val="Heading4"/>
        <w:numPr>
          <w:ilvl w:val="3"/>
          <w:numId w:val="1"/>
        </w:numPr>
        <w:rPr/>
      </w:pPr>
      <w:bookmarkStart w:id="70" w:name="__RefHeading___Toc5377309_1280447820"/>
      <w:bookmarkStart w:id="71" w:name="_Toc24"/>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تعتبر مدرسة بادن أو مدرسة ألمانيا الجنوبية الشرقية للكانطية الجديدة</w:t>
      </w:r>
    </w:p>
    <w:p>
      <w:pPr>
        <w:pStyle w:val="BookText"/>
        <w:rPr/>
      </w:pPr>
      <w:r>
        <w:rPr>
          <w:rFonts w:eastAsia="Times New Roman" w:cs="Times New Roman" w:ascii="Times New Roman" w:hAnsi="Times New Roman"/>
          <w:color w:val="111111"/>
          <w:sz w:val="28"/>
          <w:szCs w:val="28"/>
          <w:lang w:val="en-US" w:bidi="en-US"/>
        </w:rPr>
        <w:t>Südwestdeutsche Schule des Neukantianismus bl</w:t>
      </w:r>
    </w:p>
    <w:p>
      <w:pPr>
        <w:pStyle w:val="BookText"/>
        <w:rPr/>
      </w:pPr>
      <w:r>
        <w:rPr>
          <w:rFonts w:ascii="Amiri" w:hAnsi="Amiri" w:eastAsia="Amiri" w:cs="Amiri"/>
          <w:color w:val="111111"/>
          <w:sz w:val="28"/>
          <w:sz w:val="28"/>
          <w:szCs w:val="28"/>
          <w:rtl w:val="true"/>
          <w:lang w:bidi="ar-SA"/>
        </w:rPr>
        <w:t xml:space="preserve">تسمى كذلك مدرسة هايدلبرغ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Die Heidelberger -le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اتجاها فلسفيّاً للكانطية الجديدة درست بين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ascii="IRNazanin" w:hAnsi="IRNazanin" w:eastAsia="IRNazanin"/>
          <w:color w:val="111111"/>
          <w:sz w:val="28"/>
          <w:sz w:val="28"/>
          <w:szCs w:val="28"/>
          <w:rtl w:val="true"/>
          <w:lang w:bidi="fa-IR"/>
        </w:rPr>
        <w:t xml:space="preserve">،وبالخصوص في فرايبورغ وهايدلبرغ الألمانيتين وستراسبورغ الفرنسية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آنذاك تابعة لألمانيا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أهم ممثليها كان هناك فيلهيلم فیندلباند و تلميذه هاينريك ريكرت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ظهرت مدرسة بادن حوالي عام </w:t>
      </w:r>
      <w:r>
        <w:rPr>
          <w:rFonts w:eastAsia="Amiri" w:cs="Amiri" w:ascii="Amiri" w:hAnsi="Amiri"/>
          <w:color w:val="111111"/>
          <w:sz w:val="28"/>
          <w:szCs w:val="28"/>
          <w:lang w:bidi="ar-SA"/>
        </w:rPr>
        <w:t>1890</w:t>
      </w:r>
      <w:r>
        <w:rPr>
          <w:rFonts w:ascii="Amiri" w:hAnsi="Amiri" w:eastAsia="Amiri" w:cs="Amiri"/>
          <w:color w:val="111111"/>
          <w:sz w:val="28"/>
          <w:sz w:val="28"/>
          <w:szCs w:val="28"/>
          <w:rtl w:val="true"/>
          <w:lang w:bidi="ar-SA"/>
        </w:rPr>
        <w:t>، وركزت على القيم بالخصوص، وطوّر أتباعها مفهوم ومنهج العلوم الإنسانية، ابتداءً من فيندلباند، الذي فهم الفلسفة كدراسة للقيم المعترف بها والمتعارف عليها عمومًا ، يعني الحقيقة في التفكير والخير في الإرادة والسلوك والجمال في الإحساس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كان يعتبر فهم كانط، تجاوزاً له كذلك</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نقطة انطلاق هذه المدرسة هي ثنائية طرق البحث، والتي تحدد علوم الطبيعة كباحثة على القوانين العامة </w:t>
      </w:r>
      <w:r>
        <w:rPr>
          <w:rFonts w:eastAsia="Times New Roman" w:cs="Times New Roman" w:ascii="Times New Roman" w:hAnsi="Times New Roman"/>
          <w:color w:val="111111"/>
          <w:sz w:val="28"/>
          <w:szCs w:val="28"/>
          <w:lang w:val="en-US" w:bidi="en-US"/>
        </w:rPr>
        <w:t>nomothe- tisch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والعلوم الإنسانية كواصفة وفردية </w:t>
      </w:r>
      <w:r>
        <w:rPr>
          <w:rFonts w:eastAsia="Times New Roman" w:cs="Times New Roman" w:ascii="Times New Roman" w:hAnsi="Times New Roman"/>
          <w:color w:val="111111"/>
          <w:sz w:val="28"/>
          <w:szCs w:val="28"/>
          <w:lang w:val="en-US" w:bidi="en-US"/>
        </w:rPr>
        <w:t>idiographisch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شارك ممثلو مدرسة بادن في مناقشة تحديد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العلوم </w:t>
      </w:r>
      <w:bookmarkStart w:id="72" w:name="pg16300_179335"/>
    </w:p>
    <w:p>
      <w:pPr>
        <w:pStyle w:val="BookText"/>
        <w:rPr/>
      </w:pPr>
      <w:bookmarkEnd w:id="72"/>
      <w:r>
        <w:rPr>
          <w:rFonts w:ascii="Amiri" w:hAnsi="Amiri" w:eastAsia="Amiri" w:cs="Amiri"/>
          <w:color w:val="111111"/>
          <w:sz w:val="28"/>
          <w:sz w:val="28"/>
          <w:szCs w:val="28"/>
          <w:rtl w:val="true"/>
          <w:lang w:bidi="ar-SA"/>
        </w:rPr>
        <w:t xml:space="preserve">الإنسانية، بينما ركز ممثلو مدرسة ماربورغ </w:t>
      </w:r>
      <w:r>
        <w:rPr>
          <w:rFonts w:eastAsia="Times New Roman" w:cs="Times New Roman" w:ascii="Times New Roman" w:hAnsi="Times New Roman"/>
          <w:color w:val="111111"/>
          <w:sz w:val="28"/>
          <w:szCs w:val="28"/>
          <w:lang w:val="en-US" w:bidi="en-US"/>
        </w:rPr>
        <w:t>Marburg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للكانطية الجديدة، على نظرية معرفة قبلية موجهة من طرف العلوم الطبيعية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بين ممثلي هذه المدرسة هناك هوغو مونستر بيرغ </w:t>
      </w:r>
      <w:r>
        <w:rPr>
          <w:rFonts w:eastAsia="Times New Roman" w:cs="Times New Roman" w:ascii="Times New Roman" w:hAnsi="Times New Roman"/>
          <w:color w:val="111111"/>
          <w:sz w:val="28"/>
          <w:szCs w:val="28"/>
          <w:lang w:val="en-US" w:bidi="en-US"/>
        </w:rPr>
        <w:t>Hugo Monsterberg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ماكس فيبر </w:t>
      </w:r>
      <w:r>
        <w:rPr>
          <w:rFonts w:eastAsia="Times New Roman" w:cs="Times New Roman" w:ascii="Times New Roman" w:hAnsi="Times New Roman"/>
          <w:color w:val="111111"/>
          <w:sz w:val="28"/>
          <w:szCs w:val="28"/>
          <w:lang w:val="en-US" w:bidi="en-US"/>
        </w:rPr>
        <w:t>Max Weber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یوناس كوهن </w:t>
      </w:r>
      <w:r>
        <w:rPr>
          <w:rFonts w:eastAsia="Times New Roman" w:cs="Times New Roman" w:ascii="Times New Roman" w:hAnsi="Times New Roman"/>
          <w:color w:val="111111"/>
          <w:sz w:val="28"/>
          <w:szCs w:val="28"/>
          <w:lang w:val="en-US" w:bidi="en-US"/>
        </w:rPr>
        <w:t>Jonas Cohn</w:t>
      </w:r>
      <w:r>
        <w:rPr>
          <w:rFonts w:ascii="Amiri" w:hAnsi="Amiri" w:eastAsia="Amiri" w:cs="Amiri"/>
          <w:color w:val="111111"/>
          <w:sz w:val="28"/>
          <w:sz w:val="28"/>
          <w:szCs w:val="28"/>
          <w:rtl w:val="true"/>
          <w:lang w:bidi="ar-SA"/>
        </w:rPr>
        <w:t xml:space="preserve">، إيميل لاسك </w:t>
      </w:r>
      <w:r>
        <w:rPr>
          <w:rFonts w:eastAsia="Times New Roman" w:cs="Times New Roman" w:ascii="Times New Roman" w:hAnsi="Times New Roman"/>
          <w:color w:val="111111"/>
          <w:sz w:val="28"/>
          <w:szCs w:val="28"/>
          <w:lang w:val="en-US" w:bidi="en-US"/>
        </w:rPr>
        <w:t>Emil Lask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برونو باوخ </w:t>
      </w:r>
      <w:r>
        <w:rPr>
          <w:rFonts w:eastAsia="Times New Roman" w:cs="Times New Roman" w:ascii="Times New Roman" w:hAnsi="Times New Roman"/>
          <w:color w:val="111111"/>
          <w:sz w:val="28"/>
          <w:szCs w:val="28"/>
          <w:lang w:val="en-US" w:bidi="en-US"/>
        </w:rPr>
        <w:t>Bruno Bach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غوستاف رادبروخ </w:t>
      </w:r>
      <w:r>
        <w:rPr>
          <w:rFonts w:eastAsia="Times New Roman" w:cs="Times New Roman" w:ascii="Times New Roman" w:hAnsi="Times New Roman"/>
          <w:color w:val="111111"/>
          <w:sz w:val="28"/>
          <w:szCs w:val="28"/>
          <w:lang w:val="en-US" w:bidi="en-US"/>
        </w:rPr>
        <w:t>Gustav Radbruch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هيلموت بلیسنر </w:t>
      </w:r>
      <w:r>
        <w:rPr>
          <w:rFonts w:eastAsia="Times New Roman" w:cs="Times New Roman" w:ascii="Times New Roman" w:hAnsi="Times New Roman"/>
          <w:color w:val="111111"/>
          <w:sz w:val="28"/>
          <w:szCs w:val="28"/>
          <w:lang w:val="en-US" w:bidi="en-US"/>
        </w:rPr>
        <w:t>Hel-  muth Plessner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أوجين هير يغل </w:t>
      </w:r>
      <w:r>
        <w:rPr>
          <w:rFonts w:eastAsia="Times New Roman" w:cs="Times New Roman" w:ascii="Times New Roman" w:hAnsi="Times New Roman"/>
          <w:color w:val="111111"/>
          <w:sz w:val="28"/>
          <w:szCs w:val="28"/>
          <w:lang w:val="en-US" w:bidi="en-US"/>
        </w:rPr>
        <w:t>Eugen Herrigel</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لمدرسة بادن تأثير كبير في الفكر الألماني في القرن العشرين، بفضل أساتذة جامعتي هيدلبرغ وفرايبورغ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ركزت المدرسة اهتمامها على تبرير التناقض بين العلوم الطبيعية ونظيرتها الاجتماعية على أساس التمييز الكانطي بين العقل العملي والعقل النظري وعلى أساس محاولة إظهار استحالة المعرفة العلمية للظواهر الإجتماعية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عارضت المدرسة المنهج التاريخي بالمنهج العلمي الطبيعي، واعتبرت التاريخ هو علم الوقائع الفردية للتطور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الطبيعي هو إدراك العام والتاريخ إدراك الفردي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تضع هذه المدرسة الوجود نقيضاً للضرورة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ونظرًا لأهمية أفكار هذا الاتجاه الكانطي الجديد نقدم في ما يلي باختصار ممثليه دون التعمق في آرائهم، لأننا سنقوم بتركيب عام لها في نقطة لاحقة من هذا البحث</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5377311_1280447820"/>
      <w:bookmarkStart w:id="74" w:name="_Toc25"/>
      <w:bookmarkEnd w:id="73"/>
      <w:r>
        <w:rPr/>
        <w:t>1</w:t>
      </w:r>
      <w:r>
        <w:rPr>
          <w:rtl w:val="true"/>
        </w:rPr>
        <w:t xml:space="preserve">. </w:t>
      </w:r>
      <w:r>
        <w:rPr>
          <w:rtl w:val="true"/>
        </w:rPr>
        <w:t>فيلهيلم فیندلباند</w:t>
      </w:r>
      <w:bookmarkEnd w:id="74"/>
    </w:p>
    <w:p>
      <w:pPr>
        <w:pStyle w:val="BookText"/>
        <w:rPr/>
      </w:pPr>
      <w:r>
        <w:rPr>
          <w:rFonts w:eastAsia="Times New Roman" w:cs="Times New Roman" w:ascii="Times New Roman" w:hAnsi="Times New Roman"/>
          <w:color w:val="111111"/>
          <w:sz w:val="28"/>
          <w:szCs w:val="28"/>
          <w:lang w:val="en-US" w:bidi="en-US"/>
        </w:rPr>
        <w:t>Wilhelm Windelband</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 الفيلسوف الألماني فيندلباند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الطب والعلوم الطبيعية بجامعة بينا ثم برلين ومنها إلى غوتينغن وأضاف </w:t>
      </w:r>
    </w:p>
    <w:p>
      <w:pPr>
        <w:pStyle w:val="BookText"/>
        <w:rPr/>
      </w:pPr>
      <w:r>
        <w:rPr>
          <w:rFonts w:ascii="Amiri" w:hAnsi="Amiri" w:eastAsia="Amiri" w:cs="Amiri"/>
          <w:color w:val="111111"/>
          <w:sz w:val="28"/>
          <w:sz w:val="28"/>
          <w:szCs w:val="28"/>
          <w:rtl w:val="true"/>
          <w:lang w:bidi="ar-SA"/>
        </w:rPr>
        <w:t>لهذه التخصصات التاريخ والفلسفة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على الدوكتوراه بجامعة غوتينغن </w:t>
      </w: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وحصل على درجة الأستاذية عام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جامعة لايبزيغ </w:t>
      </w:r>
      <w:r>
        <w:rPr>
          <w:rFonts w:eastAsia="Times New Roman" w:cs="Times New Roman" w:ascii="Times New Roman" w:hAnsi="Times New Roman"/>
          <w:color w:val="111111"/>
          <w:sz w:val="28"/>
          <w:szCs w:val="28"/>
          <w:lang w:val="en-US" w:bidi="en-US"/>
        </w:rPr>
        <w:t>Leipzig</w:t>
      </w:r>
      <w:r>
        <w:rPr>
          <w:rFonts w:ascii="Amiri" w:hAnsi="Amiri" w:eastAsia="Amiri" w:cs="Amiri"/>
          <w:color w:val="111111"/>
          <w:sz w:val="28"/>
          <w:sz w:val="28"/>
          <w:szCs w:val="28"/>
          <w:rtl w:val="true"/>
          <w:lang w:bidi="ar-SA"/>
        </w:rPr>
        <w:t xml:space="preserve">، حيث درس إلى سنة </w:t>
      </w:r>
      <w:r>
        <w:rPr>
          <w:rFonts w:eastAsia="Amiri" w:cs="Amiri" w:ascii="Amiri" w:hAnsi="Amiri"/>
          <w:color w:val="111111"/>
          <w:sz w:val="28"/>
          <w:szCs w:val="28"/>
          <w:lang w:bidi="ar-SA"/>
        </w:rPr>
        <w:t>1876</w:t>
      </w:r>
      <w:r>
        <w:rPr>
          <w:rFonts w:ascii="Amiri" w:hAnsi="Amiri" w:eastAsia="Amiri" w:cs="Amiri"/>
          <w:color w:val="111111"/>
          <w:sz w:val="28"/>
          <w:sz w:val="28"/>
          <w:szCs w:val="28"/>
          <w:rtl w:val="true"/>
          <w:lang w:bidi="ar-SA"/>
        </w:rPr>
        <w:t xml:space="preserve">، قبل الالتحاق للتدريس بجامعة زيوريخ السويسرية ومنها إلى جامعة فرايبورغ عام ثم جامعة ستراسبورغ عام </w:t>
      </w:r>
      <w:r>
        <w:rPr>
          <w:rFonts w:eastAsia="Amiri" w:cs="Amiri" w:ascii="Amiri" w:hAnsi="Amiri"/>
          <w:color w:val="111111"/>
          <w:sz w:val="28"/>
          <w:szCs w:val="28"/>
          <w:lang w:bidi="ar-SA"/>
        </w:rPr>
        <w:t>1882</w:t>
      </w:r>
      <w:r>
        <w:rPr>
          <w:rFonts w:ascii="Amiri" w:hAnsi="Amiri" w:eastAsia="Amiri" w:cs="Amiri"/>
          <w:color w:val="111111"/>
          <w:sz w:val="28"/>
          <w:sz w:val="28"/>
          <w:szCs w:val="28"/>
          <w:rtl w:val="true"/>
          <w:lang w:bidi="ar-SA"/>
        </w:rPr>
        <w:t xml:space="preserve">، حيث بقي مدةً طويلةً، قبل </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يغادرها ليلتحق بجامعة هايدلبيرغ عام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ليشغل الكرسي الذي كان كونو فيشر يشغله بتلك الجامعة، ويتمم نشاطه العلمي، الذي توجه بنشر مجموعة من الكتب القيمة في الفلسفة</w:t>
      </w:r>
      <w:r>
        <w:rPr>
          <w:rStyle w:val="FootnoteAnchor"/>
          <w:rtl w:val="true"/>
        </w:rPr>
        <w:footnoteReference w:id="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Die Lehren vom Zufall. Berlin 1870. 80 S. Diss. Univ. Göttingen 1870. -Über die Gewissheit der Erkenntniss. Eine psychologisch- erkenntnisstheoretische Studie. Berlin 1873. IV, 96 S. Habil. Univ. Leipzig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1873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Die Geschichte der neueren Philosophie in ihrem Zusammenhange mit der allgemeinen Cultur und den besonderen Wissenschaften dargestellt. 2 Bde. Leipzig 1878-1880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Präludien. Aufsätze und Reden zur Einleitung in die Philosophie. Freiburg Breisgau 1884. VI, 326 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Geschichte der Philosophie. Freiburg Breisgau 1892. 516 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Platon. Frommanns Klassiker der Philosophie. Bd. 9. Straßburg 1900. 190 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Lehrbuch der Geschichte der Philosophie. 3. Aufl. d. Geschichte der Philosophie. Tübingen 1903. VIII, 576 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Über Willensfreiheit. Zwölf Vorlesungen. Tübingen 1904. VIII, 224 S. - Logik. Encyclopädie der philosophischen Wissenschaften. In Verb. m. Wilhelm Windelband hrsg. v. Arnold Ruge. Bd. 1. Tl. 1. Tübingen 1912. VIII, 276 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Die Hypothese des Unbewussten. Festrede gehalten in der Gesamtsitzung der Heidelberger Akademie der Wissenschaften am 24. April 1914. Heidelberg 1914. 22 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 فيندلباند مشواره الفكري كمؤرخ للفلسفة، وكان هرمان </w:t>
      </w:r>
    </w:p>
    <w:p>
      <w:pPr>
        <w:pStyle w:val="BookText"/>
        <w:rPr/>
      </w:pPr>
      <w:r>
        <w:rPr>
          <w:rFonts w:ascii="IRNazanin" w:hAnsi="IRNazanin" w:eastAsia="IRNazanin"/>
          <w:color w:val="111111"/>
          <w:sz w:val="28"/>
          <w:sz w:val="28"/>
          <w:szCs w:val="28"/>
          <w:rtl w:val="true"/>
          <w:lang w:bidi="fa-IR"/>
        </w:rPr>
        <w:t xml:space="preserve">لوتسا </w:t>
      </w:r>
      <w:r>
        <w:rPr>
          <w:rFonts w:eastAsia="Times New Roman" w:cs="Times New Roman" w:ascii="Times New Roman" w:hAnsi="Times New Roman"/>
          <w:color w:val="111111"/>
          <w:sz w:val="28"/>
          <w:szCs w:val="28"/>
          <w:lang w:val="en-US" w:bidi="en-US"/>
        </w:rPr>
        <w:t>Hermann Lotze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أحد أساتذته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كانط يميز بین میدان الواقع الوجود، الذي تتم معرفته عن طريق شروط معرفية واقعية </w:t>
      </w:r>
      <w:r>
        <w:rPr>
          <w:rFonts w:eastAsia="Times New Roman" w:cs="Times New Roman" w:ascii="Times New Roman" w:hAnsi="Times New Roman"/>
          <w:color w:val="111111"/>
          <w:sz w:val="28"/>
          <w:szCs w:val="28"/>
          <w:lang w:val="en-US" w:bidi="en-US"/>
        </w:rPr>
        <w:t>quaestion facti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وبين ميدان الفعل الذي يقدم إمكانية معرفته من خلال شروط فاعلة </w:t>
      </w:r>
      <w:r>
        <w:rPr>
          <w:rFonts w:eastAsia="Times New Roman" w:cs="Times New Roman" w:ascii="Times New Roman" w:hAnsi="Times New Roman"/>
          <w:color w:val="111111"/>
          <w:sz w:val="28"/>
          <w:szCs w:val="28"/>
          <w:lang w:val="en-US" w:bidi="en-US"/>
        </w:rPr>
        <w:t>quaestion iuris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بينما يقدم لوتسا </w:t>
      </w:r>
      <w:r>
        <w:rPr>
          <w:rFonts w:eastAsia="Times New Roman" w:cs="Times New Roman" w:ascii="Times New Roman" w:hAnsi="Times New Roman"/>
          <w:color w:val="111111"/>
          <w:sz w:val="28"/>
          <w:szCs w:val="28"/>
          <w:lang w:val="en-US" w:bidi="en-US"/>
        </w:rPr>
        <w:t>Lotze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هذين الميدانين بتبعية متبادلة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فيندلباند يعكس العلاقة بين الميدانين بتأكيده على أنه يجب اعتبار كل حقيقة واقعية، إذا اُستُخرج منها مسبقا حكم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ركز فیندلباند اهتمامه على رسم الحدود بين العلوم الطبيعية والعلوم الثقافية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العلوم الإنسانية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تستعمل الأولى الطريقة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nomo</w:t>
      </w:r>
      <w:r>
        <w:rPr>
          <w:rStyle w:val="FootnoteAnchor"/>
        </w:rPr>
        <w:footnoteReference w:id="29"/>
      </w:r>
      <w:r>
        <w:rPr>
          <w:rFonts w:eastAsia="Times New Roman" w:cs="Times New Roman" w:ascii="Times New Roman" w:hAnsi="Times New Roman"/>
          <w:color w:val="111111"/>
          <w:sz w:val="28"/>
          <w:szCs w:val="28"/>
          <w:lang w:val="en-US" w:bidi="en-US"/>
        </w:rPr>
        <w:t>thetisch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يعني أنها تصف موضوعها عن طريق قوانين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العلوم الإنسانية فإنها تستعمل الطريقة</w:t>
      </w:r>
      <w:r>
        <w:rPr>
          <w:rStyle w:val="FootnoteAnchor"/>
          <w:rtl w:val="true"/>
        </w:rPr>
        <w:footnoteReference w:id="30"/>
      </w:r>
      <w:r>
        <w:rPr>
          <w:rFonts w:ascii="IRNazanin" w:hAnsi="IRNazanin" w:eastAsia="IRNazanin"/>
          <w:color w:val="111111"/>
          <w:sz w:val="28"/>
          <w:sz w:val="28"/>
          <w:szCs w:val="28"/>
          <w:rtl w:val="true"/>
          <w:lang w:bidi="fa-IR"/>
        </w:rPr>
        <w:t>، لأن الأمر يتعلق فيها، حسب فیندلباند بأفراد فريدين وخاصين في طبيعتهم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تمييز واضح عنده بين العلوم المعيارية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والعلوم الوصفية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الطبيعية</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نفر فيندلباند من الموقف الذي يعتبر الواقع كفكر خالص، كما مثلها كوهن مثلا، بتأكيده على إشكالية القيم كمشكلة إبستيمولوجية للواقع التجريبي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تدرس العلوم واضعة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القوانين ما يتكرر على نمط واحد بينما </w:t>
      </w:r>
      <w:bookmarkStart w:id="75" w:name="pg16300_179338"/>
    </w:p>
    <w:p>
      <w:pPr>
        <w:pStyle w:val="BookText"/>
        <w:rPr/>
      </w:pPr>
      <w:bookmarkEnd w:id="75"/>
      <w:r>
        <w:rPr>
          <w:rFonts w:ascii="Amiri" w:hAnsi="Amiri" w:eastAsia="Amiri" w:cs="Amiri"/>
          <w:color w:val="111111"/>
          <w:sz w:val="28"/>
          <w:sz w:val="28"/>
          <w:szCs w:val="28"/>
          <w:rtl w:val="true"/>
          <w:lang w:bidi="ar-SA"/>
        </w:rPr>
        <w:t>تدرس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المصورة للأفكار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العلوم الإنسانية مثلاً، ما حدث مرةً ولا يحدث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العالم التجريبي هي المعرفة، هذه غاية العلم، أما المؤرخ فإنه يسعى إلى التقويم، من هنا يمكن اعتبار التاريخ من علوم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فالأحكام الأخلاقية التي يصدرها المؤرخون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هذا العلم قريبًا من علم الأخلاق</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5377313_1280447820"/>
      <w:bookmarkStart w:id="77" w:name="_Toc26"/>
      <w:bookmarkEnd w:id="76"/>
      <w:r>
        <w:rPr/>
        <w:t>2</w:t>
      </w:r>
      <w:r>
        <w:rPr>
          <w:rtl w:val="true"/>
        </w:rPr>
        <w:t xml:space="preserve">. </w:t>
      </w:r>
      <w:r>
        <w:rPr>
          <w:rtl w:val="true"/>
        </w:rPr>
        <w:t>هاينريك ريكرت</w:t>
      </w:r>
      <w:bookmarkEnd w:id="77"/>
    </w:p>
    <w:p>
      <w:pPr>
        <w:pStyle w:val="BookText"/>
        <w:rPr/>
      </w:pPr>
      <w:r>
        <w:rPr>
          <w:rFonts w:eastAsia="Times New Roman" w:cs="Times New Roman" w:ascii="Times New Roman" w:hAnsi="Times New Roman"/>
          <w:color w:val="111111"/>
          <w:sz w:val="28"/>
          <w:szCs w:val="28"/>
          <w:lang w:val="en-US" w:bidi="en-US"/>
        </w:rPr>
        <w:t>Heinrich John Rickert</w:t>
      </w:r>
    </w:p>
    <w:p>
      <w:pPr>
        <w:pStyle w:val="BookText"/>
        <w:rPr/>
      </w:pPr>
      <w:r>
        <w:rPr>
          <w:rFonts w:ascii="IRNazanin" w:hAnsi="IRNazanin" w:eastAsia="IRNazanin"/>
          <w:color w:val="111111"/>
          <w:sz w:val="28"/>
          <w:sz w:val="28"/>
          <w:szCs w:val="28"/>
          <w:rtl w:val="true"/>
          <w:lang w:bidi="fa-IR"/>
        </w:rPr>
        <w:t xml:space="preserve">كان ريكرت </w:t>
      </w:r>
      <w:r>
        <w:rPr>
          <w:rFonts w:eastAsia="IRNazanin" w:cs="IRNazanin"/>
          <w:color w:val="111111"/>
          <w:sz w:val="28"/>
          <w:szCs w:val="28"/>
          <w:rtl w:val="true"/>
          <w:lang w:bidi="fa-IR"/>
        </w:rPr>
        <w:t>(</w:t>
      </w:r>
      <w:r>
        <w:rPr>
          <w:rFonts w:eastAsia="IRNazanin" w:cs="IRNazanin"/>
          <w:color w:val="111111"/>
          <w:sz w:val="28"/>
          <w:szCs w:val="28"/>
          <w:lang w:bidi="fa-IR"/>
        </w:rPr>
        <w:t>1863</w:t>
      </w:r>
      <w:r>
        <w:rPr>
          <w:rFonts w:eastAsia="IRNazanin" w:cs="IRNazanin"/>
          <w:color w:val="111111"/>
          <w:sz w:val="28"/>
          <w:szCs w:val="28"/>
          <w:rtl w:val="true"/>
          <w:lang w:bidi="fa-IR"/>
        </w:rPr>
        <w:t>-</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 مؤسس لمدرسة بادن بعد فیندلباند بدأ دراسة الفلسفة بجامعة ستراسبورغ عام </w:t>
      </w:r>
      <w:r>
        <w:rPr>
          <w:rFonts w:eastAsia="IRNazanin" w:cs="IRNazanin"/>
          <w:color w:val="111111"/>
          <w:sz w:val="28"/>
          <w:szCs w:val="28"/>
          <w:lang w:bidi="fa-IR"/>
        </w:rPr>
        <w:t>1885</w:t>
      </w:r>
      <w:r>
        <w:rPr>
          <w:rFonts w:ascii="IRNazanin" w:hAnsi="IRNazanin" w:eastAsia="IRNazanin"/>
          <w:color w:val="111111"/>
          <w:sz w:val="28"/>
          <w:sz w:val="28"/>
          <w:szCs w:val="28"/>
          <w:rtl w:val="true"/>
          <w:lang w:bidi="fa-IR"/>
        </w:rPr>
        <w:t>، وكان تلميذا مباشرًا لفيندلباند، كما دَرَس أيضا الاقتصاد والفيزيولوجيا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وحصل على الدكتورة برسالة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تعاليم التعريف تحت إشراف فيندلباند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حصل على الأستاذية بجامعة فرايبورغ برسالة تحت عنوان موضوع المعرفة تحت إشراف ألوايس ريهل </w:t>
      </w:r>
      <w:r>
        <w:rPr>
          <w:rFonts w:eastAsia="Times New Roman" w:cs="Times New Roman" w:ascii="Times New Roman" w:hAnsi="Times New Roman"/>
          <w:color w:val="111111"/>
          <w:sz w:val="28"/>
          <w:szCs w:val="28"/>
          <w:lang w:val="en-US" w:bidi="en-US"/>
        </w:rPr>
        <w:t>Alois Riehl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وبدأ التدريس بتلك الجامعة منذ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مارتين هايدغر أحد طلبته، وهو الذي كان مشرفًا على رسالة أطروحته حول دونس سكوتوس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ويُقال أن ريكرت لم يقرأ هذه الأطروحة</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D. Drüll: Heidelberger Gelehrtenlexikon 1803-1932. Berlin u.a. 1986, S. 219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انتقل ريكرت عام </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ليخلف فيندلباند بجامعة هايدلبيرغ، وكان هوسرل هو الذي عوضه في فرايبورغ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من تتلمذ على يد ريكرت، بغض النظر عن هايدغر ، كان هناك برونو باوخ </w:t>
      </w:r>
      <w:r>
        <w:rPr>
          <w:rFonts w:eastAsia="Times New Roman" w:cs="Times New Roman" w:ascii="Times New Roman" w:hAnsi="Times New Roman"/>
          <w:color w:val="111111"/>
          <w:sz w:val="28"/>
          <w:szCs w:val="28"/>
          <w:lang w:val="en-US" w:bidi="en-US"/>
        </w:rPr>
        <w:t>Bruno Bauch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وإيميل لاسك </w:t>
      </w:r>
      <w:r>
        <w:rPr>
          <w:rFonts w:eastAsia="Times New Roman" w:cs="Times New Roman" w:ascii="Times New Roman" w:hAnsi="Times New Roman"/>
          <w:color w:val="111111"/>
          <w:sz w:val="28"/>
          <w:szCs w:val="28"/>
          <w:lang w:val="en-US" w:bidi="en-US"/>
        </w:rPr>
        <w:t>Emil Lask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وفلاسفة ألمان آخرون</w:t>
      </w:r>
      <w:r>
        <w:rPr>
          <w:rStyle w:val="FootnoteAnchor"/>
          <w:rtl w:val="true"/>
        </w:rPr>
        <w:footnoteReference w:id="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Zur Lehre von der Definition, Tübingen 1888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Der Gegenstand der Erkenntnis: ein Beitrag zum Problem der philosophischen Transzendenz, Freiburg 1892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Die Grenzen der naturwissenschaftlichen Begriffsbildung, Eine logische Einleitung in die historischen Wissenschaften, Freiburg 1896, 5. Aufl. Tübingen 1929 (Nachdruck Hildesheim 2007)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Kulturwissenschaft und Naturwissenschaft, Freiburg 1899; Neuauflagen: Stuttgart 1986 sowie Celtis Verlag, Berlin 2013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Wilhelm Windelband, Tübingen 1915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Die Philosophie des Lebens. Darstellung und Kritik der philosophischen Modeströmungen unserer Zeit, Tübingen 1920; 2. Aufl. 1922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System der Philosophie, Erster Teil: Allgemeine Grundlegung der Philosophie, Tübingen 1921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Kant als Philosoph der modernen Kultur. Ein geschichtsphilosophischer Versuch, J.C.B. Mohr (Paul Siebeck), Tübingen 1924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Über die Welt der Erfahrung, München 1927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Die Logik des Prädikats und das Problem der Ontologie, Heidelberg 1930 Ontologie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Die Heidelberger Tradition in der Deutschen Philosophie, Tübingen 1931 - Grundprobleme der Philosophie. Methodologie, Anthropologie, J.C.B. Mohr (Paul Siebeck), Tübingen 1934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Unmittelbarkeit und Sinndeutung, Aufsätze zur Ausgestaltung des Systems der Philosophie, Tübingen 1939</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نقطة انطلاق ريكرت في ما يخص الكانطية الجديدة تتمثل في موضوعية العلوم بمعارفَ صحيحة، سواءً أتعلق الأمر بعلوم الطبيعة أم ما كان يسمى أنذاك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الثقافة العلوم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وعوّض ريكرت منهج التقابل بين العلوم الطبيعية والعلوم الإنسانية الذي سبق أن أشرنا له لفيندلباند بتمييز نسبي بين العلوم المُعَمِّمة والعلوم الفردانية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ودافع في نظرية المعرفة على الترنسند التية المثالية، التي قد تتطابق مع الواقعية التجريبية للعلوم كل واحد على حدة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موضوع الفلسفة عنده فهو مجموع العالم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Weltallswis senschaft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معنى فكرة يجب تحقيقها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فالفلسفة كـ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w:t>
      </w:r>
    </w:p>
    <w:p>
      <w:pPr>
        <w:pStyle w:val="BookText"/>
        <w:rPr/>
      </w:pPr>
      <w:r>
        <w:rPr>
          <w:rFonts w:ascii="Amiri" w:hAnsi="Amiri" w:eastAsia="Amiri" w:cs="Amiri"/>
          <w:color w:val="111111"/>
          <w:sz w:val="28"/>
          <w:sz w:val="28"/>
          <w:szCs w:val="28"/>
          <w:rtl w:val="true"/>
          <w:lang w:bidi="ar-SA"/>
        </w:rPr>
        <w:t>شاملة لمجموع الحياة الثقافية</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xml:space="preserve">تحقق بطريقة موضوعية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نسقا من 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بأخذها بعين الإعتبار المحدودية التاريخية للإنسان كإنسان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طريق ملاحظة التاريخ يجب تجاوز التاريخانية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وتهدف نظرية القيم عنده إلى تجاوز الأخلاق الكانطية، مع الاحتفاظ بالمبدأ النقدي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فإن الفلسفة عنده ليست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تصوراً للعالم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خالية من متطلبات الحياة الصدفوية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يقف ريكرت، وبالخصوص في كتابه </w:t>
      </w:r>
      <w:r>
        <w:rPr>
          <w:rFonts w:eastAsia="Times New Roman" w:cs="Times New Roman" w:ascii="Times New Roman" w:hAnsi="Times New Roman"/>
          <w:color w:val="111111"/>
          <w:sz w:val="28"/>
          <w:szCs w:val="28"/>
          <w:lang w:val="en-US" w:bidi="en-US"/>
        </w:rPr>
        <w:t>Das Eine, die Einheit nd die Eins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الواحد الوحدة وواحد المنشور عام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 ضد ممثلي الرياضيات المنطقية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ينبه إلى خطر الريضنة المنطقية </w:t>
      </w:r>
      <w:r>
        <w:rPr>
          <w:rFonts w:eastAsia="Times New Roman" w:cs="Times New Roman" w:ascii="Times New Roman" w:hAnsi="Times New Roman"/>
          <w:color w:val="111111"/>
          <w:sz w:val="28"/>
          <w:szCs w:val="28"/>
          <w:lang w:val="en-US" w:bidi="en-US"/>
        </w:rPr>
        <w:t>Mathematizismus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 اعتبار كل شيء رياضيات وحساب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يرى هذا الخطر في الحركات العقلانية فقط، بل كذلك في الحركات الفينومينولوجية والضد عقلانية بصفة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ويشخص ريكيرت الخطر في تأكيده بأن خاصية المنطق تكمن في خطر خلطه بالرياضيات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يوجد أي حلٌّ في نظره من غير التمييز الدقيق بين الإثنين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هذا كان ريكيرت معاديًا للفينومينولوجيا كما طورها هوسرل وهايدغر وللفلسفة الوجودية كما نظر لها ياسبرس ولفلسفة الحياة كما نجدها عند هنري بيرغسون </w:t>
      </w:r>
      <w:r>
        <w:rPr>
          <w:rFonts w:eastAsia="Times New Roman" w:cs="Times New Roman" w:ascii="Times New Roman" w:hAnsi="Times New Roman"/>
          <w:color w:val="111111"/>
          <w:sz w:val="28"/>
          <w:szCs w:val="28"/>
          <w:lang w:val="en-US" w:bidi="en-US"/>
        </w:rPr>
        <w:t>Henri Bergson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ريكرت يمثل مثاليةً متعاليةً، وكان يعتقد ضرورة تطابق هذه الأخيرة مع الواقعية التجريبية للعلوم كلّ واحد على حدة، كما دافع عن فكرة كون الواجب </w:t>
      </w:r>
      <w:r>
        <w:rPr>
          <w:rFonts w:eastAsia="Times New Roman" w:cs="Times New Roman" w:ascii="Times New Roman" w:hAnsi="Times New Roman"/>
          <w:color w:val="111111"/>
          <w:sz w:val="28"/>
          <w:szCs w:val="28"/>
          <w:lang w:val="en-US" w:bidi="en-US"/>
        </w:rPr>
        <w:t>Sollen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المتعالي هو الذي يحدد موضوع المعرفة لا قيمة صحة الوجود </w:t>
      </w:r>
      <w:r>
        <w:rPr>
          <w:rFonts w:eastAsia="Times New Roman" w:cs="Times New Roman" w:ascii="Times New Roman" w:hAnsi="Times New Roman"/>
          <w:color w:val="111111"/>
          <w:sz w:val="28"/>
          <w:szCs w:val="28"/>
          <w:lang w:val="en-US" w:bidi="en-US"/>
        </w:rPr>
        <w:t>Sein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كما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وجود للمنطقي، لكنه صالح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exi- Das Logische</w:t>
      </w:r>
      <w:r>
        <w:rPr>
          <w:rFonts w:eastAsia="Times New Roman" w:cs="Times New Roman" w:ascii="Times New Roman" w:hAnsi="Times New Roman"/>
          <w:color w:val="111111"/>
          <w:sz w:val="28"/>
          <w:szCs w:val="28"/>
          <w:rtl w:val="true"/>
          <w:lang w:val="en-US" w:bidi="en-US"/>
        </w:rPr>
        <w:t xml:space="preserve"> </w:t>
      </w:r>
      <w:bookmarkStart w:id="78" w:name="pg16300_179341"/>
    </w:p>
    <w:p>
      <w:pPr>
        <w:pStyle w:val="BookText"/>
        <w:rPr/>
      </w:pPr>
      <w:bookmarkEnd w:id="78"/>
      <w:r>
        <w:rPr>
          <w:rFonts w:eastAsia="Times New Roman" w:cs="Times New Roman" w:ascii="Times New Roman" w:hAnsi="Times New Roman"/>
          <w:color w:val="111111"/>
          <w:sz w:val="28"/>
          <w:szCs w:val="28"/>
          <w:lang w:val="en-US" w:bidi="en-US"/>
        </w:rPr>
        <w:t>stiert nicht, sondern es gilt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فالاعتراف بالواجب </w:t>
      </w:r>
      <w:r>
        <w:rPr>
          <w:rFonts w:eastAsia="Times New Roman" w:cs="Times New Roman" w:ascii="Times New Roman" w:hAnsi="Times New Roman"/>
          <w:color w:val="111111"/>
          <w:sz w:val="28"/>
          <w:szCs w:val="28"/>
          <w:lang w:val="en-US" w:bidi="en-US"/>
        </w:rPr>
        <w:t>Sollen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يمنح لأفعال الأحكام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فالقرار الحكم القضاء </w:t>
      </w:r>
      <w:r>
        <w:rPr>
          <w:rFonts w:eastAsia="Times New Roman" w:cs="Times New Roman" w:ascii="Times New Roman" w:hAnsi="Times New Roman"/>
          <w:color w:val="111111"/>
          <w:sz w:val="28"/>
          <w:szCs w:val="28"/>
          <w:lang w:val="en-US" w:bidi="en-US"/>
        </w:rPr>
        <w:t>Urteilen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هو دائما إبداء 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w:t>
      </w:r>
      <w:r>
        <w:rPr>
          <w:rFonts w:eastAsia="Times New Roman" w:cs="Times New Roman" w:ascii="Times New Roman" w:hAnsi="Times New Roman"/>
          <w:color w:val="111111"/>
          <w:sz w:val="28"/>
          <w:szCs w:val="28"/>
          <w:lang w:val="en-US" w:bidi="en-US"/>
        </w:rPr>
        <w:t>Beurteilen</w:t>
      </w:r>
      <w:r>
        <w:rPr>
          <w:rFonts w:ascii="Amiri" w:hAnsi="Amiri" w:eastAsia="Amiri" w:cs="Amiri"/>
          <w:color w:val="111111"/>
          <w:sz w:val="28"/>
          <w:sz w:val="28"/>
          <w:szCs w:val="28"/>
          <w:rtl w:val="true"/>
          <w:lang w:bidi="ar-SA"/>
        </w:rPr>
        <w:t xml:space="preserve">، ومن ثم التقويم والتقدير </w:t>
      </w:r>
      <w:r>
        <w:rPr>
          <w:rFonts w:eastAsia="Times New Roman" w:cs="Times New Roman" w:ascii="Times New Roman" w:hAnsi="Times New Roman"/>
          <w:color w:val="111111"/>
          <w:sz w:val="28"/>
          <w:szCs w:val="28"/>
          <w:lang w:val="en-US" w:bidi="en-US"/>
        </w:rPr>
        <w:t>Werten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قدم ريكرت إذا بالرجوع إلى كانط، مثاليةً متعاليةً في نظرية معرفته، يتوافق مع الواقعية التجريبية للعلوم المأخوذة منفردةً وبمعزل عن العلوم الأخرى؛ على الرغم من أنه افترض بأن الواجب المتعالي كموضوع للمعرفة</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5377315_1280447820"/>
      <w:bookmarkStart w:id="80" w:name="_Toc27"/>
      <w:bookmarkEnd w:id="79"/>
      <w:r>
        <w:rPr/>
        <w:t>3</w:t>
      </w:r>
      <w:r>
        <w:rPr>
          <w:rtl w:val="true"/>
        </w:rPr>
        <w:t xml:space="preserve">. </w:t>
      </w:r>
      <w:r>
        <w:rPr>
          <w:rtl w:val="true"/>
        </w:rPr>
        <w:t>هوغو مونستير بيرغ</w:t>
      </w:r>
      <w:bookmarkEnd w:id="80"/>
    </w:p>
    <w:p>
      <w:pPr>
        <w:pStyle w:val="BookText"/>
        <w:rPr/>
      </w:pPr>
      <w:r>
        <w:rPr>
          <w:rFonts w:eastAsia="Times New Roman" w:cs="Times New Roman" w:ascii="Times New Roman" w:hAnsi="Times New Roman"/>
          <w:color w:val="111111"/>
          <w:sz w:val="28"/>
          <w:szCs w:val="28"/>
          <w:lang w:val="en-US" w:bidi="en-US"/>
        </w:rPr>
        <w:t>Hugo Münsterberg</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دَرَسَ هوغو مونستير بيرغ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الفلسفة والسيكولوجيا والطب، وتخرج عام </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جامعة لا يبتزيغ، وكان عنوان أطروحته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تعالييم التأقلم في تطورها، تطبيقها ومعناها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مؤسس السيكولوجيا كعلم قائم بذاته فيلهيلم فونت </w:t>
      </w:r>
      <w:r>
        <w:rPr>
          <w:rFonts w:eastAsia="Times New Roman" w:cs="Times New Roman" w:ascii="Times New Roman" w:hAnsi="Times New Roman"/>
          <w:color w:val="111111"/>
          <w:sz w:val="28"/>
          <w:szCs w:val="28"/>
          <w:lang w:val="en-US" w:bidi="en-US"/>
        </w:rPr>
        <w:t>Wilhelm Wundt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الأستاذ الذي أشرف على أطروحته حصل على شهادة الدكتورة في الطب من جامعة هايدلبيرغ وعلى شهادة الأستاذية من جامعة فرايبورغ ببحث 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الإرادة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حاول دراسة العمليات العضوية التي تترجم قرارات الإرادة إلى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وانتقد التنوع الكبير للنظريات في هذا الميدان واعتبره علامة على عدم معرفة الباحث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ونبه إلى أن المرء لا يعرف عن الإرادة أهم حاجة، ألا وهي إنتاجها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لطاقة لانهائية من كتلة لانهائية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وكباقي معاصريه، كان مونستر بيرغ يعتقد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ميكانيكا الذرة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ستشرح الكثير من الأمور </w:t>
      </w:r>
    </w:p>
    <w:p>
      <w:pPr>
        <w:pStyle w:val="BookText"/>
        <w:rPr/>
      </w:pPr>
      <w:r>
        <w:rPr>
          <w:rFonts w:ascii="Amiri" w:hAnsi="Amiri" w:eastAsia="Amiri" w:cs="Amiri"/>
          <w:color w:val="111111"/>
          <w:sz w:val="28"/>
          <w:sz w:val="28"/>
          <w:szCs w:val="28"/>
          <w:rtl w:val="true"/>
          <w:lang w:bidi="ar-SA"/>
        </w:rPr>
        <w:t>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العمق كان بحثه هذا تقريرًا رزينًا ومعقولاً عما وصل إليه مستوى العلم في ما يخص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العلاقة الدقيقة بين العصب المحرك والعضلات من جهة والعضو المركزي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أسّس، في الوقت الذي درس فيه في جامعة فرايبورغ من </w:t>
      </w: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مختبراً سيكولوجيا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وجذبت أعماله الإمبريقية الكثيرة في هذا الميدان الكثير من الطلبة، ومن بينهم الكثير من الولايات المتحدة الأمريكية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وإن كان فيندلباند وريهل </w:t>
      </w:r>
      <w:r>
        <w:rPr>
          <w:rFonts w:eastAsia="Times New Roman" w:cs="Times New Roman" w:ascii="Times New Roman" w:hAnsi="Times New Roman"/>
          <w:color w:val="111111"/>
          <w:sz w:val="28"/>
          <w:szCs w:val="28"/>
          <w:lang w:val="en-US" w:bidi="en-US"/>
        </w:rPr>
        <w:t>Riehl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قبله يقدمان محاضرات في السيكولوجيا والسيكولوجيا الفيزيقية، فإن المرور إلى السيكولوجيا التجريبية لم يتم إلا مع مونستر بيرغ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تم أدخلت الجامعة إلى مقررات دراستها الدراسات السيكولوجية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التجريبية للطلبة المبتدئين ومن تقدمهم في الدراسة على حد ،سواء، ومحاضرات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السيكولوجيا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السيكولوجيا والسيكولوجيا الاجتماعية و التنويم المغناطيسي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للإشارة فقد كان مونستر بیرغ ضد التحليل النفسي، لأن اللاوعي والشبق التنزع </w:t>
      </w:r>
      <w:r>
        <w:rPr>
          <w:rFonts w:eastAsia="Times New Roman" w:cs="Times New Roman" w:ascii="Times New Roman" w:hAnsi="Times New Roman"/>
          <w:color w:val="111111"/>
          <w:sz w:val="28"/>
          <w:szCs w:val="28"/>
          <w:lang w:val="en-US" w:bidi="en-US"/>
        </w:rPr>
        <w:t>Trieb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لم يكونا ينتميان في نظره إلى علم النفس، ذلك أنه كان يرى بأن حياة الغرائز تندرج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الغرائز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Instinkt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وكما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الأساسية للسيكولوجيا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يوجد أيُّ معنّى لمفهوم الغرائز اليوم لا في الفيزيولوجيا ولا في السيكولوجيا، إنه مصطلح بيولوجي خالص</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وللإشارة فإن ماكس فيبر اعتمد على هذا الكتاب في تأسيس جزء من نظريته السوسيولوجية وفي علوم الثقافة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وليام جيمس </w:t>
      </w:r>
      <w:r>
        <w:rPr>
          <w:rFonts w:eastAsia="Times New Roman" w:cs="Times New Roman" w:ascii="Times New Roman" w:hAnsi="Times New Roman"/>
          <w:color w:val="111111"/>
          <w:sz w:val="28"/>
          <w:szCs w:val="28"/>
          <w:lang w:val="en-US" w:bidi="en-US"/>
        </w:rPr>
        <w:t>William James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سببا في قبول مونستر بيرغ </w:t>
      </w:r>
      <w:bookmarkStart w:id="81" w:name="pg16300_179343"/>
    </w:p>
    <w:p>
      <w:pPr>
        <w:pStyle w:val="BookText"/>
        <w:rPr/>
      </w:pPr>
      <w:bookmarkEnd w:id="81"/>
      <w:r>
        <w:rPr>
          <w:rFonts w:ascii="IRNazanin" w:hAnsi="IRNazanin" w:eastAsia="IRNazanin"/>
          <w:color w:val="111111"/>
          <w:sz w:val="28"/>
          <w:sz w:val="28"/>
          <w:szCs w:val="28"/>
          <w:rtl w:val="true"/>
          <w:lang w:bidi="fa-IR"/>
        </w:rPr>
        <w:t xml:space="preserve">کمحاضر زائر بجامعة هارفارد بین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 نهائيًا في أمريكا، ليساهم في تأسيس السيكولوجيا التجريبية، محققًا بذلك رغبة جيمس في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مرحلة التأسيس هذه، ركز مونستر بیرغ اهتمامه على ما سُمي أنذاك بالسيكولوجيا التقنية، التي طور من خلالها السيكولوجية التطبيقية، بالتعاون مع كل من وليام شتیرن </w:t>
      </w:r>
      <w:r>
        <w:rPr>
          <w:rFonts w:eastAsia="Times New Roman" w:cs="Times New Roman" w:ascii="Times New Roman" w:hAnsi="Times New Roman"/>
          <w:color w:val="111111"/>
          <w:sz w:val="28"/>
          <w:szCs w:val="28"/>
          <w:lang w:val="en-US" w:bidi="en-US"/>
        </w:rPr>
        <w:t>William Stern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وفالتر ديل سكوت وجون موريس لاي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اهتم مونستر بیرغ بنظرية المعرفة العامة ،فلسفيًّا، باعتباره كانطيًا جديدًا، ومنها العلاقة بين العلوم الطبيعية ونظيرتها الإنسانية وبكيفية الاستنتاج والتأسيس الفلسفيين للقيم والأخلاق بصفة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عام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يحاضر ، وترك الكثير من المؤلفات في السيكولوجيا والفلسفة والأخلاق</w:t>
      </w:r>
      <w:r>
        <w:rPr>
          <w:rStyle w:val="FootnoteAnchor"/>
          <w:rtl w:val="true"/>
        </w:rPr>
        <w:footnoteReference w:id="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Der Ursprung der Sittlichkeit. Mohr, Freiburg i.Br. 1889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Beiträge zur experimentellen Psychologie. 4 Bde. Mohr, Freiburg i.Br. 1889-92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Aufgaben und Methoden der Psychologie. Leipzig. 1891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Grundzüge der Psychologie. Barth, Leipzig. 1. Ausgabe 1900 - Philosophie der Werte, Barth, Leipzig. 1908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Psychologie und das Wirtschaftsleben. Ein Beitrag zur angewandten Experimental-Psychologie. Barth, Leipzig. 1912 - Grundzüge der Psychotechnik. Barth, Leipzig. 1914</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 w:name="__RefHeading___Toc5377317_1280447820"/>
      <w:bookmarkStart w:id="83" w:name="_Toc28"/>
      <w:bookmarkEnd w:id="82"/>
      <w:r>
        <w:rPr/>
        <w:t>4</w:t>
      </w:r>
      <w:r>
        <w:rPr>
          <w:rtl w:val="true"/>
        </w:rPr>
        <w:t xml:space="preserve">. </w:t>
      </w:r>
      <w:r>
        <w:rPr>
          <w:rtl w:val="true"/>
        </w:rPr>
        <w:t>ماكسيميليان كارل إيميل فيبر</w:t>
      </w:r>
      <w:bookmarkEnd w:id="83"/>
    </w:p>
    <w:p>
      <w:pPr>
        <w:pStyle w:val="BookText"/>
        <w:rPr/>
      </w:pPr>
      <w:r>
        <w:rPr>
          <w:rFonts w:eastAsia="Times New Roman" w:cs="Times New Roman" w:ascii="Times New Roman" w:hAnsi="Times New Roman"/>
          <w:color w:val="111111"/>
          <w:sz w:val="28"/>
          <w:szCs w:val="28"/>
          <w:lang w:val="en-US" w:bidi="en-US"/>
        </w:rPr>
        <w:t>Maximilian Carl Emil Weber</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 ماكسيميليان كارل إيميل فيبر المعروف باختصار بماكس فيبر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دراسته عام </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القانون والاقتصاد </w:t>
      </w:r>
    </w:p>
    <w:p>
      <w:pPr>
        <w:pStyle w:val="BookText"/>
        <w:rPr/>
      </w:pPr>
      <w:r>
        <w:rPr>
          <w:rFonts w:ascii="IRNazanin" w:hAnsi="IRNazanin" w:eastAsia="IRNazanin"/>
          <w:color w:val="111111"/>
          <w:sz w:val="28"/>
          <w:sz w:val="28"/>
          <w:szCs w:val="28"/>
          <w:rtl w:val="true"/>
          <w:lang w:bidi="fa-IR"/>
        </w:rPr>
        <w:t>والفلسفة والتاريخ بجامعات ،هایدلبيرغ غوتينغن وبرلين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اهتمامه بالفلسفة جد مبكر، ذلك أنه قرأ بعض مؤلفات كلٌّ من شوبنهاور وسبينوزا وكانط في سن الثالثة عشر، إضافةً إلى بعض الكتب الأدبية لغوتية، إلا أنه تخصص في الاقتصاد، حيث حصل على الدكتوراه عام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جامعة برلين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عام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 على شهادة الأستاذية في التخصص نفسه من الجامعة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بعد ذلك بدأ التدريس ببرلين قبل أن يشتغل بجامعة فرايبورغ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1896</w:t>
      </w:r>
      <w:r>
        <w:rPr>
          <w:rFonts w:ascii="IRNazanin" w:hAnsi="IRNazanin" w:eastAsia="IRNazanin"/>
          <w:color w:val="111111"/>
          <w:sz w:val="28"/>
          <w:sz w:val="28"/>
          <w:szCs w:val="28"/>
          <w:rtl w:val="true"/>
          <w:lang w:bidi="fa-IR"/>
        </w:rPr>
        <w:t xml:space="preserve">، ليغير إلى جامعة هايدلبيرغ؛ لكنه توقف نهائيًا عن التدريس بسبب مرض حل به عام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الرغم من محاولات عديدة منه ومن جامعات عديدة لمعاودة التدريس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شكل إرث الكانطية والكانطية الجديدة أرضيةً فلسفيةً مهمةً بالنسبة لفيبر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أطرت تصوراته وأفكاره في ما يخص المناهج المرتبطة بالتاريخ والاقتصاد والاجتماع، كما أنها شكلت الخلفية الأساسية لموضوعه الجوهري المتعلق بالعقلنة من هنا لا يمكن فهم فيبر إلا من خلال التفكير الكانطي وما لحقه من تصورات الكانطية الجديدة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للعقل مكانة مهمة في تفكير فيبر، وتتجسد هذه المكانة في القدرة على تجميع كل المعارف التاريخية المشتتة في إطار ما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النمط المثالي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لتجميع واختيار المعلومات والمعطيات لتيسير عقلنتها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 الفيبري يبحث عن الوحدة داخل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العالم الخارجي يتمظهر في فوضى وتشتت وعدمِ نظام، فإنّ مهمة العقل هي محاولة تشكيل وتنميط هذا العالم من خلال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فيبر على خطى كانط في ما يخص تركيب العناصر وتنسيقها </w:t>
      </w:r>
    </w:p>
    <w:p>
      <w:pPr>
        <w:pStyle w:val="BookText"/>
        <w:rPr/>
      </w:pPr>
      <w:r>
        <w:rPr>
          <w:rFonts w:ascii="Amiri" w:hAnsi="Amiri" w:eastAsia="Amiri" w:cs="Amiri"/>
          <w:color w:val="111111"/>
          <w:sz w:val="28"/>
          <w:sz w:val="28"/>
          <w:szCs w:val="28"/>
          <w:rtl w:val="true"/>
          <w:lang w:bidi="ar-SA"/>
        </w:rPr>
        <w:t>وانتقائها، إذ يستند إلى مفهوم الدلالة 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الأخيرة هي الأفكار أو القيم التي يرتبط بها موضوع أو ظاهرة إنسانية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يتصور فيبر النمط المثالي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لوحة أو جدول من الأفكار إنه ليس الواقع التاريخي وليس أيضا الواقع الفعلي، بل يصلح كخطاطة يتم من خلالها تنظيم وترتيب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المثل أو النموذج الذي لا أهمية له من غير كونه تصورًا محدودًا مثاليًّا خالصًا، من خلاله نقيس الواقع لتوضيح المضمون الاختياري لبعض العناصر المهمة التي تقارنه بها</w:t>
      </w:r>
      <w:r>
        <w:rPr>
          <w:rFonts w:eastAsia="Amiri" w:cs="Amiri" w:ascii="Amiri" w:hAnsi="Amiri"/>
          <w:color w:val="111111"/>
          <w:sz w:val="28"/>
          <w:szCs w:val="28"/>
          <w:rtl w:val="true"/>
          <w:lang w:bidi="ar-SA"/>
        </w:rPr>
        <w:t>»</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أننا أمام خطاطات وقوالب ذهنية يتم الاعتماد عليها في تركيب وتأليف عناصر حديًّ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مهم داخل هذه الأداة هو عملية الانتقاء وترتيب الجوانب المهمة داخل عالم الوقائع ، أكثر من كونها صورة أو نسخةً لأي جزء من أجزاء أو عناصر هذا الواقع ويزداد الأمر أكثر وضوحًا، وتظهر الصورة الكانطية لمفهوم وحدة الوعي،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ليست غايةً ذاتها، إنها وسائل ذهنيةٌ تساعد العقل لكي يصبح سيدًا على المعطيات الطبيعية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السببية، في نظر فيبر ، ليست غايةً ، بل هى وسيلةٌ تُيَسِّرُ عملية الإسناد السببي لظاهرة في ما يخص أهميتها من الناحية الثقافية أو الدلالية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فعوض الرجوع إلى طبيعة الوضع الذي يحتله الموضوع فإن فيبر يرجع إلى بناء تمايزات وعلاقات نوعية هدفها، كما يقول، الانتقال من مستوى المعنى الظاهري إلى مجال الموضوع ذاته، بحيث تُعطى الأولوية للمقولات التي ينطلق منها الباحث في بحثه</w:t>
      </w:r>
      <w:r>
        <w:rPr>
          <w:rFonts w:eastAsia="Amiri" w:cs="Amiri" w:ascii="Amiri" w:hAnsi="Amiri"/>
          <w:color w:val="111111"/>
          <w:sz w:val="28"/>
          <w:szCs w:val="28"/>
          <w:rtl w:val="true"/>
          <w:lang w:bidi="ar-SA"/>
        </w:rPr>
        <w:t xml:space="preserve">. </w:t>
      </w:r>
      <w:bookmarkStart w:id="84" w:name="pg16300_179346"/>
    </w:p>
    <w:p>
      <w:pPr>
        <w:pStyle w:val="Heading4"/>
        <w:numPr>
          <w:ilvl w:val="3"/>
          <w:numId w:val="1"/>
        </w:numPr>
        <w:rPr/>
      </w:pPr>
      <w:bookmarkStart w:id="85" w:name="__RefHeading___Toc5377319_1280447820"/>
      <w:bookmarkStart w:id="86" w:name="_Toc29"/>
      <w:bookmarkEnd w:id="84"/>
      <w:bookmarkEnd w:id="85"/>
      <w:r>
        <w:rPr/>
        <w:t>5</w:t>
      </w:r>
      <w:r>
        <w:rPr>
          <w:rtl w:val="true"/>
        </w:rPr>
        <w:t xml:space="preserve">. </w:t>
      </w:r>
      <w:r>
        <w:rPr>
          <w:rtl w:val="true"/>
        </w:rPr>
        <w:t>يونس كون</w:t>
      </w:r>
      <w:bookmarkEnd w:id="86"/>
    </w:p>
    <w:p>
      <w:pPr>
        <w:pStyle w:val="BookText"/>
        <w:rPr/>
      </w:pPr>
      <w:r>
        <w:rPr>
          <w:rFonts w:eastAsia="Times New Roman" w:cs="Times New Roman" w:ascii="Times New Roman" w:hAnsi="Times New Roman"/>
          <w:color w:val="111111"/>
          <w:sz w:val="28"/>
          <w:szCs w:val="28"/>
          <w:lang w:val="en-US" w:bidi="en-US"/>
        </w:rPr>
        <w:t>Jonas Cohn</w:t>
      </w:r>
    </w:p>
    <w:p>
      <w:pPr>
        <w:pStyle w:val="BookText"/>
        <w:rPr/>
      </w:pPr>
      <w:r>
        <w:rPr>
          <w:rFonts w:ascii="Amiri" w:hAnsi="Amiri" w:eastAsia="Amiri" w:cs="Amiri"/>
          <w:color w:val="111111"/>
          <w:sz w:val="28"/>
          <w:sz w:val="28"/>
          <w:szCs w:val="28"/>
          <w:rtl w:val="true"/>
          <w:lang w:bidi="ar-SA"/>
        </w:rPr>
        <w:t xml:space="preserve">درس 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من جامعة لايبتزيغ هايدلبيرغ وبرلين وتخرج من هذه الأخيرة عام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تخصص علم النباتات غادر العلوم الطبيعية إلى العلوم الإنسانية وحصل على درجة الأستاذية عام </w:t>
      </w: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الفلسفة والسيكولوجيا والبيداغوجيا بجامعة فرايبورغ، وكان فيندلباند هو المشرف على بحث أستاذيته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اشتغل بين </w:t>
      </w: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كأستاذ بجامعة فرايبورغ، حيث عمل بمعهد السيكولوجيا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وتجدر الإشارة إلى أنه كان أستاذا مساعدا لهوسرل سنة </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أحيل على التقاعد الإجباري لأسباب ،عنصرية، وكان هايدغر حينها هو عميد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وهاجر إلى أنجلترا عام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 xml:space="preserve">، حيث توفي عام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 مُخلَّفا مجموعةً من المؤلفات المهمة</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Experimentelle Untersuchungen über die Gefühlsbetonung der Farben, Helligkeiten und ihrer Kombinationen. Philosophische Studien Bd. X, 1894, S. 562-603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Die Gefühlswirkung der Begriffe. Philosophische Studien, Bd. 12, Leipzig 1896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Geschichte des Unendlichkeitsproblems im abendländischen Denken bis Kant. Leipzig 1896. Unveränderter fotomechanischer Nachdruck</w:t>
      </w:r>
    </w:p>
    <w:p>
      <w:pPr>
        <w:pStyle w:val="BookText"/>
        <w:rPr/>
      </w:pPr>
      <w:r>
        <w:rPr>
          <w:rFonts w:eastAsia="Times New Roman" w:cs="Times New Roman" w:ascii="Times New Roman" w:hAnsi="Times New Roman"/>
          <w:color w:val="111111"/>
          <w:sz w:val="28"/>
          <w:szCs w:val="28"/>
          <w:lang w:val="en-US" w:bidi="en-US"/>
        </w:rPr>
        <w:t>Darmstadt: WBG 1960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Experimentelle Untersuchungen über das Zusammenwirken des akustisch-motorischen und des visuellen Gedächtnisses. 1897. 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Zeitschrift für Psychologie und Physiologie der Sinnesorgane 15: 161183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Allgemeine Ästhetik. Leipzig: Engelmann 1901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Voraussetzungen und Ziele des Erkennens. Untersuchungen über die Grundfragen der Logik. Leipzig .1908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Der Sinn der gegenwärtigen Kultur. Ein philosophischer Versuch. Leipzig: Meiner 1914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Geist der Erziehung. Pädagogik auf philosophischer Grundlage. Leipzig Teubner 1919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Erziehung zu sozialer Gesinnung. Langensalza: Beyer &amp; Söhne 1920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Theorie der Dialektik. Formenlehre der Philosophie. Leipzig: Meiner 1923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Befreien und Binden. Zeitfragen der Erziehung überzeitlich betrachtet. Leipzig: Quelle &amp; Meyer 1926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Wertwissenschaft. Stuttgart 1932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Vom Sinn der Erziehung: ausgewählte Texte. Besorgt von Dieter-Jürgen Löwisch. Schöningh, Paderborn 1970</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 كون الكانطية الجديدة بالطريقة نفسها التي مثلها فيندلباند وريكرت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الفلسفة الكانطية فى فرضياته المعرفية النقدية، لكنه اعتبر الشكلانية الأخلاقية الكانطية كأساس للإستيطيقا والأخلاق والبيداغوجيا غير 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مقابل ذلك طوّر نوعًا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التعاليم الأخلاقية الدياليكتيكية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خلاف دياليكتيك هيغل، فإن دياليكتيك كون كان مفتوحًا، بمعنى أنه يتطور باستمرار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وطبقا لهذا كان يرى بأن السلوك الإنساني محدَّد بالمعيشات والتجربة وبـ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الإنتاج الذاتي للوعي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المعياري وللتذكير فإنّ الوعي كان مرسخًا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المثالية المتعالية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السابق</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اشتغل من بين ما اشتغل عليه في الفلسفة على المفاهيم على اعتبار أنّ هذا الموضوع كان من الأهمية بمكان في الفلسفة، وبالخصوص في فلسفة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وغالبًا ما يتعلق الأمر في المفاهيم بتصوّر مرتبط بالتحديد الدقيق لمضمونه باسم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وينطلق المرء عادةً من الاعتقاد بأن الأمر يتعلق ببناء منطقي لهذا المفهوم أو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كُون انطلق من مُسلَّمة تتمثل في كون الفلاسفة، وككل البشر الآخرين، يشتغلون أيضا بدون منطق؛ بمعنى أنهم يربطون المفاهيم </w:t>
      </w:r>
      <w:bookmarkStart w:id="87" w:name="pg16300_179348"/>
    </w:p>
    <w:p>
      <w:pPr>
        <w:pStyle w:val="BookText"/>
        <w:rPr/>
      </w:pPr>
      <w:bookmarkEnd w:id="87"/>
      <w:r>
        <w:rPr>
          <w:rFonts w:ascii="Amiri" w:hAnsi="Amiri" w:eastAsia="Amiri" w:cs="Amiri"/>
          <w:color w:val="111111"/>
          <w:sz w:val="28"/>
          <w:sz w:val="28"/>
          <w:szCs w:val="28"/>
          <w:rtl w:val="true"/>
          <w:lang w:bidi="ar-SA"/>
        </w:rPr>
        <w:t>بتجارب أو مشاعر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وينتج عن هذا بالنسبة للفلسفة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الاسم الذي يمثل المصطلح يُربط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بالكثير من التصورات الجانبية التي يصعب مراقبتها، ونتيجة هذا هو أنه يكتسب علاقةً بالحياة العاطفية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على قيمة عاطفية، دون أن يُقدّم للمفكر وعيًا واضحا، ولكن له نتائجُ جد مهمة في تفكيره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 هذا الوضع مهمة العرض الواضح للمبادئ القيمية السائدة ملحةً بالنسبة لكلَّ فلسفة مستقبلية</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Jonas Cohn: Die Gefühlswirkung der Begriffe: ein Beitrag zur psychologischen Erfassung der Geschichte der Philosophie. Phil. Stud. XII. S. 297-306. 1896'. Zeitschrift für Psychologie und Physiologie der Sinnesorgane, 12, Leipzig 1896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وتلعب الصيرورات الدياليكتية هنا دورًا مهماً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الهدف الأسمى الذي كان كُون يتوخاه كان يتمثل في ضمان تربية وتكوين مَدْرَسِيِّ للأطفال يُخوّل لهم استقلاليتهم في سن الرشد</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5377321_1280447820"/>
      <w:bookmarkStart w:id="89" w:name="_Toc30"/>
      <w:bookmarkEnd w:id="88"/>
      <w:r>
        <w:rPr/>
        <w:t>6</w:t>
      </w:r>
      <w:r>
        <w:rPr>
          <w:rtl w:val="true"/>
        </w:rPr>
        <w:t xml:space="preserve">. </w:t>
      </w:r>
      <w:r>
        <w:rPr>
          <w:rtl w:val="true"/>
        </w:rPr>
        <w:t>إيميل لاسك</w:t>
      </w:r>
      <w:bookmarkEnd w:id="89"/>
    </w:p>
    <w:p>
      <w:pPr>
        <w:pStyle w:val="BookText"/>
        <w:rPr/>
      </w:pPr>
      <w:r>
        <w:rPr>
          <w:rFonts w:eastAsia="Times New Roman" w:cs="Times New Roman" w:ascii="Times New Roman" w:hAnsi="Times New Roman"/>
          <w:color w:val="111111"/>
          <w:sz w:val="28"/>
          <w:szCs w:val="28"/>
          <w:lang w:val="en-US" w:bidi="en-US"/>
        </w:rPr>
        <w:t>Emil Lask</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 لاسك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دراسته الجامعية عام </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بجامعة فرايبورغ في القانون، لكنه سرعان ما غيّر إلى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تتلمذ على يد كل من ريكرت وريهل </w:t>
      </w:r>
      <w:r>
        <w:rPr>
          <w:rFonts w:eastAsia="Times New Roman" w:cs="Times New Roman" w:ascii="Times New Roman" w:hAnsi="Times New Roman"/>
          <w:color w:val="111111"/>
          <w:sz w:val="28"/>
          <w:szCs w:val="28"/>
          <w:lang w:val="en-US" w:bidi="en-US"/>
        </w:rPr>
        <w:t>Rihl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وماكس فيبر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 إلى جامعة ستراسبورغ عام </w:t>
      </w: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فيندلباند أستاذا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إلى جامعة فرايبورغ من جديد عام </w:t>
      </w:r>
      <w:r>
        <w:rPr>
          <w:rFonts w:eastAsia="Amiri" w:cs="Amiri" w:ascii="Amiri" w:hAnsi="Amiri"/>
          <w:color w:val="111111"/>
          <w:sz w:val="28"/>
          <w:szCs w:val="28"/>
          <w:lang w:bidi="ar-SA"/>
        </w:rPr>
        <w:t>1891</w:t>
      </w:r>
      <w:r>
        <w:rPr>
          <w:rFonts w:ascii="Amiri" w:hAnsi="Amiri" w:eastAsia="Amiri" w:cs="Amiri"/>
          <w:color w:val="111111"/>
          <w:sz w:val="28"/>
          <w:sz w:val="28"/>
          <w:szCs w:val="28"/>
          <w:rtl w:val="true"/>
          <w:lang w:bidi="ar-SA"/>
        </w:rPr>
        <w:t xml:space="preserve">، وحصل على الدكتوراه بهذه الجامعة عام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بأطروحة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ميثالية فيختيه والتاريخ تحت إشراف ريكرت اهتم بين عام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بمناهج فقه القانون الوضعي وإشكاليات فلسفة القانون وقانون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الوقت تعرف على غيورغ سيمل </w:t>
      </w:r>
      <w:r>
        <w:rPr>
          <w:rFonts w:eastAsia="Times New Roman" w:cs="Times New Roman" w:ascii="Times New Roman" w:hAnsi="Times New Roman"/>
          <w:color w:val="111111"/>
          <w:sz w:val="28"/>
          <w:szCs w:val="28"/>
          <w:lang w:val="en-US" w:bidi="en-US"/>
        </w:rPr>
        <w:t>Georg Simmel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w:t>
      </w:r>
    </w:p>
    <w:p>
      <w:pPr>
        <w:pStyle w:val="BookText"/>
        <w:rPr/>
      </w:pPr>
      <w:r>
        <w:rPr>
          <w:rFonts w:ascii="Amiri" w:hAnsi="Amiri" w:eastAsia="Amiri" w:cs="Amiri"/>
          <w:color w:val="111111"/>
          <w:sz w:val="28"/>
          <w:sz w:val="28"/>
          <w:szCs w:val="28"/>
          <w:rtl w:val="true"/>
          <w:lang w:bidi="ar-SA"/>
        </w:rPr>
        <w:t>على الأستاذية بجامعة هايدلبيرغ تحت إشراف فيندلباند، ودرس في هذه الجامعة بجانب أستاذه فيندلباند ، هذا، قبل أن يشغل كرسي كونو فيشر بعد تقاعده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 لاسك في عالم الكانطية الجديدة في حلتها البادينية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بادن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علاقات صداقته، حيث كانت تربطه علاقة صداقة متينةً مع كلّ من ماكس فيبر وزوجته ماريانا وغوستاف ابرو </w:t>
      </w:r>
      <w:r>
        <w:rPr>
          <w:rFonts w:eastAsia="Times New Roman" w:cs="Times New Roman" w:ascii="Times New Roman" w:hAnsi="Times New Roman"/>
          <w:color w:val="111111"/>
          <w:sz w:val="28"/>
          <w:szCs w:val="28"/>
          <w:lang w:val="en-US" w:bidi="en-US"/>
        </w:rPr>
        <w:t>Gustav Radbruch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وبطبيعة الحال مع ريكرت وزوجته صوفيا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تلك الحقبة أيضا عكف على مؤلَّفَيْه الرئيسيين منطق الفلسفة وتعاليم الأصناف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تعاليم الحكم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لاسك في ساحة الحرب أثناء الحرب العالمية الأولى عام </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انطلاقا من اهتمامه بفلسفة الأخلاق عند ريكرت استفاد فكر لاسك أيضا من اقتراحات مهمة من فينومينولوجيا هوسرل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وطور موقفًا فلسفيًّا خاصا به عبّر فيه عن معارضته لريكرت الذي قال بأسبقية الأخلاق في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لاسك ببناء نسقه الفلسفي بتعاليم الأصناف في الكتابين السالفي الذكر</w:t>
      </w:r>
      <w:r>
        <w:rPr>
          <w:rStyle w:val="FootnoteAnchor"/>
          <w:rtl w:val="true"/>
        </w:rPr>
        <w:footnoteReference w:id="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Fichtes Idealismus und die Geschichte. J. C. B. Mohr (Paul Siebeck), Tübingen und Leipzig 1902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Rechtsphilosophie. Carl Winter's Universitätsbuchhandlung, Heidelberg 1905. Separatabdruck aus: Die Philosophie am Beginn des 20. Jahrhunderts. Festschrift für Kuno Fischer. 2. Band. Carl Winter's Universitätsbuchhandlung, Heidelberg 1905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Die Logik der Philosophie und die Kategorienlehre. Eine Studie über den Herrschaftsbereich der logischen Form. J. C. B. Mohr (Paul Siebeck), Tübingen 1911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Die Lehre vom Urteil. J. C. B. Mohr (Paul Siebeck), Tübingen 1912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وشبه طوماس رينتش</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90" w:name="pg16300_179350"/>
    </w:p>
    <w:p>
      <w:pPr>
        <w:pStyle w:val="BookText"/>
        <w:rPr/>
      </w:pPr>
      <w:bookmarkEnd w:id="90"/>
      <w:r>
        <w:rPr>
          <w:rFonts w:eastAsia="Times New Roman" w:cs="Times New Roman" w:ascii="Times New Roman" w:hAnsi="Times New Roman"/>
          <w:color w:val="111111"/>
          <w:sz w:val="28"/>
          <w:szCs w:val="28"/>
          <w:lang w:val="en-US" w:bidi="en-US"/>
        </w:rPr>
        <w:t>Thomas Rentsch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اشتغال لاسك على المنطق بفيتغنشطاين في كتابه الشهير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Tractatus-logico-philosophicus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أثر لاسك في جورج لوكاش </w:t>
      </w:r>
      <w:r>
        <w:rPr>
          <w:rFonts w:eastAsia="Times New Roman" w:cs="Times New Roman" w:ascii="Times New Roman" w:hAnsi="Times New Roman"/>
          <w:color w:val="111111"/>
          <w:sz w:val="28"/>
          <w:szCs w:val="28"/>
          <w:lang w:val="en-US" w:bidi="en-US"/>
        </w:rPr>
        <w:t>Georg Luckacs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بنقده الراديكالي لتاريخ الفلسفة وهايدغر في شبابه واعتمد غوستاف رادبروخ عليه في أسس فلسفته في القانون بصورة واضحة وكان تلميذه أوغين هيريغل </w:t>
      </w:r>
      <w:r>
        <w:rPr>
          <w:rFonts w:eastAsia="Times New Roman" w:cs="Times New Roman" w:ascii="Times New Roman" w:hAnsi="Times New Roman"/>
          <w:color w:val="111111"/>
          <w:sz w:val="28"/>
          <w:szCs w:val="28"/>
          <w:lang w:val="en-US" w:bidi="en-US"/>
        </w:rPr>
        <w:t>Eugen Herrigel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الذي تكلف بعد موته بنشر أعماله الكاملة</w:t>
      </w:r>
      <w:r>
        <w:rPr>
          <w:rStyle w:val="FootnoteAnchor"/>
          <w:rtl w:val="true"/>
        </w:rPr>
        <w:footnoteReference w:id="43"/>
      </w:r>
      <w:r>
        <w:rPr>
          <w:rFonts w:ascii="Amiri" w:hAnsi="Amiri" w:eastAsia="Amiri" w:cs="Amiri"/>
          <w:color w:val="111111"/>
          <w:sz w:val="28"/>
          <w:sz w:val="28"/>
          <w:szCs w:val="28"/>
          <w:rtl w:val="true"/>
          <w:lang w:bidi="ar-SA"/>
        </w:rPr>
        <w:t>، سببًا في شهرة لاسك في اليابان</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5377323_1280447820"/>
      <w:bookmarkStart w:id="92" w:name="_Toc31"/>
      <w:bookmarkEnd w:id="91"/>
      <w:r>
        <w:rPr/>
        <w:t>7</w:t>
      </w:r>
      <w:r>
        <w:rPr>
          <w:rtl w:val="true"/>
        </w:rPr>
        <w:t xml:space="preserve">. </w:t>
      </w:r>
      <w:r>
        <w:rPr>
          <w:rtl w:val="true"/>
        </w:rPr>
        <w:t>برونو باخ</w:t>
      </w:r>
      <w:bookmarkEnd w:id="92"/>
    </w:p>
    <w:p>
      <w:pPr>
        <w:pStyle w:val="BookText"/>
        <w:rPr/>
      </w:pPr>
      <w:r>
        <w:rPr>
          <w:rFonts w:eastAsia="Times New Roman" w:cs="Times New Roman" w:ascii="Times New Roman" w:hAnsi="Times New Roman"/>
          <w:color w:val="111111"/>
          <w:sz w:val="28"/>
          <w:szCs w:val="28"/>
          <w:lang w:val="en-US" w:bidi="en-US"/>
        </w:rPr>
        <w:t>Bruno Bach</w:t>
      </w:r>
    </w:p>
    <w:p>
      <w:pPr>
        <w:pStyle w:val="BookText"/>
        <w:rPr/>
      </w:pPr>
      <w:r>
        <w:rPr>
          <w:rFonts w:ascii="Amiri" w:hAnsi="Amiri" w:eastAsia="Amiri" w:cs="Amiri"/>
          <w:color w:val="111111"/>
          <w:sz w:val="28"/>
          <w:sz w:val="28"/>
          <w:szCs w:val="28"/>
          <w:rtl w:val="true"/>
          <w:lang w:bidi="ar-SA"/>
        </w:rPr>
        <w:t xml:space="preserve">بدأ برونو باوخ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دراسته بجامعة فرايبورغ في الفلسفة والرياضيات والعلوم الطبيعية تتلمذ على يد ريكرت، ثم انتقل إلى جامعة ستراسبورغ حيث درس على يد فيندلباند، ثم رحل لإكمال دراسته بجامعة هايدلبيرغ، قبل أن يعود في نهاية الأمر عام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جامعة فرايبورغ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حصل على شهادة الدكتوراه سنة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برسالة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النعيم والشخصية في الأخلاق النقدية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السنة نفسها انتقل إلى برلين، حيث اهتم إلى جانب الأخلاق وفلسفة الدين الكانطية بلوثر </w:t>
      </w:r>
      <w:r>
        <w:rPr>
          <w:rFonts w:eastAsia="Times New Roman" w:cs="Times New Roman" w:ascii="Times New Roman" w:hAnsi="Times New Roman"/>
          <w:color w:val="111111"/>
          <w:sz w:val="28"/>
          <w:szCs w:val="28"/>
          <w:lang w:val="en-US" w:bidi="en-US"/>
        </w:rPr>
        <w:t>Luther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وألف نتيجة اهتمامه هذا نصًا تحت عنوان لوثر وكانط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سببًا في عرض هانس فايهنجر </w:t>
      </w:r>
      <w:r>
        <w:rPr>
          <w:rFonts w:eastAsia="Times New Roman" w:cs="Times New Roman" w:ascii="Times New Roman" w:hAnsi="Times New Roman"/>
          <w:color w:val="111111"/>
          <w:sz w:val="28"/>
          <w:szCs w:val="28"/>
          <w:lang w:val="en-US" w:bidi="en-US"/>
        </w:rPr>
        <w:t>Vaihinger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عليه الانضمام إلى مجلة الدراسات الكانطية، التي كان يديرها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 التدريس الجامعي بجامعة هالي </w:t>
      </w:r>
      <w:r>
        <w:rPr>
          <w:rFonts w:eastAsia="Times New Roman" w:cs="Times New Roman" w:ascii="Times New Roman" w:hAnsi="Times New Roman"/>
          <w:color w:val="111111"/>
          <w:sz w:val="28"/>
          <w:szCs w:val="28"/>
          <w:lang w:val="en-US" w:bidi="en-US"/>
        </w:rPr>
        <w:t>Halle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1903</w:t>
      </w:r>
      <w:r>
        <w:rPr>
          <w:rFonts w:ascii="Amiri" w:hAnsi="Amiri" w:eastAsia="Amiri" w:cs="Amiri"/>
          <w:color w:val="111111"/>
          <w:sz w:val="28"/>
          <w:sz w:val="28"/>
          <w:szCs w:val="28"/>
          <w:rtl w:val="true"/>
          <w:lang w:bidi="ar-SA"/>
        </w:rPr>
        <w:t xml:space="preserve">، وركز </w:t>
      </w:r>
    </w:p>
    <w:p>
      <w:pPr>
        <w:pStyle w:val="BookText"/>
        <w:rPr/>
      </w:pPr>
      <w:r>
        <w:rPr>
          <w:rFonts w:ascii="Amiri" w:hAnsi="Amiri" w:eastAsia="Amiri" w:cs="Amiri"/>
          <w:color w:val="111111"/>
          <w:sz w:val="28"/>
          <w:sz w:val="28"/>
          <w:szCs w:val="28"/>
          <w:rtl w:val="true"/>
          <w:lang w:bidi="ar-SA"/>
        </w:rPr>
        <w:t xml:space="preserve">اهتمامه الفكري على تقديم تعاليم ،كانط وكانت النتيجة نصه إيمانويل كانط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على درجة الأستاذية عام </w:t>
      </w:r>
      <w:r>
        <w:rPr>
          <w:rFonts w:eastAsia="Amiri" w:cs="Amiri" w:ascii="Amiri" w:hAnsi="Amiri"/>
          <w:color w:val="111111"/>
          <w:sz w:val="28"/>
          <w:szCs w:val="28"/>
          <w:lang w:bidi="ar-SA"/>
        </w:rPr>
        <w:t>1910</w:t>
      </w:r>
      <w:r>
        <w:rPr>
          <w:rFonts w:ascii="Amiri" w:hAnsi="Amiri" w:eastAsia="Amiri" w:cs="Amiri"/>
          <w:color w:val="111111"/>
          <w:sz w:val="28"/>
          <w:sz w:val="28"/>
          <w:szCs w:val="28"/>
          <w:rtl w:val="true"/>
          <w:lang w:bidi="ar-SA"/>
        </w:rPr>
        <w:t xml:space="preserve">، وعوض أوطو ليبمان بجامعة بينا </w:t>
      </w:r>
      <w:r>
        <w:rPr>
          <w:rFonts w:eastAsia="Times New Roman" w:cs="Times New Roman" w:ascii="Times New Roman" w:hAnsi="Times New Roman"/>
          <w:color w:val="111111"/>
          <w:sz w:val="28"/>
          <w:szCs w:val="28"/>
          <w:lang w:val="en-US" w:bidi="en-US"/>
        </w:rPr>
        <w:t>Jena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بين من تتلمذ على يده ، بل أشرف على رسالة أطروحته كان هناك بالخصوص رودول كارناب </w:t>
      </w:r>
      <w:r>
        <w:rPr>
          <w:rFonts w:eastAsia="Times New Roman" w:cs="Times New Roman" w:ascii="Times New Roman" w:hAnsi="Times New Roman"/>
          <w:color w:val="111111"/>
          <w:sz w:val="28"/>
          <w:szCs w:val="28"/>
          <w:lang w:val="en-US" w:bidi="en-US"/>
        </w:rPr>
        <w:t>Rudolf Carnap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أحد مؤسسي دائرة فيينا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سياسيا لم يكن باوخ يُخفي ميولاته العدائية ضد اليهود وكان من بین الأساتذة الجامعيين الذين وقعوا تضمانا لكي يتقدم هيتلر إلى الانتخابات، بعدها تقلب في مناصب مختلفة إبان حكم هيتلر لألمانيا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يعد باوخ بصفة عامة من أقطاب الكانطية الجديدة في جناحها الباديني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أثر فيه أستاذاه فيندلباند وريكرت أيما تأثير في هذا الميدان ، ولم يكن تأثير ليبمان أقل أهميةً، وهو الذي خلفه كما سبق الذكر في جامعة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أنا ريهل </w:t>
      </w:r>
      <w:r>
        <w:rPr>
          <w:rFonts w:eastAsia="Times New Roman" w:cs="Times New Roman" w:ascii="Times New Roman" w:hAnsi="Times New Roman"/>
          <w:color w:val="111111"/>
          <w:sz w:val="28"/>
          <w:szCs w:val="28"/>
          <w:lang w:val="en-US" w:bidi="en-US"/>
        </w:rPr>
        <w:t>Riehl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وفايهنغر </w:t>
      </w:r>
      <w:r>
        <w:rPr>
          <w:rFonts w:eastAsia="Times New Roman" w:cs="Times New Roman" w:ascii="Times New Roman" w:hAnsi="Times New Roman"/>
          <w:color w:val="111111"/>
          <w:sz w:val="28"/>
          <w:szCs w:val="28"/>
          <w:lang w:val="en-US" w:bidi="en-US"/>
        </w:rPr>
        <w:t>Vaihinger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اللذين كانا يديران 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كانطية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كانا يعتبرانه تابعًا فكريًا لكانط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للإشارة فقد تأثر باوخ أيضا بغوتلوب فريجي </w:t>
      </w:r>
      <w:r>
        <w:rPr>
          <w:rFonts w:eastAsia="Times New Roman" w:cs="Times New Roman" w:ascii="Times New Roman" w:hAnsi="Times New Roman"/>
          <w:color w:val="111111"/>
          <w:sz w:val="28"/>
          <w:szCs w:val="28"/>
          <w:lang w:val="en-US" w:bidi="en-US"/>
        </w:rPr>
        <w:t>Gottlob Frege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بينا فيما يخص البرهنة المنطقية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أكثر من هذا كان برونو باوخ يقدّم نفسه ككانطي جديد، دون أن يعني هذا بأنه كان تابعًا له بطريقة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حاول أن يجد أفكارًا جديدةً بنقد كانط في الأماكن التي لم يحسم فيها في نسقه 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الإطار عكف على دراسة الضرورة القطعية الكانطية، ونبه إلى أن هذه الضرورة لا يمكن أن تُعتبر مبدأ للسلوك الأخلاقي الحقيقي، وكان يرى أن حلَّ هذا الإشكال هو أهم وظيفة للأخلاق في زمانه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تنطلق الفلسفة الأخلاقية التي تمثلها مدرسة بادن من مسلمة تتلخص في كون كل ما هو مشروط بالطبيعة، يعني يمكن شرحه طبقًا لقوانين طبيعية، لا تكون له قيمةٌ ، ولا يمكن أن تقوم القيم إلا مع الثقافة التاريخية، التي يجب أن تُعتبر قيمةً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 باوخ فهمه للأخلاق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الحقيقة القيمة، والواقع</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Wahrheit Wert und Wirklichkeit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وطبقا لفهمه هذا من اللازم تلخيص هذه المفاهيم الثلاثة في إشكالية كُلية، لأنها تُشكل وحدةً إشكاليةً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وتحدد الحقيقة في نظره العلاقة بين الواقع والقيمة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معرفة هي في الوقت نفسه معرفة للحقيقة ومعرفة للمواضيع الأشياء، وبهذا فإنّ معرفة الوقائع الحقيقية تكون مرتبطة دائماً بمعرفة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للحقيقة والواقع القيام باستقلال عن بعضهما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يشرح باوخ قيمة الحقيقة في علاقتها بالحياة البيولوجية كأداة لمعرفة طريقة التوجه في الوجود، يعني كشرط للمشاركة في الحياة الثقافية في المقام الأول ذلك أن باوخ يؤوّل الإشكالية النقدية المركزية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تساؤلات كانط حول شروط إمكانيات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بالرجوع إلى الطبيعة أو إلى الروح، بل بالرجوع إلى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المعرفة النهائية بالنسبة له لا تكون ممكنة إلا بملكة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فإن المعارف العلمية تُشرح عنده كمعارف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خالصة وكمضمون محوري للثقافة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الرغم من أن باوخ يتمم برنامج الفلسفة الثقافية الذي بدأه أساتذته، فإنه في الوقت نفسه يتموقع بأطروحات أساسية ضد الموقف الكانطي الجديد لكل من فيندلباند وريكرت ولاسك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الواقع طبقًا له، لا يمكن أن يُفهم كمهمة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لأنه يرى بأن </w:t>
      </w:r>
      <w:bookmarkStart w:id="93" w:name="pg16300_179353"/>
    </w:p>
    <w:p>
      <w:pPr>
        <w:pStyle w:val="BookText"/>
        <w:rPr/>
      </w:pPr>
      <w:bookmarkEnd w:id="93"/>
      <w:r>
        <w:rPr>
          <w:rFonts w:ascii="Amiri" w:hAnsi="Amiri" w:eastAsia="Amiri" w:cs="Amiri"/>
          <w:color w:val="111111"/>
          <w:sz w:val="28"/>
          <w:sz w:val="28"/>
          <w:szCs w:val="28"/>
          <w:rtl w:val="true"/>
          <w:lang w:bidi="ar-SA"/>
        </w:rPr>
        <w:t>ذلك لا معنى له، لأنه يكون واقيًا كواقع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إذا لم يفهم المرء الواقع كرسالة، فليس لهذه الأخيرة أي قيمة، كالحقيقة مثلاً أو الجميل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فإن قيمة الواقع تكمن بصفة حصرية في المعرفة الحقيقية فقط، في السلوك الأخلاقي الفعلي وفي الفن الحق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بالضبط يلمس اهتمامه السياسي، وبالخصوص سياسة التكوين والتربية </w:t>
      </w:r>
      <w:r>
        <w:rPr>
          <w:rStyle w:val="FootnoteAnchor"/>
          <w:rtl w:val="true"/>
        </w:rPr>
        <w:footnoteReference w:id="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Glückseligkeit und Persönlichkeit in der kritischen Ethik, Stuttgart: Frommann 1902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Luther und Kant, Berlin: Reuther &amp; Reichard 1904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Geschichte der neueren Philosophie bis Kant, Berlin und Leipzig: J. G. Göschen 1908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Immanuel Kant (Sammlung Göschen), Berlin und Leipzig: Göschen 1911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Studien zur Philosophie der exakten Wissenschaften, Heidelberg: Carl Winter 1911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Vom Begriff der Nation, Berlin: Reuther &amp; Reichard 1916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Fichte und der deutsche Gedanke, Hamburg: Dt.-Nat. Verlags-Anstalt 1917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Jena und die Philosophie des deutschen Idealismus, Jena: G. Fischer 1922 Wahrheit, Wert und Wirklichkeit, Leipzig: F. Meiner 1923 - Philosophie des Lebens und Philosophie der Werte, Langensalza: Beyer</w:t>
      </w:r>
      <w:r>
        <w:rPr>
          <w:rFonts w:eastAsia="Times New Roman" w:cs="Times New Roman" w:ascii="Times New Roman" w:hAnsi="Times New Roman"/>
          <w:color w:val="111111"/>
          <w:sz w:val="28"/>
          <w:szCs w:val="28"/>
          <w:rtl w:val="true"/>
          <w:lang w:val="en-US" w:bidi="en-US"/>
        </w:rPr>
        <w:t>&amp;</w:t>
      </w:r>
    </w:p>
    <w:p>
      <w:pPr>
        <w:pStyle w:val="BookText"/>
        <w:rPr/>
      </w:pPr>
      <w:r>
        <w:rPr>
          <w:rFonts w:eastAsia="Times New Roman" w:cs="Times New Roman" w:ascii="Times New Roman" w:hAnsi="Times New Roman"/>
          <w:color w:val="111111"/>
          <w:sz w:val="28"/>
          <w:szCs w:val="28"/>
          <w:lang w:val="en-US" w:bidi="en-US"/>
        </w:rPr>
        <w:t>Söhne 1927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Die erzieherische Bedeutung der Kulturgüter, Leipzig: Quelle &amp; Meyer 1929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Grundzüge der Ethik, Stuttgart: Kohlhammer 1935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 w:name="__RefHeading___Toc5377325_1280447820"/>
      <w:bookmarkStart w:id="95" w:name="_Toc32"/>
      <w:bookmarkEnd w:id="94"/>
      <w:r>
        <w:rPr/>
        <w:t>8</w:t>
      </w:r>
      <w:r>
        <w:rPr>
          <w:rtl w:val="true"/>
        </w:rPr>
        <w:t xml:space="preserve">. </w:t>
      </w:r>
      <w:r>
        <w:rPr>
          <w:rtl w:val="true"/>
        </w:rPr>
        <w:t>غوستاف لامبيرت را بروخ</w:t>
      </w:r>
      <w:bookmarkEnd w:id="95"/>
    </w:p>
    <w:p>
      <w:pPr>
        <w:pStyle w:val="BookText"/>
        <w:rPr/>
      </w:pPr>
      <w:r>
        <w:rPr>
          <w:rFonts w:eastAsia="Times New Roman" w:cs="Times New Roman" w:ascii="Times New Roman" w:hAnsi="Times New Roman"/>
          <w:color w:val="111111"/>
          <w:sz w:val="28"/>
          <w:szCs w:val="28"/>
          <w:lang w:val="en-US" w:bidi="en-US"/>
        </w:rPr>
        <w:t>Gustav Lambert Radbruch</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دَرَسَ رادبروخ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العلوم القانونية بميونيخ، ومنها انتقل إلى جامعة لايبتزيغ ثم برلين حصل عام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الدكتوراه في القانون، بعدها رحل إلى جامعة هيدلبيرغ من جديد حيث حصل </w:t>
      </w:r>
    </w:p>
    <w:p>
      <w:pPr>
        <w:pStyle w:val="BookText"/>
        <w:rPr/>
      </w:pPr>
      <w:r>
        <w:rPr>
          <w:rFonts w:ascii="Amiri" w:hAnsi="Amiri" w:eastAsia="Amiri" w:cs="Amiri"/>
          <w:color w:val="111111"/>
          <w:sz w:val="28"/>
          <w:sz w:val="28"/>
          <w:szCs w:val="28"/>
          <w:rtl w:val="true"/>
          <w:lang w:bidi="ar-SA"/>
        </w:rPr>
        <w:t xml:space="preserve">على درجة الأستاذية، وبدأ التدريس بهذه الجامعة عام </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على ماكس فيبر وعن طريقه احتكّ بالكانطية الجديدة، وتعزز هذا الاحتكاك بتعرفه على إيميل لاسك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غادر إلى جامعة كيل عام </w:t>
      </w:r>
      <w:r>
        <w:rPr>
          <w:rFonts w:eastAsia="Amiri" w:cs="Amiri" w:ascii="Amiri" w:hAnsi="Amiri"/>
          <w:color w:val="111111"/>
          <w:sz w:val="28"/>
          <w:szCs w:val="28"/>
          <w:lang w:bidi="ar-SA"/>
        </w:rPr>
        <w:t>1919</w:t>
      </w:r>
      <w:r>
        <w:rPr>
          <w:rFonts w:ascii="Amiri" w:hAnsi="Amiri" w:eastAsia="Amiri" w:cs="Amiri"/>
          <w:color w:val="111111"/>
          <w:sz w:val="28"/>
          <w:sz w:val="28"/>
          <w:szCs w:val="28"/>
          <w:rtl w:val="true"/>
          <w:lang w:bidi="ar-SA"/>
        </w:rPr>
        <w:t xml:space="preserve">، حيث بقي إلى عام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انضم إلى الحزب الإشتراكي الديمقراطي الألماني وأصبح عام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نائبا برلمانيا، وقبل ذلك وزيرًا للعدل بين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 من بعد ذلك الاستوزار وتفرّغ للتركيز على عمله الأكاديمي، حيث التحق مجددًا بجامعة هايدلبيرغ للتدريس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من التعليم عام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وصول النازية للحكم في ألمانيا، وعكف في ذلك الوقت على دراسة فلسفة القانون لم يُسمح له بالهجرة من طرف النازيين، حتى وإن سمح له بين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بالذهاب للبحث العلمي في أكسفورد بأنجلترا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مباشرةً بعد الحرب العالمية الثانية، استأنف رادبروخ التدريس بجامعة هايدلبيرغ كرئيس للجامعة وأعاد بناء كلية الحقوق، على الرغم من حالته الصحية التي لم تكن على ما يرام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أغنى الخزانة الألمانية بنصوص مهمة في القانون،</w:t>
      </w:r>
      <w:r>
        <w:rPr>
          <w:rStyle w:val="FootnoteAnchor"/>
          <w:rtl w:val="true"/>
        </w:rPr>
        <w:footnoteReference w:id="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Rechtsphilosophie, Studienausgabe, herausgegeben von Ralf Dreier und Stanley L. Paulson, C. F. Müller, 2. Aufl., Heidelberg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Gesamtausgabe in 20 Bänden. Hrsg. von Arthur Kaufmann, Bd. 1: Rechtsphilosophie I, bearb. von A. Kaufmann, Heidelberg 1987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Einführung in die Rechtswissenschaft. Leipzig 1910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Gesetzliches Unrecht und übergesetzliches Recht, in: SJZ 1946, S. 105- 108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Paul Johann Anselm Feuerbach. Ein Juristenleben. Wien 1934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Mit Heinrich Gwinner: Geschichte des Verbrechens: Versuch einer</w:t>
      </w:r>
    </w:p>
    <w:p>
      <w:pPr>
        <w:pStyle w:val="BookText"/>
        <w:rPr/>
      </w:pPr>
      <w:r>
        <w:rPr>
          <w:rFonts w:eastAsia="Times New Roman" w:cs="Times New Roman" w:ascii="Times New Roman" w:hAnsi="Times New Roman"/>
          <w:color w:val="111111"/>
          <w:sz w:val="28"/>
          <w:szCs w:val="28"/>
          <w:lang w:val="en-US" w:bidi="en-US"/>
        </w:rPr>
        <w:t>historischen Kriminologie. Eichborn, Frankfurt am Main 1990</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وعاد للنشاط السياسي من جديد بهدف بناء اشتراكية مسيحية؛ وعكف بمعية</w:t>
      </w:r>
    </w:p>
    <w:p>
      <w:pPr>
        <w:pStyle w:val="BookText"/>
        <w:rPr/>
      </w:pPr>
      <w:r>
        <w:rPr>
          <w:rFonts w:ascii="IRNazanin" w:hAnsi="IRNazanin" w:eastAsia="IRNazanin"/>
          <w:color w:val="111111"/>
          <w:sz w:val="28"/>
          <w:sz w:val="28"/>
          <w:szCs w:val="28"/>
          <w:rtl w:val="true"/>
          <w:lang w:bidi="fa-IR"/>
        </w:rPr>
        <w:t xml:space="preserve">فیرنايل </w:t>
      </w:r>
      <w:r>
        <w:rPr>
          <w:rFonts w:eastAsia="Times New Roman" w:cs="Times New Roman" w:ascii="Times New Roman" w:hAnsi="Times New Roman"/>
          <w:color w:val="111111"/>
          <w:sz w:val="28"/>
          <w:szCs w:val="28"/>
          <w:lang w:val="en-US" w:bidi="en-US"/>
        </w:rPr>
        <w:t>Emil Vierneisel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وشتاكيلبيك </w:t>
      </w:r>
      <w:r>
        <w:rPr>
          <w:rFonts w:eastAsia="Times New Roman" w:cs="Times New Roman" w:ascii="Times New Roman" w:hAnsi="Times New Roman"/>
          <w:color w:val="111111"/>
          <w:sz w:val="28"/>
          <w:szCs w:val="28"/>
          <w:lang w:val="en-US" w:bidi="en-US"/>
        </w:rPr>
        <w:t>Hans Stakelbeck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على تحرير برنامج حزب أطلقوا عليه 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الوحدة المسيحية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الإشتراكية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وإن كان هناك بعض الشبه لهذا الحزب مع حزب الوحد المسيحية الديمقراطية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الفرق بينهما كان كبيراً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رادبروخ رجع إلى الحزب الديمقراطي الإشتراكي عام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 xml:space="preserve">، سنةً من بعد ذلك توفي في ربيعه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راد بروخ يدافع على المنهجية الثلاثية، مؤكدًا بأنه بين العلوم الطبيعية الشارحة والعلوم الفلسفية ذات التعاليم القيمية، هناك العلوم الثقافية المتعلقة بالأخلاق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وتمظهرت هذه المنهجية الثلاثية عنده في سوسيلوجيا القانون وفلسفة القانون والدوغمائية القانونية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وتتموضع هذه الأخيرة بين الأولين من حيث الموضوع وتتوجه بالقانون الوضعي كما يوجد في الواقع الاجتماعي، أما منهجيًا فإنها تعتمد على المعنى الموضوعي القاطع للقانون، ويستفيد من التأويل المتعلق بالقيم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المركزي في فلسفة القانون عند رادبروخ هي دراساته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فكرة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شرعية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ويحدد مفهوم القانون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فلسفة القانون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القانون هو الواقع في معنى خدمة العدل والنتيجة هي أنه يطبع الهوة الصنفية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الوجود والواجب ، ومن هنا اعتبار القانون كمنتوج 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وفكرة القانون هنا هي العدل ويتضمن هذا الأخير المساواة والملاءمة وضمان القانون وتتأسس معادلة رادبروخ في القانون، المعمول بها في المحاكم الألمانية إلى اليوم في الكثير من الأحكام، كالتالي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الظلم القانوني تجنب القانون المشرع</w:t>
      </w:r>
      <w:r>
        <w:rPr>
          <w:rFonts w:eastAsia="Amiri" w:cs="Amiri" w:ascii="Amiri" w:hAnsi="Amiri"/>
          <w:color w:val="111111"/>
          <w:sz w:val="28"/>
          <w:szCs w:val="28"/>
          <w:rtl w:val="true"/>
          <w:lang w:bidi="ar-SA"/>
        </w:rPr>
        <w:t xml:space="preserve">. </w:t>
      </w:r>
      <w:bookmarkStart w:id="96" w:name="pg16300_179356"/>
    </w:p>
    <w:p>
      <w:pPr>
        <w:pStyle w:val="BookText"/>
        <w:rPr/>
      </w:pPr>
      <w:bookmarkEnd w:id="96"/>
      <w:r>
        <w:rPr>
          <w:rFonts w:ascii="Amiri" w:hAnsi="Amiri" w:eastAsia="Amiri" w:cs="Amiri"/>
          <w:color w:val="111111"/>
          <w:sz w:val="28"/>
          <w:sz w:val="28"/>
          <w:szCs w:val="28"/>
          <w:rtl w:val="true"/>
          <w:lang w:bidi="ar-SA"/>
        </w:rPr>
        <w:t xml:space="preserve">ناقش المرء كثيراً مسألة ما إذا لم يكن رادبروخ قبل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أتباع القانون الوضعي قد غير موقفه الفكري في هذا الميدان في فترة حكم النازية لألمانيا، أم أنه طوّر من جراء ما لاحظه من ظلم وجرائم مارستها النازية تعاليم قيمة نسبية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طفا على سطح الوعي العام الفرق بين القانون الوضعي والقانون العادل من جديد في ألمانيا بفعل إشكالية طاعة الأوامر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 طاعة الأوامر النازية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محاكمة البنائين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الصدد قدمت النظريات القانونية لرادبروخ ضد التعاليم القانونية الوضعية اليمينية الخالصة، التي مثلها هانس كيلسن </w:t>
      </w:r>
      <w:r>
        <w:rPr>
          <w:rFonts w:eastAsia="Times New Roman" w:cs="Times New Roman" w:ascii="Times New Roman" w:hAnsi="Times New Roman"/>
          <w:color w:val="111111"/>
          <w:sz w:val="28"/>
          <w:szCs w:val="28"/>
          <w:lang w:val="en-US" w:bidi="en-US"/>
        </w:rPr>
        <w:t>Hans Kelsen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وإلى حد ما غيبورغ ييلنيك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Georg Jellinek</w:t>
      </w:r>
    </w:p>
    <w:p>
      <w:pPr>
        <w:pStyle w:val="Heading4"/>
        <w:numPr>
          <w:ilvl w:val="3"/>
          <w:numId w:val="1"/>
        </w:numPr>
        <w:rPr/>
      </w:pPr>
      <w:bookmarkStart w:id="97" w:name="__RefHeading___Toc5377327_1280447820"/>
      <w:bookmarkStart w:id="98" w:name="_Toc33"/>
      <w:bookmarkEnd w:id="97"/>
      <w:r>
        <w:rPr/>
        <w:t>9</w:t>
      </w:r>
      <w:r>
        <w:rPr>
          <w:rtl w:val="true"/>
        </w:rPr>
        <w:t xml:space="preserve">. </w:t>
      </w:r>
      <w:r>
        <w:rPr>
          <w:rtl w:val="true"/>
        </w:rPr>
        <w:t>هيلموت بليسنير</w:t>
      </w:r>
      <w:bookmarkEnd w:id="98"/>
    </w:p>
    <w:p>
      <w:pPr>
        <w:pStyle w:val="BookText"/>
        <w:rPr/>
      </w:pPr>
      <w:r>
        <w:rPr>
          <w:rFonts w:eastAsia="Times New Roman" w:cs="Times New Roman" w:ascii="Times New Roman" w:hAnsi="Times New Roman"/>
          <w:color w:val="111111"/>
          <w:sz w:val="28"/>
          <w:szCs w:val="28"/>
          <w:lang w:val="en-US" w:bidi="en-US"/>
        </w:rPr>
        <w:t>Helmuth Plessner</w:t>
      </w:r>
    </w:p>
    <w:p>
      <w:pPr>
        <w:pStyle w:val="BookText"/>
        <w:rPr/>
      </w:pPr>
      <w:r>
        <w:rPr>
          <w:rFonts w:ascii="Amiri" w:hAnsi="Amiri" w:eastAsia="Amiri" w:cs="Amiri"/>
          <w:color w:val="111111"/>
          <w:sz w:val="28"/>
          <w:sz w:val="28"/>
          <w:szCs w:val="28"/>
          <w:rtl w:val="true"/>
          <w:lang w:bidi="ar-SA"/>
        </w:rPr>
        <w:t xml:space="preserve">بدأ بليسنير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دراسته عام </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 وعلم الحيوان وغير إلى الفلسفة بجامعة فرايبورغ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كذلك بجامعة غوتينغين وهايدلبيرغ وكان فيندلباند وماكس فيبر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أساتذه، من كما تتلمذ على يد ،هوسرل وهكذا عرف تأثير الكانطية الجديدة والفينومينولوجيا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على الدكتورة بجامعة إيرلانغن </w:t>
      </w:r>
      <w:r>
        <w:rPr>
          <w:rFonts w:eastAsia="Times New Roman" w:cs="Times New Roman" w:ascii="Times New Roman" w:hAnsi="Times New Roman"/>
          <w:color w:val="111111"/>
          <w:sz w:val="28"/>
          <w:szCs w:val="28"/>
          <w:lang w:val="en-US" w:bidi="en-US"/>
        </w:rPr>
        <w:t>Erlan- gen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برسالة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أزمة الحقيقة المتعالية في بداياتها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 وعلى الأستاذية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حول النقد الفلسفي لملكة الحكم بجامعة كولن </w:t>
      </w:r>
      <w:r>
        <w:rPr>
          <w:rFonts w:eastAsia="Times New Roman" w:cs="Times New Roman" w:ascii="Times New Roman" w:hAnsi="Times New Roman"/>
          <w:color w:val="111111"/>
          <w:sz w:val="28"/>
          <w:szCs w:val="28"/>
          <w:lang w:val="en-US" w:bidi="en-US"/>
        </w:rPr>
        <w:t>Koeln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 ودَرَّسَ بها ابتداءً من </w:t>
      </w:r>
      <w:r>
        <w:rPr>
          <w:rFonts w:eastAsia="Amiri" w:cs="Amiri" w:ascii="Amiri" w:hAnsi="Amiri"/>
          <w:color w:val="111111"/>
          <w:sz w:val="28"/>
          <w:szCs w:val="28"/>
          <w:lang w:bidi="ar-SA"/>
        </w:rPr>
        <w:t>1926</w:t>
      </w:r>
      <w:r>
        <w:rPr>
          <w:rFonts w:ascii="Amiri" w:hAnsi="Amiri" w:eastAsia="Amiri" w:cs="Amiri"/>
          <w:color w:val="111111"/>
          <w:sz w:val="28"/>
          <w:sz w:val="28"/>
          <w:szCs w:val="28"/>
          <w:rtl w:val="true"/>
          <w:lang w:bidi="ar-SA"/>
        </w:rPr>
        <w:t xml:space="preserve">، وهنالك تعرف على ماكس شيلر </w:t>
      </w:r>
      <w:r>
        <w:rPr>
          <w:rFonts w:eastAsia="Times New Roman" w:cs="Times New Roman" w:ascii="Times New Roman" w:hAnsi="Times New Roman"/>
          <w:color w:val="111111"/>
          <w:sz w:val="28"/>
          <w:szCs w:val="28"/>
          <w:lang w:val="en-US" w:bidi="en-US"/>
        </w:rPr>
        <w:t>Max Scheler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 عُزل من الجامعة بسبب الأصل اليهودي لوالده قبل أن يصبح مسيحيا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في بادئ الأمر إلى تركيا إلى نهاية عام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 xml:space="preserve">، ثم رحل </w:t>
      </w:r>
    </w:p>
    <w:p>
      <w:pPr>
        <w:pStyle w:val="BookText"/>
        <w:rPr/>
      </w:pPr>
      <w:r>
        <w:rPr>
          <w:rFonts w:ascii="Amiri" w:hAnsi="Amiri" w:eastAsia="Amiri" w:cs="Amiri"/>
          <w:color w:val="111111"/>
          <w:sz w:val="28"/>
          <w:sz w:val="28"/>
          <w:szCs w:val="28"/>
          <w:rtl w:val="true"/>
          <w:lang w:bidi="ar-SA"/>
        </w:rPr>
        <w:t xml:space="preserve">إلى هولندا في مارس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يقدم محاضرات بجامعة غرونينغين</w:t>
      </w:r>
      <w:r>
        <w:rPr>
          <w:rFonts w:eastAsia="Times New Roman" w:cs="Times New Roman" w:ascii="Times New Roman" w:hAnsi="Times New Roman"/>
          <w:color w:val="111111"/>
          <w:sz w:val="28"/>
          <w:szCs w:val="28"/>
          <w:lang w:val="en-US" w:bidi="en-US"/>
        </w:rPr>
        <w:t>Groningen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احتل النازيون هولندا وعُزل بليسنر عن الجامعة من جديد، وعاش متخفّيًا في هولندا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رفض بليسنير الرجوع للتدريس في ألمانيا بعد الحرب العالمية الثانية، لكنه قبل الرجوع للعمل بجامعة غرونينغين الهولندية من جديد عام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رجع إلى ألمانيا عام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واشتغل إلى سنة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بمعهد السوسيولوجيا بغوتينغين، حيث درس السوسيولوجيا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 أحيل على 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استمر في التدريس بجامعة زيوريخ السويسرية، حيث دَرَّسَ الفلسفة وعمل كمحاضر زائر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المدرسة الجديدة للبحث السوسيولوجي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بنيويورك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يُعد بليسنير إلى جانب ماكس شيلر وقبل أرنولد غيلن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Ar nold gelen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الممثلين الرئيسيين للأنثروبولوجيا الفلسفية، التي تطورت شيئًا فشيئًا في الثلث الأول للقرن العشرين، في محاولة لإعادة بناء جديد لإشكالية الإنسان ومكانه ومكانته في العالم والتاريخ والطبيعة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تطورت مُنَافَسَةً لاتجاهات فلسفية أخرى كالفينومينولوجيا والكانطية الجديدة والعلوم الطبيعية ذاتها، وبالخصوص البيولوجيا ويُعد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العضوي والإنسان</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Die wissenschaftliche Idee, ein Entwurf über ihre Form. 1913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Krisis der transzendentalen Wahrheit im Anfang. 1918. - Die Einheit der Sinne. Grundlinien einer Ästhesiologie des Geistes. 1923. - Grenzen der Gemeinschaft. Eine Kritik des sozialen Radikalismus. 1924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Die Stufen des Organischen und der Mensch. Einleitung in die philosophische Anthropologie. 1928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Macht und menschliche Natur. Ein Versuch zur Anthropologie der geschichtlichen Weltansicht. 1931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Lachen und Weinen. Eine Untersuchung der Grenzen menschlichen Verhaltens. 1941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Über das Welt - Umwelt - Verhältnis des Menschen</w:t>
      </w:r>
    </w:p>
    <w:p>
      <w:pPr>
        <w:pStyle w:val="BookText"/>
        <w:rPr/>
      </w:pPr>
      <w:r>
        <w:rPr>
          <w:rFonts w:eastAsia="Times New Roman" w:cs="Times New Roman" w:ascii="Times New Roman" w:hAnsi="Times New Roman"/>
          <w:color w:val="111111"/>
          <w:sz w:val="28"/>
          <w:szCs w:val="28"/>
          <w:lang w:val="en-US" w:bidi="en-US"/>
        </w:rPr>
        <w:t>Die verspätete Nation. Über die politische Verführbarkeit bürgerlichen Geistes. Stuttgart 1959, zuerst Zürich 1935 (udT Das Schicksal deutschen Geistes im Ausgang seiner bürgerlichen Epoche)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Die Emanzipation der Macht. 1962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Anthropologie der Sinne. 1970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Mit anderen Augen. Aspekte einer philosophischen Anthropologie. Reclam, Stuttgart 1982</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التطوير الحقيقي للأنثروبولوجيا التي طورها بليسنير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إعادة بناء هذه الأنثروبولوجيا بتلخيص شديد من خلال سؤالين رئيسيين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ماذا يميز الظواهر الحية وغير الحية؟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تتنظم الظواهر الحية؟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يوجد الجواب الأول عنده في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الحدود </w:t>
      </w:r>
      <w:r>
        <w:rPr>
          <w:rFonts w:eastAsia="Times New Roman" w:cs="Times New Roman" w:ascii="Times New Roman" w:hAnsi="Times New Roman"/>
          <w:color w:val="111111"/>
          <w:sz w:val="28"/>
          <w:szCs w:val="28"/>
          <w:lang w:val="en-US" w:bidi="en-US"/>
        </w:rPr>
        <w:t>Grenze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بالمقارنة مع الأجسام غير العضوية، فإنّ للأجسام العضوية علاقةً بمحيطها منظمة في استقلال عن 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فالنباتات والحيوانات هي مخلوقات تُحقق حدودًا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ويوجد الجواب الثاني في مفهوم الوضع </w:t>
      </w:r>
      <w:r>
        <w:rPr>
          <w:rFonts w:eastAsia="Times New Roman" w:cs="Times New Roman" w:ascii="Times New Roman" w:hAnsi="Times New Roman"/>
          <w:color w:val="111111"/>
          <w:sz w:val="28"/>
          <w:szCs w:val="28"/>
          <w:lang w:val="en-US" w:bidi="en-US"/>
        </w:rPr>
        <w:t>Position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ذلك أن بليسنير يميز الأشكال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التنظيمية الثلاثة لما هو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النبات، الحيوان، الإنسان، طبقًا المواضعها أو وضعها رأى بأن النبات منظم بطريقة مفتوحة، لأنه لا يتوفر على أعضاء مركزية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والحيوان منظم بطريقة مركزية، بحيث إنه يعيش من مركز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طريقة تنظيم الإنسان فإنها لامركزية </w:t>
      </w:r>
      <w:r>
        <w:rPr>
          <w:rFonts w:eastAsia="Times New Roman" w:cs="Times New Roman" w:ascii="Times New Roman" w:hAnsi="Times New Roman"/>
          <w:color w:val="111111"/>
          <w:sz w:val="28"/>
          <w:szCs w:val="28"/>
          <w:lang w:val="en-US" w:bidi="en-US"/>
        </w:rPr>
        <w:t>exzentrisch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لأنه من الممكن أن يدخل في أي لحظة في علاقة انعكاسية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لحظة معينة من هذه العلاقة الإنعكاسية يتكون الوعي بالذات، طبقا لبليسنير، وهو وعي لا يدرسه كما في </w:t>
      </w:r>
    </w:p>
    <w:p>
      <w:pPr>
        <w:pStyle w:val="BookText"/>
        <w:rPr/>
      </w:pPr>
      <w:r>
        <w:rPr>
          <w:rFonts w:ascii="Amiri" w:hAnsi="Amiri" w:eastAsia="Amiri" w:cs="Amiri"/>
          <w:color w:val="111111"/>
          <w:sz w:val="28"/>
          <w:sz w:val="28"/>
          <w:szCs w:val="28"/>
          <w:rtl w:val="true"/>
          <w:lang w:bidi="ar-SA"/>
        </w:rPr>
        <w:t>التقليد الفلسفي المعتاد كظاهرة روحية عقلية، بل يرى بأنه تَطوَّر انطلاقا من جذوره البيولوجية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ويحلل تنظيم الإنسان هذا من 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كبشر لنا جسم </w:t>
      </w:r>
      <w:r>
        <w:rPr>
          <w:rFonts w:eastAsia="Times New Roman" w:cs="Times New Roman" w:ascii="Times New Roman" w:hAnsi="Times New Roman"/>
          <w:color w:val="111111"/>
          <w:sz w:val="28"/>
          <w:szCs w:val="28"/>
          <w:lang w:val="en-US" w:bidi="en-US"/>
        </w:rPr>
        <w:t>Körper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وهيئة </w:t>
      </w:r>
      <w:r>
        <w:rPr>
          <w:rFonts w:eastAsia="Times New Roman" w:cs="Times New Roman" w:ascii="Times New Roman" w:hAnsi="Times New Roman"/>
          <w:color w:val="111111"/>
          <w:sz w:val="28"/>
          <w:szCs w:val="28"/>
          <w:lang w:val="en-US" w:bidi="en-US"/>
        </w:rPr>
        <w:t>Leib</w:t>
      </w:r>
    </w:p>
    <w:p>
      <w:pPr>
        <w:pStyle w:val="BookText"/>
        <w:rPr/>
      </w:pPr>
      <w:r>
        <w:rPr>
          <w:rFonts w:ascii="Amiri" w:hAnsi="Amiri" w:eastAsia="Amiri" w:cs="Amiri"/>
          <w:color w:val="111111"/>
          <w:sz w:val="28"/>
          <w:sz w:val="28"/>
          <w:szCs w:val="28"/>
          <w:rtl w:val="true"/>
          <w:lang w:bidi="ar-SA"/>
        </w:rPr>
        <w:t xml:space="preserve">طبقًا لهذا التقسيم الثلاثي، يصل الإنسان إلى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بليستير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كعالم خارجي وعالم داخلي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العالم </w:t>
      </w:r>
      <w:r>
        <w:rPr>
          <w:rFonts w:eastAsia="Times New Roman" w:cs="Times New Roman" w:ascii="Times New Roman" w:hAnsi="Times New Roman"/>
          <w:color w:val="111111"/>
          <w:sz w:val="28"/>
          <w:szCs w:val="28"/>
          <w:lang w:val="en-US" w:bidi="en-US"/>
        </w:rPr>
        <w:t>Mitwelt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وهي العوالم التي تتسابق بدورها على الأبعاد الثقافية والتاريخ والمجتمع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ويضيف بليسنير في كتاب آخر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السلطة والطبيعة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الإنسانية قانونًا أنثروبولوجيا آخر،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موضُ الإنسان، وهو غموض يفتح البعد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وانطلاقًا من تأويل الوقائع البيولوجية يصل بليسنير إلى التأسيس الفلسفي للسوسيولوجيا والعلوم القريبة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أويغين فيكتور هيريغل </w:t>
      </w:r>
      <w:r>
        <w:rPr>
          <w:rFonts w:eastAsia="Times New Roman" w:cs="Times New Roman" w:ascii="Times New Roman" w:hAnsi="Times New Roman"/>
          <w:color w:val="111111"/>
          <w:sz w:val="28"/>
          <w:szCs w:val="28"/>
          <w:lang w:val="en-US" w:bidi="en-US"/>
        </w:rPr>
        <w:t>Eugen Victor Herrigel</w:t>
      </w:r>
    </w:p>
    <w:p>
      <w:pPr>
        <w:pStyle w:val="BookText"/>
        <w:rPr/>
      </w:pPr>
      <w:r>
        <w:rPr>
          <w:rFonts w:ascii="Amiri" w:hAnsi="Amiri" w:eastAsia="Amiri" w:cs="Amiri"/>
          <w:color w:val="111111"/>
          <w:sz w:val="28"/>
          <w:sz w:val="28"/>
          <w:szCs w:val="28"/>
          <w:rtl w:val="true"/>
          <w:lang w:bidi="ar-SA"/>
        </w:rPr>
        <w:t xml:space="preserve">بدأ هيريغل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دراسته بجامعة هيدلبيرغ عام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كلية اللاهوت البروتيستاني وغير عام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الفلسفة، وبالضبط الكانطية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على الدكتوراه عام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برسالة أطروحة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 الرقم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تحت إشراف فيندلباند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تتلمذ على يد لاسك، وهو الذي نشر مؤلفاته بأمر من ريكرت في ثلاثة أجزاء عامي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على الأستاذية عام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برسالة موغلة في الكانطية الجديدة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المادة الأصلية والشكل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الوقت تعرف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بوذية الزن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سافر هيريغل إلى اليابان عام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رفقة زوجته الأولى، ودرس الفلسفة بين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بالجامعية القيصرية طوهوكو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p>
    <w:p>
      <w:pPr>
        <w:pStyle w:val="BookText"/>
        <w:rPr/>
      </w:pPr>
      <w:r>
        <w:rPr>
          <w:rFonts w:ascii="Amiri" w:hAnsi="Amiri" w:eastAsia="Amiri" w:cs="Amiri"/>
          <w:color w:val="111111"/>
          <w:sz w:val="28"/>
          <w:sz w:val="28"/>
          <w:szCs w:val="28"/>
          <w:rtl w:val="true"/>
          <w:lang w:bidi="ar-SA"/>
        </w:rPr>
        <w:t xml:space="preserve">وفاة زوجته الأولى تزوج مرةً أخرى عام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اليابان تعلم هو وزوجته الثانية الرماية بمساعدة الياباني أوا كنزو، الذي طور طريقةً صوفيةً باطنيةً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عودته عام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اليابان بدأ هيريغل تدريس الفلسفة بجامعة إيرلانغن الألمانية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تلك السنة أنهى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الشكل الميتافيزيقي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عمل ركز فيه على تدريسه لكانط باليابان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ابتداءً من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هيريغل نصوصًا بحث فيها التشابه المفترض في الفضائل الألمانية واليابانية، ومنها بالخصوص الاستعداد للتضحية من أجل الوطن الأم وعدم الخوف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وبغض النظر عن هذا، ترك نصوصًا فلسفيةً مهمةً للغاية، تتمحور كلها تقريبًا حول الكانطية الجديدة</w:t>
      </w:r>
      <w:r>
        <w:rPr>
          <w:rStyle w:val="FootnoteAnchor"/>
          <w:rtl w:val="true"/>
        </w:rPr>
        <w:footnoteReference w:id="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Zur Logik der Zahl. Dissertation. Bühl 1921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Emil Lasks Wertsystem. Versuch einer Darstellung aus seinem Nachlaß. In: Ratio, Band 12, 192324/, S. 100-122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Ansätze zur Metaphysik in der gegenwärtigen deutschen Philosophie. Vortrag, 1925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Über Kants Lehre vom Primat der praktischen Vernunft. In: Shisou (Das Denken), Tokyo, 1925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Urstoff und Urform. Ein Beitrag zur philosophischen Strukturlehre. Mohr, Tübingen 1926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Gelten, Wert, Sollen, Norm. In: Shisou (Das Denken), Tokyo, 1928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Die metaphysische Form. Eine Auseinandersetzung mit Kant. Halbband 1: Der Mundus sensibilis. Mohr, Tübingen 1929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Die Ritterliche Kunst des Bogenschießens. In: Nippon. Zeitschrift für Japanologie. Band 2, Nr. 4, Oktober 1936, S. 193–212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حاول هيريغر بطريقة ما التوفيق بين طريقة فهم أستاذيه لاسك </w:t>
      </w:r>
    </w:p>
    <w:p>
      <w:pPr>
        <w:pStyle w:val="BookText"/>
        <w:rPr/>
      </w:pPr>
      <w:r>
        <w:rPr>
          <w:rFonts w:ascii="Amiri" w:hAnsi="Amiri" w:eastAsia="Amiri" w:cs="Amiri"/>
          <w:color w:val="111111"/>
          <w:sz w:val="28"/>
          <w:sz w:val="28"/>
          <w:szCs w:val="28"/>
          <w:rtl w:val="true"/>
          <w:lang w:bidi="ar-SA"/>
        </w:rPr>
        <w:t xml:space="preserve">وريكرت لكانط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 الأصلية والشكل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لم يصل كلاسك من خلال تعاليم الأسبقية إلى أي نظام تسلسلي للميادين الحسية في ما بينها، ومع ذلك فإنها تقدم النوعين الرئيسيين للتفلسف، يعني الموضوعية والذاتية، في تسلسل تراتبي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بين ما اهتم به هيريغر في ما يخص الكانطية الجديدة، هناك أيضا إشكالية أربعة مفاهيم القيمة الصلاحية، الواجب والمعيار، التي تُستعمل غالبًا كمترادفات أو لا يميز المرء بينها بطريقة 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 في هذا الإطار بأنه من المنطقي ألا يكون للصلاحيةً أسبقية على القيمة، أي أن صلاحية القيمة لا تأتي قبل القيمة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ما يخص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استعمل منذ فيخته 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القيمة، فلم يقم المرء فيه بأي تمييز يُذكر ، على الرغم من أن ريكرت وضع بمصطلحه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المتعالي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نوعين الواحد قبالة الآخر،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كمطلب 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والاعتراف بالواجب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كأداء 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خلاف المألوف، حاول هيريغل التمييز بين القيمة والواجب، باعتماده على مصطلح الواجب، كما استعمل في كتاب كانط نقد العقل العملي، حيث يتخذ القانون الأخلاقي يجب عليك شكل الضرورة القطعية وطبقا لهيريغل لا يحق استعمال مفهوم الواجب كتعبير عن القيمة المطالبة بشيءٍ، بل يجب فقط أن تعبر على السلوك الذي تتطلبه القيمة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ما يخص المعيار فلم يقم بأي تمييز دقيق، حتى وإن كان يرى بأن اعتبار المعيار خضوعاً كاملاً للقيمة يمثل مشكلاً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فإن هيريغل يحاول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حيث يتمظهر الخضوع الذاتي للقيمة كنموذج يُقتدى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كالقيمة، فإن المعيار </w:t>
      </w:r>
      <w:bookmarkStart w:id="99" w:name="pg16300_179362"/>
    </w:p>
    <w:p>
      <w:pPr>
        <w:pStyle w:val="BookText"/>
        <w:rPr/>
      </w:pPr>
      <w:bookmarkEnd w:id="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بدوره الاعتراف به لكنه يُعبر فى هذه الحالة على تعريف للقيمة، يحاول، في الواجهة الخلفية للتفكير، تحقيق هدف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فإن مفهوم المعيار هو بالضبط، بالنسبة له خاصية الصلاحية للقيمة، وهي صلاحية ترتفع في معناها النظري وتصبح مقياسًا لما يتبعها بعد ذلك</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5377329_1280447820"/>
      <w:bookmarkStart w:id="101" w:name="_Toc34"/>
      <w:bookmarkEnd w:id="100"/>
      <w:r>
        <w:rPr>
          <w:rtl w:val="true"/>
        </w:rPr>
        <w:t xml:space="preserve">الجزء الثاني </w:t>
      </w:r>
      <w:r>
        <w:rPr>
          <w:rtl w:val="true"/>
        </w:rPr>
        <w:t xml:space="preserve">: </w:t>
      </w:r>
      <w:r>
        <w:rPr>
          <w:rtl w:val="true"/>
        </w:rPr>
        <w:t>مدرسة ماربوغ</w:t>
      </w:r>
      <w:bookmarkEnd w:id="101"/>
    </w:p>
    <w:p>
      <w:pPr>
        <w:pStyle w:val="Heading4"/>
        <w:numPr>
          <w:ilvl w:val="3"/>
          <w:numId w:val="1"/>
        </w:numPr>
        <w:rPr/>
      </w:pPr>
      <w:bookmarkStart w:id="102" w:name="__RefHeading___Toc5377331_1280447820"/>
      <w:bookmarkStart w:id="103" w:name="_Toc35"/>
      <w:bookmarkEnd w:id="102"/>
      <w:r>
        <w:rPr>
          <w:rtl w:val="true"/>
        </w:rPr>
        <w:t>اشارة</w:t>
      </w:r>
      <w:bookmarkEnd w:id="103"/>
    </w:p>
    <w:p>
      <w:pPr>
        <w:pStyle w:val="BookText"/>
        <w:rPr/>
      </w:pPr>
      <w:r>
        <w:rPr>
          <w:rFonts w:ascii="Amiri" w:hAnsi="Amiri" w:eastAsia="Amiri" w:cs="Amiri"/>
          <w:color w:val="111111"/>
          <w:sz w:val="28"/>
          <w:sz w:val="28"/>
          <w:szCs w:val="28"/>
          <w:rtl w:val="true"/>
          <w:lang w:bidi="ar-SA"/>
        </w:rPr>
        <w:t xml:space="preserve">تعتبر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مدرسة ماربورغ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نسبة إلى مدينة جامعة ماربورغ </w:t>
      </w:r>
      <w:r>
        <w:rPr>
          <w:rFonts w:eastAsia="Times New Roman" w:cs="Times New Roman" w:ascii="Times New Roman" w:hAnsi="Times New Roman"/>
          <w:color w:val="111111"/>
          <w:sz w:val="28"/>
          <w:szCs w:val="28"/>
          <w:lang w:val="en-US" w:bidi="en-US"/>
        </w:rPr>
        <w:t>Marburg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الألمانية، حركةً معارضةً للتفسيرات الخاطئة التي تعرض لها كانط وفلسفته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يرتبط ظهورها بكل من فردريك ألبرت لانغي، أوطو ليبمان، إدوارد تيلر و هرمان فون هيلمهولتس </w:t>
      </w:r>
      <w:r>
        <w:rPr>
          <w:rStyle w:val="FootnoteAnchor"/>
          <w:rtl w:val="true"/>
        </w:rPr>
        <w:footnoteReference w:id="48"/>
      </w:r>
      <w:r>
        <w:rPr>
          <w:rFonts w:ascii="Amiri" w:hAnsi="Amiri" w:eastAsia="Amiri" w:cs="Amiri"/>
          <w:color w:val="111111"/>
          <w:sz w:val="28"/>
          <w:sz w:val="28"/>
          <w:szCs w:val="28"/>
          <w:rtl w:val="true"/>
          <w:lang w:bidi="ar-SA"/>
        </w:rPr>
        <w:t>، على الرغم من أن هرمان كوهن كان هو المؤسس الفعلي للمدرسة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وترجح كارول برومبسي</w:t>
      </w:r>
      <w:r>
        <w:rPr>
          <w:rStyle w:val="FootnoteAnchor"/>
          <w:rtl w:val="true"/>
        </w:rPr>
        <w:footnoteReference w:id="49"/>
      </w:r>
      <w:r>
        <w:rPr>
          <w:rFonts w:ascii="IRNazanin" w:hAnsi="IRNazanin" w:eastAsia="IRNazanin"/>
          <w:color w:val="111111"/>
          <w:sz w:val="28"/>
          <w:sz w:val="28"/>
          <w:szCs w:val="28"/>
          <w:rtl w:val="true"/>
          <w:lang w:bidi="fa-IR"/>
        </w:rPr>
        <w:t xml:space="preserve">الظهور الرسمي لمدرسة ماربورغ إلى عام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العام الذي نُشر فيه كتاب كوهن نظرية كانط حول التجربة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نجد لأول مرة التوجيهات التي تحدد المدرسة مبنيةً على أساس تقديم فهم مغاير لما كان متداولاً عن كانط، وبالخصوص في ما يخص إشكالية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والسجال الذي كانت رحاه دائرة حول هذا المفهوم بين كونو فیشر </w:t>
      </w:r>
      <w:r>
        <w:rPr>
          <w:rFonts w:eastAsia="Times New Roman" w:cs="Times New Roman" w:ascii="Times New Roman" w:hAnsi="Times New Roman"/>
          <w:color w:val="111111"/>
          <w:sz w:val="28"/>
          <w:szCs w:val="28"/>
          <w:lang w:val="en-US" w:bidi="en-US"/>
        </w:rPr>
        <w:t>Kuno Fischer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وتريندلينبورغ </w:t>
      </w:r>
      <w:r>
        <w:rPr>
          <w:rFonts w:eastAsia="Times New Roman" w:cs="Times New Roman" w:ascii="Times New Roman" w:hAnsi="Times New Roman"/>
          <w:color w:val="111111"/>
          <w:sz w:val="28"/>
          <w:szCs w:val="28"/>
          <w:lang w:val="en-US" w:bidi="en-US"/>
        </w:rPr>
        <w:t>Trendelenburg</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لمدرسة ماربورغ توجهًا رياضيا وعلمياً قوياً، انتقدت النزعة السيكولوجية انطلاقا من موقف كانط في هذا الأمر، معتمدةً فی </w:t>
      </w:r>
    </w:p>
    <w:p>
      <w:pPr>
        <w:pStyle w:val="BookText"/>
        <w:rPr/>
      </w:pPr>
      <w:r>
        <w:rPr>
          <w:rFonts w:ascii="Amiri" w:hAnsi="Amiri" w:eastAsia="Amiri" w:cs="Amiri"/>
          <w:color w:val="111111"/>
          <w:sz w:val="28"/>
          <w:sz w:val="28"/>
          <w:szCs w:val="28"/>
          <w:rtl w:val="true"/>
          <w:lang w:bidi="ar-SA"/>
        </w:rPr>
        <w:t>ذلك على المعارف الرياضية، التي كانت تفهم كمعرفة مستقلة عنالنفس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الشكل قالت هذه المدرسة بأنه يجب على المعرفة ألا تكون مرتبطة بذات فقط، بل أيضا وقبل كل شيء بأساسها المنطقي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وركز أصحابها على نظرية المعرفة القبلية للعلوم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ثلة من المفكرين الألمان ممن تبنوا توجهات مدرسة ماربورغ واشتغلوا على مواضيع في هذا الإتجاه، منهم باول ناطورب </w:t>
      </w:r>
      <w:r>
        <w:rPr>
          <w:rFonts w:eastAsia="Times New Roman" w:cs="Times New Roman" w:ascii="Times New Roman" w:hAnsi="Times New Roman"/>
          <w:color w:val="111111"/>
          <w:sz w:val="28"/>
          <w:szCs w:val="28"/>
          <w:lang w:val="en-US" w:bidi="en-US"/>
        </w:rPr>
        <w:t>Paul Natorp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اهتم بالأسس المنطقية للعلوم الحقة، لكنه رفض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 في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والتمثلات المستقلة عن 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ناتورب المنهج الترانسندنتالى لتفسير أفلاطون وعلم النفس ومناهج البحث في العلوم الدقيقة وكارل فورلندر</w:t>
      </w:r>
      <w:r>
        <w:rPr>
          <w:rFonts w:eastAsia="Times New Roman" w:cs="Times New Roman" w:ascii="Times New Roman" w:hAnsi="Times New Roman"/>
          <w:color w:val="111111"/>
          <w:sz w:val="28"/>
          <w:szCs w:val="28"/>
          <w:lang w:val="en-US" w:bidi="en-US"/>
        </w:rPr>
        <w:t>Karl Vorlan der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ركز على تاريخ الفلسفة في علاقته بالماركسية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ورودولف ستاملر </w:t>
      </w:r>
      <w:r>
        <w:rPr>
          <w:rFonts w:eastAsia="Times New Roman" w:cs="Times New Roman" w:ascii="Times New Roman" w:hAnsi="Times New Roman"/>
          <w:color w:val="111111"/>
          <w:sz w:val="28"/>
          <w:szCs w:val="28"/>
          <w:lang w:val="en-US" w:bidi="en-US"/>
        </w:rPr>
        <w:t>Rudolf Stammler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تخصص في الفلسفة الاجتماعية ونظيرتها القانونية، في حين تألق فالطر شوكين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Walther Schük king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قانون حق الشعوب وأثر بقوة في تطور قانون سلام الشعوب والقانون الدستوري في القرن العشرين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يعتبر هرمان كوهن </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w:t>
      </w: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ما يُسمى بمدرسة ماربورغ، والتي كان لها توجها رياضيًا وعلميا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انتقد كوهن النزعة السيكولوجية من وجهة النظر الكانطية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وأكد على أن هناك معرفةً مستقلةً عن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وطبقا لهذا لا يمكن للمعرفة أن تكون مرتبطةً بذاتِ ما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وبالإعتماد على كانط، طور کوهن موقفه الفلسفي، بعدها شق طريقه الخاص، مع الإشارة إلى أنه اتخذ موقفا مثاليا، خاصة وأنه أكد على أنّ الأحكام هى التى تؤسس التفكير الإنساني لا المفاهيم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يعتبر إرنست كسيرير من مدرسة ماربورغ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 في إشكاليات فلسفة اللغة ومواضيع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وفلسفة الأشكال الرمزية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له فإن أشكالاً رمزيةً مختلفةً كاللغة والدين والفن والتقنية والتاريخ والقانون إلخ، تساهم في ربط علاقة بالعالم، وليس الأصناف العلمية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اهتم باول ناتورب بأحدث اكتشافات العلوم وخاصة نظرية النسبية في زمانه وحاول مَلْء الفراغ الذي تركه كوهن بين العلم كواقعة معرفية قائمة وبين الوعي الفردي الذي كون هذه المعرفة مخالفا بذلك كوهن واستطاع الوصول في علم النفس إلى نتائج تماثل النتائج التي وصل إليها دلتاي يرى البعض بأن ناتورب، بحرصه على تحقيق التقارب بين الموضوعي والذاتي، حاول تحقيق الوحدة الفكرية والمنهجية للفلسفة بوجه بوجه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علاوةً على هذا فإنه قام بتفسير الأفلاطونية تفسيرًا جديدًا واشتغل على الاشكاليات السيكولوجية والبيداغوجية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عكف هلمهولتز على الدراسات السيكولوجية والإبستمولوجية والعلمية عن المكان والزمان وقدم نظريةً تجريبية عن الحس والإدراك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أنصار الاتجاه العلمي القائل بوجود قوًى نوعية لأعصاب الحس وقاده هذا إلى القول بذاتية الصفات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النتيجة تتمثل في تصور المكان طبقا لتكويننا الجسمي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ويعني هذا بأن هلمهولتز أقر بإمكانية وجود أكثر من تصور واحد للمكان، وبإمكانية ظهور هندسات أخرى غير إقليدية، تلتقى كلّ واحدة منها مع مجموعة خاصة من أعصاب الحس التي يملكها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وأكد هلمهولتز في نهاية المطاف بأن هذه التصورات </w:t>
      </w:r>
      <w:bookmarkStart w:id="104" w:name="pg16300_179365"/>
    </w:p>
    <w:p>
      <w:pPr>
        <w:pStyle w:val="BookText"/>
        <w:rPr/>
      </w:pPr>
      <w:bookmarkEnd w:id="104"/>
      <w:r>
        <w:rPr>
          <w:rFonts w:ascii="Amiri" w:hAnsi="Amiri" w:eastAsia="Amiri" w:cs="Amiri"/>
          <w:color w:val="111111"/>
          <w:sz w:val="28"/>
          <w:sz w:val="28"/>
          <w:szCs w:val="28"/>
          <w:rtl w:val="true"/>
          <w:lang w:bidi="ar-SA"/>
        </w:rPr>
        <w:t>الهندسية المتعددة لا يتطابق أي منها بالضرورة مع البناء الواقعي للعالم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لانغي </w:t>
      </w:r>
      <w:r>
        <w:rPr>
          <w:rFonts w:eastAsia="Times New Roman" w:cs="Times New Roman" w:ascii="Times New Roman" w:hAnsi="Times New Roman"/>
          <w:color w:val="111111"/>
          <w:sz w:val="28"/>
          <w:szCs w:val="28"/>
          <w:lang w:val="en-US" w:bidi="en-US"/>
        </w:rPr>
        <w:t>Lange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نفس اتجاه هلمهولتز، بتأكيده بأن معرفة الواقع المحسوس هي حصيلة التفاعل بين الكيان العضوى الإنساني وبين أي واقع آخر يمكن أن يكون غيرمعروف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وتتحدد تجربة عالم الموضوعات الفيزيائية بواسطة التفاعل بين بني الإنسان، لكن الإنسان فقط هو الذي يكون موضوع التجربة ويمكن فهمه بواسطة علم النفس والفيزيولوجيا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الفيلسوفة الرومانية أنيس فوانيسكو تُعدّ من مدرسة ماربورغ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تتلمذت على يد كوهن وناتروب، قبل الرحيل للدراسة في السوربون، حيث هيأت أطروحتها حول مدرسة ماربورغ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اهتمت بعد تخرجها بالإستيطيقا وتاريخ المسرح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نقدم في ما يلي بشيء من التفصيل أقطاب هذه المدرسة كلَّ واحد على حدة، منبهين بأننا لن نطيل في هذا التقديم، لأن الهدف هو فقط أخذ فكرة عنهم وعن مساهمتهم في مدرسة ماربورغ والكانطية الجديدة بصفة عامة</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5377333_1280447820"/>
      <w:bookmarkStart w:id="106" w:name="_Toc36"/>
      <w:bookmarkEnd w:id="105"/>
      <w:r>
        <w:rPr/>
        <w:t>1</w:t>
      </w:r>
      <w:r>
        <w:rPr>
          <w:rtl w:val="true"/>
        </w:rPr>
        <w:t>.</w:t>
      </w:r>
      <w:r>
        <w:rPr>
          <w:rtl w:val="true"/>
        </w:rPr>
        <w:t>هيرمان كوهن</w:t>
      </w:r>
      <w:bookmarkEnd w:id="106"/>
    </w:p>
    <w:p>
      <w:pPr>
        <w:pStyle w:val="BookText"/>
        <w:rPr/>
      </w:pPr>
      <w:r>
        <w:rPr>
          <w:rFonts w:eastAsia="Times New Roman" w:cs="Times New Roman" w:ascii="Times New Roman" w:hAnsi="Times New Roman"/>
          <w:color w:val="111111"/>
          <w:sz w:val="28"/>
          <w:szCs w:val="28"/>
          <w:lang w:val="en-US" w:bidi="en-US"/>
        </w:rPr>
        <w:t>Hermann Cohen</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يعتبر كوهن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بالمشاركة مع ناتروب المؤسس الحقيقي المدرسة ماربورغ، كما يُعتبر أهم ممثل للفلسفة اليهودية في القرن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 الدين اليهودي والعلوم القديمة والفلسفة في جامعة بريسلاو </w:t>
      </w:r>
      <w:r>
        <w:rPr>
          <w:rFonts w:eastAsia="Times New Roman" w:cs="Times New Roman" w:ascii="Times New Roman" w:hAnsi="Times New Roman"/>
          <w:color w:val="111111"/>
          <w:sz w:val="28"/>
          <w:szCs w:val="28"/>
          <w:lang w:val="en-US" w:bidi="en-US"/>
        </w:rPr>
        <w:t>Breslau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،وبرلين، حيث تأثر بالخصوص بفريدريك </w:t>
      </w:r>
    </w:p>
    <w:p>
      <w:pPr>
        <w:pStyle w:val="BookText"/>
        <w:rPr/>
      </w:pPr>
      <w:r>
        <w:rPr>
          <w:rFonts w:ascii="Amiri" w:hAnsi="Amiri" w:eastAsia="Amiri" w:cs="Amiri"/>
          <w:color w:val="111111"/>
          <w:sz w:val="28"/>
          <w:sz w:val="28"/>
          <w:szCs w:val="28"/>
          <w:rtl w:val="true"/>
          <w:lang w:bidi="ar-SA"/>
        </w:rPr>
        <w:t xml:space="preserve">أدولف ترينديلينبورغ </w:t>
      </w:r>
      <w:r>
        <w:rPr>
          <w:rFonts w:eastAsia="Times New Roman" w:cs="Times New Roman" w:ascii="Times New Roman" w:hAnsi="Times New Roman"/>
          <w:color w:val="111111"/>
          <w:sz w:val="28"/>
          <w:szCs w:val="28"/>
          <w:lang w:val="en-US" w:bidi="en-US"/>
        </w:rPr>
        <w:t>Friedrich Adolf Trendelenburg</w:t>
      </w:r>
      <w:r>
        <w:rPr>
          <w:rStyle w:val="FootnoteAnchor"/>
          <w:rtl w:val="true"/>
        </w:rPr>
        <w:footnoteReference w:id="50"/>
      </w:r>
      <w:r>
        <w:rPr>
          <w:rFonts w:ascii="Amiri" w:hAnsi="Amiri" w:eastAsia="Amiri" w:cs="Amiri"/>
          <w:color w:val="111111"/>
          <w:sz w:val="28"/>
          <w:sz w:val="28"/>
          <w:szCs w:val="28"/>
          <w:rtl w:val="true"/>
          <w:lang w:bidi="ar-SA"/>
        </w:rPr>
        <w:t>وهييمان شتاينتهال</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Heymann Steinthal</w:t>
      </w:r>
      <w:r>
        <w:rPr>
          <w:rFonts w:ascii="Amiri" w:hAnsi="Amiri" w:eastAsia="Amiri" w:cs="Amiri"/>
          <w:color w:val="111111"/>
          <w:sz w:val="28"/>
          <w:sz w:val="28"/>
          <w:szCs w:val="28"/>
          <w:rtl w:val="true"/>
          <w:lang w:bidi="ar-SA"/>
        </w:rPr>
        <w:t xml:space="preserve">، وحصل على شهادة الدكتوراه بجامعة هالا </w:t>
      </w:r>
      <w:r>
        <w:rPr>
          <w:rFonts w:eastAsia="Times New Roman" w:cs="Times New Roman" w:ascii="Times New Roman" w:hAnsi="Times New Roman"/>
          <w:color w:val="111111"/>
          <w:sz w:val="28"/>
          <w:szCs w:val="28"/>
          <w:lang w:val="en-US" w:bidi="en-US"/>
        </w:rPr>
        <w:t>Halle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ونشر العديد من المقالات مجلة للسيكولوجيا الشعبية والعلوم الاجتماعية التي أسسها شتاينتهال السابق الذكر وموريتس لازاروس </w:t>
      </w:r>
      <w:r>
        <w:rPr>
          <w:rFonts w:eastAsia="Times New Roman" w:cs="Times New Roman" w:ascii="Times New Roman" w:hAnsi="Times New Roman"/>
          <w:color w:val="111111"/>
          <w:sz w:val="28"/>
          <w:szCs w:val="28"/>
          <w:lang w:val="en-US" w:bidi="en-US"/>
        </w:rPr>
        <w:t>Moriz Lazarus</w:t>
      </w:r>
      <w:r>
        <w:rPr>
          <w:rFonts w:eastAsia="Times New Roman" w:cs="Times New Roman" w:ascii="Times New Roman" w:hAnsi="Times New Roman"/>
          <w:color w:val="111111"/>
          <w:sz w:val="28"/>
          <w:szCs w:val="28"/>
          <w:rtl w:val="true"/>
          <w:lang w:val="en-US" w:bidi="en-US"/>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تقديمه لنص شاركه به في الجدل الذي كان قائما بين ترينديلينبورغ سالف الذكر وكونو فيشر، حول إشكالية تأويل الفلسفة النقدية لكانط بمثابة بداية ولوجه لعالم الكانطية الجديدة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کوهن نفسه ابتداءً من عام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كباعث للفلسفة الكانطية بألمانيا، ذلك أنه اقترح تأويلاً جديدًا لكانط، تُوجَ بنصه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نظرية كانط التجريبية </w:t>
      </w:r>
      <w:r>
        <w:rPr>
          <w:rFonts w:eastAsia="Times New Roman" w:cs="Times New Roman" w:ascii="Times New Roman" w:hAnsi="Times New Roman"/>
          <w:color w:val="111111"/>
          <w:sz w:val="28"/>
          <w:szCs w:val="28"/>
          <w:lang w:val="en-US" w:bidi="en-US"/>
        </w:rPr>
        <w:t>Kants Theorie der Erfahrung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وبفضل الانطباع الإيجابي الكبير الذي أحدثه هذا النص على الباحثين في فلسفة كانط، اقترح على كوهن اجتياز امتحان الأستاذية بجامعة ماربورغ، حيث كان يشتغل فريدريك ألبيرت لانجا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كوهن لهذا الغرض نصا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المفاهيم النسقية في الكتابات قبل </w:t>
      </w:r>
      <w:r>
        <w:rPr>
          <w:rFonts w:eastAsia="Times New Roman" w:cs="Times New Roman" w:ascii="Times New Roman" w:hAnsi="Times New Roman"/>
          <w:color w:val="111111"/>
          <w:sz w:val="28"/>
          <w:szCs w:val="28"/>
          <w:lang w:val="en-US" w:bidi="en-US"/>
        </w:rPr>
        <w:t>Die systematischen Begriffe in Kants vorkritischen Schriften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وبما أن لانجي كان وصفه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خليفته الروحي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عين عام </w:t>
      </w: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 بعد وفاته لشغل منصبه كأستاذ جامعي، ومنذ ذلك الوقت لم يغادر جامعة ماربورغ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وهنالك أسس مدرسة ماربورغ للكانطية الجديدة، وتابع دراساته حول كانط طبقًا لنموذج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انتقادات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وتساءل عن الشروط التاريخية للإشكاليات الفلسفية الكانطية، وبهذا ساعد في استعمال علم التاريخ في دراسة </w:t>
      </w:r>
    </w:p>
    <w:p>
      <w:pPr>
        <w:pStyle w:val="BookText"/>
        <w:rPr/>
      </w:pPr>
      <w:r>
        <w:rPr>
          <w:rFonts w:ascii="Amiri" w:hAnsi="Amiri" w:eastAsia="Amiri" w:cs="Amiri"/>
          <w:color w:val="111111"/>
          <w:sz w:val="28"/>
          <w:sz w:val="28"/>
          <w:szCs w:val="28"/>
          <w:rtl w:val="true"/>
          <w:lang w:bidi="ar-SA"/>
        </w:rPr>
        <w:t>الفلسفة النسقية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بين من تتلمذ على يده كان هناك الروسي بوريس باستيرناك، الحاصل على جائزة نوبل في الأدب عام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وصوله سن التقاعد حاول مساعدة إيرنست كاسيرر لخلافته على كرسيه الجامعي، لكن دون جدوى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 كوهن في آخر حياته بفلسفة الدين أكثر، وبالخصوص اليهودية</w:t>
      </w:r>
      <w:r>
        <w:rPr>
          <w:rStyle w:val="FootnoteAnchor"/>
          <w:rtl w:val="true"/>
        </w:rPr>
        <w:footnoteReference w:id="52"/>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اهتمامه بالفلسفة اليهودية رداً على تنامي المعاداة لهذا الدين في ألمانيا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 أهم مؤلفاته حول فلسفة كانت هناك بالخصوص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Hermann Cohen: Die systematischen Begriffe in Kants vorkritischen Schriften nach ihrem Verhältniss zum kritischen Idealismus. Dümmler, Berlin 1873 (auch: [Hofbuchdruckerei], [Weimar] 1873; zugleich: Habilitationsschrift, Universität Marburg 1873, 58 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Hermann Cohen: Kants Theorie der Erfahrung. 1871, 2. Aufl. 1885, 3. Aufl. 1918, 4. Aufl. 1925, 5. Aufl. 1987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Hermann Cohen: Kants Begründung der Ethik. 1877, 2., erw. Aufl. 1910. - Hermann Cohen: Kants Begründung der Ästhetik. 1889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Hermann Cohen: Logik der reinen Erkenntnis. 1902, 2., verb. Auflage 1914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Hermann Cohen: Ethik des reinen Willens. 1904, 2., rev. Aufl. 1907, 3. Aufl. 1921, 4. Aufl. 1923, 5. Aufl. 1981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Hermann Cohen: Ästhetik des reinen Gefühls. 1912, 2. Aufl. 1923, 3. Aufl. 1982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Hermann Cohen: Monotheismus und Messianismus. In: Neue Jüdische Monatshefte. 1. Jahrgang, 4. Heft, S. 108</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تؤوّل الكانطية الجديدة لكوهن الضرورة القطعية لكانط بطريقة يطالب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من التشريع الذاتي للقوانين في شخص كلّ إنسان هدفًا لك</w:t>
      </w:r>
      <w:r>
        <w:rPr>
          <w:rFonts w:eastAsia="Amiri" w:cs="Amiri" w:ascii="Amiri" w:hAnsi="Amiri"/>
          <w:color w:val="111111"/>
          <w:sz w:val="28"/>
          <w:szCs w:val="28"/>
          <w:rtl w:val="true"/>
          <w:lang w:bidi="ar-SA"/>
        </w:rPr>
        <w:t>»</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ونتيجة هذا هو أن مدرسة ماربورغ استعملت فلسفةً </w:t>
      </w:r>
    </w:p>
    <w:p>
      <w:pPr>
        <w:pStyle w:val="BookText"/>
        <w:rPr/>
      </w:pPr>
      <w:r>
        <w:rPr>
          <w:rFonts w:ascii="Amiri" w:hAnsi="Amiri" w:eastAsia="Amiri" w:cs="Amiri"/>
          <w:color w:val="111111"/>
          <w:sz w:val="28"/>
          <w:sz w:val="28"/>
          <w:szCs w:val="28"/>
          <w:rtl w:val="true"/>
          <w:lang w:bidi="ar-SA"/>
        </w:rPr>
        <w:t>كانط لتأسيس برنامج سياسي واجتماعي، قريب من الإشتراكية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الوقت الذي كان فيه الكانطيون الحمر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الإشتراكيون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كارل فورليندر وفرانتس شتاودينغر يدافعون على ضرورة مساهمة مدرسة ماربورغ في الإصلاحات الاجتماعية والسياسية، وهو أمر أثر في ما بعد على ثوّار بايرن، فإن كوهن دافع علنًا على اعتبار اليهود مواطنين ألمانيين، حتى وإن لم يكونوا معمدين ومسيحيين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يرى بأن الأخلاق المثالية والتي يرى بأن كانط قد أسسها، هي أخلاق متجذرة في الثقافة الألمانية، تماما كما هي متجذرة في الدين اليهودي كذلك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توهج الحماس الأخلاقي للأنبياء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يعتبر هرمان كوهن كذلك من بين نقاد النزعة السيكولوجية </w:t>
      </w:r>
      <w:r>
        <w:rPr>
          <w:rFonts w:eastAsia="Times New Roman" w:cs="Times New Roman" w:ascii="Times New Roman" w:hAnsi="Times New Roman"/>
          <w:color w:val="111111"/>
          <w:sz w:val="28"/>
          <w:szCs w:val="28"/>
          <w:lang w:val="en-US" w:bidi="en-US"/>
        </w:rPr>
        <w:t>Psychologismus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برجوعه إلى الفلسفة الكانطية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النزعة السيكولوجية تختزل القوانين في عمليات تجريبية نفسية، وهذا ما عارضه كوهن ومن بين البراهين التي قدمها ضد هذه النزعة هو تأكيده على كون الرياضيات مثلاً توجد باستقلال تام عن الذات، على اعتبار أن النزعة السيكولوجية كانت تفسر كل شيء تقريبًا بإرجاعه 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كوهن كان يدافع على أطروحة تتمثل في عدم ربط المعرفة بذات ما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طور موقفه في ما بعد، وهو موقف يلمس فيه المرء آثار المثالية، مؤكدًا فى كل ذلك بأن الأحكام لا المفاهيم هي التي تؤسس فكر الإنسان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رفض كوهن التفسيرات السيكولوجية عند هلمهولتز ولانغي وانتقد موقفهما المتمثل في ضرورة بداية الفلسفة بتحليل الوعي للكشف عن تطبيق مقولات الفكر على معطيات الحس وما يتبع ذلك من تكوين عالم للظواهر يختلف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الشيء في ذاته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ينبغي للفلسفة في نطر كوهين الانشغال بدراسة عمليات سيكولوجية، تصل من خلالها إلى نتائج احتمالية بل عليها الانشغال بالمعرفة العلمية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نجد فكرة بارمنيدس القائلة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التفكير </w:t>
      </w:r>
      <w:r>
        <w:rPr>
          <w:rFonts w:eastAsia="Times New Roman" w:cs="Times New Roman" w:ascii="Times New Roman" w:hAnsi="Times New Roman"/>
          <w:color w:val="111111"/>
          <w:sz w:val="28"/>
          <w:szCs w:val="28"/>
          <w:lang w:val="en-US" w:bidi="en-US"/>
        </w:rPr>
        <w:t>Denken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والواقع </w:t>
      </w:r>
      <w:r>
        <w:rPr>
          <w:rFonts w:eastAsia="Times New Roman" w:cs="Times New Roman" w:ascii="Times New Roman" w:hAnsi="Times New Roman"/>
          <w:color w:val="111111"/>
          <w:sz w:val="28"/>
          <w:szCs w:val="28"/>
          <w:lang w:val="en-US" w:bidi="en-US"/>
        </w:rPr>
        <w:t>Sein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هما شيء واحد عند كوهين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توجد بالنسبة له مسافةٌ بين الفكر والواقع، ذلك أن الفكر هو جوهر العلم والواقع وأساسهما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وأقام كوهين منطقه على مبدأ الأصل واعتقد بأن منطق حساب التفاضل والفيزياء الرياضية هما أفضل ما يزودنا بإمكانية معرفة المبادئ الأساسية لواقع الأشياء التجريبية وفهمها وبأن نيوتن برهن على إمكانية معرفة الطبيعة والأشياء الفيزيقية قبليًا عن طريق المفاهيم الرياضية للمكان والزمان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يعتبر المنطق عند كوهن سيكولوجيا ولا صوريًا بحتّا، على اعتبار أنه يفترض دائماً وجود معطيات مصدرها الإدراك أو حتى الحدس الخالص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فالمنطق بالنسبة له ليس فكرا فارغا، ولا معنی لصحة أيّ حكم تقريري إلا بالنسبة إلى موقعه داخل نسق من القوانين الشمولية تعتمد بدورها على أسس منهجية مضبوطة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لا تنفصل صورة الفكر عن مضمونه، وهذا المضمون ما هو إلا الواقع، باعتباره موضوعًا وهدفًا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وباهتمامه بحساب التفاضل والتكامل، أكد كوهن على أن الأعداد ليست مادةً خاما تُفرض من الخارج أكثر من هذا أكد بأنه لا وجود للأعداد اللامتناهية كمعطيات خارجية، بل إنها من خلق الفكر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فإنّ وقائع العلم تتحدد عند كوهين بالفكر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فإن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الأشياء في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له ليست أشياء كما هي وكما تعرف بالمنطق وبالفيزياء الرياضية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وانتقد كوهن في أعماله فكرة كانط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المعطيات المستقلة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لمقولات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الأشياء في ذاتها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وقوانينها، واكتفى بالتأكيد على كون الخاصية الضرورية للطبيعة تستمد من المنطق الرياضي للفكر الخالص وتكون مستقلة عن إدارك 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حاول بمساعدة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المتعالي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تحطيم الحاجز الذى أقامه كانط بين المعرفة القبلية والمعرفة التجريبية أو البعدية بالتمييز بين الإحساس باعتباره مستقلاً، والفهم، باعتباره فعاليةً تلقائيةً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تقف الكانطية الجديدة عند كوهن في حدود الفلسفة الكانطية فقط، بل تجاوزتها بعض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برفضه للتصور الخاص بعالم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النيومينا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عالم الشيء في ذاته وتجاوزه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الفينومينا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عالم الظواهر؛ أكد كوهن بأنه لا يمكن فهم قوانين الطبيعة باعتبارها مقولات يستطيع العقل بمساعدتها تنظيم المعطيات الحسية التي يتلقاها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عنده هو أن فهم القوانين يُستمد من عالم الفكر الخالص وحده، بعيدًا عن المعطيات الحسية الخام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تجاوز كوهن مثالية كانط، وأصبح مثاليًا أكثر منه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الأخطاء الرئيسية التي عبر عنها كوهن في التأويلات المختلفة لفلسفة كانط هي تفريق لحظات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العقل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إذًا إلى عدم تفريق المراحل التي قطعها كانط وعدم التفريق بين البراهين المختلفة للإستيطيقا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عزل هذه الأخيرة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وتعتبر هذه القراءة صالحةً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فحقيقة القبلي، طبقا لكوهن لا تكمن في الذات كما كانت المثالية الألمانية تعتقد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وبالخصوص فيختيه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هذه الحقيقة موجودة في العلاقة بين </w:t>
      </w:r>
    </w:p>
    <w:p>
      <w:pPr>
        <w:pStyle w:val="BookText"/>
        <w:rPr/>
      </w:pPr>
      <w:r>
        <w:rPr>
          <w:rFonts w:ascii="Amiri" w:hAnsi="Amiri" w:eastAsia="Amiri" w:cs="Amiri"/>
          <w:color w:val="111111"/>
          <w:sz w:val="28"/>
          <w:sz w:val="28"/>
          <w:szCs w:val="28"/>
          <w:rtl w:val="true"/>
          <w:lang w:bidi="ar-SA"/>
        </w:rPr>
        <w:t>الذات 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تأكيد يتناقض مع هذا هو، طبقًا لكوهن، رجوع إلى الإشكالية قبل الكانطية المتمثلة في المذهب فطرية بفرضية الواقعية السيكولوجية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الواقعية الميتافيزيقية هي التي تقود إلى المثالية المطلقة من وراء المثالية النقدية، 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المثالية المطلقة تستخلص كل شيء من وعي الذات، لا من شروط إمكانيته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أكد كوهن على أن القبلي لا يجد معناه إلا في وظيفته السيكولوجية، أي في علاقته الضرورية بالمعرفة وفي دوره المتعالي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يؤكد كوهن بصفة عامة بأنه لا يمكن فهم كانط إذا لم نتجاوز الميتافيزيقي للوصول إلى المتعالي؛ لأن هذا التجاوز هو تجاوز الذاتية إلى الموضوعية والكثرة إلى الوحدة بكلمة مختصرة فالمنطق المتعالي هو الذي يبني المنطق الشكلي، لا العكس</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يكمن المبدأ الأسمى للمنهج المتعالي في إمكانية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المبدأ يعترف بأنه هو نفسه مشكل، يفكر في ذاته ويكتشف ضرورة تحديد نفسه؛ وهذا التحديد الذاتي للعلاقة بالتجربة الممكنة هو الذي يُشكّل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طبقا لكوهن الشيء في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المتعالي نمرّ من التعارض بين الذات والموضوع إلى التقابل بين الظاهرة والنومين </w:t>
      </w:r>
      <w:r>
        <w:rPr>
          <w:rFonts w:eastAsia="Times New Roman" w:cs="Times New Roman" w:ascii="Times New Roman" w:hAnsi="Times New Roman"/>
          <w:color w:val="111111"/>
          <w:sz w:val="28"/>
          <w:szCs w:val="28"/>
          <w:lang w:val="en-US" w:bidi="en-US"/>
        </w:rPr>
        <w:t>Noumenon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يمكن تأويل الشيء في ذاته من حيث الواقعية كوجدان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وتكمن وظيفة الشيء في ذاته في التنظيم النسقي لميدان التجربة ، إنه يؤسس وحدة التجربة وحدودها، إنه قانون الفكر الجوهري للمبادئ القصوى للمعرفة، ولا يمكن أن يكون محدوسًا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المثالية الألمانية قد استعملته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الشيء </w:t>
      </w:r>
      <w:bookmarkStart w:id="107" w:name="pg16300_179372"/>
    </w:p>
    <w:p>
      <w:pPr>
        <w:pStyle w:val="BookText"/>
        <w:rPr/>
      </w:pPr>
      <w:bookmarkEnd w:id="107"/>
      <w:r>
        <w:rPr>
          <w:rFonts w:ascii="Amiri" w:hAnsi="Amiri" w:eastAsia="Amiri" w:cs="Amiri"/>
          <w:color w:val="111111"/>
          <w:sz w:val="28"/>
          <w:sz w:val="28"/>
          <w:szCs w:val="28"/>
          <w:rtl w:val="true"/>
          <w:lang w:bidi="ar-SA"/>
        </w:rPr>
        <w:t>في 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فلأنها بتشخيص الواقع الميتافيزيقي والوعي بالذات في الحدس العقلي، لم تستطع التمييز بين المفكر فيه والشعور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الشيء في ذاته يعبر عن العلاقة الضرورية بين المعرفة والفكر ، فإنه إذا الأساس المتعالي للتمييز بين المعرفة والتفكير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ويكمن دوره السلبي في إظهار نسبية كل معرفة مشروطة ضرورياً بالحواس؛ لكنه يُشير كذلك إلى الوظيفة الإيجابية للفكر ، الذي عليه العمل جاهدًا لتجاوز حدوده، حتى وإن كان هذا التجاوز يأخذ شكل جَمْعِ لا نهائي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كل هذا فقد أوّل كوهن الشرط القطعي لكانط بطريقة أسس بها برنامجًا سياسيًا واجتماعيًا ذا توجه اشتراكي</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5377335_1280447820"/>
      <w:bookmarkStart w:id="109" w:name="_Toc37"/>
      <w:bookmarkEnd w:id="108"/>
      <w:r>
        <w:rPr/>
        <w:t>2</w:t>
      </w:r>
      <w:r>
        <w:rPr>
          <w:rtl w:val="true"/>
        </w:rPr>
        <w:t>.</w:t>
      </w:r>
      <w:r>
        <w:rPr>
          <w:rtl w:val="true"/>
        </w:rPr>
        <w:t>باول ناتروب</w:t>
      </w:r>
      <w:bookmarkEnd w:id="109"/>
    </w:p>
    <w:p>
      <w:pPr>
        <w:pStyle w:val="BookText"/>
        <w:rPr/>
      </w:pPr>
      <w:r>
        <w:rPr>
          <w:rFonts w:eastAsia="Times New Roman" w:cs="Times New Roman" w:ascii="Times New Roman" w:hAnsi="Times New Roman"/>
          <w:color w:val="111111"/>
          <w:sz w:val="28"/>
          <w:szCs w:val="28"/>
          <w:lang w:val="en-US" w:bidi="en-US"/>
        </w:rPr>
        <w:t>Paul Gerhard Natorp</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يعتبر باول ناتروب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مؤسسي مدرسة ماربورغ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فيلسوفا وعالم بيداغوجيا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الموسيقى وتاريخ علم اللغة والفلسفة بجامعة برلين وبون وستراسبورغ الفرنسية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آنذاك مدينةً ألمانية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حصل على شهادة الدكتوراه عام </w:t>
      </w: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عاد إلى ماربورغ حيث اشتغل أستاذًا خاصا، قبل أن يحصل على الأستاذية تحت إشراف هيرمان كوهن ويبدأ عمله كأستاذ جامعي بجامعة ماربورغ إلى غاية حصوله على المعاش عام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الفصل الجامعي الشتوي </w:t>
      </w:r>
      <w:r>
        <w:rPr>
          <w:rFonts w:eastAsia="Amiri" w:cs="Amiri" w:ascii="Amiri" w:hAnsi="Amiri"/>
          <w:color w:val="111111"/>
          <w:sz w:val="28"/>
          <w:szCs w:val="28"/>
          <w:lang w:bidi="ar-SA"/>
        </w:rPr>
        <w:t>1923/24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بإجراء نقاش عميق مع هايدغر الذي اشتغل لمدة معينة بماربورغ، حول كتابه دون سكوتوس وطوماس فون ايرفورت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سبق لناتروب أن قرأه سياسيًا كان ناتروب يساريًا، تعاطف مع قضايا هذا الجناح من الدعوة لتحرير المرأة إلى النداء لإلغاء الحكم بالإعدام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دافع ناتروب، تمامًا ،ككوهن في نظرية المعرفة على مثالية نسقيّة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أصبح التصورُ والفهم الكانطيان عنده مادة وشكل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المكان والزمان فقد كان عنده المحددين الفكريين للعلاقة والحجم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المعطى </w:t>
      </w:r>
      <w:r>
        <w:rPr>
          <w:rFonts w:eastAsia="Times New Roman" w:cs="Times New Roman" w:ascii="Times New Roman" w:hAnsi="Times New Roman"/>
          <w:color w:val="111111"/>
          <w:sz w:val="28"/>
          <w:szCs w:val="28"/>
          <w:lang w:val="en-US" w:bidi="en-US"/>
        </w:rPr>
        <w:t>Gegebene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المتخلى المتنازل عنه </w:t>
      </w:r>
      <w:r>
        <w:rPr>
          <w:rFonts w:eastAsia="Times New Roman" w:cs="Times New Roman" w:ascii="Times New Roman" w:hAnsi="Times New Roman"/>
          <w:color w:val="111111"/>
          <w:sz w:val="28"/>
          <w:szCs w:val="28"/>
          <w:lang w:val="en-US" w:bidi="en-US"/>
        </w:rPr>
        <w:t>Aufgegebenen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علاوة على هذا فإنّ طرح السؤال لا يكون له أي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فالمعارف ليست ذاتيةً، بل يجب أن أن تصبح موضوعيةً بتحديدها القانوني المتمظهر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وتعتبر الوحدة التركيبية القانون الأساسي للمعرفة، والذي يُحدَّد بدوره بالوظائف الأساسية للأصناف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الكيف </w:t>
      </w:r>
      <w:r>
        <w:rPr>
          <w:rFonts w:eastAsia="Times New Roman" w:cs="Times New Roman" w:ascii="Times New Roman" w:hAnsi="Times New Roman"/>
          <w:color w:val="111111"/>
          <w:sz w:val="28"/>
          <w:szCs w:val="28"/>
          <w:lang w:val="en-US" w:bidi="en-US"/>
        </w:rPr>
        <w:t>Qualitat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الكم </w:t>
      </w:r>
      <w:r>
        <w:rPr>
          <w:rFonts w:eastAsia="Times New Roman" w:cs="Times New Roman" w:ascii="Times New Roman" w:hAnsi="Times New Roman"/>
          <w:color w:val="111111"/>
          <w:sz w:val="28"/>
          <w:szCs w:val="28"/>
          <w:lang w:val="en-US" w:bidi="en-US"/>
        </w:rPr>
        <w:t>Quantitat</w:t>
      </w:r>
      <w:r>
        <w:rPr>
          <w:rFonts w:ascii="Amiri" w:hAnsi="Amiri" w:eastAsia="Amiri" w:cs="Amiri"/>
          <w:color w:val="111111"/>
          <w:sz w:val="28"/>
          <w:sz w:val="28"/>
          <w:szCs w:val="28"/>
          <w:rtl w:val="true"/>
          <w:lang w:bidi="ar-SA"/>
        </w:rPr>
        <w:t xml:space="preserve">، العلاقة </w:t>
      </w:r>
      <w:r>
        <w:rPr>
          <w:rFonts w:eastAsia="Times New Roman" w:cs="Times New Roman" w:ascii="Times New Roman" w:hAnsi="Times New Roman"/>
          <w:color w:val="111111"/>
          <w:sz w:val="28"/>
          <w:szCs w:val="28"/>
          <w:lang w:val="en-US" w:bidi="en-US"/>
        </w:rPr>
        <w:t>Relation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والكيفية </w:t>
      </w:r>
      <w:r>
        <w:rPr>
          <w:rFonts w:eastAsia="Times New Roman" w:cs="Times New Roman" w:ascii="Times New Roman" w:hAnsi="Times New Roman"/>
          <w:color w:val="111111"/>
          <w:sz w:val="28"/>
          <w:szCs w:val="28"/>
          <w:lang w:val="en-US" w:bidi="en-US"/>
        </w:rPr>
        <w:t>Modalitat</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بالرجوع إلى الأفكار التنظيمية لكانط، يحدد ناتروب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قانون الواجب </w:t>
      </w:r>
      <w:r>
        <w:rPr>
          <w:rFonts w:eastAsia="Times New Roman" w:cs="Times New Roman" w:ascii="Times New Roman" w:hAnsi="Times New Roman"/>
          <w:color w:val="111111"/>
          <w:sz w:val="28"/>
          <w:szCs w:val="28"/>
          <w:lang w:val="en-US" w:bidi="en-US"/>
        </w:rPr>
        <w:t>das Gesetz des Sollens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حيث تكمن وظيفة الدعامات الواجب اتخاذها لمعرفة اللانهائي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استخرج مستويات هذه المعرفة كغريزة وإرادة ورغبة في العقل، والتي ربطها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طموح بتعاليم الفضيلة والفعلي الحقيقي بالنسبة له، لم يكن هو الفرد، بل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الاقتناع الفكري هو الذي دفع به إلى الدفاع على سياسة تعليم اشتراكية، وبالخصوص في الحق في التعليم المجاني في المدرسة الابتدائية وضرورة تكافؤ الفرص للجميع في 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دافع ناتروب عن فكرة مؤداها أن مصدر الدين هو الإحساس </w:t>
      </w:r>
      <w:r>
        <w:rPr>
          <w:rFonts w:eastAsia="Times New Roman" w:cs="Times New Roman" w:ascii="Times New Roman" w:hAnsi="Times New Roman"/>
          <w:color w:val="111111"/>
          <w:sz w:val="28"/>
          <w:szCs w:val="28"/>
          <w:lang w:val="en-US" w:bidi="en-US"/>
        </w:rPr>
        <w:t>Gefühl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والذي اعتبره بمثابة معرفة الذات مباشرةً، وبالتالي فإن أساس صحة الدين هو الذاتية، وتقود لانهائية الإحساس إلى التعالي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رغب المرء في تلخيص أسس تفكير ناتروب، فقد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التفكير لا يعني الاستنتاج الاستنتاج </w:t>
      </w:r>
      <w:r>
        <w:rPr>
          <w:rFonts w:eastAsia="Times New Roman" w:cs="Times New Roman" w:ascii="Times New Roman" w:hAnsi="Times New Roman"/>
          <w:color w:val="111111"/>
          <w:sz w:val="28"/>
          <w:szCs w:val="28"/>
          <w:lang w:val="en-US" w:bidi="en-US"/>
        </w:rPr>
        <w:t>Beziehen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فقط ، بل </w:t>
      </w:r>
    </w:p>
    <w:p>
      <w:pPr>
        <w:pStyle w:val="BookText"/>
        <w:rPr/>
      </w:pPr>
      <w:r>
        <w:rPr>
          <w:rFonts w:ascii="Amiri" w:hAnsi="Amiri" w:eastAsia="Amiri" w:cs="Amiri"/>
          <w:color w:val="111111"/>
          <w:sz w:val="28"/>
          <w:sz w:val="28"/>
          <w:szCs w:val="28"/>
          <w:rtl w:val="true"/>
          <w:lang w:bidi="ar-SA"/>
        </w:rPr>
        <w:t xml:space="preserve">التواجد في علاقات معيَّنة </w:t>
      </w:r>
      <w:r>
        <w:rPr>
          <w:rFonts w:eastAsia="Times New Roman" w:cs="Times New Roman" w:ascii="Times New Roman" w:hAnsi="Times New Roman"/>
          <w:color w:val="111111"/>
          <w:sz w:val="28"/>
          <w:szCs w:val="28"/>
          <w:lang w:val="en-US" w:bidi="en-US"/>
        </w:rPr>
        <w:t>Beziehungen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وبهذا فإنّ ناتروب يُكيف برنامج تأسيس مصطلحي غوتلوب فريجي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Gott lob rege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المتأثر بلوتسا </w:t>
      </w:r>
      <w:r>
        <w:rPr>
          <w:rFonts w:eastAsia="Times New Roman" w:cs="Times New Roman" w:ascii="Times New Roman" w:hAnsi="Times New Roman"/>
          <w:color w:val="111111"/>
          <w:sz w:val="28"/>
          <w:szCs w:val="28"/>
          <w:lang w:val="en-US" w:bidi="en-US"/>
        </w:rPr>
        <w:t>Lotze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وهو تأسيس أتت به الفلسفة التحليلية عن طريق راسل وفيغتنشطاين، وأصبع العقل التعبيري مع روبيرت براندومس </w:t>
      </w:r>
      <w:r>
        <w:rPr>
          <w:rFonts w:eastAsia="Times New Roman" w:cs="Times New Roman" w:ascii="Times New Roman" w:hAnsi="Times New Roman"/>
          <w:color w:val="111111"/>
          <w:sz w:val="28"/>
          <w:szCs w:val="28"/>
          <w:lang w:val="en-US" w:bidi="en-US"/>
        </w:rPr>
        <w:t>Robert Brandoms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مُحيَّنًا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الوقت الذي كانت فيه التحاليل المقربة من فيغتنشطاين تعتبر العلاقات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كمواضيع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أنها اعتبرتها، بالرجوع إلى الحس العام علاقات فقط دون قيمة، فإن ناتروب اعتبر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العلاقة بوضوح على رأس قائمة كل الاعتبارات المنطقية، وجعل منها بهذا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المفاهيم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والمرور من المفهوم الجوهري إلى المفهوم العلائقي أصبح معروفًا بفضل كاسيرر أحد تلامذة ناتروب كمرور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 الجوهري إلى المفهوم الوظيفي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توقع ما قاله ريخارد رورتي </w:t>
      </w:r>
      <w:r>
        <w:rPr>
          <w:rFonts w:eastAsia="Times New Roman" w:cs="Times New Roman" w:ascii="Times New Roman" w:hAnsi="Times New Roman"/>
          <w:color w:val="111111"/>
          <w:sz w:val="28"/>
          <w:szCs w:val="28"/>
          <w:lang w:val="en-US" w:bidi="en-US"/>
        </w:rPr>
        <w:t>Richard Rorty 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سنة من بعد في صورة مركزة ذاع صيتها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مرآة الطبيعة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ومفادها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التمثلات </w:t>
      </w:r>
      <w:r>
        <w:rPr>
          <w:rFonts w:eastAsia="Times New Roman" w:cs="Times New Roman" w:ascii="Times New Roman" w:hAnsi="Times New Roman"/>
          <w:color w:val="111111"/>
          <w:sz w:val="28"/>
          <w:szCs w:val="28"/>
          <w:lang w:val="en-US" w:bidi="en-US"/>
        </w:rPr>
        <w:t>Repräsentation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أي التصور والعرض للعالم،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ترسمه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ab bildet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لكنها تُنتجه إن التفكير الأساسي 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ارتباطيته الأحادية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المتمثلة في كون المعرفة كعلاقة للتفكير بالموضوع، تعني في الوقت نفسه مرورها إلى وسيلة المعرفة، أدى به منذ البداية إلى ضم الميادين المختلفة إلى بعضها كالطبيعة والثقافة، المنطق والسياسة والبيداغوجيا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مطلبه في هذا الإطار يتمثل في ضرورة تطبيق كل التخصصات من الرياضيات إلى اللغة وعلوم التاريخ في تكوين الشعب كله ، للوصول من جديد بنفسه إلى الحياة والممارسة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w:t>
      </w:r>
    </w:p>
    <w:p>
      <w:pPr>
        <w:pStyle w:val="BookText"/>
        <w:rPr/>
      </w:pPr>
      <w:r>
        <w:rPr>
          <w:rFonts w:ascii="Amiri" w:hAnsi="Amiri" w:eastAsia="Amiri" w:cs="Amiri"/>
          <w:color w:val="111111"/>
          <w:sz w:val="28"/>
          <w:sz w:val="28"/>
          <w:szCs w:val="28"/>
          <w:rtl w:val="true"/>
          <w:lang w:bidi="ar-SA"/>
        </w:rPr>
        <w:t>فإن فكر ناتروب في الفلسفة وعلوم التربية</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Descartes' Erkenntnistheorie. Eine Studie zur Vorgeschichte des Kriticismus. 1882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Religion innerhalb der Grenzen der Humanität: Ein Kapitel zur Grundlegung der Sozialpädagogik. 1894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Sozialpadagogik, 1899; 7. Aufl. 1974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Platos Ideenlehre. 1903; Meiner, Hamburg 2001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Logik in Leitsätzen. 1904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Allgemeinde Pädagogik in Leitsätzen zu akademischen Vorlesungen. 1905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Gesammelte Abhandlungen zur Sozialpädagogik. 3 Bände 1907 - Pestalozzi. Leben und Lehre. 1909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Philosophie und Pädagogik. Untersuchungen auf ihrem Grenzgebiet. Marburg 1909; wieder: Marburg 1923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Die logischen Grundlagen der exaktenWissenschaften. 1910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Philosophie; ihr Problem und ihre Probleme. 1911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Die allgemeine Psychologie nach kritischer Methode. 1912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Der Tag des Deutschen. 1915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Deutscher Weltberuf. 1918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Sozialidealismus. 1920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Beethoven und wir. 1920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Der Deutsche und sein Staat. 1924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مهم للغاية لعصرنا الحالي كذلك</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مجمل القول فإن ناتروب دافع ، كأستاذه كوهن، على مثالية منهجية ورفض وجود الشيء في ذاته وفهم مصدر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التأمل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كمادة وشكل للمعرفة، كما أول المعطى الفعلي كمعطى مُتَخَلَّى عنه، وبذلك أكد على أن المعارف لا يمكن أن تكون ذاتيةً، لكنها تكون كامنة في موضوعية التحديد القانوني للتمظهرات</w:t>
      </w:r>
      <w:r>
        <w:rPr>
          <w:rFonts w:eastAsia="Amiri" w:cs="Amiri" w:ascii="Amiri" w:hAnsi="Amiri"/>
          <w:color w:val="111111"/>
          <w:sz w:val="28"/>
          <w:szCs w:val="28"/>
          <w:rtl w:val="true"/>
          <w:lang w:bidi="ar-SA"/>
        </w:rPr>
        <w:t xml:space="preserve">. </w:t>
      </w:r>
      <w:bookmarkStart w:id="110" w:name="pg16300_179376"/>
    </w:p>
    <w:p>
      <w:pPr>
        <w:pStyle w:val="Heading4"/>
        <w:numPr>
          <w:ilvl w:val="3"/>
          <w:numId w:val="1"/>
        </w:numPr>
        <w:rPr/>
      </w:pPr>
      <w:bookmarkStart w:id="111" w:name="__RefHeading___Toc5377337_1280447820"/>
      <w:bookmarkStart w:id="112" w:name="_Toc38"/>
      <w:bookmarkEnd w:id="110"/>
      <w:bookmarkEnd w:id="111"/>
      <w:r>
        <w:rPr/>
        <w:t>3</w:t>
      </w:r>
      <w:r>
        <w:rPr>
          <w:rtl w:val="true"/>
        </w:rPr>
        <w:t>.</w:t>
      </w:r>
      <w:r>
        <w:rPr>
          <w:rtl w:val="true"/>
        </w:rPr>
        <w:t>إرنست كاسيرر</w:t>
      </w:r>
      <w:bookmarkEnd w:id="112"/>
    </w:p>
    <w:p>
      <w:pPr>
        <w:pStyle w:val="BookText"/>
        <w:rPr/>
      </w:pPr>
      <w:r>
        <w:rPr>
          <w:rFonts w:eastAsia="Times New Roman" w:cs="Times New Roman" w:ascii="Times New Roman" w:hAnsi="Times New Roman"/>
          <w:color w:val="111111"/>
          <w:sz w:val="28"/>
          <w:szCs w:val="28"/>
          <w:lang w:val="en-US" w:bidi="en-US"/>
        </w:rPr>
        <w:t>Ernst Cassirer</w:t>
      </w:r>
    </w:p>
    <w:p>
      <w:pPr>
        <w:pStyle w:val="BookText"/>
        <w:rPr/>
      </w:pPr>
      <w:r>
        <w:rPr>
          <w:rFonts w:ascii="Amiri" w:hAnsi="Amiri" w:eastAsia="Amiri" w:cs="Amiri"/>
          <w:color w:val="111111"/>
          <w:sz w:val="28"/>
          <w:sz w:val="28"/>
          <w:szCs w:val="28"/>
          <w:rtl w:val="true"/>
          <w:lang w:bidi="ar-SA"/>
        </w:rPr>
        <w:t xml:space="preserve">بدأ دراسته الجامعية في قسم القانون عام </w:t>
      </w:r>
      <w:r>
        <w:rPr>
          <w:rFonts w:eastAsia="Amiri" w:cs="Amiri" w:ascii="Amiri" w:hAnsi="Amiri"/>
          <w:color w:val="111111"/>
          <w:sz w:val="28"/>
          <w:szCs w:val="28"/>
          <w:lang w:bidi="ar-SA"/>
        </w:rPr>
        <w:t>1892</w:t>
      </w:r>
      <w:r>
        <w:rPr>
          <w:rFonts w:ascii="Amiri" w:hAnsi="Amiri" w:eastAsia="Amiri" w:cs="Amiri"/>
          <w:color w:val="111111"/>
          <w:sz w:val="28"/>
          <w:sz w:val="28"/>
          <w:szCs w:val="28"/>
          <w:rtl w:val="true"/>
          <w:lang w:bidi="ar-SA"/>
        </w:rPr>
        <w:t>، وأضاف له الأدب الألماني والفلسفة بجامعة برلين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غيورغ سيمل </w:t>
      </w:r>
      <w:r>
        <w:rPr>
          <w:rFonts w:eastAsia="Times New Roman" w:cs="Times New Roman" w:ascii="Times New Roman" w:hAnsi="Times New Roman"/>
          <w:color w:val="111111"/>
          <w:sz w:val="28"/>
          <w:szCs w:val="28"/>
          <w:lang w:val="en-US" w:bidi="en-US"/>
        </w:rPr>
        <w:t>Georg Simmel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أحد الأساتذة الذين تتلمذ على يدهم، وهو الذي قربه من فلسفة كانط ومن هيرمان كوهن، الذي أصبح أستاذه المباشر عندما دَرَسَ في جامعة ماربورغ ابتداءً من عام </w:t>
      </w:r>
      <w:r>
        <w:rPr>
          <w:rFonts w:eastAsia="IRNazanin" w:cs="IRNazanin"/>
          <w:color w:val="111111"/>
          <w:sz w:val="28"/>
          <w:szCs w:val="28"/>
          <w:lang w:bidi="fa-IR"/>
        </w:rPr>
        <w:t>1896</w:t>
      </w:r>
      <w:r>
        <w:rPr>
          <w:rFonts w:ascii="IRNazanin" w:hAnsi="IRNazanin" w:eastAsia="IRNazanin"/>
          <w:color w:val="111111"/>
          <w:sz w:val="28"/>
          <w:sz w:val="28"/>
          <w:szCs w:val="28"/>
          <w:rtl w:val="true"/>
          <w:lang w:bidi="fa-IR"/>
        </w:rPr>
        <w:t>، وهنالك التحق بمدرسة ماربورغ للكانطية الجديدة بصفة رسمية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حصل على شهادة الدكتوراه ببحث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المعرفة الرياضية والعلم طبيعية عند دیكارت، تحت إشراف كل من كوهن وناتروب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حصل على درجة الأستاذية عام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بجامعة برلين ببحث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إشكالية المعرفة في فلسفة وعلوم الوقت الحالي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بعدها في الجامعة نفسها لمدة ثلاثة عشر سنة ، مشتغلاً بالخصوص على نظرية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انتقل للتدريس بجامعة هامبورغ عام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حيث ظلّ إلى أن 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وتقلد كأوّل يهودي منصب عميد الجامعة عامي </w:t>
      </w:r>
      <w:r>
        <w:rPr>
          <w:rFonts w:eastAsia="IRNazanin" w:cs="IRNazanin"/>
          <w:color w:val="111111"/>
          <w:sz w:val="28"/>
          <w:szCs w:val="28"/>
          <w:lang w:bidi="fa-IR"/>
        </w:rPr>
        <w:t>1930/1929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على التوالي المجلدات الثلاثة لعمله الرئيسي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الأشكال الرمزية</w:t>
      </w:r>
    </w:p>
    <w:p>
      <w:pPr>
        <w:pStyle w:val="BookText"/>
        <w:rPr/>
      </w:pPr>
      <w:r>
        <w:rPr>
          <w:rFonts w:eastAsia="Times New Roman" w:cs="Times New Roman" w:ascii="Times New Roman" w:hAnsi="Times New Roman"/>
          <w:color w:val="111111"/>
          <w:sz w:val="28"/>
          <w:szCs w:val="28"/>
          <w:lang w:val="en-US" w:bidi="en-US"/>
        </w:rPr>
        <w:t>Philosophie der symbolischen Formen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كان هدفه من هذا العمل بتتميم وتغيير أفكار كانط، إظهار الطرق المختلفة التي تسمح بمعرفة العالم كالميتوس والدين والعلم واللغة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الرموز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حصل بفضل الطبعة الثانية للبحث الذي حصل به على الأستاذية على جائزة كونو فيشر التي كانت جامعة هايدلبيرغ تمنحها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من التدريس الجامعي على يد النازيين عام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 xml:space="preserve">، رحل على إثرها إلى أنجلترا كلاجئ وبعدها إلى السويد، وحصل عام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الجنسية السويدية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وهاجر عام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أمريكا، حيث دَرَسَ بجامعة أوكسفورد وجامعات أمريكية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وإن كانت شهرته بفضل 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الأشكال الرمزية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ألف مجموعةً من الكتب حول نظرية المعرفة ونظرية العلم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 كاسيرر القبلي المرتبط بالحواس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كمبدأ تأسيسي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فالمكان والزمان لم يعودا قبليين، بل أصبحا تمثلين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يعترف كاسيرر إلا بالقبلي المرتبط بالعقل، كالسببية مثلاً كمبدأ تنظيمي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القبلي بالنسبة له هو شرط لكل حكم واقع، لكنه غير ثابت كما هو الشأن بالنسبة للأصناف الكانطية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فالقبلي هو ثوابتُ منطقية، يؤسس كل تحديد للتجربة ذات القوانين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يتضح بأن ممثلي مدرسة ماربورغ تخلّوا على فرضية كانطية جوهرية، وهي المتمثلة في ثنائية الحس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وقع تغيير في اتجاه المثالية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يشق كاسيرر طريقه الفلسفي الخاص إلا بعد نشر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المفهوم الجوهري والمفهوم الوظيفي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مثلاً بأن مفهوم الرياضيات ومفهوم العلوم الطبيعية هما من المفاهيم العلائقية لا مفاهيم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وطبقا لهذا فإن الواقعية النسبية </w:t>
      </w:r>
      <w:r>
        <w:rPr>
          <w:rFonts w:eastAsia="Times New Roman" w:cs="Times New Roman" w:ascii="Times New Roman" w:hAnsi="Times New Roman"/>
          <w:color w:val="111111"/>
          <w:sz w:val="28"/>
          <w:szCs w:val="28"/>
          <w:lang w:val="en-US" w:bidi="en-US"/>
        </w:rPr>
        <w:t>Dinglichkeit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تُنتج عن طريق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كان يرى بأن مفاهيم العلوم الحقة هي حلقات في سلسلة تربط تشعب التصور بطريقة معينة، وطبقا لقانون مسبق تمرّ في صيرورة لانهائية لتطور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موضوع المعرفة بالنسبة لكاسيرر نسيج من العلاقات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وتتم الوحدة بين التفكير والوجود من مبدأي تقارب السلسلة </w:t>
      </w:r>
      <w:r>
        <w:rPr>
          <w:rFonts w:eastAsia="Times New Roman" w:cs="Times New Roman" w:ascii="Times New Roman" w:hAnsi="Times New Roman"/>
          <w:color w:val="111111"/>
          <w:sz w:val="28"/>
          <w:szCs w:val="28"/>
          <w:lang w:val="en-US" w:bidi="en-US"/>
        </w:rPr>
        <w:t>Konvergenz der Reihe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وتقارب الخبرة </w:t>
      </w:r>
      <w:r>
        <w:rPr>
          <w:rFonts w:eastAsia="Times New Roman" w:cs="Times New Roman" w:ascii="Times New Roman" w:hAnsi="Times New Roman"/>
          <w:color w:val="111111"/>
          <w:sz w:val="28"/>
          <w:szCs w:val="28"/>
          <w:lang w:val="en-US" w:bidi="en-US"/>
        </w:rPr>
        <w:t>Konvergenz der Erfahrung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ولا تُعتبر النظرية ضربًا من التخمين بل وصفًا عن طريق اللغة الرمزية </w:t>
      </w:r>
    </w:p>
    <w:p>
      <w:pPr>
        <w:pStyle w:val="BookText"/>
        <w:rPr/>
      </w:pPr>
      <w:r>
        <w:rPr>
          <w:rFonts w:ascii="Amiri" w:hAnsi="Amiri" w:eastAsia="Amiri" w:cs="Amiri"/>
          <w:color w:val="111111"/>
          <w:sz w:val="28"/>
          <w:sz w:val="28"/>
          <w:szCs w:val="28"/>
          <w:rtl w:val="true"/>
          <w:lang w:bidi="ar-SA"/>
        </w:rPr>
        <w:t xml:space="preserve">للرياضيات، حيث لا وجود لأي رسوم توضيحية، لكن توجد فقط علاقةٌ </w:t>
      </w:r>
      <w:r>
        <w:rPr>
          <w:rFonts w:eastAsia="Times New Roman" w:cs="Times New Roman" w:ascii="Times New Roman" w:hAnsi="Times New Roman"/>
          <w:color w:val="111111"/>
          <w:sz w:val="28"/>
          <w:szCs w:val="28"/>
          <w:lang w:val="en-US" w:bidi="en-US"/>
        </w:rPr>
        <w:t>Beziehung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واضحةٌ تُقدَّم كعلاقة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Relation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ويعتبر العلوم التجريبية بمثابة التشريح الوصفي والربط التركيبي لأجزاء الأنساق في كلٌّ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الرغم من أن كاسيرر كان ماربورغيًا مقتنعًا بالكانطية الجديدة وفلسفة كانط على العموم، فإنه في فلسفته الثقافية يُظهر بعض الاختلاف الواضح مع كانط ومدرسة ماربورغ لقد وسّع المفهوم المعرفة إلى أن أصبح عنده المبدأ التوجيهي المسمى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التجربة أو المعيش </w:t>
      </w:r>
      <w:r>
        <w:rPr>
          <w:rFonts w:eastAsia="Times New Roman" w:cs="Times New Roman" w:ascii="Times New Roman" w:hAnsi="Times New Roman"/>
          <w:color w:val="111111"/>
          <w:sz w:val="28"/>
          <w:szCs w:val="28"/>
          <w:lang w:val="en-US" w:bidi="en-US"/>
        </w:rPr>
        <w:t>Erleben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وموضوع فلسفته الثقافية ليس هو فقط المعرفة ، بل فهم العالم </w:t>
      </w:r>
      <w:r>
        <w:rPr>
          <w:rFonts w:eastAsia="Times New Roman" w:cs="Times New Roman" w:ascii="Times New Roman" w:hAnsi="Times New Roman"/>
          <w:color w:val="111111"/>
          <w:sz w:val="28"/>
          <w:szCs w:val="28"/>
          <w:lang w:val="en-US" w:bidi="en-US"/>
        </w:rPr>
        <w:t>Weltverstandnis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وكان هدفه الأساس هو التنبيه إلى أن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العلوم الصارمة، يُعبر عن نفسه في اللغة والأساطير والدين والفن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التاريخ والتقنية والعلم والأخلاق والسياسة لها عوالم معيش </w:t>
      </w:r>
      <w:r>
        <w:rPr>
          <w:rFonts w:eastAsia="Times New Roman" w:cs="Times New Roman" w:ascii="Times New Roman" w:hAnsi="Times New Roman"/>
          <w:color w:val="111111"/>
          <w:sz w:val="28"/>
          <w:szCs w:val="28"/>
          <w:lang w:val="en-US" w:bidi="en-US"/>
        </w:rPr>
        <w:t>Erlebniswelten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يبتعد كاسيرر عن كانط والكانطية الجديدة بتأكيده على أن المفاهيم وحدها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الشأن بالنسبة لكانط ليست هي التي تساهم في المعرفة، بل إنّ كلَّ شكل من أشكال العلاقة بالعالم متوقفة على الترميز </w:t>
      </w:r>
      <w:r>
        <w:rPr>
          <w:rFonts w:eastAsia="Times New Roman" w:cs="Times New Roman" w:ascii="Times New Roman" w:hAnsi="Times New Roman"/>
          <w:color w:val="111111"/>
          <w:sz w:val="28"/>
          <w:szCs w:val="28"/>
          <w:lang w:val="en-US" w:bidi="en-US"/>
        </w:rPr>
        <w:t>Symbolisierung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وهنا يوجد الإنسان بالنسبة لكاسيرر في العالم دائماً غير مضطر أن وهو يبني قنطرةً للوصول إليه، كالذات الكانطية التي ليس لها أيُّ عالم وعكس كانط الذي كان يعتقد بأن أساس العلاقة بالعالم هي الملكات المعرفية</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المجردة، لكن التوجه اليومي في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الحديث عن مساهمة كاسيرر في الكانطية الجديدة في جناحها الماربورغي قد يطول، نظرًا لغنى المواضيع التي عالجها وتنوعها وأهميتها</w:t>
      </w:r>
      <w:r>
        <w:rPr>
          <w:rStyle w:val="FootnoteAnchor"/>
          <w:rtl w:val="true"/>
        </w:rPr>
        <w:footnoteReference w:id="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Kant und die moderne Mathematik. In: Kant-Studien. Band 12, 1907, S. 1-40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Das Erkenntnisproblem in der Philosophie und Wissenschaft der neueren Zeit. 1. Band 1906, 2. Band 1907, 3. Band 1920 (die Nachkantischen systeme), 1957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Kant Leben und Lehre, 1918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Heinrich von Kleist und die Kantische Philosophie, Reither und Reichard, Berlin 1919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Idee und Gestalt. Goethe, Schiller, Hölderlin, Kleist. 1921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Philosophie der Symbolischen Formen (Band 1: Die Sprache, 1923; Band 2: Das mythische Denken, 1925; Band 3: Phänomenologie der Erkenntnis, 1929)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Sprache und Mythos - Ein Beitrag zum Problem der Götternamen, 1925 (wieder abgedruckt in: Wesen und Wirkung des Symbolbegriffs, Wissenschaftliche Buchgesellschaft WBG, Darmstadt 1994, S. 71-158) - Kant und das Problem der Metaphysik. Bemerkungen zu Martin Heideggers Kantinterpretation. In: Kant-Studien. Band 36, 1931, S. 1-16 - Erkenntnistheorie nebst den Grenzfragen der Logik und Denkpsychologie. In: Jahrbücher der Philosophie. Band 3, 1927, S. 31-92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لا يسع المقام هنا لتتبعها كلها، لذلك نترك الحديث عنه هنا ونذكر فقط بأن تأثيره كان كبيراً على من جاء بعده في أعماله</w:t>
      </w:r>
    </w:p>
    <w:p>
      <w:pPr>
        <w:pStyle w:val="BookText"/>
        <w:rPr/>
      </w:pPr>
      <w:r>
        <w:rPr>
          <w:rFonts w:ascii="Amiri" w:hAnsi="Amiri" w:eastAsia="Amiri" w:cs="Amiri"/>
          <w:color w:val="111111"/>
          <w:sz w:val="28"/>
          <w:sz w:val="28"/>
          <w:szCs w:val="28"/>
          <w:rtl w:val="true"/>
          <w:lang w:bidi="ar-SA"/>
        </w:rPr>
        <w:t xml:space="preserve">كموريس ميرلو بونتي مثلا وإيريك فايلس </w:t>
      </w:r>
      <w:r>
        <w:rPr>
          <w:rFonts w:eastAsia="Times New Roman" w:cs="Times New Roman" w:ascii="Times New Roman" w:hAnsi="Times New Roman"/>
          <w:color w:val="111111"/>
          <w:sz w:val="28"/>
          <w:szCs w:val="28"/>
          <w:lang w:val="en-US" w:bidi="en-US"/>
        </w:rPr>
        <w:t>Eric Weils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المبكرة وكليفورد غيتس </w:t>
      </w:r>
      <w:r>
        <w:rPr>
          <w:rFonts w:eastAsia="Times New Roman" w:cs="Times New Roman" w:ascii="Times New Roman" w:hAnsi="Times New Roman"/>
          <w:color w:val="111111"/>
          <w:sz w:val="28"/>
          <w:szCs w:val="28"/>
          <w:lang w:val="en-US" w:bidi="en-US"/>
        </w:rPr>
        <w:t>Clifford Geetz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سوزانا لانجر </w:t>
      </w:r>
      <w:r>
        <w:rPr>
          <w:rFonts w:eastAsia="Times New Roman" w:cs="Times New Roman" w:ascii="Times New Roman" w:hAnsi="Times New Roman"/>
          <w:color w:val="111111"/>
          <w:sz w:val="28"/>
          <w:szCs w:val="28"/>
          <w:lang w:val="en-US" w:bidi="en-US"/>
        </w:rPr>
        <w:t>Susanne anger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ونيلسون غودمان </w:t>
      </w:r>
      <w:r>
        <w:rPr>
          <w:rFonts w:eastAsia="Times New Roman" w:cs="Times New Roman" w:ascii="Times New Roman" w:hAnsi="Times New Roman"/>
          <w:color w:val="111111"/>
          <w:sz w:val="28"/>
          <w:szCs w:val="28"/>
          <w:lang w:val="en-US" w:bidi="en-US"/>
        </w:rPr>
        <w:t>Nelson Goodman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وآخرين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بإيجاز فإن كاسيرر وسّع فلسفة مدرسة ماربورغ، انطلاقا من أصناف المعرفة، لتصبح أشكالاً رمزياً مختلفةً مستقلة كاللغة والدين والفن والتقنية والتاريخ والقانون</w:t>
      </w:r>
      <w:r>
        <w:rPr>
          <w:rFonts w:eastAsia="Amiri" w:cs="Amiri" w:ascii="Amiri" w:hAnsi="Amiri"/>
          <w:color w:val="111111"/>
          <w:sz w:val="28"/>
          <w:szCs w:val="28"/>
          <w:rtl w:val="true"/>
          <w:lang w:bidi="ar-SA"/>
        </w:rPr>
        <w:t xml:space="preserve">. </w:t>
      </w:r>
      <w:bookmarkStart w:id="113" w:name="pg16300_179380"/>
    </w:p>
    <w:p>
      <w:pPr>
        <w:pStyle w:val="Heading4"/>
        <w:numPr>
          <w:ilvl w:val="3"/>
          <w:numId w:val="1"/>
        </w:numPr>
        <w:rPr/>
      </w:pPr>
      <w:bookmarkStart w:id="114" w:name="__RefHeading___Toc5377339_1280447820"/>
      <w:bookmarkStart w:id="115" w:name="_Toc39"/>
      <w:bookmarkEnd w:id="113"/>
      <w:bookmarkEnd w:id="114"/>
      <w:r>
        <w:rPr/>
        <w:t>4</w:t>
      </w:r>
      <w:r>
        <w:rPr>
          <w:rtl w:val="true"/>
        </w:rPr>
        <w:t xml:space="preserve">. </w:t>
      </w:r>
      <w:r>
        <w:rPr>
          <w:rtl w:val="true"/>
        </w:rPr>
        <w:t>کارل فورليندر</w:t>
      </w:r>
      <w:bookmarkEnd w:id="115"/>
    </w:p>
    <w:p>
      <w:pPr>
        <w:pStyle w:val="BookText"/>
        <w:rPr/>
      </w:pPr>
      <w:r>
        <w:rPr>
          <w:rFonts w:eastAsia="Times New Roman" w:cs="Times New Roman" w:ascii="Times New Roman" w:hAnsi="Times New Roman"/>
          <w:color w:val="111111"/>
          <w:sz w:val="28"/>
          <w:szCs w:val="28"/>
          <w:lang w:val="en-US" w:bidi="en-US"/>
        </w:rPr>
        <w:t>Karl Vorlander</w:t>
      </w:r>
    </w:p>
    <w:p>
      <w:pPr>
        <w:pStyle w:val="BookText"/>
        <w:rPr/>
      </w:pPr>
      <w:r>
        <w:rPr>
          <w:rFonts w:ascii="Amiri" w:hAnsi="Amiri" w:eastAsia="Amiri" w:cs="Amiri"/>
          <w:color w:val="111111"/>
          <w:sz w:val="28"/>
          <w:sz w:val="28"/>
          <w:szCs w:val="28"/>
          <w:rtl w:val="true"/>
          <w:lang w:bidi="ar-SA"/>
        </w:rPr>
        <w:t xml:space="preserve">دَرَسَ كارل فورليندر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الفلسفة والأدب الألماني والتاريخ بجامعة برلين، وانتقل إلى جامعة ماربورغ حيث عكف على دراسة الفلسفة وحدها على يد كوهن وناتروب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دافع على أطروحة دكتوراه ببحث 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الدفاع على كانط ضد تهمة الشكلانية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اشتهر فورليندر ببحوثه الممتازة حول كانط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اشتغل بنجاح على لغة كانط ونشر بين عام </w:t>
      </w: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أغلبية مؤلفات كانط، بمقدمات عالية المستوى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ونشر عام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بيوغرافيا لكانط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إيمانويل كانط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والمؤَلَّف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رفض فورليندر تاريخ الفلسفة الذي تعرّف عليه في زمانه، مُتّهما إياه بالذاتية وعدم الموضوعية، وبالتالي عدم جدواه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وتجدر الإشارة إلى أنه حاول في كتابته لتاريخ الفلسفة تطبيق المنهج التاريخي النقدي، مع الأخذ بعين الاعتبار للجانب الثقافي التاريخي والعلمي التاريخي، إضافةً إلى العوامل النسقية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يؤكد على أن مؤرخ الفلسفة لا بد أن يكون فيلسوفا أيضا، وكان يعتبر تاريخ الفلسفة الذي كان يشتغل عليه مطابقًا للعقل والفلسفة كتصور للعالم مطابق للعقل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حدود </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خمسة أجزاء من مشروعه حول</w:t>
      </w:r>
    </w:p>
    <w:p>
      <w:pPr>
        <w:pStyle w:val="BookText"/>
        <w:rPr/>
      </w:pPr>
      <w:r>
        <w:rPr>
          <w:rFonts w:ascii="Amiri" w:hAnsi="Amiri" w:eastAsia="Amiri" w:cs="Amiri"/>
          <w:color w:val="111111"/>
          <w:sz w:val="28"/>
          <w:sz w:val="28"/>
          <w:szCs w:val="28"/>
          <w:rtl w:val="true"/>
          <w:lang w:bidi="ar-SA"/>
        </w:rPr>
        <w:t>تاريخ الفلسفة، لازال المرء يعيد طبعها إلى حد الساعة</w:t>
      </w:r>
      <w:r>
        <w:rPr>
          <w:rStyle w:val="FootnoteAnchor"/>
          <w:rtl w:val="true"/>
        </w:rPr>
        <w:footnoteReference w:id="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Ausgaben von Werken Kants (Kritik der reinen Vernunft, mit Register, 1899, u.a.)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Die Kantsche Begründung des Moralprinzips, 1889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Der Formalismus der Kantschen Ethik in seiner Notwendigkeit und Fruchtbarkeit, Diss. phil. Marburg 1893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Goethes Verhältnis zu Kant (Kantstudien I ff.)</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Kant und der Sozialismus, 1900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Die neukantische Bewegung im Sozialismus, 1902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Geschichte der Philosophie, 1. A. 1903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Kant, Schiller, Goethe, 1907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Marx und Kant, 1904; 1911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Kant und Marx: ein Beitrag zur Philosophie des Sozialismus, 1911; 1926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Immanuel Kant. Der Mann und das Werk, Hamburg: Meiner, 1924, 3. erw. Aufl. 1992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Von Machiavelli bis Lenin. Neuzeitliche Staats- und Gesellschaftstheorien. Leipzig 1926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قريبًا من كوهن في انشغاله بالكانطية المحدثة، وكان كوهن وناتروب يقدّران كثيراً مثابرته فى العمل ونزاهة شخصيته سياسيًا كان اشتراكيًا ديمقراطيًا، وكباقي الكانطيين الجدد الماربورغيين كان يعتقد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أساس الأخلاق الكانطية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يمكن بناء مجتمع ومواطنين بإرادة ذاتية قوية إلا بمساعدة الحركة الإشتراكية الصاعدة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الماربورغيون الكانطيون الجدد مقتنعين بأن الإشتراكية مبررة أخلاقيَّا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وبأن الرأسمالية غير عادلة ولا أخلاقية، لأن العمال لا يمكنهم السلوك بحرية، بل يستغلهم المرء كأداة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يعتبرون الضرورة القطعية لكانط مبداً ،أزليّاً، وعليه تتأسس الاشتراكية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ويشرح فورليندر هذا الفهم في محاضرة له ألقاها بفيينا حول كانط وماركس 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أبريل </w:t>
      </w:r>
      <w:r>
        <w:rPr>
          <w:rFonts w:eastAsia="Amiri" w:cs="Amiri" w:ascii="Amiri" w:hAnsi="Amiri"/>
          <w:color w:val="111111"/>
          <w:sz w:val="28"/>
          <w:szCs w:val="28"/>
          <w:lang w:bidi="ar-SA"/>
        </w:rPr>
        <w:t>1904</w:t>
      </w:r>
      <w:r>
        <w:rPr>
          <w:rFonts w:ascii="Amiri" w:hAnsi="Amiri" w:eastAsia="Amiri" w:cs="Amiri"/>
          <w:color w:val="111111"/>
          <w:sz w:val="28"/>
          <w:sz w:val="28"/>
          <w:szCs w:val="28"/>
          <w:rtl w:val="true"/>
          <w:lang w:bidi="ar-SA"/>
        </w:rPr>
        <w:t xml:space="preserve">، حيث يقول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يعترف الفلاسفة الاجتماعيون لليوم والذين تتحدد طريقة عملهم من خلال المعرفة النقدية الكانطية بالمادية التاريخية كتقدم علمي 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 في هذه المحاضرة ناتروب وشتاودينغر </w:t>
      </w:r>
      <w:r>
        <w:rPr>
          <w:rFonts w:eastAsia="Times New Roman" w:cs="Times New Roman" w:ascii="Times New Roman" w:hAnsi="Times New Roman"/>
          <w:color w:val="111111"/>
          <w:sz w:val="28"/>
          <w:szCs w:val="28"/>
          <w:lang w:val="en-US" w:bidi="en-US"/>
        </w:rPr>
        <w:t>Staudinger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وشتاملر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Stamm ler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بين هؤلاء الفلاسفة الاجتماعيين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وإن كان أقرّ بأنه لا وجود لأي أفكار سياسية اجتماعية عند </w:t>
      </w:r>
      <w:bookmarkStart w:id="116" w:name="pg16300_179382"/>
    </w:p>
    <w:p>
      <w:pPr>
        <w:pStyle w:val="BookText"/>
        <w:rPr/>
      </w:pPr>
      <w:bookmarkEnd w:id="116"/>
      <w:r>
        <w:rPr>
          <w:rFonts w:ascii="IRNazanin" w:hAnsi="IRNazanin" w:eastAsia="IRNazanin"/>
          <w:color w:val="111111"/>
          <w:sz w:val="28"/>
          <w:sz w:val="28"/>
          <w:szCs w:val="28"/>
          <w:rtl w:val="true"/>
          <w:lang w:bidi="fa-IR"/>
        </w:rPr>
        <w:t xml:space="preserve">كانط، إلا أنه لم يتعب من التأكيد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الأخلاق الخالصة لكانط أو الضرورة القطعية كمبدأ أخلاقي كان موجها لكل مواطني دولة ما ، بل للإنسانية جمعاء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ويوجد هذا المبدأ في الاشتراكية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ويستشهد فورليندر بما قاله كوهن في هذا الإطار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كانط الواضع الحقيقي والفعلي للاشتراكية الألمانية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سبقت الإشارة، فإن نقطة الربط بین كانط والاشتراكية في نظر فورليندر هي الضرورة القطعية، ويُعتبر هذا الربط ضروريًا في نظره ، عندما يتعلق الأمر بتطبيق المثل الاشتراكية، والتي يؤوّلها كمملكة للأهداف الكانطية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ذلك لم يصل الأمر بين الطرفين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الاشتراكية والكانطية الجديدة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حد تطوير تصوّرِ سياسي مشترك، بل إن الحركة الإشتراكية في ألمانيا انقسمت على نفسها عام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وافق الفريق الاشتراكي في البرلمان على المشاركة في الحرب العالمية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وأثر هذا الأمر على مدرسة ماربورغ، التي عرفت صراعات داخلية وانسحاب بعض ممثليها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ويفترض بعض المحللين اليوم بأن الاشتراكيين كانوا يرون في مثالية الكانطية الجديدة الماربورغية منافسًا لمثاليتهم، 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بهم كخيط رفيع معادٍ للاشتراكية للأيديولوجيين</w:t>
      </w:r>
    </w:p>
    <w:p>
      <w:pPr>
        <w:pStyle w:val="BookText"/>
        <w:rPr/>
      </w:pPr>
      <w:r>
        <w:rPr>
          <w:rFonts w:ascii="Amiri" w:hAnsi="Amiri" w:eastAsia="Amiri" w:cs="Amiri"/>
          <w:color w:val="111111"/>
          <w:sz w:val="28"/>
          <w:sz w:val="28"/>
          <w:szCs w:val="28"/>
          <w:rtl w:val="true"/>
          <w:lang w:bidi="ar-SA"/>
        </w:rPr>
        <w:t>البرورجوازيين</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 w:name="__RefHeading___Toc5377341_1280447820"/>
      <w:bookmarkStart w:id="118" w:name="_Toc40"/>
      <w:bookmarkEnd w:id="117"/>
      <w:r>
        <w:rPr/>
        <w:t>5</w:t>
      </w:r>
      <w:r>
        <w:rPr>
          <w:rtl w:val="true"/>
        </w:rPr>
        <w:t xml:space="preserve">. </w:t>
      </w:r>
      <w:r>
        <w:rPr>
          <w:rtl w:val="true"/>
        </w:rPr>
        <w:t>كارل يوليوس تيودور رودولف شتاملر</w:t>
      </w:r>
      <w:bookmarkEnd w:id="118"/>
    </w:p>
    <w:p>
      <w:pPr>
        <w:pStyle w:val="BookText"/>
        <w:rPr/>
      </w:pPr>
      <w:r>
        <w:rPr>
          <w:rFonts w:eastAsia="Times New Roman" w:cs="Times New Roman" w:ascii="Times New Roman" w:hAnsi="Times New Roman"/>
          <w:color w:val="111111"/>
          <w:sz w:val="28"/>
          <w:szCs w:val="28"/>
          <w:lang w:val="en-US" w:bidi="en-US"/>
        </w:rPr>
        <w:t>Karl Eduard Julius Theodor Rudolf Stammler</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دَرَسَ شتاملر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القانون في كل من غيسن </w:t>
      </w:r>
      <w:r>
        <w:rPr>
          <w:rFonts w:eastAsia="Times New Roman" w:cs="Times New Roman" w:ascii="Times New Roman" w:hAnsi="Times New Roman"/>
          <w:color w:val="111111"/>
          <w:sz w:val="28"/>
          <w:szCs w:val="28"/>
          <w:lang w:val="en-US" w:bidi="en-US"/>
        </w:rPr>
        <w:t>Gießen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يبتزيك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اشتغل بعد تخرجه وحصوله على الأستاذية، بجامعة </w:t>
      </w:r>
    </w:p>
    <w:p>
      <w:pPr>
        <w:pStyle w:val="BookText"/>
        <w:rPr/>
      </w:pPr>
      <w:r>
        <w:rPr>
          <w:rFonts w:ascii="Amiri" w:hAnsi="Amiri" w:eastAsia="Amiri" w:cs="Amiri"/>
          <w:color w:val="111111"/>
          <w:sz w:val="28"/>
          <w:sz w:val="28"/>
          <w:szCs w:val="28"/>
          <w:rtl w:val="true"/>
          <w:lang w:bidi="ar-SA"/>
        </w:rPr>
        <w:t xml:space="preserve">ماربورغ قبل أن يغادرها لجامعة غيسن وبعدها إلى جامعة هالا </w:t>
      </w:r>
      <w:r>
        <w:rPr>
          <w:rFonts w:eastAsia="Times New Roman" w:cs="Times New Roman" w:ascii="Times New Roman" w:hAnsi="Times New Roman"/>
          <w:color w:val="111111"/>
          <w:sz w:val="28"/>
          <w:szCs w:val="28"/>
          <w:lang w:val="en-US" w:bidi="en-US"/>
        </w:rPr>
        <w:t>Halle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ومنها من جديد إلى جامعة برلين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أسس عام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فلسفة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إبان الحكم النازي منخرطا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الحرية الألمانية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كان تابعًا للحزب العمال الألماني الاشتراكي الوطني</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وبعدها كان عضوًا في لجنة فلسفة القانون لأكاديمية القانون الألماني التي أسسها وزير العدل النازي الألماني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وإن لم يكن أعلن معارضته للنازية، فإنه لم يلتزم بها مباشرةً ولم يكن من مناضليها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 شتاملر كمؤسس لفلسفة القانون للكانطية الجديدة، ودارت مؤلفاته كلها تقريبًا حول القانون </w:t>
      </w:r>
      <w:r>
        <w:rPr>
          <w:rStyle w:val="FootnoteAnchor"/>
          <w:rtl w:val="true"/>
        </w:rPr>
        <w:footnoteReference w:id="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Die Behandlung des Römischen Rechts in dem juristischen Studium nach Einführung des Deutschen Reichs-Civilgesetzbuches. Akademische Antrittsrede. Mohr, Freiburg 1885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Praktische Pandektenübung für Anfänger. Veit, Leipzig 1893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Theorie der Rechtswissenschaft. Scientia, Aalen 1970. Neudruck der 2. Auflage Halle 1923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Lehrbuch der Rechtsphilosophie. de Gruyter, Berlin 1970. 3. verm. Auflage. Unveränderter photomechanischer Nachdruck: de Gruyter, Berlin, Leipzig 1928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Die Lehre von dem richtigen Rechte. Wissenschaftliche Buchgesellschaft, Unveränderter reprografischer Nachdruck der Darmstadt 1964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neubearbeiteten Auflage: Halle (Saale) 1926</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يرى بأن مادة الحياة الاجتماعية تتمثل في الاقتصاد وشكل القانون المطبق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الضروري، طبقًا له، تحديد القانون بطريقة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يرفض شتاملر القانون الطبيعي مبدئيًا، لكنه كان يؤكد على ضرورة أخذ الشروط الاجتماعية بعين الاعتبار في التغييرات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w:t>
      </w:r>
      <w:bookmarkStart w:id="119" w:name="pg16300_179384"/>
    </w:p>
    <w:p>
      <w:pPr>
        <w:pStyle w:val="BookText"/>
        <w:rPr/>
      </w:pPr>
      <w:bookmarkEnd w:id="119"/>
      <w:r>
        <w:rPr>
          <w:rFonts w:ascii="Amiri" w:hAnsi="Amiri" w:eastAsia="Amiri" w:cs="Amiri"/>
          <w:color w:val="111111"/>
          <w:sz w:val="28"/>
          <w:sz w:val="28"/>
          <w:szCs w:val="28"/>
          <w:rtl w:val="true"/>
          <w:lang w:bidi="ar-SA"/>
        </w:rPr>
        <w:t xml:space="preserve">الطريقة الوضعية التاريخية التي كانت سائدةً في دراسة القانون، سببًا في اقتراحه لفهم جديد للقانون لخصه في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تابعًا في ذلك كانط ورافضا بوضوح الأفكار الماركسية في هذا الإطار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من مفهوم للقانون صالح بالضرورة، لكنه يعدله عندما يحدده بدقة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يعتبر تشريع القانون كإجراء للنظام الروحي ، الناتج عن الإرادة الإنسانية وكان يرى في القانون نوعًا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محاولة فرض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آخر المطاف توافق 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اللمضمون الممكن للإرادة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الأطروحات البعيدة الأمر لشتاملر حول الإرادة والعدل وعلاقة القانون بالاقتصاد سببًا في جدالات البيئة العلمية لزمانه والتي كانت مسيسةً بما فيه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جهة كان عمل شتاملر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أعتبر في ذلك الوقت عملا مثاليا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بالنسبة لما كان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اشتراكيي الكنيسة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أخرى قدم لماكس فيبر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في ذلك الوقت كمادي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منطلقات الهجوم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فيبر بالنسبة لشتاملر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تجريبيا غير كامل، متوسط</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5377343_1280447820"/>
      <w:bookmarkStart w:id="121" w:name="_Toc41"/>
      <w:bookmarkEnd w:id="120"/>
      <w:r>
        <w:rPr/>
        <w:t>6</w:t>
      </w:r>
      <w:r>
        <w:rPr>
          <w:rtl w:val="true"/>
        </w:rPr>
        <w:t xml:space="preserve">. </w:t>
      </w:r>
      <w:r>
        <w:rPr>
          <w:rtl w:val="true"/>
        </w:rPr>
        <w:t>فالتر أدريان شوكين</w:t>
      </w:r>
      <w:bookmarkEnd w:id="121"/>
    </w:p>
    <w:p>
      <w:pPr>
        <w:pStyle w:val="BookText"/>
        <w:rPr/>
      </w:pPr>
      <w:r>
        <w:rPr>
          <w:rFonts w:eastAsia="Times New Roman" w:cs="Times New Roman" w:ascii="Times New Roman" w:hAnsi="Times New Roman"/>
          <w:color w:val="111111"/>
          <w:sz w:val="28"/>
          <w:szCs w:val="28"/>
          <w:lang w:val="en-US" w:bidi="en-US"/>
        </w:rPr>
        <w:t>Walther Adrian Schücking</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شوكين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سياسيا ليبراليا، متخصصا في القانون الدولي ومن دعاة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وآخر قاض ألماني لحد الساعة اشتغل كقاض في محكمة العدل الدولية بهاغ </w:t>
      </w:r>
      <w:r>
        <w:rPr>
          <w:rFonts w:eastAsia="Times New Roman" w:cs="Times New Roman" w:ascii="Times New Roman" w:hAnsi="Times New Roman"/>
          <w:color w:val="111111"/>
          <w:sz w:val="28"/>
          <w:szCs w:val="28"/>
          <w:lang w:val="en-US" w:bidi="en-US"/>
        </w:rPr>
        <w:t>Haag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سنة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توفي بدأ دراسته الجامعية بجامعة ميونيخ عام </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تخصص العلوم القانونية، وغادرها إلى جامعة بون ومنها إلى برلين وحصل على شهادة دكتوراه بجامعة غوتينغن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على شهادة الأستاذية التي خولت له التدريس عام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بجامعة بريسلاو، قبل أن ينتقل لجامعة ماربورغ، حيث درس قانون الدولة والقانون الدولي وقانون الكنيسة والإدارة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ماربورغ كانت له اتصالات بكوهن وناتروب، لأنه فضل الكانطية الجديدة على القانون المحافظ الذي كان مُمَثلا من طرف أساتذة جامعة ماربورغ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انخرط شوكين في السياسة وتقدم للانتخابات البرلمانية مرتين لكنه لم يتوفق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سياسيًا ضد الحكومة البروسية، ولم تمر هذه المعارضة دون آثار جانبية عليه، حيث عُزل أمد الحياة كأستاذ عضو في امتحانات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البروسيين بالمرور إلى نظام برلماني وبحقوق المرأة وفصل الدولة عن الكنيسة والتوازن بين الرأسمالية والاشتراكية والصلح بين القومية والعالمية وإدماج الدمقراطيين الإشتراكيين في الدولة</w:t>
      </w:r>
      <w:r>
        <w:rPr>
          <w:rStyle w:val="FootnoteAnchor"/>
          <w:rtl w:val="true"/>
        </w:rPr>
        <w:footnoteReference w:id="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Quellensammlung zum preußischen Staatsrecht. Mohr, Tübingen 1907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Der Staatenverband der Haager Konferenzen. Duncker &amp; Humblot, Leipzig 1912. Der</w:t>
      </w:r>
    </w:p>
    <w:p>
      <w:pPr>
        <w:pStyle w:val="BookText"/>
        <w:rPr/>
      </w:pPr>
      <w:r>
        <w:rPr>
          <w:rFonts w:eastAsia="Times New Roman" w:cs="Times New Roman" w:ascii="Times New Roman" w:hAnsi="Times New Roman"/>
          <w:color w:val="111111"/>
          <w:sz w:val="28"/>
          <w:szCs w:val="28"/>
          <w:lang w:val="en-US" w:bidi="en-US"/>
        </w:rPr>
        <w:t>Pazifisten. eines Kriegsaufsätze Dauerfriede</w:t>
      </w:r>
    </w:p>
    <w:p>
      <w:pPr>
        <w:pStyle w:val="BookText"/>
        <w:rPr/>
      </w:pPr>
      <w:r>
        <w:rPr>
          <w:rFonts w:eastAsia="Times New Roman" w:cs="Times New Roman" w:ascii="Times New Roman" w:hAnsi="Times New Roman"/>
          <w:color w:val="111111"/>
          <w:sz w:val="28"/>
          <w:szCs w:val="28"/>
          <w:lang w:val="en-US" w:bidi="en-US"/>
        </w:rPr>
        <w:t>Naturwissenschaften, Leipzig 1917. Verlag</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Der Bund der Völker. Studien und Vorträge zum organisatorischen Pazifismus. Neuer Geist, Leipzig 1918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Die Satzung des Völkerbundes. Kommentar Walther Schücking; Hans Wehberg, Vahlen, Berlin 1921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Das völkerrechtliche Institut der Vermittlung. H. Aschehoug &amp; Co (W. Nygaard), Kristiania, Oslo u. a., 1923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Der Kodifikationsversuch betreffend die Rechtsverhältnisse des</w:t>
      </w:r>
    </w:p>
    <w:p>
      <w:pPr>
        <w:pStyle w:val="BookText"/>
        <w:rPr/>
      </w:pPr>
      <w:r>
        <w:rPr>
          <w:rFonts w:eastAsia="Times New Roman" w:cs="Times New Roman" w:ascii="Times New Roman" w:hAnsi="Times New Roman"/>
          <w:color w:val="111111"/>
          <w:sz w:val="28"/>
          <w:szCs w:val="28"/>
          <w:lang w:val="en-US" w:bidi="en-US"/>
        </w:rPr>
        <w:t>Küstenmeeres und die Gründe seines Scheiterns. F. Hirt, Leipzig 1931</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 w:name="pg16300_179386"/>
    </w:p>
    <w:p>
      <w:pPr>
        <w:pStyle w:val="Heading3"/>
        <w:numPr>
          <w:ilvl w:val="2"/>
          <w:numId w:val="1"/>
        </w:numPr>
        <w:rPr/>
      </w:pPr>
      <w:bookmarkStart w:id="123" w:name="__RefHeading___Toc5377345_1280447820"/>
      <w:bookmarkStart w:id="124" w:name="_Toc42"/>
      <w:bookmarkEnd w:id="122"/>
      <w:bookmarkEnd w:id="123"/>
      <w:r>
        <w:rPr>
          <w:rtl w:val="true"/>
        </w:rPr>
        <w:t>الجزء الثالث</w:t>
      </w:r>
      <w:r>
        <w:rPr>
          <w:rtl w:val="true"/>
        </w:rPr>
        <w:t xml:space="preserve">: </w:t>
      </w:r>
      <w:r>
        <w:rPr>
          <w:rtl w:val="true"/>
        </w:rPr>
        <w:t>اتجاه التعديل النقدي في الكانطية الجديدة</w:t>
      </w:r>
      <w:bookmarkEnd w:id="124"/>
    </w:p>
    <w:p>
      <w:pPr>
        <w:pStyle w:val="Heading4"/>
        <w:numPr>
          <w:ilvl w:val="3"/>
          <w:numId w:val="1"/>
        </w:numPr>
        <w:rPr/>
      </w:pPr>
      <w:bookmarkStart w:id="125" w:name="__RefHeading___Toc5377347_1280447820"/>
      <w:bookmarkStart w:id="126" w:name="_Toc43"/>
      <w:bookmarkEnd w:id="125"/>
      <w:r>
        <w:rPr>
          <w:rtl w:val="true"/>
        </w:rPr>
        <w:t>اشارة</w:t>
      </w:r>
      <w:bookmarkEnd w:id="126"/>
    </w:p>
    <w:p>
      <w:pPr>
        <w:pStyle w:val="BookText"/>
        <w:rPr/>
      </w:pPr>
      <w:r>
        <w:rPr>
          <w:rFonts w:ascii="Amiri" w:hAnsi="Amiri" w:eastAsia="Amiri" w:cs="Amiri"/>
          <w:color w:val="111111"/>
          <w:sz w:val="28"/>
          <w:sz w:val="28"/>
          <w:szCs w:val="28"/>
          <w:rtl w:val="true"/>
          <w:lang w:bidi="ar-SA"/>
        </w:rPr>
        <w:t>إضافةً إلى مدرسة بادن ومدرسة ماربورغ، مثل الكانطية الجديدة في ألمانيا جناح عُرف باتجاه التعديل النقدي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بين من بين ممثليه روبيرت راينينغر </w:t>
      </w:r>
      <w:r>
        <w:rPr>
          <w:rFonts w:eastAsia="Times New Roman" w:cs="Times New Roman" w:ascii="Times New Roman" w:hAnsi="Times New Roman"/>
          <w:color w:val="111111"/>
          <w:sz w:val="28"/>
          <w:szCs w:val="28"/>
          <w:lang w:val="en-US" w:bidi="en-US"/>
        </w:rPr>
        <w:t>Robert Reininger (1869-1955)</w:t>
      </w:r>
      <w:r>
        <w:rPr>
          <w:rFonts w:ascii="Amiri" w:hAnsi="Amiri" w:eastAsia="Amiri" w:cs="Amiri"/>
          <w:color w:val="111111"/>
          <w:sz w:val="28"/>
          <w:sz w:val="28"/>
          <w:szCs w:val="28"/>
          <w:rtl w:val="true"/>
          <w:lang w:bidi="ar-SA"/>
        </w:rPr>
        <w:t xml:space="preserve">، الذي اشتغل بالخصوص على الإشكاليات النفسية وفلسفة القيم، وألوايس ريهل </w:t>
      </w:r>
      <w:r>
        <w:rPr>
          <w:rFonts w:eastAsia="Times New Roman" w:cs="Times New Roman" w:ascii="Times New Roman" w:hAnsi="Times New Roman"/>
          <w:color w:val="111111"/>
          <w:sz w:val="28"/>
          <w:szCs w:val="28"/>
          <w:lang w:val="en-US" w:bidi="en-US"/>
        </w:rPr>
        <w:t>Alois Riehl (1844-1924)</w:t>
      </w:r>
      <w:r>
        <w:rPr>
          <w:rFonts w:ascii="Amiri" w:hAnsi="Amiri" w:eastAsia="Amiri" w:cs="Amiri"/>
          <w:color w:val="111111"/>
          <w:sz w:val="28"/>
          <w:sz w:val="28"/>
          <w:szCs w:val="28"/>
          <w:rtl w:val="true"/>
          <w:lang w:bidi="ar-SA"/>
        </w:rPr>
        <w:t>، الذي كان يعتبر الفلسفة نقدًا للمعرفة لا تصورًا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برع هانس فايهينغر في التعليق على كتاب كانط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العقل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طوّر نوعًا من الفلسفة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لو </w:t>
      </w:r>
      <w:r>
        <w:rPr>
          <w:rFonts w:eastAsia="Times New Roman" w:cs="Times New Roman" w:ascii="Times New Roman" w:hAnsi="Times New Roman"/>
          <w:color w:val="111111"/>
          <w:sz w:val="28"/>
          <w:szCs w:val="28"/>
          <w:lang w:val="en-US" w:bidi="en-US"/>
        </w:rPr>
        <w:t>Als Ob</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تُحسب على البراغماتية بسبب اسخدامها لتعريف خاص للحقيقة طبقا لهذا التعريف تقوم المعرفة على أساس خيالات افتراضية ويكون مضمون صحتها تابعا لقيمة العيش الفعلي، وبهذا عدم إمكانية قيام أي معرفة موضوعية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تلميذه ریخارد هونیغسفالد </w:t>
      </w:r>
      <w:r>
        <w:rPr>
          <w:rFonts w:eastAsia="Times New Roman" w:cs="Times New Roman" w:ascii="Times New Roman" w:hAnsi="Times New Roman"/>
          <w:color w:val="111111"/>
          <w:sz w:val="28"/>
          <w:szCs w:val="28"/>
          <w:lang w:val="en-US" w:bidi="en-US"/>
        </w:rPr>
        <w:t>Richard Hönigswald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فقد اهتم أساسًا بالبحث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في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انطلاقًا من زاوية سيكولوجية محضة، على عكس مدرسة ماربورغ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أنه أقر بوجود علاقة بين الوعي والموضوع، ولهذا السبب رأى بأن اللغة ضرورية للوعي، ولا يمكن إقامة موضوعية موضوع ما إلا عن طريق اللغة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إيريك كاوفمان فإنه اتهم الكانطية الجديدة في جانبها الفلسفي القانوني الهروب من تنوع وتعدد الواقع والاحتماء بتشكيل مفاهيم أحادية الجانب وشكلية، عوض بناء ميتافيزيقا موضوعية المواجهة الوضعية التجريبية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وبسبب نفوره من الكانطيين الجدد الممثلين في مدرسة بادن ونظيرتها ، ماربورغ، التحق بالتيار الهيغلي الجديد</w:t>
      </w:r>
      <w:r>
        <w:rPr>
          <w:rFonts w:eastAsia="Amiri" w:cs="Amiri" w:ascii="Amiri" w:hAnsi="Amiri"/>
          <w:color w:val="111111"/>
          <w:sz w:val="28"/>
          <w:szCs w:val="28"/>
          <w:rtl w:val="true"/>
          <w:lang w:bidi="ar-SA"/>
        </w:rPr>
        <w:t xml:space="preserve">. </w:t>
      </w:r>
      <w:bookmarkStart w:id="127" w:name="pg16300_179387"/>
    </w:p>
    <w:p>
      <w:pPr>
        <w:pStyle w:val="BookText"/>
        <w:rPr/>
      </w:pPr>
      <w:bookmarkEnd w:id="127"/>
      <w:r>
        <w:rPr>
          <w:rFonts w:ascii="IRNazanin" w:hAnsi="IRNazanin" w:eastAsia="IRNazanin"/>
          <w:color w:val="111111"/>
          <w:sz w:val="28"/>
          <w:sz w:val="28"/>
          <w:szCs w:val="28"/>
          <w:rtl w:val="true"/>
          <w:lang w:bidi="fa-IR"/>
        </w:rPr>
        <w:t xml:space="preserve">نجد لیونارد نيلسون قريبًا في أعماله الفلسفية وكذا في التزامه السياسي والاجتماعي من فريس </w:t>
      </w:r>
      <w:r>
        <w:rPr>
          <w:rFonts w:eastAsia="Times New Roman" w:cs="Times New Roman" w:ascii="Times New Roman" w:hAnsi="Times New Roman"/>
          <w:color w:val="111111"/>
          <w:sz w:val="28"/>
          <w:szCs w:val="28"/>
          <w:lang w:val="en-US" w:bidi="en-US"/>
        </w:rPr>
        <w:t>Fries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ومن مدرسة ماربورغ، دون أن يكون منتميا لها بطريقة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نقوم في ما يلي بتلخيص أفكار بعض ممثلي هذا الاتجاه لكي تكتمل لنا ملامح صورة الكانطية الجديدة كاملةً</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5377349_1280447820"/>
      <w:bookmarkStart w:id="129" w:name="_Toc44"/>
      <w:bookmarkEnd w:id="128"/>
      <w:r>
        <w:rPr/>
        <w:t>1</w:t>
      </w:r>
      <w:r>
        <w:rPr>
          <w:rtl w:val="true"/>
        </w:rPr>
        <w:t xml:space="preserve">. </w:t>
      </w:r>
      <w:r>
        <w:rPr>
          <w:rtl w:val="true"/>
        </w:rPr>
        <w:t>روبيرت راينينغر</w:t>
      </w:r>
      <w:bookmarkEnd w:id="129"/>
    </w:p>
    <w:p>
      <w:pPr>
        <w:pStyle w:val="BookText"/>
        <w:rPr/>
      </w:pPr>
      <w:r>
        <w:rPr>
          <w:rFonts w:eastAsia="Times New Roman" w:cs="Times New Roman" w:ascii="Times New Roman" w:hAnsi="Times New Roman"/>
          <w:color w:val="111111"/>
          <w:sz w:val="28"/>
          <w:szCs w:val="28"/>
          <w:lang w:val="en-US" w:bidi="en-US"/>
        </w:rPr>
        <w:t>Robert Reininger</w:t>
      </w:r>
    </w:p>
    <w:p>
      <w:pPr>
        <w:pStyle w:val="BookText"/>
        <w:rPr/>
      </w:pPr>
      <w:r>
        <w:rPr>
          <w:rFonts w:ascii="Amiri" w:hAnsi="Amiri" w:eastAsia="Amiri" w:cs="Amiri"/>
          <w:color w:val="111111"/>
          <w:sz w:val="28"/>
          <w:sz w:val="28"/>
          <w:szCs w:val="28"/>
          <w:rtl w:val="true"/>
          <w:lang w:bidi="ar-SA"/>
        </w:rPr>
        <w:t xml:space="preserve">دَرَسَ الفيلسوف النمساوي روبيرت راينينغر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الفلسفة والعلوم الطبيعية في كل من جامعة بون وهايدلبيرغ الألمانية وكذا بجامعة فيينا النمساوية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الكانطي الجديد كونو فيشر أحد أساتذته في هايدلبيرغ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على الدكتورة بفيينا عام </w:t>
      </w:r>
      <w:r>
        <w:rPr>
          <w:rFonts w:eastAsia="Amiri" w:cs="Amiri" w:ascii="Amiri" w:hAnsi="Amiri"/>
          <w:color w:val="111111"/>
          <w:sz w:val="28"/>
          <w:szCs w:val="28"/>
          <w:lang w:bidi="ar-SA"/>
        </w:rPr>
        <w:t>1893</w:t>
      </w:r>
      <w:r>
        <w:rPr>
          <w:rFonts w:ascii="Amiri" w:hAnsi="Amiri" w:eastAsia="Amiri" w:cs="Amiri"/>
          <w:color w:val="111111"/>
          <w:sz w:val="28"/>
          <w:sz w:val="28"/>
          <w:szCs w:val="28"/>
          <w:rtl w:val="true"/>
          <w:lang w:bidi="ar-SA"/>
        </w:rPr>
        <w:t xml:space="preserve">، حيث دَرس تاريخ الفلسفة ابتداء من عام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ممثلاً للفلسفة الباطنية </w:t>
      </w:r>
      <w:r>
        <w:rPr>
          <w:rFonts w:eastAsia="Times New Roman" w:cs="Times New Roman" w:ascii="Times New Roman" w:hAnsi="Times New Roman"/>
          <w:color w:val="111111"/>
          <w:sz w:val="28"/>
          <w:szCs w:val="28"/>
          <w:lang w:val="en-US" w:bidi="en-US"/>
        </w:rPr>
        <w:t>Immanenzphilosophie</w:t>
      </w:r>
      <w:r>
        <w:rPr>
          <w:rFonts w:ascii="Amiri" w:hAnsi="Amiri" w:eastAsia="Amiri" w:cs="Amiri"/>
          <w:color w:val="111111"/>
          <w:sz w:val="28"/>
          <w:sz w:val="28"/>
          <w:szCs w:val="28"/>
          <w:rtl w:val="true"/>
          <w:lang w:bidi="ar-SA"/>
        </w:rPr>
        <w:t>، واهتم كذلك بإشكاليات نظرية المعرفة والأخلاق الكانطية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ترأس من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الجمعية الفلسفية بجامعة فيينا</w:t>
      </w:r>
      <w:r>
        <w:rPr>
          <w:rStyle w:val="FootnoteAnchor"/>
          <w:rtl w:val="true"/>
        </w:rPr>
        <w:footnoteReference w:id="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Kants Lehre vom inneren Sinne und seine Theorie der Erfahrung, Wien- Leipzig, 1900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Das Psycho-Physische Problem. Eine erkenntnistheoretische</w:t>
      </w:r>
    </w:p>
    <w:p>
      <w:pPr>
        <w:pStyle w:val="BookText"/>
        <w:rPr/>
      </w:pPr>
      <w:r>
        <w:rPr>
          <w:rFonts w:eastAsia="Times New Roman" w:cs="Times New Roman" w:ascii="Times New Roman" w:hAnsi="Times New Roman"/>
          <w:color w:val="111111"/>
          <w:sz w:val="28"/>
          <w:szCs w:val="28"/>
          <w:lang w:val="en-US" w:bidi="en-US"/>
        </w:rPr>
        <w:t>Untersuchung zur Unterscheidung des Physischen und Psychischen überhaupt, Wien-Leipzig, 1916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Friedrich Nietzsches Kampf um den Sinn des Lebens. Der Ertrag seiner Philosophie für die Ethik, Wien-Leipzig, 1922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Metaphysik der Wirklichkeit, Wien-Leipzig, 1931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Wertphilosophie und Ethik. Die Frage nach dem Sinn des Lebens als Grundlage einer Wertordnung, Wien-Leipzig, 1939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Philosophie des Erlebens. Ausgewählt, herausgegeben und eingeleitet von K. Nawratil, Wien, 1976</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ثلاثة اختيارات فلسفية طبعت اهتماماته وهو بالثانوية، بل أثرت في حياته الفكرية الفلسفية أيما تأثير في 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متحمسًا جدا للمثالية الفيختية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فيختيه في ما يخص تحديد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ولكانط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وإن كان ابتعد عنه في 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حب للحيوانات، قاده عبر شوبنهاور لاكتشاف تعاليم فلسفة هندية سميت الأوبانيشادا </w:t>
      </w:r>
      <w:r>
        <w:rPr>
          <w:rFonts w:eastAsia="Times New Roman" w:cs="Times New Roman" w:ascii="Times New Roman" w:hAnsi="Times New Roman"/>
          <w:color w:val="111111"/>
          <w:sz w:val="28"/>
          <w:szCs w:val="28"/>
          <w:lang w:val="en-US" w:bidi="en-US"/>
        </w:rPr>
        <w:t>Upanishade</w:t>
      </w:r>
      <w:r>
        <w:rPr>
          <w:rFonts w:ascii="Amiri" w:hAnsi="Amiri" w:eastAsia="Amiri" w:cs="Amiri"/>
          <w:color w:val="111111"/>
          <w:sz w:val="28"/>
          <w:sz w:val="28"/>
          <w:szCs w:val="28"/>
          <w:rtl w:val="true"/>
          <w:lang w:bidi="ar-SA"/>
        </w:rPr>
        <w:t xml:space="preserve">، وهي فلسفة عكست في التصور الفلسفي لراينينغر الذي سماه المعيش الأصلي </w:t>
      </w:r>
      <w:r>
        <w:rPr>
          <w:rFonts w:eastAsia="Times New Roman" w:cs="Times New Roman" w:ascii="Times New Roman" w:hAnsi="Times New Roman"/>
          <w:color w:val="111111"/>
          <w:sz w:val="28"/>
          <w:szCs w:val="28"/>
          <w:lang w:val="en-US" w:bidi="en-US"/>
        </w:rPr>
        <w:t>Urerlebniss</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فهم بامتياز تطوير فلسفة أساسية للإشكاليات الشرطية والتمرن فيها على التفكير النقدي وقد يكون السؤال الفلسفي الذي طرحه مبكرًا في بدايات ممارسته الفلسفية كافيا للتذكير بأن اشتغاله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التعالي </w:t>
      </w:r>
      <w:r>
        <w:rPr>
          <w:rFonts w:eastAsia="Times New Roman" w:cs="Times New Roman" w:ascii="Times New Roman" w:hAnsi="Times New Roman"/>
          <w:color w:val="111111"/>
          <w:sz w:val="28"/>
          <w:szCs w:val="28"/>
          <w:lang w:val="en-US" w:bidi="en-US"/>
        </w:rPr>
        <w:t>Transzendentalität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يجعل منه أحد نقاد الكانطية الجديدة، بل كانط نفسه ومحتوى تساؤله الفلسفي هذا يختصر في تساؤله كيف وصل الفكر الحديث منذ ديكارت عن طريق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الأنا </w:t>
      </w:r>
      <w:r>
        <w:rPr>
          <w:rFonts w:eastAsia="Times New Roman" w:cs="Times New Roman" w:ascii="Times New Roman" w:hAnsi="Times New Roman"/>
          <w:color w:val="111111"/>
          <w:sz w:val="28"/>
          <w:szCs w:val="28"/>
          <w:lang w:val="en-US" w:bidi="en-US"/>
        </w:rPr>
        <w:t>Ich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التفكير في التعالي والوجود في الوقت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فالعلوم المأخوذة كلَّ واحد على حدة تفترض دون مشاكل ميدانا محددًا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وبهذا فإنها في مجموع مناهج بحثها وفي إطارها العام تبقى جانبيةً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 هي أن الفلسفة لا تتوفر على ميدان يكون موضوع دراسة لها، بل تفكر فقط وأساسًا في كيفية الحديث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المعطى</w:t>
      </w:r>
      <w:r>
        <w:rPr>
          <w:rFonts w:eastAsia="Amiri" w:cs="Amiri" w:ascii="Amiri" w:hAnsi="Amiri"/>
          <w:color w:val="111111"/>
          <w:sz w:val="28"/>
          <w:szCs w:val="28"/>
          <w:rtl w:val="true"/>
          <w:lang w:bidi="ar-SA"/>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انطلاقًا من هذا الفهم لمهمة الفلسفة يرى راينينغر بأن الفلسفة لا توجد كخط إضافي للعلوم الأخرى، بل إنها في نظره الخط العمودي، الذي يتقاطع مع كل الخطوط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يجب ألا تربط الفلسفة نفسها بالعلوم الأخرى، ويجب عليها أيضا ألا تنتظر أى مساعدة من هذه العلوم، بل إن هذه الأخيره تُشكّل مُشكلاً </w:t>
      </w:r>
      <w:bookmarkStart w:id="130" w:name="pg16300_179389"/>
    </w:p>
    <w:p>
      <w:pPr>
        <w:pStyle w:val="BookText"/>
        <w:rPr/>
      </w:pPr>
      <w:bookmarkEnd w:id="130"/>
      <w:r>
        <w:rPr>
          <w:rFonts w:ascii="Amiri" w:hAnsi="Amiri" w:eastAsia="Amiri" w:cs="Amiri"/>
          <w:color w:val="111111"/>
          <w:sz w:val="28"/>
          <w:sz w:val="28"/>
          <w:szCs w:val="28"/>
          <w:rtl w:val="true"/>
          <w:lang w:bidi="ar-SA"/>
        </w:rPr>
        <w:t>بالنسبة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المعطى المنفرد الذي تهتم به العلوم كلّ واحد على حدة هو مشكل بالنسبة للفلسفة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يفكر في التطور الذي عرفته الوضعية الجديدة منذ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فيينا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عصرنا هذا، فقد يعترف المرء بالنتائج المهمة لفلسفة راينينغر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مفهوم المعطى حُط محطّ تساؤل في تطور الوضعية المنطقية هذا، تماما كالنداء إلى الرجوع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كانت بمثابة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لهجة منبرية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الاتجاه، في هجومه على الميتافيزيقا كتخصص يهتم بمشاكل لا معنى لها</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وطالما أن الوضعية الجديدة لا تحدد المعنى الدقيق للتجربة، فعليها القيام بنقد ذاتي والإعتراف بأن النداء بالرجوع إلى التجربة لا يتوفر على أي أهمية فلسفية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راينينغر ضد الوضعية الجديدة بصفة مطلقة، بل رأى بأنها مارست الميتافيزيقا أيضا في ندائها للرجوع إلى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صحيح إلى حد بعيد، لكنه لا يظهر الحدود بين راينينغر والوضعية التجريبية</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5377351_1280447820"/>
      <w:bookmarkStart w:id="132" w:name="_Toc45"/>
      <w:bookmarkEnd w:id="131"/>
      <w:r>
        <w:rPr/>
        <w:t>2</w:t>
      </w:r>
      <w:r>
        <w:rPr>
          <w:rtl w:val="true"/>
        </w:rPr>
        <w:t xml:space="preserve">. </w:t>
      </w:r>
      <w:r>
        <w:rPr>
          <w:rtl w:val="true"/>
        </w:rPr>
        <w:t>ألوايس أدولف ريهل</w:t>
      </w:r>
      <w:bookmarkEnd w:id="132"/>
    </w:p>
    <w:p>
      <w:pPr>
        <w:pStyle w:val="BookText"/>
        <w:rPr/>
      </w:pPr>
      <w:r>
        <w:rPr>
          <w:rFonts w:eastAsia="Times New Roman" w:cs="Times New Roman" w:ascii="Times New Roman" w:hAnsi="Times New Roman"/>
          <w:color w:val="111111"/>
          <w:sz w:val="28"/>
          <w:szCs w:val="28"/>
          <w:lang w:val="en-US" w:bidi="en-US"/>
        </w:rPr>
        <w:t>Alois Adolf Rihl</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درس الفيلسوف النمساوي ريهل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الفلسفة والجغرافيا والتاريخ بجامعات فيينا وميونيخ وإنزبروك وغراتس، وحصل على شهادة الدكتوراه عام </w:t>
      </w: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جامعة إنزبروك النمساوية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وحصل على الأستاذية من جامعة غراتس النمساوية أيضا عام </w:t>
      </w:r>
      <w:r>
        <w:rPr>
          <w:rFonts w:eastAsia="Amiri" w:cs="Amiri" w:ascii="Amiri" w:hAnsi="Amiri"/>
          <w:color w:val="111111"/>
          <w:sz w:val="28"/>
          <w:szCs w:val="28"/>
          <w:lang w:bidi="ar-SA"/>
        </w:rPr>
        <w:t>1870</w:t>
      </w:r>
      <w:r>
        <w:rPr>
          <w:rFonts w:ascii="Amiri" w:hAnsi="Amiri" w:eastAsia="Amiri" w:cs="Amiri"/>
          <w:color w:val="111111"/>
          <w:sz w:val="28"/>
          <w:sz w:val="28"/>
          <w:szCs w:val="28"/>
          <w:rtl w:val="true"/>
          <w:lang w:bidi="ar-SA"/>
        </w:rPr>
        <w:t xml:space="preserve">، وبدأ تدريس الفلسفة بها، قبل أن يغادر قاصدًا جامعة فرايبورغ الألمانية عام </w:t>
      </w:r>
      <w:r>
        <w:rPr>
          <w:rFonts w:eastAsia="Amiri" w:cs="Amiri" w:ascii="Amiri" w:hAnsi="Amiri"/>
          <w:color w:val="111111"/>
          <w:sz w:val="28"/>
          <w:szCs w:val="28"/>
          <w:lang w:bidi="ar-SA"/>
        </w:rPr>
        <w:t>1882</w:t>
      </w:r>
      <w:r>
        <w:rPr>
          <w:rFonts w:ascii="Amiri" w:hAnsi="Amiri" w:eastAsia="Amiri" w:cs="Amiri"/>
          <w:color w:val="111111"/>
          <w:sz w:val="28"/>
          <w:sz w:val="28"/>
          <w:szCs w:val="28"/>
          <w:rtl w:val="true"/>
          <w:lang w:bidi="ar-SA"/>
        </w:rPr>
        <w:t>، كخليفة للكانطي الجديد فيندلباند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غادرها عام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ليخلف فيلهيلم ديلتيس </w:t>
      </w:r>
      <w:r>
        <w:rPr>
          <w:rFonts w:eastAsia="Times New Roman" w:cs="Times New Roman" w:ascii="Times New Roman" w:hAnsi="Times New Roman"/>
          <w:color w:val="111111"/>
          <w:sz w:val="28"/>
          <w:szCs w:val="28"/>
          <w:lang w:val="en-US" w:bidi="en-US"/>
        </w:rPr>
        <w:t>Diltheys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بجامعة برلين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ينتمي ريهل إلى فلاسفة القرن التاسع عشر والعشرين الذين نسي اسمهم في الساحة الفلسفية الناطقة بالألمانية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نجد مثلا أهم عمل له من ثلاثة مجلدات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النقدية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والنسق في موسوعة كرونر للأعمال الفلسفية</w:t>
      </w:r>
      <w:r>
        <w:rPr>
          <w:rStyle w:val="FootnoteAnchor"/>
          <w:rtl w:val="true"/>
        </w:rPr>
        <w:footnoteReference w:id="64"/>
      </w:r>
      <w:r>
        <w:rPr>
          <w:rFonts w:ascii="IRNazanin" w:hAnsi="IRNazanin" w:eastAsia="IRNazanin"/>
          <w:color w:val="111111"/>
          <w:sz w:val="28"/>
          <w:sz w:val="28"/>
          <w:szCs w:val="28"/>
          <w:rtl w:val="true"/>
          <w:lang w:bidi="fa-IR"/>
        </w:rPr>
        <w:t>، على الرغم من أن هذا الناشر سبق له أن نشر العمل</w:t>
      </w:r>
      <w:r>
        <w:rPr>
          <w:rStyle w:val="FootnoteAnchor"/>
          <w:rtl w:val="true"/>
        </w:rPr>
        <w:footnoteReference w:id="65"/>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يذكر اسم ريهل إلا قليلا ويكتفي المرء في غالب الأحيان بتسجيل اسمه و تاريخ ميلاده وتخصصه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تعتبر الفلسفة عند ريهل نقدًا للمعرفة لا تعاليم في تصور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تمّم ما بدأه كانط بالأخذ بعين الاعتبار لمعارف العلوم الطبيعية والرياضيات، ومنها مثلا الهندسة غير الإقليدية</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Moral und Dogma, 1871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Über Begriff und Form der Philosophie, 1872, 1878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Der philosophische Kristicismus und seine Bedeutung für die positive Wissenschaft (2 vol.) 1879- 1887, 1924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Beiträge sur Logik18921, 1924- 1926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Friedrich Niezsche, der Künstler und der Denker, 1897, 1923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Robert Mayers. Entdeckung und Beweis des Energieprincipes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Zur Einführung in die Philosophie der Gegenwart, 1903, 1921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Anfänge des Kritizismus. Methodologisches aus Kant », in Kantstudien, 1904, 9, p. 493-517 (entre 1904 et 1922, Aloïs Riehl a écrit uniquement des articles), 1904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Führende Denker und Forscher, Leipzig, 1922, 1924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Philosophische Studien aus vier Jahrzehneten, 1925</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أكد ريهل على الميول الضد ميتافيزيقية الواقعية لكانط بتلوينات وضعية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الرغم من أنه يعترف بأسبقية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يفترض بأن </w:t>
      </w:r>
      <w:bookmarkStart w:id="133" w:name="pg16300_179391"/>
    </w:p>
    <w:p>
      <w:pPr>
        <w:pStyle w:val="BookText"/>
        <w:rPr/>
      </w:pPr>
      <w:bookmarkEnd w:id="133"/>
      <w:r>
        <w:rPr>
          <w:rFonts w:ascii="Amiri" w:hAnsi="Amiri" w:eastAsia="Amiri" w:cs="Amiri"/>
          <w:color w:val="111111"/>
          <w:sz w:val="28"/>
          <w:sz w:val="28"/>
          <w:szCs w:val="28"/>
          <w:rtl w:val="true"/>
          <w:lang w:bidi="ar-SA"/>
        </w:rPr>
        <w:t>الفلسفة لا يمكن أن تقوم إلا كتعاليم مبادئ المعرفة ونقدها الذاتي، وفي هذا الإطار ساهم بالخصوص في نظرية المعرفة والعلوم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 على ضرورة التمييز بين البحث عن صحة المعرفة ومشكل حدوثها السيكولوجي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بأن أسبقية المعرفة لا يعني القبل والبعد الزمنيين بين المفاهيم، بل علاقتها المنطقية، بحيث إن الصنف لا يسبق التجربة، لكنه يشكلها في ذاتها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إضافةً إلى هذا دافع على فكرة كون الشيء في ذاته يجب عدم القضاء عليه من طرف النقدية، ورأى بأن ضمانةً واقية العالم الخارجي معطاة في كل الإدراك الحسي، وهي واقعية تحتوي في داخلها على علاقة بشيء مستقل عنها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فبنية جوهر الواقعي غير معروفة بالنسبة لنا نعرف فقط بأنه يوجد وبأنه يؤثر على إدراكاتنا الحسية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الأخيرة هي التي، طبقا لريهل، تمنح المعرفة يقينها المادي، وعلى العكس من هذا فإن قوانين التفكير لا تمنح إلا يقينًا شكليًّا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وبغض النظر عن الرياضيات لا توجد هناك أي معرفة لا تكون في حاجة للتجربة لتأكيدها من هنا كان يرى بأن التجربة لیست فقط فردانية سيكولوجية، لكنها تُعتبر في نظره مُصطلحا اجتماعيًا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تملك الفلسفة التعاليم المعرفية التي ذكرها فقط، بل لها أيضا واجب تقديم قيم وإبداعها</w:t>
      </w:r>
      <w:r>
        <w:rPr>
          <w:rFonts w:eastAsia="IRNazanin" w:cs="IRNazanin"/>
          <w:color w:val="111111"/>
          <w:sz w:val="28"/>
          <w:szCs w:val="28"/>
          <w:rtl w:val="true"/>
          <w:lang w:bidi="fa-IR"/>
        </w:rPr>
        <w:t>.</w:t>
      </w:r>
    </w:p>
    <w:p>
      <w:pPr>
        <w:pStyle w:val="Heading4"/>
        <w:numPr>
          <w:ilvl w:val="3"/>
          <w:numId w:val="1"/>
        </w:numPr>
        <w:rPr/>
      </w:pPr>
      <w:bookmarkStart w:id="134" w:name="__RefHeading___Toc5377353_1280447820"/>
      <w:bookmarkStart w:id="135" w:name="_Toc46"/>
      <w:bookmarkEnd w:id="134"/>
      <w:r>
        <w:rPr/>
        <w:t>3</w:t>
      </w:r>
      <w:r>
        <w:rPr>
          <w:rtl w:val="true"/>
        </w:rPr>
        <w:t>.</w:t>
      </w:r>
      <w:r>
        <w:rPr>
          <w:rtl w:val="true"/>
        </w:rPr>
        <w:t>هانس فايهنغر</w:t>
      </w:r>
      <w:bookmarkEnd w:id="135"/>
    </w:p>
    <w:p>
      <w:pPr>
        <w:pStyle w:val="BookText"/>
        <w:rPr/>
      </w:pPr>
      <w:r>
        <w:rPr>
          <w:rFonts w:eastAsia="Times New Roman" w:cs="Times New Roman" w:ascii="Times New Roman" w:hAnsi="Times New Roman"/>
          <w:color w:val="111111"/>
          <w:sz w:val="28"/>
          <w:szCs w:val="28"/>
          <w:lang w:val="en-US" w:bidi="en-US"/>
        </w:rPr>
        <w:t>Hans Vaihinger</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 هانس فايهنغر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دراسته الجامعية في اللاهوت بجامعة توبينغين وما لبث أن غير التخصص ليدرس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على الدكتوراه عام </w:t>
      </w: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وحصل عام </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الأستاذية بجامعة </w:t>
      </w:r>
    </w:p>
    <w:p>
      <w:pPr>
        <w:pStyle w:val="BookText"/>
        <w:rPr/>
      </w:pPr>
      <w:r>
        <w:rPr>
          <w:rFonts w:ascii="Amiri" w:hAnsi="Amiri" w:eastAsia="Amiri" w:cs="Amiri"/>
          <w:color w:val="111111"/>
          <w:sz w:val="28"/>
          <w:sz w:val="28"/>
          <w:szCs w:val="28"/>
          <w:rtl w:val="true"/>
          <w:lang w:bidi="ar-SA"/>
        </w:rPr>
        <w:t>ستراسبورغ، حيث دَرَسَ ابتداءً من ،</w:t>
      </w:r>
      <w:r>
        <w:rPr>
          <w:rFonts w:eastAsia="Amiri" w:cs="Amiri" w:ascii="Amiri" w:hAnsi="Amiri"/>
          <w:color w:val="111111"/>
          <w:sz w:val="28"/>
          <w:szCs w:val="28"/>
          <w:lang w:bidi="ar-SA"/>
        </w:rPr>
        <w:t>1883</w:t>
      </w:r>
      <w:r>
        <w:rPr>
          <w:rFonts w:ascii="Amiri" w:hAnsi="Amiri" w:eastAsia="Amiri" w:cs="Amiri"/>
          <w:color w:val="111111"/>
          <w:sz w:val="28"/>
          <w:sz w:val="28"/>
          <w:szCs w:val="28"/>
          <w:rtl w:val="true"/>
          <w:lang w:bidi="ar-SA"/>
        </w:rPr>
        <w:t xml:space="preserve">، قبل أن يلتحق بجامعة وبسبب مرض في عينيه، أدى إلى عماه، </w:t>
      </w:r>
      <w:r>
        <w:rPr>
          <w:rFonts w:eastAsia="Times New Roman" w:cs="Times New Roman" w:ascii="Times New Roman" w:hAnsi="Times New Roman"/>
          <w:color w:val="111111"/>
          <w:sz w:val="28"/>
          <w:szCs w:val="28"/>
          <w:lang w:val="en-US" w:bidi="en-US"/>
        </w:rPr>
        <w:t>Halle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1884</w:t>
      </w:r>
      <w:r>
        <w:rPr>
          <w:rFonts w:ascii="Amiri" w:hAnsi="Amiri" w:eastAsia="Amiri" w:cs="Amiri"/>
          <w:color w:val="111111"/>
          <w:sz w:val="28"/>
          <w:sz w:val="28"/>
          <w:szCs w:val="28"/>
          <w:rtl w:val="true"/>
          <w:lang w:bidi="ar-SA"/>
        </w:rPr>
        <w:t xml:space="preserve">، هالي حصل على المعاش عام </w:t>
      </w:r>
      <w:r>
        <w:rPr>
          <w:rFonts w:eastAsia="Amiri" w:cs="Amiri" w:ascii="Amiri" w:hAnsi="Amiri"/>
          <w:color w:val="111111"/>
          <w:sz w:val="28"/>
          <w:szCs w:val="28"/>
          <w:lang w:bidi="ar-SA"/>
        </w:rPr>
        <w:t>1906</w:t>
      </w:r>
      <w:r>
        <w:rPr>
          <w:rFonts w:ascii="Amiri" w:hAnsi="Amiri" w:eastAsia="Amiri" w:cs="Amiri"/>
          <w:color w:val="111111"/>
          <w:sz w:val="28"/>
          <w:sz w:val="28"/>
          <w:szCs w:val="28"/>
          <w:rtl w:val="true"/>
          <w:lang w:bidi="ar-SA"/>
        </w:rPr>
        <w:t>، منقطعًا بذلك عن التدريس، لكنه تفرغ للكتابة بمساعدة كاتب خاص له</w:t>
      </w:r>
      <w:r>
        <w:rPr>
          <w:rStyle w:val="FootnoteAnchor"/>
          <w:rtl w:val="true"/>
        </w:rPr>
        <w:footnoteReference w:id="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Hans Vaihinger: Die Philosophie des Als Ob. System der theoretischen, praktischen und religiösen Fiktionen der Menschheit auf Grund eines. idealistischen Positivismus; mit einem Anhang über Kant und Nietzsche. Reuther &amp; Reichard, Berlin 1911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Die drei Phasen des Czolbeschen Naturalismus. In: Philosophische Monatshefte, Band XII, 1876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Der Begriff des Absoluten (mit Rücksicht auf H. Spencer). In: Vierteljahresschrift für wissenschaftliche Philosophie 2 (1878), 188221-. - Das Entwicklungsgesetz der Vorstellungen über das Reale, in: Vierteljahresschrift für wissenschaftliche Philosophie 2 (1878), 298,313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448-415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Commentar zu Kants Kritik der reinen Vernunft. Zum 100jährigen Jubiläum desselben herausgegeben. Band I.1881 / Band 2: 1892 (Zweite Aufl. Band 1, 2 u. Ergänzungsband, hrsg. von Raymund. Schmidt, 1922; Neudruck der zweiten Auflage: 1970)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Zu Kants Widerlegung des Idealismus. In: Straßburger Abhandlungen zur Philosophie. Eduard Zeller zu seinem 70. Geburtstag, 1884, 85164-. - Mitteilungen aus dem kantischen Nachlaß. In: Zeitschrift für Philosophie und philosophische Kritik N.F., Band 96 (1888), 126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Zur Einführung [der Kantstudien]. In: Kant-Studien, Band 1 (1897), 18-. - Siebzig textkritische Randglossen zur Analytik [Kants]. In: Kant-Studien, Band 4 (1900), 452463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Kant - ein Metaphysiker? In: Philosophische Abhandlungen. Christoph Sigwart zu seinem 70. Geburtstag von einer Reihe von Fachgenossen gewidmet, 1900, 133158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Nietzsche als Philosoph, 1902 (Zweite Auflage 1902; Dritte Auflage 1905; Vierte Auflage 1916; Fünfte Auflage 1930 = Bausteine zu einer Philosophie des Als Ob. N.F. H. 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Annalen der Philosophie. [zusammen mit Raymund Schmidt] Leipzig, Felix Meiner, 1919 ff; Bde I-VIII</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فلسفة كانط محور اهتمامه الفكري، علق في </w:t>
      </w:r>
    </w:p>
    <w:p>
      <w:pPr>
        <w:pStyle w:val="BookText"/>
        <w:rPr/>
      </w:pPr>
      <w:r>
        <w:rPr>
          <w:rFonts w:ascii="IRNazanin" w:hAnsi="IRNazanin" w:eastAsia="IRNazanin"/>
          <w:color w:val="111111"/>
          <w:sz w:val="28"/>
          <w:sz w:val="28"/>
          <w:szCs w:val="28"/>
          <w:rtl w:val="true"/>
          <w:lang w:bidi="fa-IR"/>
        </w:rPr>
        <w:t xml:space="preserve">دراسة له بإسهاب </w:t>
      </w:r>
      <w:r>
        <w:rPr>
          <w:rFonts w:eastAsia="IRNazanin" w:cs="IRNazanin"/>
          <w:color w:val="111111"/>
          <w:sz w:val="28"/>
          <w:szCs w:val="28"/>
          <w:rtl w:val="true"/>
          <w:lang w:bidi="fa-IR"/>
        </w:rPr>
        <w:t>(</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نقد العقل الخالص لكانط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 ساهم في تنظيم الدراسات حول كانط بتأسيس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الدراسات الكانطية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وجمعية كانط عام </w:t>
      </w:r>
      <w:r>
        <w:rPr>
          <w:rFonts w:eastAsia="IRNazanin" w:cs="IRNazanin"/>
          <w:color w:val="111111"/>
          <w:sz w:val="28"/>
          <w:szCs w:val="28"/>
          <w:lang w:bidi="fa-IR"/>
        </w:rPr>
        <w:t>1904</w:t>
      </w:r>
      <w:r>
        <w:rPr>
          <w:rFonts w:ascii="IRNazanin" w:hAnsi="IRNazanin" w:eastAsia="IRNazanin"/>
          <w:color w:val="111111"/>
          <w:sz w:val="28"/>
          <w:sz w:val="28"/>
          <w:szCs w:val="28"/>
          <w:rtl w:val="true"/>
          <w:lang w:bidi="fa-IR"/>
        </w:rPr>
        <w:t xml:space="preserve">، بمناسبة مرور قرن على وفاة كانط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أشرف على حوليات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الفلسفة بمساعدة تلميذه رايموند شمیدت </w:t>
      </w:r>
      <w:r>
        <w:rPr>
          <w:rFonts w:eastAsia="Times New Roman" w:cs="Times New Roman" w:ascii="Times New Roman" w:hAnsi="Times New Roman"/>
          <w:color w:val="111111"/>
          <w:sz w:val="28"/>
          <w:szCs w:val="28"/>
          <w:lang w:val="en-US" w:bidi="en-US"/>
        </w:rPr>
        <w:t>Ray- mund Schmidt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يُعدُّ فايهينغر تلميذ الكانطي الجديد لانغي </w:t>
      </w:r>
      <w:r>
        <w:rPr>
          <w:rFonts w:eastAsia="Times New Roman" w:cs="Times New Roman" w:ascii="Times New Roman" w:hAnsi="Times New Roman"/>
          <w:color w:val="111111"/>
          <w:sz w:val="28"/>
          <w:szCs w:val="28"/>
          <w:lang w:val="en-US" w:bidi="en-US"/>
        </w:rPr>
        <w:t>Lange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ومتمم أعماله الفلسفية، لكنه ابتعد عنه عندما أكد بأنه يفهم الفلسفة النقدية التي تستهويه كطريقة لا كمؤسسة تعليمية للكانطية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علاوةً على هذا، كان فايهينغر من أوائل الفلاسفة الأكاديميين الذين اهتموا بفلسفة نيتشه، وكان عضوًا في مجلس إدارة مؤسسة أرشيف نيتشه منذ نشأتها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مات هو عام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 فايهينغر بما سماه هو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فلسفة كما لو أَنَّ </w:t>
      </w:r>
      <w:r>
        <w:rPr>
          <w:rFonts w:eastAsia="Times New Roman" w:cs="Times New Roman" w:ascii="Times New Roman" w:hAnsi="Times New Roman"/>
          <w:color w:val="111111"/>
          <w:sz w:val="28"/>
          <w:szCs w:val="28"/>
          <w:lang w:val="en-US" w:bidi="en-US"/>
        </w:rPr>
        <w:t>Philosophie des Als Ob</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المنشورة في كتاب قائم بذاته بالعنوان نفسه عام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عكس الفكرة التي كانت شائعة سواءً بين أعضاء الجناح المثالي أو نظرائهم الواقعيين من أتباع الكانطية الجديدة، والمتمثلة في وجوب فهم الحقيقة كمُماثَلة بين المعرفة والواقع، فإن هدف المعرفة عند فايهينغر هو التحكم في العالم الخارجي من طرف الذات العارفة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وتلعب المراسلة التواصل بين الأفكار والاقتناعات من جهة والواقع من جهة أخرى دوراً ثانويا في نجاح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ونلمس هنا نفحة تأثير داروين وكذا شوبنهاور و نيتشه في فكر فايهينغر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يكمن منطلق إشكالية فلسفة كما لو أنَّ من التفكير في كيفية الوصول إلى شيءٍ صحيح انطلاقا من فرضيات خاطئة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المعنى، فإن المعرفة عند فايهينغر تعني مقارنة غير المعروف بالمعروف، ويرى نهاية المعرفة في عدم القدرة على تقليص غير المعروف في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فايهينغر في هذا الإطار الذرة والله والروح كخيالات مفيدة</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Inwagen, Cian Dorr, Gideon Rosen, James Woodbridge, Schopenhauer, Hartry Field, Friedrich Nietzsche, Richard Joyce, Mark Kalderon, Daniel Nolan, Greg Restall, Caroline West, William James, Heinrich Scholz, Pierre .Duhem, Edward Grant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تكتسب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لو أنها صحيحة، حتى وإن كانت تتعارض عن وعي مع البناء الفكري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أن فايهنغر، وعلى غرار كل فلاسفة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الخيال المفيد الكثيرين، يؤكد بأن مثل هذا الخيال المفيد يستمد مشروعيته من أهداف الحياة العملية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طريق التعريج على كما لو أن يصل المرء إلى المعطى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أن يصل إلى طريق أقصر بظهور نموذج جديد</w:t>
      </w:r>
      <w:bookmarkStart w:id="136" w:name="pg16300_179395"/>
    </w:p>
    <w:p>
      <w:pPr>
        <w:pStyle w:val="BookText"/>
        <w:rPr/>
      </w:pPr>
      <w:bookmarkEnd w:id="136"/>
      <w:r>
        <w:rPr>
          <w:rFonts w:ascii="Amiri" w:hAnsi="Amiri" w:eastAsia="Amiri" w:cs="Amiri"/>
          <w:color w:val="111111"/>
          <w:sz w:val="28"/>
          <w:sz w:val="28"/>
          <w:szCs w:val="28"/>
          <w:rtl w:val="true"/>
          <w:lang w:bidi="ar-SA"/>
        </w:rPr>
        <w:t>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الأمر إذا بعملية فكرية مفتوحة على الأفق، لا ،تنهى بل تستمر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ونلمس هنا تقاربًا بين هذه الفكرة والبراغماتية الأمريكية</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5377355_1280447820"/>
      <w:bookmarkStart w:id="138" w:name="_Toc47"/>
      <w:bookmarkEnd w:id="137"/>
      <w:r>
        <w:rPr/>
        <w:t>4</w:t>
      </w:r>
      <w:r>
        <w:rPr>
          <w:rtl w:val="true"/>
        </w:rPr>
        <w:t xml:space="preserve">. </w:t>
      </w:r>
      <w:r>
        <w:rPr>
          <w:rtl w:val="true"/>
        </w:rPr>
        <w:t>ريخارد هونيغسفالد</w:t>
      </w:r>
      <w:bookmarkEnd w:id="138"/>
    </w:p>
    <w:p>
      <w:pPr>
        <w:pStyle w:val="BookText"/>
        <w:rPr/>
      </w:pPr>
      <w:r>
        <w:rPr>
          <w:rFonts w:eastAsia="Times New Roman" w:cs="Times New Roman" w:ascii="Times New Roman" w:hAnsi="Times New Roman"/>
          <w:color w:val="111111"/>
          <w:sz w:val="28"/>
          <w:szCs w:val="28"/>
          <w:lang w:val="en-US" w:bidi="en-US"/>
        </w:rPr>
        <w:t>Richard Hönigswald</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 الفيلسوف النمساوي الأصل هونيغسفالد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دراسته في الطب بجامعة فيينا عام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وحصل على الدكتوراه عام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تفرّغ لدراسة الفلسفة بجامعة غراتس النمساوية قبل الانتقال إلى جامعة هالي </w:t>
      </w:r>
      <w:r>
        <w:rPr>
          <w:rFonts w:eastAsia="Times New Roman" w:cs="Times New Roman" w:ascii="Times New Roman" w:hAnsi="Times New Roman"/>
          <w:color w:val="111111"/>
          <w:sz w:val="28"/>
          <w:szCs w:val="28"/>
          <w:lang w:val="en-US" w:bidi="en-US"/>
        </w:rPr>
        <w:t>Halle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حيث تتلمذ من بين من تتلمذ على يدهه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ريهل </w:t>
      </w:r>
      <w:r>
        <w:rPr>
          <w:rFonts w:eastAsia="Times New Roman" w:cs="Times New Roman" w:ascii="Times New Roman" w:hAnsi="Times New Roman"/>
          <w:color w:val="111111"/>
          <w:sz w:val="28"/>
          <w:szCs w:val="28"/>
          <w:lang w:val="en-US" w:bidi="en-US"/>
        </w:rPr>
        <w:t>Richel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الذي أشرف كذلك على رسالته للدكتوراه عام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تعاليم هيوم عن واقع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على الأستاذية من جامعة بريسلاو</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Bres- lau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الألمانية عام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ببحث عنوانه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مساهمة في نظرية المعرفة والمنهجية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واشتغل بهذه الجامعة، إلى أن عوّض عام </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ويليان شتيرن </w:t>
      </w:r>
      <w:r>
        <w:rPr>
          <w:rFonts w:eastAsia="Times New Roman" w:cs="Times New Roman" w:ascii="Times New Roman" w:hAnsi="Times New Roman"/>
          <w:color w:val="111111"/>
          <w:sz w:val="28"/>
          <w:szCs w:val="28"/>
          <w:lang w:val="en-US" w:bidi="en-US"/>
        </w:rPr>
        <w:t>William Stern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كرئيس لقسم الفلسفة والسيكولوجيا والبيداغوجيا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1929</w:t>
      </w:r>
      <w:r>
        <w:rPr>
          <w:rFonts w:ascii="Amiri" w:hAnsi="Amiri" w:eastAsia="Amiri" w:cs="Amiri"/>
          <w:color w:val="111111"/>
          <w:sz w:val="28"/>
          <w:sz w:val="28"/>
          <w:szCs w:val="28"/>
          <w:rtl w:val="true"/>
          <w:lang w:bidi="ar-SA"/>
        </w:rPr>
        <w:t xml:space="preserve">، انتقل للتدريس جامعة ميونيخ أوقف عن التدريس عام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 عندما وصل النازيون للحكم، وفرض عليه الذهاب المبكر على 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 للهجرة إلى أمريكا، وبعدما أسقطت عليه الجنسية الألمانية التي كان حصل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قبل، حصل على الجنسية الأمريكية عام </w:t>
      </w:r>
      <w:r>
        <w:rPr>
          <w:rFonts w:eastAsia="Amiri" w:cs="Amiri" w:ascii="Amiri" w:hAnsi="Amiri"/>
          <w:color w:val="111111"/>
          <w:sz w:val="28"/>
          <w:szCs w:val="28"/>
          <w:lang w:bidi="ar-SA"/>
        </w:rPr>
        <w:t>1944</w:t>
      </w:r>
      <w:r>
        <w:rPr>
          <w:rFonts w:ascii="Amiri" w:hAnsi="Amiri" w:eastAsia="Amiri" w:cs="Amiri"/>
          <w:color w:val="111111"/>
          <w:sz w:val="28"/>
          <w:sz w:val="28"/>
          <w:szCs w:val="28"/>
          <w:rtl w:val="true"/>
          <w:lang w:bidi="ar-SA"/>
        </w:rPr>
        <w:t xml:space="preserve">، لكنه لم ينجح </w:t>
      </w:r>
    </w:p>
    <w:p>
      <w:pPr>
        <w:pStyle w:val="BookText"/>
        <w:rPr/>
      </w:pPr>
      <w:r>
        <w:rPr>
          <w:rFonts w:ascii="Amiri" w:hAnsi="Amiri" w:eastAsia="Amiri" w:cs="Amiri"/>
          <w:color w:val="111111"/>
          <w:sz w:val="28"/>
          <w:sz w:val="28"/>
          <w:szCs w:val="28"/>
          <w:rtl w:val="true"/>
          <w:lang w:bidi="ar-SA"/>
        </w:rPr>
        <w:t>في الاشتغال بأي جامعة بها، واستمر في الكتابة مع ذلك</w:t>
      </w:r>
      <w:r>
        <w:rPr>
          <w:rStyle w:val="FootnoteAnchor"/>
          <w:rtl w:val="true"/>
        </w:rPr>
        <w:footnoteReference w:id="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Beiträge zur Erkenntnistheorie und Methodenlehre. Leipzig 1906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Zur Wissenschaftstheorie und -systematik. Mit besonderer Rücksicht auf Heinrich Rickerts ,Kulturwissenschaft und Naturwissenschaft. In: Kant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Studien. 171912/, S. 28-84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Zum Streit über die Grundlagen der Mathematik. Heidelberg 1912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Prinzipienfragen der Denkpsychologie. In: Kant-Studien. 181913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Die Skepsis in Philosophie und Wissenschaft. Göttingen 1914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Die Philosophie des Altertums. 2. Auflage. Leipzig 1924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Über die Grundlagen der Pädagogik. 2. umgearb. Auflage. 1927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Die Grundlagen der Denkpsychologie. 2. umgearb. Auflage. Leipzig/ Berlin 1925 (ND: Darmstadt 1965)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Die Philosophie der Renaissance bis Kant. Berlin/ Leipzig 1923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Vom Problem der Idee. In: Logos. XV/1926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Kausalität und Physik. 1931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Grundfragen der Erkenntnistheorie. Tübingen 1931, Hamburg 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Geschichte der Erkenntnistheorie. Berlin 1933. (ND: Darmstadt 1966)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Philosophie und Sprache. Problemkritik und System. Basel 1937. (ND: Darmstadt 1970)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تطور التفكير الفلسفي لهونيغسفالد خطوةً خطوةً إلى أن أصبح عملاً نسقيًا متكاملاً إلى حد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طوّر في البدء موقفًا كانطيًا تابعا في ذلك أستاذه ريهل، وهو موقف كان فى الوقت نفسه نقدًا للوضعية الجديدة، لكنه موقف تضمّن أيضًا بعض العناصر مما سُمي فلسفة الوعى كما مثلها برينطانو وهوسرل مثلاً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حدود </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هناك شبه تو از بين هونيغسفالد وكاسيرر أساتذته بالخصوص في اشتغاله وبرونو باوخ، وينعكس موقفه من على تاريخ الفلسفة بعد ذلك دخل حيّز اهتماماته فلسفة التفكيروالبيداغوجيا وفلسفة اللغة نلمس في كل جهده الفكري في </w:t>
      </w:r>
    </w:p>
    <w:p>
      <w:pPr>
        <w:pStyle w:val="BookText"/>
        <w:rPr/>
      </w:pPr>
      <w:r>
        <w:rPr>
          <w:rFonts w:ascii="Amiri" w:hAnsi="Amiri" w:eastAsia="Amiri" w:cs="Amiri"/>
          <w:color w:val="111111"/>
          <w:sz w:val="28"/>
          <w:sz w:val="28"/>
          <w:szCs w:val="28"/>
          <w:rtl w:val="true"/>
          <w:lang w:bidi="ar-SA"/>
        </w:rPr>
        <w:t xml:space="preserve">يخص موضوع دراسته ما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الموناس </w:t>
      </w:r>
      <w:r>
        <w:rPr>
          <w:rFonts w:eastAsia="Times New Roman" w:cs="Times New Roman" w:ascii="Times New Roman" w:hAnsi="Times New Roman"/>
          <w:color w:val="111111"/>
          <w:sz w:val="28"/>
          <w:szCs w:val="28"/>
          <w:lang w:val="en-US" w:bidi="en-US"/>
        </w:rPr>
        <w:t>Monas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حاضرًا في كل عمله، ويعني به مفهوم الموضوعانية </w:t>
      </w:r>
      <w:r>
        <w:rPr>
          <w:rFonts w:eastAsia="Times New Roman" w:cs="Times New Roman" w:ascii="Times New Roman" w:hAnsi="Times New Roman"/>
          <w:color w:val="111111"/>
          <w:sz w:val="28"/>
          <w:szCs w:val="28"/>
          <w:lang w:val="en-US" w:bidi="en-US"/>
        </w:rPr>
        <w:t>Gegenstandlichkeit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ويلمس المرء نضج اشتغاله النسقي حوالي عام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كتبه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الإشكاليات الأساسية لنظرية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وبطريقة أكثر تركيزا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التقديم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البناء العام لنسقيته سواءً على الصعيد المنهج أو المضمون لا يظهر بوضوح إلى في الكتابين اللذين نُشرا له بعد وفاته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الأسس العامة للتعاليم المنهجية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نسق الفلسفة مُطوَّرًا من خلال التصميم الفردي للإشكاية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وتجدر الإشارة إلى أن هونيغسفالد حاول في اشتغاله الفلسفي التصدي لفكر هايدغر من جهة والمثالية المغالى فيها لهيغل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يهتم هو نيغسفالد في نظرية المعرفة بتقرير الحدود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الكانطي، بل بالربط بين المعرفة والذاتية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Sub jektivität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والأهم بالنسبة له هنا هو الأخذ بعين الاعتبار للتحديد السيكولوجي الأساسي في ما يخص دراسة أسبقية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بأن موضوع التأمل لا ينحصر في المعارف العلمية، بل يتعداه إلى كل المعارف والتجارب الإنسانية الأخرى بما في ذلك تلك التي تعتمد على الأخلاق والإستيطيقا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ونشير هنا إلى أن إشكالية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التأسيس النهائي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تصبح معه إشكالية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تكوين أو تشكيل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 في هذا الإطار أنه لا يكفي التركيز على الوقائع التجريبية التي يمكن معرفتها، كما تقول الوضعية أو الاهتمام ببنيات الوعي كما تؤكد على ذلك الفلسفة القصدية لهوسرل مثلا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يتعلق الأمر عنده بالوصل بين الذات والموضوع، الذي </w:t>
      </w:r>
    </w:p>
    <w:p>
      <w:pPr>
        <w:pStyle w:val="BookText"/>
        <w:rPr/>
      </w:pPr>
      <w:r>
        <w:rPr>
          <w:rFonts w:ascii="Amiri" w:hAnsi="Amiri" w:eastAsia="Amiri" w:cs="Amiri"/>
          <w:color w:val="111111"/>
          <w:sz w:val="28"/>
          <w:sz w:val="28"/>
          <w:szCs w:val="28"/>
          <w:rtl w:val="true"/>
          <w:lang w:bidi="ar-SA"/>
        </w:rPr>
        <w:t>تراد معرفته في الموضوعية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يرى أن الإشكالية الرئيسية للفلسفة هي تحديد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محاولة تحديده للموضوعية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Gegenstandlichen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يُضمّن هو نيغسفالد إشكالية العلاقة بين الوحدة </w:t>
      </w:r>
      <w:r>
        <w:rPr>
          <w:rFonts w:eastAsia="Times New Roman" w:cs="Times New Roman" w:ascii="Times New Roman" w:hAnsi="Times New Roman"/>
          <w:color w:val="111111"/>
          <w:sz w:val="28"/>
          <w:szCs w:val="28"/>
          <w:lang w:val="en-US" w:bidi="en-US"/>
        </w:rPr>
        <w:t>Einheit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والتعدد </w:t>
      </w:r>
      <w:r>
        <w:rPr>
          <w:rFonts w:eastAsia="Times New Roman" w:cs="Times New Roman" w:ascii="Times New Roman" w:hAnsi="Times New Roman"/>
          <w:color w:val="111111"/>
          <w:sz w:val="28"/>
          <w:szCs w:val="28"/>
          <w:lang w:val="en-US" w:bidi="en-US"/>
        </w:rPr>
        <w:t>Viheit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بين العام والخاص، أو بلغته هو بين الوقائع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المعطيات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 والمنهج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التفكير كظاهرة سيكولوجية أساسية غير قابلة للاستنتاج، لا يمكن الذهاب إلى أبعد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ويحدث التوتر في نظره بين الواقع الفعلي كتَمَظهر وبين الإمكانيات غير النافذة للفكر أو 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الأمر إذا هنا بالنسبة له بالعلاقة بين المعيش والمعرفة والملكات الروحية للذات المُجسَّدة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واستنادًا إلى لايبنتز يسمي الذات التي نتعرف عليها عن طريق التفكير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الموناس </w:t>
      </w:r>
      <w:r>
        <w:rPr>
          <w:rFonts w:eastAsia="Times New Roman" w:cs="Times New Roman" w:ascii="Times New Roman" w:hAnsi="Times New Roman"/>
          <w:color w:val="111111"/>
          <w:sz w:val="28"/>
          <w:szCs w:val="28"/>
          <w:lang w:val="en-US" w:bidi="en-US"/>
        </w:rPr>
        <w:t>Monas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وهناك علاقةٌ متبادلة لا يمكن حلها بين الموناس والعالم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ويوجد في الموناس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 ذاتي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العلاقة مع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يجعل من الموناس في نظره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ويهتم هونيغسفالد في هذا الإطار بطريقة نقدية بإشكالية ما إذا لم يكن بالإمكان أن يُصبح اللاشيء </w:t>
      </w:r>
      <w:r>
        <w:rPr>
          <w:rFonts w:eastAsia="Times New Roman" w:cs="Times New Roman" w:ascii="Times New Roman" w:hAnsi="Times New Roman"/>
          <w:color w:val="111111"/>
          <w:sz w:val="28"/>
          <w:szCs w:val="28"/>
          <w:lang w:val="en-US" w:bidi="en-US"/>
        </w:rPr>
        <w:t>Nichts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مضمونًا للتجربة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ويلمس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رء هنا بوضوح تعرّضه لهايدغر، وبالخصوص في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الميتافيزيقا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ويرى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العكس من اللانهائي، لا يمكن أن يتوفر على 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ويهاجم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هايدغر متهما إياه بغياب إشكالية معرفة الموضوع عنده وعوض دراسة ماهو معطى لا يدرس إلا النهائي</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الحديث عن النسق الفلسفي لهونيغسفالد طويل وشيق </w:t>
      </w:r>
      <w:bookmarkStart w:id="139" w:name="pg16300_179399"/>
    </w:p>
    <w:p>
      <w:pPr>
        <w:pStyle w:val="BookText"/>
        <w:rPr/>
      </w:pPr>
      <w:bookmarkEnd w:id="139"/>
      <w:r>
        <w:rPr>
          <w:rFonts w:ascii="Amiri" w:hAnsi="Amiri" w:eastAsia="Amiri" w:cs="Amiri"/>
          <w:color w:val="111111"/>
          <w:sz w:val="28"/>
          <w:sz w:val="28"/>
          <w:szCs w:val="28"/>
          <w:rtl w:val="true"/>
          <w:lang w:bidi="ar-SA"/>
        </w:rPr>
        <w:t>للغاية، لأن طبيعة اللغة التي كان يستعملها في المتناول، على الرغم من أنها كانت تعالج مواضيع فلسفية عميقةً ومعقدة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إشارة لا بد منها في ما يتعلق باهتمامه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الإعتقاد بالله، يتعرف الإنسان في نظره على معنى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يرى بأن إمكانية الإيمان مؤسسة في الوجود الإلهي ذاته، ويعبر عن هذا الأمر بطريقة جميلة جدًّا عندما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ليس لا شيئًا لأنني أعتقد فيه، بل أعتقد فيه لأنه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وجوده هذا ينعكس مضمون معنى الاعتقاد ويتمظهر الوجود الإلهي بالضرورة كتحقيق لهذه الفرضية تكشف مباشرة الله المعنى الإيماني لكل ما هو مشروط ولكل شارط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أفكر في الله في معنى الإيمان من</w:t>
      </w:r>
    </w:p>
    <w:p>
      <w:pPr>
        <w:pStyle w:val="BookText"/>
        <w:rPr/>
      </w:pPr>
      <w:r>
        <w:rPr>
          <w:rFonts w:ascii="Amiri" w:hAnsi="Amiri" w:eastAsia="Amiri" w:cs="Amiri"/>
          <w:color w:val="111111"/>
          <w:sz w:val="28"/>
          <w:sz w:val="28"/>
          <w:szCs w:val="28"/>
          <w:rtl w:val="true"/>
          <w:lang w:bidi="ar-SA"/>
        </w:rPr>
        <w:t xml:space="preserve">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 w:name="__RefHeading___Toc5377357_1280447820"/>
      <w:bookmarkStart w:id="141" w:name="_Toc48"/>
      <w:bookmarkEnd w:id="140"/>
      <w:r>
        <w:rPr/>
        <w:t>5</w:t>
      </w:r>
      <w:r>
        <w:rPr>
          <w:rtl w:val="true"/>
        </w:rPr>
        <w:t xml:space="preserve">. </w:t>
      </w:r>
      <w:r>
        <w:rPr>
          <w:rtl w:val="true"/>
        </w:rPr>
        <w:t>إيريك كاوفمان</w:t>
      </w:r>
      <w:bookmarkEnd w:id="141"/>
    </w:p>
    <w:p>
      <w:pPr>
        <w:pStyle w:val="BookText"/>
        <w:rPr/>
      </w:pPr>
      <w:r>
        <w:rPr>
          <w:rFonts w:eastAsia="Times New Roman" w:cs="Times New Roman" w:ascii="Times New Roman" w:hAnsi="Times New Roman"/>
          <w:color w:val="111111"/>
          <w:sz w:val="28"/>
          <w:szCs w:val="28"/>
          <w:lang w:val="en-US" w:bidi="en-US"/>
        </w:rPr>
        <w:t>Erich Kaufmann</w:t>
      </w:r>
    </w:p>
    <w:p>
      <w:pPr>
        <w:pStyle w:val="BookText"/>
        <w:rPr/>
      </w:pPr>
      <w:r>
        <w:rPr>
          <w:rFonts w:ascii="Amiri" w:hAnsi="Amiri" w:eastAsia="Amiri" w:cs="Amiri"/>
          <w:color w:val="111111"/>
          <w:sz w:val="28"/>
          <w:sz w:val="28"/>
          <w:szCs w:val="28"/>
          <w:rtl w:val="true"/>
          <w:lang w:bidi="ar-SA"/>
        </w:rPr>
        <w:t xml:space="preserve">بدأ كاوفمان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دراسته الجامعية بالفلسفة وتاريخ الأدب بجامعة هايدلبيرغ وبعدها بجامعة فرايبورغ، قبل أن يغير لدراسة القانون حصل على الدكتوراه عام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بجامعة هالا </w:t>
      </w:r>
      <w:r>
        <w:rPr>
          <w:rFonts w:eastAsia="Times New Roman" w:cs="Times New Roman" w:ascii="Times New Roman" w:hAnsi="Times New Roman"/>
          <w:color w:val="111111"/>
          <w:sz w:val="28"/>
          <w:szCs w:val="28"/>
          <w:lang w:val="en-US" w:bidi="en-US"/>
        </w:rPr>
        <w:t>Hal- le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حصل على درجة الأستاذية عام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جامعة كيل </w:t>
      </w:r>
      <w:r>
        <w:rPr>
          <w:rFonts w:eastAsia="Times New Roman" w:cs="Times New Roman" w:ascii="Times New Roman" w:hAnsi="Times New Roman"/>
          <w:color w:val="111111"/>
          <w:sz w:val="28"/>
          <w:szCs w:val="28"/>
          <w:lang w:val="en-US" w:bidi="en-US"/>
        </w:rPr>
        <w:t>Kiel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وبدأ التدريس بهذه الجامعة عام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ينتقل عام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جامعة كونيغسبيرغ</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Studien zur Staatslehre des monarchischen Prinzips (Einleitung: und philosophischen Grundlagen). Hallesche historischen Inauguraldissertation, 1906</w:t>
      </w:r>
    </w:p>
    <w:p>
      <w:pPr>
        <w:pStyle w:val="BookText"/>
        <w:rPr/>
      </w:pPr>
      <w:r>
        <w:rPr>
          <w:rFonts w:eastAsia="Times New Roman" w:cs="Times New Roman" w:ascii="Times New Roman" w:hAnsi="Times New Roman"/>
          <w:color w:val="111111"/>
          <w:sz w:val="28"/>
          <w:szCs w:val="28"/>
          <w:lang w:val="en-US" w:bidi="en-US"/>
        </w:rPr>
        <w:t>Die</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Auswärtige Gewalt und Kolonialgewalt in den Vereinigten Staaten von Amerika. Eine rechtsvergleichende Studie über die Grundlagen des</w:t>
      </w:r>
    </w:p>
    <w:p>
      <w:pPr>
        <w:pStyle w:val="BookText"/>
        <w:rPr/>
      </w:pPr>
      <w:r>
        <w:rPr>
          <w:rFonts w:eastAsia="Times New Roman" w:cs="Times New Roman" w:ascii="Times New Roman" w:hAnsi="Times New Roman"/>
          <w:color w:val="111111"/>
          <w:sz w:val="28"/>
          <w:szCs w:val="28"/>
          <w:lang w:val="en-US" w:bidi="en-US"/>
        </w:rPr>
        <w:t>amerikanischen und deutschen Verfassungsrechts, 1908</w:t>
      </w:r>
    </w:p>
    <w:p>
      <w:pPr>
        <w:pStyle w:val="BookText"/>
        <w:rPr/>
      </w:pPr>
      <w:r>
        <w:rPr>
          <w:rFonts w:eastAsia="Times New Roman" w:cs="Times New Roman" w:ascii="Times New Roman" w:hAnsi="Times New Roman"/>
          <w:color w:val="111111"/>
          <w:sz w:val="28"/>
          <w:szCs w:val="28"/>
          <w:lang w:val="en-US" w:bidi="en-US"/>
        </w:rPr>
        <w:t>Das Wesen des Völkerrechts und die Clausula rebus sic stantibus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Rechtsphilosophische Studie zum Rechts-, Staats- und Vertragsbegriff, 1911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Verwaltung, Verwaltungsrecht (Wörterbuch des deutschen Staats- und Verwaltungsrechts), herausgegeben von Stengel-Fleischmann, Bd. III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Bismarcks Erbe in der Reichsverfassung, 1917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Kritik der neukantischen Rechtsphilosophie. Eine Betrachtung über die Beziehungen zwischen Philosophie und Rechtswissenschaft, 1921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Die Problematik des Volkswillens, 1931</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الحرب العالمية الأولى، حيث أُرغم</w:t>
      </w:r>
    </w:p>
    <w:p>
      <w:pPr>
        <w:pStyle w:val="BookText"/>
        <w:rPr/>
      </w:pPr>
      <w:r>
        <w:rPr>
          <w:rFonts w:ascii="Amiri" w:hAnsi="Amiri" w:eastAsia="Amiri" w:cs="Amiri"/>
          <w:color w:val="111111"/>
          <w:sz w:val="28"/>
          <w:sz w:val="28"/>
          <w:szCs w:val="28"/>
          <w:rtl w:val="true"/>
          <w:lang w:bidi="ar-SA"/>
        </w:rPr>
        <w:t xml:space="preserve">على المشاركة وجُرح جُرحًا خطيرا، تابع التدريس بجامعة برلين عام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وانتقل إلى جامعة بون عام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ظهر نقده للكانطية الجديدة بجلاء عام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 عندما عكف نقديَّا على دراسة فلسفة القانون للكانطية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دراسته هذه تفرغ للعمل الميداني في القانون وتقلب في مناصب عدة، ليعود إلى برلين حيث استأنف التدريس إلى حدود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 xml:space="preserve">، حيث فرض عليه التوقف على التدريس من طرف النازية؛ لكنه نجح في جمع من الطلبة حوله في بيته ببرلين في ما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حلقة بحيرة نيكولاس </w:t>
      </w:r>
      <w:r>
        <w:rPr>
          <w:rFonts w:eastAsia="Times New Roman" w:cs="Times New Roman" w:ascii="Times New Roman" w:hAnsi="Times New Roman"/>
          <w:color w:val="111111"/>
          <w:sz w:val="28"/>
          <w:szCs w:val="28"/>
          <w:lang w:val="en-US" w:bidi="en-US"/>
        </w:rPr>
        <w:t>Nikolasseer Seminare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هرب إلى هولندا عام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 xml:space="preserve">، حيث نشر المحاضرات التي سبق له أن ألقاها عام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أكاديمية هاغ للقانون الدولي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القواعد العامة لقانون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إلى ألمانيا عام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وتابع التدريس بجامعة ميونيخ إلى أن حصل على المعاش عام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 كمتخصص في القانون، كمدافع على الحق أو القانون الطبيعي وعلى المنهج الأنطولوجي والميتافيزيقي، كما عرف </w:t>
      </w:r>
    </w:p>
    <w:p>
      <w:pPr>
        <w:pStyle w:val="BookText"/>
        <w:rPr/>
      </w:pPr>
      <w:r>
        <w:rPr>
          <w:rFonts w:ascii="Amiri" w:hAnsi="Amiri" w:eastAsia="Amiri" w:cs="Amiri"/>
          <w:color w:val="111111"/>
          <w:sz w:val="28"/>
          <w:sz w:val="28"/>
          <w:szCs w:val="28"/>
          <w:rtl w:val="true"/>
          <w:lang w:bidi="ar-SA"/>
        </w:rPr>
        <w:t>بمواقفه المعارضة لما سُمي بالكانطية الجديدة ذات النفحة الوضعية في القانون فبتأكيده على وجود قانون طبيعي، فإنه حاول مقاومة الوضعية والنسبية في آن واحد، اللتين كانتا تُعتبران بالنسبة له نتائج طبيعيةً للنزعة العقلانية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نقده في هذا الإطار ذا أبعاد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فالتأويل الوضعي للقانون لم يكن يفهم في نظره العدالة إلا على شكل تبادلي، وبهذا تضيع أشكاله التوزيعية والانتقائية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النزعة العقلانية فإنها اختزلت المجتمع إلى مجموعة من الأفراد فقط، وبهذا نسيت المؤسسات وأهداف وإنجازات الإنسانية ويقود هذا إلى البعد النقدي الثالث له والمتمثل في العجز عن تصور استمرارية المؤسسات في الزمن يعني في تعاقب الأجيال التي تشكلها وتجددها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يؤاخذ الوضعية على إضافة عنصر أساسي في انحطاط العدالة، وهو إعطاؤها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إجابةً شكيّةً على إشكالية ما هي العدالة وفي هيجان نقده يعتبر القانون الوضعي بمثابة على حد تعبيره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تقدم نفسها لكل من هبّ ودبّ</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يُعاب على كاوفمان في تنظيره الفلسفة القانون هو أنه لم يعط جوابًا مقنعا على معنى العدالة، بل اكتفى بالتأكيد على أن المرء لا يمكنه تحديد معناها ودعا لعدم البحث عن وجودها الفعلي في الواقع كشيء طبيعي يمكن لمسه، بقدر ما يجب البحث عن مضمونها في هذا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ويعزو لله وحده إمكانية المعرفة الكاملة والشاملة للعدالة ولا يمكن للإنسان أن يعطي لهذه العدالة إلا معنى تقريبيًّا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ويتشمم المرء هنا رائحة هجومه من جديد على النزعة العقلانية، المتهمة من طرفه بالخلط بين المُشَرِّع والله، حتى ليُخيَّل للمرء بأنه هو الله نفسه</w:t>
      </w:r>
      <w:r>
        <w:rPr>
          <w:rFonts w:eastAsia="Amiri" w:cs="Amiri" w:ascii="Amiri" w:hAnsi="Amiri"/>
          <w:color w:val="111111"/>
          <w:sz w:val="28"/>
          <w:szCs w:val="28"/>
          <w:rtl w:val="true"/>
          <w:lang w:bidi="ar-SA"/>
        </w:rPr>
        <w:t xml:space="preserve">. </w:t>
      </w:r>
      <w:bookmarkStart w:id="142" w:name="pg16300_179402"/>
    </w:p>
    <w:p>
      <w:pPr>
        <w:pStyle w:val="Heading4"/>
        <w:numPr>
          <w:ilvl w:val="3"/>
          <w:numId w:val="1"/>
        </w:numPr>
        <w:rPr/>
      </w:pPr>
      <w:bookmarkStart w:id="143" w:name="__RefHeading___Toc5377359_1280447820"/>
      <w:bookmarkStart w:id="144" w:name="_Toc49"/>
      <w:bookmarkEnd w:id="142"/>
      <w:bookmarkEnd w:id="143"/>
      <w:r>
        <w:rPr/>
        <w:t>6</w:t>
      </w:r>
      <w:r>
        <w:rPr>
          <w:rtl w:val="true"/>
        </w:rPr>
        <w:t xml:space="preserve">. </w:t>
      </w:r>
      <w:r>
        <w:rPr>
          <w:rtl w:val="true"/>
        </w:rPr>
        <w:t>ليونارد نيلسون</w:t>
      </w:r>
      <w:bookmarkEnd w:id="144"/>
    </w:p>
    <w:p>
      <w:pPr>
        <w:pStyle w:val="BookText"/>
        <w:rPr/>
      </w:pPr>
      <w:r>
        <w:rPr>
          <w:rFonts w:eastAsia="Times New Roman" w:cs="Times New Roman" w:ascii="Times New Roman" w:hAnsi="Times New Roman"/>
          <w:color w:val="111111"/>
          <w:sz w:val="28"/>
          <w:szCs w:val="28"/>
          <w:lang w:val="en-US" w:bidi="en-US"/>
        </w:rPr>
        <w:t>Leonard Nelson</w:t>
      </w:r>
    </w:p>
    <w:p>
      <w:pPr>
        <w:pStyle w:val="BookText"/>
        <w:rPr/>
      </w:pPr>
      <w:r>
        <w:rPr>
          <w:rFonts w:ascii="Amiri" w:hAnsi="Amiri" w:eastAsia="Amiri" w:cs="Amiri"/>
          <w:color w:val="111111"/>
          <w:sz w:val="28"/>
          <w:sz w:val="28"/>
          <w:szCs w:val="28"/>
          <w:rtl w:val="true"/>
          <w:lang w:bidi="ar-SA"/>
        </w:rPr>
        <w:t xml:space="preserve">بدأ نلسون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دراسته الجامعية بهايدلبيرغ في الفلسفة والعلوم الطبيعية والقانون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بين أساتذته في الفلسفة كان هناك الكانطي الجديد كونو فيشر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 إلى جامعة برلين وبعدها إلى جامعة غوتينغين، حيث حصل على الدكتوراه برسالة حول ياكوب فريدريك فريس ويوليوس باومان حصل على درجة الأستاذية عام </w:t>
      </w:r>
      <w:r>
        <w:rPr>
          <w:rFonts w:eastAsia="Amiri" w:cs="Amiri" w:ascii="Amiri" w:hAnsi="Amiri"/>
          <w:color w:val="111111"/>
          <w:sz w:val="28"/>
          <w:szCs w:val="28"/>
          <w:lang w:bidi="ar-SA"/>
        </w:rPr>
        <w:t>1908</w:t>
      </w:r>
      <w:r>
        <w:rPr>
          <w:rFonts w:ascii="Amiri" w:hAnsi="Amiri" w:eastAsia="Amiri" w:cs="Amiri"/>
          <w:color w:val="111111"/>
          <w:sz w:val="28"/>
          <w:sz w:val="28"/>
          <w:szCs w:val="28"/>
          <w:rtl w:val="true"/>
          <w:lang w:bidi="ar-SA"/>
        </w:rPr>
        <w:t xml:space="preserve">، على الرغم من المحاولات المتكررة لهوسرل لعرقلة مساره الجامعي، لأن نيلسون كان من منتقديه، بل هيأ أطروحة أستاذيته كلها لنقد جانب من فلسفة هوسرل، وفي عام </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التدريس بهذه 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ليونارد نيلسون مفكرًا سياسيّاً بارزاً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شكلت الفلسفة والممارسة وحدةً بالنسبة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المرور من التأمل الفكري إلى نمط الحياة الأخلاقي مطلوبًا من قبل برنامجه 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صاغ نيلسون مفهوم الاشتراكية الأخلاقية، كما عبر المرء عنها قبلا بمدرسة ماربورغ للكانطية الجديدة وقع بينه وبين الحزب الإشتراكي الديمقراطي نزاع عام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أسس الاتحاد الدولي للشباب </w:t>
      </w:r>
      <w:r>
        <w:rPr>
          <w:rFonts w:eastAsia="Times New Roman" w:cs="Times New Roman" w:ascii="Times New Roman" w:hAnsi="Times New Roman"/>
          <w:color w:val="111111"/>
          <w:sz w:val="28"/>
          <w:szCs w:val="28"/>
          <w:lang w:val="en-US" w:bidi="en-US"/>
        </w:rPr>
        <w:t>Internationalen Jugend-Bund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أسس نيلسون وهو طالب بعد مع مجموعة من الطلبة الشباب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مدرسة فريس الجديدة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للكانطي الجديد فريس  </w:t>
      </w:r>
      <w:r>
        <w:rPr>
          <w:rFonts w:eastAsia="Times New Roman" w:cs="Times New Roman" w:ascii="Times New Roman" w:hAnsi="Times New Roman"/>
          <w:color w:val="111111"/>
          <w:sz w:val="28"/>
          <w:szCs w:val="28"/>
          <w:lang w:val="en-US" w:bidi="en-US"/>
        </w:rPr>
        <w:t>Jakob Friedrich Fries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ببرلين وغوتينغين وكانت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العمق عبارةً عن دائرة نقاش فلسفية، حملت على عاتقها رعاية وإتمام الفلسفة النقدية لكانط، بمساعدة ما اشتغل عليه </w:t>
      </w:r>
    </w:p>
    <w:p>
      <w:pPr>
        <w:pStyle w:val="BookText"/>
        <w:rPr/>
      </w:pPr>
      <w:r>
        <w:rPr>
          <w:rFonts w:ascii="Amiri" w:hAnsi="Amiri" w:eastAsia="Amiri" w:cs="Amiri"/>
          <w:color w:val="111111"/>
          <w:sz w:val="28"/>
          <w:sz w:val="28"/>
          <w:szCs w:val="28"/>
          <w:rtl w:val="true"/>
          <w:lang w:bidi="ar-SA"/>
        </w:rPr>
        <w:t>فريس في هذا الإطار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اسم الدائرة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ليصبح عام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جمعية ياكوب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فريدريك فريس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وبسبب الحرب العالمية الأولى لم تستطع الجمعية الاشتغال بطريقة منظمة ومستمرة، فإلى حدود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نظمت ندوة فقط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المعرفة والفلسفة النقدية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نيلسون يطالب التفكير الفلسفي بالعلم الصارم والمصداقية، والتطبيق المتسق لما يتوصل له في السياسة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استحالة نظرية المعرفة </w:t>
      </w:r>
      <w:r>
        <w:rPr>
          <w:rFonts w:eastAsia="Times New Roman" w:cs="Times New Roman" w:ascii="Times New Roman" w:hAnsi="Times New Roman"/>
          <w:color w:val="111111"/>
          <w:sz w:val="28"/>
          <w:szCs w:val="28"/>
          <w:lang w:val="en-US" w:bidi="en-US"/>
        </w:rPr>
        <w:t>Die Unmöglichkeit der Erkenntnistheorie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التصور القائل باستحالة نظرية المعرفة، لأنه لا يمكن تأسيس الصلاحية الموضوعية للمعرفة موضوعيًّا، دون أن يفترض المرء هذه الصلاحية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المقابل كان يرى أهمية فلسفة الأخلاق، وبالخصوص في فترات التحول الاجتماعي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المصالح </w:t>
      </w:r>
      <w:r>
        <w:rPr>
          <w:rFonts w:eastAsia="Times New Roman" w:cs="Times New Roman" w:ascii="Times New Roman" w:hAnsi="Times New Roman"/>
          <w:color w:val="111111"/>
          <w:sz w:val="28"/>
          <w:szCs w:val="28"/>
          <w:lang w:val="en-US" w:bidi="en-US"/>
        </w:rPr>
        <w:t>Interessen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مركزيا في تفكيره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وطبقا لمبدئه الأساسي المتعلق بكرامة الشخص، فإنه من الضروري احترام مصالح كل مخلوق يشعر بالمتعة أو الألم، وتنتمي الحيوانات بالنسبة له إلى هذه المخلوقات، ولهذا السبب كان يطالب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حقوق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وعيش الإنسان على نمط نباتي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العامل الذي لا يريد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عائقًا للرأسمالية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 والذي يأخذ النضال ضد الاستغلال محلَّ الجد، ولا يريد الركوع أمام العودة الفَضَّة المتمثلة في استغلال الحيوانات غير الضارة، هذا العامل لا يشارك في قتل ملايين الحيوانات يوميا</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مات نيلسون في سن مبكر وكانت حياته الفكرية حافلة بالعطاء الفلسفي والسياسي، ترك للخزانة الألمانية كتبًا قيمةً في اختصاصه، تُعدُّ إلى حد الآن مراجع مهمة للدارسين، وبالخصوص المهتمين بالفكر الكانطي الجديد في حلته النقدية </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Gesammelte Schriften in neun Bänden. Herausgegeben von Paul Bernays u. a. Meiner, Hamburg 1970-1977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Band I: Die Schule der kritischen Philosophie und ihre Methode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Band II: Geschichte und Kritik der Erkenntnistheorie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Band III: Die kritische Methode in ihrer Bedeutung für die Wissenschaft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Band IV: Kritik der praktischen Vernunft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Band V: System der philosophischen Ethik und Pädagogik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Band VI: System der philosophischen Rechtslehre und Politik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Band VII: Fortschritte und Rückschritte der Philosophie von Hume und Kant bis Hegel und Fries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Band VIII: Sittlichkeit und Bildung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Band IX: Recht und Staat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Ethische Methodenlehre. von Veit &amp; Comp., Leipzig 1915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Die Rechtswissenschaft ohne Recht. von Veit &amp; Comp., Leipzig 1917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Demokratie und Führerschaft. Öffentliches Leben, Berlin 1932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Vom Selbstvertrauen der Vernunft: Schriften zur krit. Philosophie und ihrer Ethik. Hrsg. von Grete Henry-Hermann (Philosophische Bibliothek. Band 288). Meiner, Hamburg 1975</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5" w:name="pg16300_179405"/>
    </w:p>
    <w:p>
      <w:pPr>
        <w:pStyle w:val="Heading2"/>
        <w:numPr>
          <w:ilvl w:val="1"/>
          <w:numId w:val="1"/>
        </w:numPr>
        <w:rPr/>
      </w:pPr>
      <w:bookmarkStart w:id="146" w:name="__RefHeading___Toc5377361_1280447820"/>
      <w:bookmarkStart w:id="147" w:name="_Toc50"/>
      <w:bookmarkEnd w:id="145"/>
      <w:bookmarkEnd w:id="146"/>
      <w:r>
        <w:rPr>
          <w:rtl w:val="true"/>
        </w:rPr>
        <w:t xml:space="preserve">الفصل الرابع </w:t>
      </w:r>
      <w:r>
        <w:rPr>
          <w:rtl w:val="true"/>
        </w:rPr>
        <w:t>:</w:t>
      </w:r>
      <w:r>
        <w:rPr>
          <w:rtl w:val="true"/>
        </w:rPr>
        <w:t>انتشار الكانطية الجديدة وراهنيتها</w:t>
      </w:r>
      <w:bookmarkEnd w:id="14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8" w:name="__RefHeading___Toc5377363_1280447820"/>
      <w:bookmarkStart w:id="149" w:name="_Toc51"/>
      <w:bookmarkEnd w:id="148"/>
      <w:r>
        <w:rPr>
          <w:rtl w:val="true"/>
        </w:rPr>
        <w:t>اشارة</w:t>
      </w:r>
      <w:bookmarkStart w:id="150" w:name="pg16300_179406"/>
      <w:bookmarkEnd w:id="149"/>
    </w:p>
    <w:p>
      <w:pPr>
        <w:pStyle w:val="BookText"/>
        <w:rPr/>
      </w:pPr>
      <w:bookmarkEnd w:id="150"/>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 الكانطية الجديدة وراهنيتها</w:t>
      </w:r>
    </w:p>
    <w:p>
      <w:pPr>
        <w:pStyle w:val="Heading3"/>
        <w:numPr>
          <w:ilvl w:val="2"/>
          <w:numId w:val="1"/>
        </w:numPr>
        <w:rPr/>
      </w:pPr>
      <w:bookmarkStart w:id="151" w:name="__RefHeading___Toc5377365_1280447820"/>
      <w:bookmarkStart w:id="152" w:name="_Toc52"/>
      <w:bookmarkEnd w:id="151"/>
      <w:r>
        <w:rPr>
          <w:rtl w:val="true"/>
        </w:rPr>
        <w:t>الجزء الأول</w:t>
      </w:r>
      <w:r>
        <w:rPr>
          <w:rtl w:val="true"/>
        </w:rPr>
        <w:t xml:space="preserve">: </w:t>
      </w:r>
      <w:r>
        <w:rPr>
          <w:rtl w:val="true"/>
        </w:rPr>
        <w:t>انتشار الكانطية الجديدة</w:t>
      </w:r>
      <w:bookmarkEnd w:id="152"/>
    </w:p>
    <w:p>
      <w:pPr>
        <w:pStyle w:val="Heading4"/>
        <w:numPr>
          <w:ilvl w:val="3"/>
          <w:numId w:val="1"/>
        </w:numPr>
        <w:rPr/>
      </w:pPr>
      <w:bookmarkStart w:id="153" w:name="__RefHeading___Toc5377367_1280447820"/>
      <w:bookmarkStart w:id="154" w:name="_Toc53"/>
      <w:bookmarkEnd w:id="153"/>
      <w:r>
        <w:rPr>
          <w:rtl w:val="true"/>
        </w:rPr>
        <w:t>اشارة</w:t>
      </w:r>
      <w:bookmarkEnd w:id="154"/>
    </w:p>
    <w:p>
      <w:pPr>
        <w:pStyle w:val="BookText"/>
        <w:rPr/>
      </w:pPr>
      <w:r>
        <w:rPr>
          <w:rFonts w:ascii="Amiri" w:hAnsi="Amiri" w:eastAsia="Amiri" w:cs="Amiri"/>
          <w:color w:val="111111"/>
          <w:sz w:val="28"/>
          <w:sz w:val="28"/>
          <w:szCs w:val="28"/>
          <w:rtl w:val="true"/>
          <w:lang w:bidi="ar-SA"/>
        </w:rPr>
        <w:t>قادت صحوة إعادة الاهتمام بالكانطية إذا من بين ما قادت إليه إلى ظهور الكانطية الجديدة بمدرستيها الرئيسيتين وكل ما تفرع عنهما أو 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بجانبهما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يقتصر حضور الكانطية الجديدة جغرافيًا في ألمانيا ، بل تعداه لينشتر في كل بقاع العالم تقريبًا</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 w:name="__RefHeading___Toc5377369_1280447820"/>
      <w:bookmarkStart w:id="156" w:name="_Toc54"/>
      <w:bookmarkEnd w:id="155"/>
      <w:r>
        <w:rPr/>
        <w:t>1</w:t>
      </w:r>
      <w:r>
        <w:rPr>
          <w:rtl w:val="true"/>
        </w:rPr>
        <w:t xml:space="preserve">. </w:t>
      </w:r>
      <w:r>
        <w:rPr>
          <w:rtl w:val="true"/>
        </w:rPr>
        <w:t>في روسيا</w:t>
      </w:r>
      <w:bookmarkEnd w:id="156"/>
    </w:p>
    <w:p>
      <w:pPr>
        <w:pStyle w:val="BookText"/>
        <w:rPr/>
      </w:pPr>
      <w:r>
        <w:rPr>
          <w:rFonts w:ascii="Amiri" w:hAnsi="Amiri" w:eastAsia="Amiri" w:cs="Amiri"/>
          <w:color w:val="111111"/>
          <w:sz w:val="28"/>
          <w:sz w:val="28"/>
          <w:szCs w:val="28"/>
          <w:rtl w:val="true"/>
          <w:lang w:bidi="ar-SA"/>
        </w:rPr>
        <w:t>لم يقتصر تأثير الكانطية الجديدة جغرافيا على ألمانيا وحسب، بل شمل دولاً أوروبيةً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فريق كانطي جديد روسي ارتوى من كلتا المدرستين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بادن وماربورغ</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مثل أليكسسييف ،</w:t>
      </w:r>
      <w:r>
        <w:rPr>
          <w:rFonts w:eastAsia="Times New Roman" w:cs="Times New Roman" w:ascii="Times New Roman" w:hAnsi="Times New Roman"/>
          <w:color w:val="111111"/>
          <w:sz w:val="28"/>
          <w:szCs w:val="28"/>
          <w:lang w:val="en-US" w:bidi="en-US"/>
        </w:rPr>
        <w:t>N. Aleksejew</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بويك </w:t>
      </w:r>
      <w:r>
        <w:rPr>
          <w:rFonts w:eastAsia="Times New Roman" w:cs="Times New Roman" w:ascii="Times New Roman" w:hAnsi="Times New Roman"/>
          <w:color w:val="111111"/>
          <w:sz w:val="28"/>
          <w:szCs w:val="28"/>
          <w:lang w:val="en-US" w:bidi="en-US"/>
        </w:rPr>
        <w:t>O Baek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هيسين </w:t>
      </w:r>
      <w:r>
        <w:rPr>
          <w:rFonts w:eastAsia="Times New Roman" w:cs="Times New Roman" w:ascii="Times New Roman" w:hAnsi="Times New Roman"/>
          <w:color w:val="111111"/>
          <w:sz w:val="28"/>
          <w:szCs w:val="28"/>
          <w:lang w:val="en-US" w:bidi="en-US"/>
        </w:rPr>
        <w:t>S. Hessen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کانانوف</w:t>
      </w:r>
    </w:p>
    <w:p>
      <w:pPr>
        <w:pStyle w:val="BookText"/>
        <w:rPr/>
      </w:pPr>
      <w:r>
        <w:rPr>
          <w:rFonts w:eastAsia="Times New Roman" w:cs="Times New Roman" w:ascii="Times New Roman" w:hAnsi="Times New Roman"/>
          <w:color w:val="111111"/>
          <w:sz w:val="28"/>
          <w:szCs w:val="28"/>
          <w:lang w:val="en-US" w:bidi="en-US"/>
        </w:rPr>
        <w:t>Kananow</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لانز </w:t>
      </w:r>
      <w:r>
        <w:rPr>
          <w:rFonts w:eastAsia="Times New Roman" w:cs="Times New Roman" w:ascii="Times New Roman" w:hAnsi="Times New Roman"/>
          <w:color w:val="111111"/>
          <w:sz w:val="28"/>
          <w:szCs w:val="28"/>
          <w:lang w:val="en-US" w:bidi="en-US"/>
        </w:rPr>
        <w:t>H .Lanz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روبینشتاین </w:t>
      </w:r>
      <w:r>
        <w:rPr>
          <w:rFonts w:eastAsia="Times New Roman" w:cs="Times New Roman" w:ascii="Times New Roman" w:hAnsi="Times New Roman"/>
          <w:color w:val="111111"/>
          <w:sz w:val="28"/>
          <w:szCs w:val="28"/>
          <w:lang w:val="en-US" w:bidi="en-US"/>
        </w:rPr>
        <w:t>Rubinstein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ساخيتي </w:t>
      </w:r>
      <w:r>
        <w:rPr>
          <w:rFonts w:eastAsia="Times New Roman" w:cs="Times New Roman" w:ascii="Times New Roman" w:hAnsi="Times New Roman"/>
          <w:color w:val="111111"/>
          <w:sz w:val="28"/>
          <w:szCs w:val="28"/>
          <w:lang w:val="en-US" w:bidi="en-US"/>
        </w:rPr>
        <w:t>A .Sacchetti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سافالسكي </w:t>
      </w:r>
      <w:r>
        <w:rPr>
          <w:rFonts w:eastAsia="Times New Roman" w:cs="Times New Roman" w:ascii="Times New Roman" w:hAnsi="Times New Roman"/>
          <w:color w:val="111111"/>
          <w:sz w:val="28"/>
          <w:szCs w:val="28"/>
          <w:lang w:val="en-US" w:bidi="en-US"/>
        </w:rPr>
        <w:t>W. Sawalsky</w:t>
      </w:r>
      <w:r>
        <w:rPr>
          <w:rFonts w:ascii="IRNazanin" w:hAnsi="IRNazanin" w:eastAsia="IRNazanin"/>
          <w:color w:val="111111"/>
          <w:sz w:val="28"/>
          <w:sz w:val="28"/>
          <w:szCs w:val="28"/>
          <w:rtl w:val="true"/>
          <w:lang w:bidi="fa-IR"/>
        </w:rPr>
        <w:t xml:space="preserve">، سالاغوف </w:t>
      </w:r>
      <w:r>
        <w:rPr>
          <w:rFonts w:eastAsia="Times New Roman" w:cs="Times New Roman" w:ascii="Times New Roman" w:hAnsi="Times New Roman"/>
          <w:color w:val="111111"/>
          <w:sz w:val="28"/>
          <w:szCs w:val="28"/>
          <w:lang w:val="en-US" w:bidi="en-US"/>
        </w:rPr>
        <w:t>Salagoff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طوبوركوف </w:t>
      </w:r>
      <w:r>
        <w:rPr>
          <w:rFonts w:eastAsia="Times New Roman" w:cs="Times New Roman" w:ascii="Times New Roman" w:hAnsi="Times New Roman"/>
          <w:color w:val="111111"/>
          <w:sz w:val="28"/>
          <w:szCs w:val="28"/>
          <w:lang w:val="en-US" w:bidi="en-US"/>
        </w:rPr>
        <w:t>A. Toporkoff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فوغت </w:t>
      </w:r>
      <w:r>
        <w:rPr>
          <w:rFonts w:eastAsia="Times New Roman" w:cs="Times New Roman" w:ascii="Times New Roman" w:hAnsi="Times New Roman"/>
          <w:color w:val="111111"/>
          <w:sz w:val="28"/>
          <w:szCs w:val="28"/>
          <w:lang w:val="en-US" w:bidi="en-US"/>
        </w:rPr>
        <w:t>B. Vogt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فیشیسلافیتیف </w:t>
      </w:r>
      <w:r>
        <w:rPr>
          <w:rFonts w:eastAsia="Times New Roman" w:cs="Times New Roman" w:ascii="Times New Roman" w:hAnsi="Times New Roman"/>
          <w:color w:val="111111"/>
          <w:sz w:val="28"/>
          <w:szCs w:val="28"/>
          <w:lang w:val="en-US" w:bidi="en-US"/>
        </w:rPr>
        <w:t>B. Wischeslavzeff</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نجد تلاميذ عدةً لفيندلباند وريكرت مثل بيردياجيف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 Berdiajew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بوبنوف </w:t>
      </w:r>
      <w:r>
        <w:rPr>
          <w:rFonts w:eastAsia="Times New Roman" w:cs="Times New Roman" w:ascii="Times New Roman" w:hAnsi="Times New Roman"/>
          <w:color w:val="111111"/>
          <w:sz w:val="28"/>
          <w:szCs w:val="28"/>
          <w:lang w:val="en-US" w:bidi="en-US"/>
        </w:rPr>
        <w:t>N. Bubnoff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فوندامينسكي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 Fondaminski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فوند مینسکایا </w:t>
      </w:r>
      <w:r>
        <w:rPr>
          <w:rFonts w:eastAsia="Times New Roman" w:cs="Times New Roman" w:ascii="Times New Roman" w:hAnsi="Times New Roman"/>
          <w:color w:val="111111"/>
          <w:sz w:val="28"/>
          <w:szCs w:val="28"/>
          <w:lang w:val="en-US" w:bidi="en-US"/>
        </w:rPr>
        <w:t>Fondaminskaja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غوتس،</w:t>
      </w:r>
      <w:r>
        <w:rPr>
          <w:rFonts w:eastAsia="Times New Roman" w:cs="Times New Roman" w:ascii="Times New Roman" w:hAnsi="Times New Roman"/>
          <w:color w:val="111111"/>
          <w:sz w:val="28"/>
          <w:szCs w:val="28"/>
          <w:lang w:val="en-US" w:bidi="en-US"/>
        </w:rPr>
        <w:t>A Gotz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إيليين </w:t>
      </w:r>
      <w:r>
        <w:rPr>
          <w:rFonts w:eastAsia="Times New Roman" w:cs="Times New Roman" w:ascii="Times New Roman" w:hAnsi="Times New Roman"/>
          <w:color w:val="111111"/>
          <w:sz w:val="28"/>
          <w:szCs w:val="28"/>
          <w:lang w:val="en-US" w:bidi="en-US"/>
        </w:rPr>
        <w:t>I ljin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ياكوفينكي </w:t>
      </w:r>
      <w:r>
        <w:rPr>
          <w:rFonts w:eastAsia="Times New Roman" w:cs="Times New Roman" w:ascii="Times New Roman" w:hAnsi="Times New Roman"/>
          <w:color w:val="111111"/>
          <w:sz w:val="28"/>
          <w:szCs w:val="28"/>
          <w:lang w:val="en-US" w:bidi="en-US"/>
        </w:rPr>
        <w:t>B. Jakowenko</w:t>
      </w:r>
      <w:r>
        <w:rPr>
          <w:rFonts w:ascii="Amiri" w:hAnsi="Amiri" w:eastAsia="Amiri" w:cs="Amiri"/>
          <w:color w:val="111111"/>
          <w:sz w:val="28"/>
          <w:sz w:val="28"/>
          <w:szCs w:val="28"/>
          <w:rtl w:val="true"/>
          <w:lang w:bidi="ar-SA"/>
        </w:rPr>
        <w:t xml:space="preserve">، كيتسيافوسكي </w:t>
      </w:r>
      <w:r>
        <w:rPr>
          <w:rFonts w:eastAsia="Times New Roman" w:cs="Times New Roman" w:ascii="Times New Roman" w:hAnsi="Times New Roman"/>
          <w:color w:val="111111"/>
          <w:sz w:val="28"/>
          <w:szCs w:val="28"/>
          <w:lang w:val="en-US" w:bidi="en-US"/>
        </w:rPr>
        <w:t>B. (Th) Kistiakowski</w:t>
      </w:r>
      <w:r>
        <w:rPr>
          <w:rFonts w:ascii="IRNazanin" w:hAnsi="IRNazanin" w:eastAsia="IRNazanin"/>
          <w:color w:val="111111"/>
          <w:sz w:val="28"/>
          <w:sz w:val="28"/>
          <w:szCs w:val="28"/>
          <w:rtl w:val="true"/>
          <w:lang w:bidi="fa-IR"/>
        </w:rPr>
        <w:t xml:space="preserve">، ماندلسطام </w:t>
      </w:r>
      <w:r>
        <w:rPr>
          <w:rFonts w:eastAsia="Times New Roman" w:cs="Times New Roman" w:ascii="Times New Roman" w:hAnsi="Times New Roman"/>
          <w:color w:val="111111"/>
          <w:sz w:val="28"/>
          <w:szCs w:val="28"/>
          <w:lang w:val="en-US" w:bidi="en-US"/>
        </w:rPr>
        <w:t>Mandelstam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نوفغوروتدتزيف </w:t>
      </w:r>
      <w:r>
        <w:rPr>
          <w:rFonts w:eastAsia="Times New Roman" w:cs="Times New Roman" w:ascii="Times New Roman" w:hAnsi="Times New Roman"/>
          <w:color w:val="111111"/>
          <w:sz w:val="28"/>
          <w:szCs w:val="28"/>
          <w:lang w:val="en-US" w:bidi="en-US"/>
        </w:rPr>
        <w:t>P. Nowgorodzew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 روبینشطاین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Rubinstein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،شاغینیان </w:t>
      </w:r>
      <w:r>
        <w:rPr>
          <w:rFonts w:eastAsia="Times New Roman" w:cs="Times New Roman" w:ascii="Times New Roman" w:hAnsi="Times New Roman"/>
          <w:color w:val="111111"/>
          <w:sz w:val="28"/>
          <w:szCs w:val="28"/>
          <w:lang w:val="en-US" w:bidi="en-US"/>
        </w:rPr>
        <w:t>M. Schaginyan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سينسينوف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W. Beliajew</w:t>
      </w:r>
    </w:p>
    <w:p>
      <w:pPr>
        <w:pStyle w:val="BookText"/>
        <w:rPr/>
      </w:pPr>
      <w:r>
        <w:rPr>
          <w:rFonts w:eastAsia="Times New Roman" w:cs="Times New Roman" w:ascii="Times New Roman" w:hAnsi="Times New Roman"/>
          <w:color w:val="111111"/>
          <w:sz w:val="28"/>
          <w:szCs w:val="28"/>
          <w:lang w:val="en-US" w:bidi="en-US"/>
        </w:rPr>
        <w:t>Sensinow</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شتاينبيرغ </w:t>
      </w:r>
      <w:r>
        <w:rPr>
          <w:rFonts w:eastAsia="Times New Roman" w:cs="Times New Roman" w:ascii="Times New Roman" w:hAnsi="Times New Roman"/>
          <w:color w:val="111111"/>
          <w:sz w:val="28"/>
          <w:szCs w:val="28"/>
          <w:lang w:val="en-US" w:bidi="en-US"/>
        </w:rPr>
        <w:t>A. Steinberg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ستيبون </w:t>
      </w:r>
      <w:r>
        <w:rPr>
          <w:rFonts w:eastAsia="Times New Roman" w:cs="Times New Roman" w:ascii="Times New Roman" w:hAnsi="Times New Roman"/>
          <w:color w:val="111111"/>
          <w:sz w:val="28"/>
          <w:szCs w:val="28"/>
          <w:lang w:val="en-US" w:bidi="en-US"/>
        </w:rPr>
        <w:t>Stepun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وهناك فريق آخر تتلمذ على يد كوهن وناتورب كبيلياجيف بولديريف </w:t>
      </w:r>
      <w:r>
        <w:rPr>
          <w:rFonts w:eastAsia="Times New Roman" w:cs="Times New Roman" w:ascii="Times New Roman" w:hAnsi="Times New Roman"/>
          <w:color w:val="111111"/>
          <w:sz w:val="28"/>
          <w:szCs w:val="28"/>
          <w:lang w:val="en-US" w:bidi="en-US"/>
        </w:rPr>
        <w:t>N. Boldyrew</w:t>
      </w:r>
      <w:r>
        <w:rPr>
          <w:rFonts w:ascii="Amiri" w:hAnsi="Amiri" w:eastAsia="Amiri" w:cs="Amiri"/>
          <w:color w:val="111111"/>
          <w:sz w:val="28"/>
          <w:sz w:val="28"/>
          <w:szCs w:val="28"/>
          <w:rtl w:val="true"/>
          <w:lang w:bidi="ar-SA"/>
        </w:rPr>
        <w:t xml:space="preserve">، غاورينسكي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Gawronsky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غلیکسون </w:t>
      </w:r>
      <w:r>
        <w:rPr>
          <w:rFonts w:eastAsia="Times New Roman" w:cs="Times New Roman" w:ascii="Times New Roman" w:hAnsi="Times New Roman"/>
          <w:color w:val="111111"/>
          <w:sz w:val="28"/>
          <w:szCs w:val="28"/>
          <w:lang w:val="en-US" w:bidi="en-US"/>
        </w:rPr>
        <w:t>M. Glikson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غوربونكوف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w:t>
      </w:r>
    </w:p>
    <w:p>
      <w:pPr>
        <w:pStyle w:val="BookText"/>
        <w:rPr/>
      </w:pPr>
      <w:r>
        <w:rPr>
          <w:rFonts w:eastAsia="Times New Roman" w:cs="Times New Roman" w:ascii="Times New Roman" w:hAnsi="Times New Roman"/>
          <w:color w:val="111111"/>
          <w:sz w:val="28"/>
          <w:szCs w:val="28"/>
          <w:lang w:val="en-US" w:bidi="en-US"/>
        </w:rPr>
        <w:t>Gorbunkoff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غوردون </w:t>
      </w:r>
      <w:r>
        <w:rPr>
          <w:rFonts w:eastAsia="Times New Roman" w:cs="Times New Roman" w:ascii="Times New Roman" w:hAnsi="Times New Roman"/>
          <w:color w:val="111111"/>
          <w:sz w:val="28"/>
          <w:szCs w:val="28"/>
          <w:lang w:val="en-US" w:bidi="en-US"/>
        </w:rPr>
        <w:t>G. Gordon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هارتمان </w:t>
      </w:r>
      <w:r>
        <w:rPr>
          <w:rFonts w:eastAsia="Times New Roman" w:cs="Times New Roman" w:ascii="Times New Roman" w:hAnsi="Times New Roman"/>
          <w:color w:val="111111"/>
          <w:sz w:val="28"/>
          <w:szCs w:val="28"/>
          <w:lang w:val="en-US" w:bidi="en-US"/>
        </w:rPr>
        <w:t>N. Hartmann</w:t>
      </w:r>
      <w:r>
        <w:rPr>
          <w:rFonts w:ascii="IRNazanin" w:hAnsi="IRNazanin" w:eastAsia="IRNazanin"/>
          <w:color w:val="111111"/>
          <w:sz w:val="28"/>
          <w:sz w:val="28"/>
          <w:szCs w:val="28"/>
          <w:rtl w:val="true"/>
          <w:lang w:bidi="fa-IR"/>
        </w:rPr>
        <w:t xml:space="preserve">، کاغان </w:t>
      </w:r>
      <w:r>
        <w:rPr>
          <w:rFonts w:eastAsia="Times New Roman" w:cs="Times New Roman" w:ascii="Times New Roman" w:hAnsi="Times New Roman"/>
          <w:color w:val="111111"/>
          <w:sz w:val="28"/>
          <w:szCs w:val="28"/>
          <w:lang w:val="en-US" w:bidi="en-US"/>
        </w:rPr>
        <w:t>M. Kagan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کلاتسكين </w:t>
      </w:r>
      <w:r>
        <w:rPr>
          <w:rFonts w:eastAsia="Times New Roman" w:cs="Times New Roman" w:ascii="Times New Roman" w:hAnsi="Times New Roman"/>
          <w:color w:val="111111"/>
          <w:sz w:val="28"/>
          <w:szCs w:val="28"/>
          <w:lang w:val="en-US" w:bidi="en-US"/>
        </w:rPr>
        <w:t>J. Klatzkin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كوبيتسكي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 Ku bitzky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باستيرناك </w:t>
      </w:r>
      <w:r>
        <w:rPr>
          <w:rFonts w:eastAsia="Times New Roman" w:cs="Times New Roman" w:ascii="Times New Roman" w:hAnsi="Times New Roman"/>
          <w:color w:val="111111"/>
          <w:sz w:val="28"/>
          <w:szCs w:val="28"/>
          <w:lang w:val="en-US" w:bidi="en-US"/>
        </w:rPr>
        <w:t>B Paternak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سامارين </w:t>
      </w:r>
      <w:r>
        <w:rPr>
          <w:rFonts w:eastAsia="Times New Roman" w:cs="Times New Roman" w:ascii="Times New Roman" w:hAnsi="Times New Roman"/>
          <w:color w:val="111111"/>
          <w:sz w:val="28"/>
          <w:szCs w:val="28"/>
          <w:lang w:val="en-US" w:bidi="en-US"/>
        </w:rPr>
        <w:t>D. Samarin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بين من يلاحظ فيهم تأثير مدرسة ماربورغ هناك باختين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 xml:space="preserve">M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Bachtin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دينزا </w:t>
      </w:r>
      <w:r>
        <w:rPr>
          <w:rFonts w:eastAsia="Times New Roman" w:cs="Times New Roman" w:ascii="Times New Roman" w:hAnsi="Times New Roman"/>
          <w:color w:val="111111"/>
          <w:sz w:val="28"/>
          <w:szCs w:val="28"/>
          <w:lang w:val="en-US" w:bidi="en-US"/>
        </w:rPr>
        <w:t>Wl. Dinse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غابريلوفيتش </w:t>
      </w:r>
      <w:r>
        <w:rPr>
          <w:rFonts w:eastAsia="Times New Roman" w:cs="Times New Roman" w:ascii="Times New Roman" w:hAnsi="Times New Roman"/>
          <w:color w:val="111111"/>
          <w:sz w:val="28"/>
          <w:szCs w:val="28"/>
          <w:lang w:val="en-US" w:bidi="en-US"/>
        </w:rPr>
        <w:t>L. Gabrilowitsch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غوردین </w:t>
      </w:r>
      <w:r>
        <w:rPr>
          <w:rFonts w:eastAsia="Times New Roman" w:cs="Times New Roman" w:ascii="Times New Roman" w:hAnsi="Times New Roman"/>
          <w:color w:val="111111"/>
          <w:sz w:val="28"/>
          <w:szCs w:val="28"/>
          <w:lang w:val="en-US" w:bidi="en-US"/>
        </w:rPr>
        <w:t>J. Gordin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غورلاند </w:t>
      </w:r>
      <w:r>
        <w:rPr>
          <w:rFonts w:eastAsia="Times New Roman" w:cs="Times New Roman" w:ascii="Times New Roman" w:hAnsi="Times New Roman"/>
          <w:color w:val="111111"/>
          <w:sz w:val="28"/>
          <w:szCs w:val="28"/>
          <w:lang w:val="en-US" w:bidi="en-US"/>
        </w:rPr>
        <w:t>A. Gurland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ياكوفينكو </w:t>
      </w:r>
      <w:r>
        <w:rPr>
          <w:rFonts w:eastAsia="Times New Roman" w:cs="Times New Roman" w:ascii="Times New Roman" w:hAnsi="Times New Roman"/>
          <w:color w:val="111111"/>
          <w:sz w:val="28"/>
          <w:szCs w:val="28"/>
          <w:lang w:val="en-US" w:bidi="en-US"/>
        </w:rPr>
        <w:t>B. Jakowenko</w:t>
      </w:r>
      <w:r>
        <w:rPr>
          <w:rFonts w:ascii="Amiri" w:hAnsi="Amiri" w:eastAsia="Amiri" w:cs="Amiri"/>
          <w:color w:val="111111"/>
          <w:sz w:val="28"/>
          <w:sz w:val="28"/>
          <w:szCs w:val="28"/>
          <w:rtl w:val="true"/>
          <w:lang w:bidi="ar-SA"/>
        </w:rPr>
        <w:t xml:space="preserve">، كوانغن </w:t>
      </w:r>
      <w:r>
        <w:rPr>
          <w:rFonts w:eastAsia="Times New Roman" w:cs="Times New Roman" w:ascii="Times New Roman" w:hAnsi="Times New Roman"/>
          <w:color w:val="111111"/>
          <w:sz w:val="28"/>
          <w:szCs w:val="28"/>
          <w:lang w:val="en-US" w:bidi="en-US"/>
        </w:rPr>
        <w:t>D. Koigen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كورالنيك </w:t>
      </w:r>
      <w:r>
        <w:rPr>
          <w:rFonts w:eastAsia="Times New Roman" w:cs="Times New Roman" w:ascii="Times New Roman" w:hAnsi="Times New Roman"/>
          <w:color w:val="111111"/>
          <w:sz w:val="28"/>
          <w:szCs w:val="28"/>
          <w:lang w:val="en-US" w:bidi="en-US"/>
        </w:rPr>
        <w:t>A. Koralnik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اللوغوس </w:t>
      </w:r>
      <w:r>
        <w:rPr>
          <w:rFonts w:eastAsia="Times New Roman" w:cs="Times New Roman" w:ascii="Times New Roman" w:hAnsi="Times New Roman"/>
          <w:color w:val="111111"/>
          <w:sz w:val="28"/>
          <w:szCs w:val="28"/>
          <w:lang w:val="en-US" w:bidi="en-US"/>
        </w:rPr>
        <w:t>Logos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لسان حال الكانطيين الجدد الروس، الذين فهموا فلسفتهم كنقيض للتفلسف الديني الصوفي الروسي، الذي كان منتشراً آنذاك، ودعوة للالتحاق بفكر الأنوار لتطوير الفلسفة الروسية، لتصبح جزءًا لا يتجزأ من الثقافة الروسية</w:t>
      </w:r>
      <w:r>
        <w:rPr>
          <w:rFonts w:eastAsia="Amiri" w:cs="Amiri" w:ascii="Amiri" w:hAnsi="Amiri"/>
          <w:color w:val="111111"/>
          <w:sz w:val="28"/>
          <w:szCs w:val="28"/>
          <w:rtl w:val="true"/>
          <w:lang w:bidi="ar-SA"/>
        </w:rPr>
        <w:t xml:space="preserve">. </w:t>
      </w:r>
      <w:bookmarkStart w:id="157" w:name="pg16300_179408"/>
    </w:p>
    <w:p>
      <w:pPr>
        <w:pStyle w:val="BookText"/>
        <w:rPr/>
      </w:pPr>
      <w:bookmarkEnd w:id="157"/>
      <w:r>
        <w:rPr>
          <w:rFonts w:ascii="Amiri" w:hAnsi="Amiri" w:eastAsia="Amiri" w:cs="Amiri"/>
          <w:color w:val="111111"/>
          <w:sz w:val="28"/>
          <w:sz w:val="28"/>
          <w:szCs w:val="28"/>
          <w:rtl w:val="true"/>
          <w:lang w:bidi="ar-SA"/>
        </w:rPr>
        <w:t xml:space="preserve">لم يساعد هذا الاهتمام الكثيف بالكانطية الجديدة في شقيها في بناء مدرسة روسية لهذا الاتجاه الفلسفي قائمة بذاتها بالمعنى الحقيقي للكلمة ، نظرا للظروف الصعبة التي كانت الفلسفة والبحث الفلسفي يعيشه في الجامعات الروسية آنذاك، ونظرًا للصورة الرهيبة التي كانت للفلسفة في الرأي العام الروسي بمختلف طبقاته الاجتماعية، كأداة تمثل خطرًا على استقرار البلد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 w:name="__RefHeading___Toc5377371_1280447820"/>
      <w:bookmarkStart w:id="159" w:name="_Toc55"/>
      <w:bookmarkEnd w:id="158"/>
      <w:r>
        <w:rPr/>
        <w:t>2</w:t>
      </w:r>
      <w:r>
        <w:rPr>
          <w:rtl w:val="true"/>
        </w:rPr>
        <w:t xml:space="preserve">. </w:t>
      </w:r>
      <w:r>
        <w:rPr>
          <w:rtl w:val="true"/>
        </w:rPr>
        <w:t>في بولندا</w:t>
      </w:r>
      <w:bookmarkEnd w:id="159"/>
    </w:p>
    <w:p>
      <w:pPr>
        <w:pStyle w:val="BookText"/>
        <w:rPr/>
      </w:pPr>
      <w:r>
        <w:rPr>
          <w:rFonts w:ascii="IRNazanin" w:hAnsi="IRNazanin" w:eastAsia="IRNazanin"/>
          <w:color w:val="111111"/>
          <w:sz w:val="28"/>
          <w:sz w:val="28"/>
          <w:szCs w:val="28"/>
          <w:rtl w:val="true"/>
          <w:lang w:bidi="fa-IR"/>
        </w:rPr>
        <w:t xml:space="preserve">تتلمذ على يد كانط مباشرةً فيلسوفان بولاندیان هما بوروفسكي </w:t>
      </w:r>
      <w:r>
        <w:rPr>
          <w:rFonts w:eastAsia="Times New Roman" w:cs="Times New Roman" w:ascii="Times New Roman" w:hAnsi="Times New Roman"/>
          <w:color w:val="111111"/>
          <w:sz w:val="28"/>
          <w:szCs w:val="28"/>
          <w:lang w:val="en-US" w:bidi="en-US"/>
        </w:rPr>
        <w:t>Borowski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وفاسيانسكي</w:t>
      </w:r>
      <w:r>
        <w:rPr>
          <w:rStyle w:val="FootnoteAnchor"/>
        </w:rPr>
        <w:footnoteReference w:id="77"/>
      </w:r>
      <w:r>
        <w:rPr>
          <w:rFonts w:eastAsia="Times New Roman" w:cs="Times New Roman" w:ascii="Times New Roman" w:hAnsi="Times New Roman"/>
          <w:color w:val="111111"/>
          <w:sz w:val="28"/>
          <w:szCs w:val="28"/>
          <w:lang w:val="en-US" w:bidi="en-US"/>
        </w:rPr>
        <w:t>Wasianski</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ويُجمع المؤرخون على أن أفكار كانط بدأت دخول بولاندا ابتداءً من ثمانينيات القرن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ونُعت كانط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فيلسوف الشمال الأزلي</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1790</w:t>
      </w:r>
      <w:r>
        <w:rPr>
          <w:rFonts w:ascii="Amiri" w:hAnsi="Amiri" w:eastAsia="Amiri" w:cs="Amiri"/>
          <w:color w:val="111111"/>
          <w:sz w:val="28"/>
          <w:sz w:val="28"/>
          <w:szCs w:val="28"/>
          <w:rtl w:val="true"/>
          <w:lang w:bidi="ar-SA"/>
        </w:rPr>
        <w:t>، وفي هذه المرحلة بدأت أيضا ترجمات مؤلفاته إلى اللغة البولاندية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وتجدر الإشارة إلى أن أول نص تُرجم لكانط إلى هذه اللغة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السلم الأبدي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نهاية القرن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وبداية القرن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وتحت تأثير اتجاهات فلسفية أخرى، ونتيجة التحولات السياسية والأيديولوجية في بولاندا، اهتم المفكرون في هذا البلد في عز عصر الأنوار عندهم بالربوبية </w:t>
      </w:r>
      <w:r>
        <w:rPr>
          <w:rFonts w:eastAsia="Times New Roman" w:cs="Times New Roman" w:ascii="Times New Roman" w:hAnsi="Times New Roman"/>
          <w:color w:val="111111"/>
          <w:sz w:val="28"/>
          <w:szCs w:val="28"/>
          <w:lang w:val="en-US" w:bidi="en-US"/>
        </w:rPr>
        <w:t>De ismus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الإنجليزية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الإستكلندي والنزعة العقلانية </w:t>
      </w:r>
    </w:p>
    <w:p>
      <w:pPr>
        <w:pStyle w:val="BookText"/>
        <w:rPr/>
      </w:pPr>
      <w:r>
        <w:rPr>
          <w:rFonts w:ascii="Amiri" w:hAnsi="Amiri" w:eastAsia="Amiri" w:cs="Amiri"/>
          <w:color w:val="111111"/>
          <w:sz w:val="28"/>
          <w:sz w:val="28"/>
          <w:szCs w:val="28"/>
          <w:rtl w:val="true"/>
          <w:lang w:bidi="ar-SA"/>
        </w:rPr>
        <w:t>الفرنسية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اتجاهات كانت إلى حد ما ضد الميتافيزيقا، بل أكثر من هذا فهم الكثير من الباحثين البولنديين آنذاك فلسفة كانط باعتبارها ميتافيزيقا</w:t>
      </w:r>
      <w:r>
        <w:rPr>
          <w:rStyle w:val="FootnoteAnchor"/>
          <w:rtl w:val="true"/>
        </w:rPr>
        <w:footnoteReference w:id="79"/>
      </w:r>
      <w:r>
        <w:rPr>
          <w:rFonts w:ascii="Amiri" w:hAnsi="Amiri" w:eastAsia="Amiri" w:cs="Amiri"/>
          <w:color w:val="111111"/>
          <w:sz w:val="28"/>
          <w:sz w:val="28"/>
          <w:szCs w:val="28"/>
          <w:rtl w:val="true"/>
          <w:lang w:bidi="ar-SA"/>
        </w:rPr>
        <w:t>، قاوموا بها الاتجاهات المذكورة أعلاه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باحث عن تأثير الكانطية في بلاد بولاندا لا يمكنه عدم ذكر أحد أهم الأسماء البولندية التي اشتغلت على فلسفة كانط بعمق، ويتعلق الأمر بماريا هونا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فرونسكي </w:t>
      </w:r>
      <w:r>
        <w:rPr>
          <w:rFonts w:eastAsia="Times New Roman" w:cs="Times New Roman" w:ascii="Times New Roman" w:hAnsi="Times New Roman"/>
          <w:color w:val="111111"/>
          <w:sz w:val="28"/>
          <w:szCs w:val="28"/>
          <w:lang w:val="en-US" w:bidi="en-US"/>
        </w:rPr>
        <w:t>Maria Hoene-Wronski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وكان أول اشتغال له على كانط عام </w:t>
      </w: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بجامعة مارسيليا الفرنسية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عمله هذا أول عمل نسقي وصف التعاليم الكانطية بفرنسا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ويُجمع مؤرخو الفلسفة على أن عمل هونا فرونسكي هذا كان أول عمل أصيل عن كانط في أوروبا في ذلك الوقت</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أواخر القرن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الاهتمام بكانط يكبر مجددًا في بولندا بفعل تأثير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النقدية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والكانطية الجديدة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ونجح الجناحان معا في الدخول المباشر في ما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مدرسة فارشاو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ليمبيرغر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Warschauer-Lem berger Schule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طبعت الساحة الفكرية لبولندا قبل الحرب العالمية الثانية ،وبعدها، بل إلى اليوم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وتمت ترجمة العديد من مؤلفات كانط في إطار هذه المدرسة أو بالتعاون مع الدوائر الفكرية التي كانت قريبة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وتجدر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يقل المرء بالأحرى من الغريب 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إعادة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العقل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على يدي بولندي فينومينولوجي هو رومان إينغاردن </w:t>
      </w:r>
      <w:r>
        <w:rPr>
          <w:rFonts w:eastAsia="Times New Roman" w:cs="Times New Roman" w:ascii="Times New Roman" w:hAnsi="Times New Roman"/>
          <w:color w:val="111111"/>
          <w:sz w:val="28"/>
          <w:szCs w:val="28"/>
          <w:lang w:val="en-US" w:bidi="en-US"/>
        </w:rPr>
        <w:t>Roman Ingarden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وإلى </w:t>
      </w:r>
    </w:p>
    <w:p>
      <w:pPr>
        <w:pStyle w:val="BookText"/>
        <w:rPr/>
      </w:pPr>
      <w:r>
        <w:rPr>
          <w:rFonts w:ascii="Amiri" w:hAnsi="Amiri" w:eastAsia="Amiri" w:cs="Amiri"/>
          <w:color w:val="111111"/>
          <w:sz w:val="28"/>
          <w:sz w:val="28"/>
          <w:szCs w:val="28"/>
          <w:rtl w:val="true"/>
          <w:lang w:bidi="ar-SA"/>
        </w:rPr>
        <w:t>حدود اندلاع الحرب العالمية الثانية بدأ المرء بالإهتمام في بولندا بفلسفة القانون وفلسفة الأخلاق الكانطية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علاقة الماركسية البولندية بالكانطية غامضةً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عُمِّم بين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التأويل الستاليني الغريب للكانطية، الذي أكد على أن كانط هو أيديولوجي رجعي ويشكل خطرا أيديولوجيا على التعديلية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بعد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بدايات إحلال الماركسية بالليبرالية، بدأ الاهتمام مجددًا بكانط وأعيد طبع ترجمات كتبه بالبولندية وتجرمت كتب جديدة له إلى هذه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 المرء في بولندا في هذه الحقبة بتركيز على الأخلاق الكانطية، بل كان هناك من حاول في بولندا الجمع بين الأفكار الليبرالية لماركس الشاب والأخلاق الكانطية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الشأن بالنسبة لماريك فريتسهاند</w:t>
      </w:r>
      <w:r>
        <w:rPr>
          <w:rFonts w:eastAsia="Times New Roman" w:cs="Times New Roman" w:ascii="Times New Roman" w:hAnsi="Times New Roman"/>
          <w:color w:val="111111"/>
          <w:sz w:val="28"/>
          <w:szCs w:val="28"/>
          <w:lang w:val="en-US" w:bidi="en-US"/>
        </w:rPr>
        <w:t>Marek Fritzhand</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يوضح هذا بما فيه الكفاية بأن المرء اهتم في هذا الإطار بمحاولة تطوير تصور عن الأخلاق المعيارية في مواجهة النظرية الأخلاقية للطبقات، المعهودة في الماركسية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وأستغلت الكانطية سياسيًا لمحاولة كسر الحضر الذي كان مطبقًا على كل ما لم يكن ماركسيًّا آنذاك، وكانت أول ندوة بمناسبة مرور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على ميلاد كانط عام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 ما يناهز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فيلسوف بولندي، بمثابة فاتحة عهد جديد للكانطية في بولندا، بل وأيضا إعلان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الفكر الشيوعي بصفة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هناك ثقب في الأيديولوجيا الشيوعية هذه بفضل أفكار كانط، وأصبحت مثل كالديمقراطية وحقوق الإنسان واستقلالية الإنسان والكرامة الإنسانية والمسؤولية الشعبية والحرية السياسية إلخ تشق طريقها في النقاشات العمومية، عن طريق الاهتمام بفكر كانط عمومًا</w:t>
      </w:r>
      <w:r>
        <w:rPr>
          <w:rFonts w:eastAsia="Amiri" w:cs="Amiri" w:ascii="Amiri" w:hAnsi="Amiri"/>
          <w:color w:val="111111"/>
          <w:sz w:val="28"/>
          <w:szCs w:val="28"/>
          <w:rtl w:val="true"/>
          <w:lang w:bidi="ar-SA"/>
        </w:rPr>
        <w:t xml:space="preserve">. </w:t>
      </w:r>
      <w:bookmarkStart w:id="160" w:name="pg16300_179411"/>
    </w:p>
    <w:p>
      <w:pPr>
        <w:pStyle w:val="BookText"/>
        <w:rPr/>
      </w:pPr>
      <w:bookmarkEnd w:id="160"/>
      <w:r>
        <w:rPr>
          <w:rFonts w:ascii="Amiri" w:hAnsi="Amiri" w:eastAsia="Amiri" w:cs="Amiri"/>
          <w:color w:val="111111"/>
          <w:sz w:val="28"/>
          <w:sz w:val="28"/>
          <w:szCs w:val="28"/>
          <w:rtl w:val="true"/>
          <w:lang w:bidi="ar-SA"/>
        </w:rPr>
        <w:t>يستمر النقاش في بولندا حاليًا حول أفكار كانط، وبالخصوص في ما يتعلق بالإشكاليات الأخلاقية، وهي إشكاليات يطرحها بالخصوص الفلاسفة الكاثوليك، بحثًا على العلاقة بين الإيمان والعقل ودور الكنيسة ومكانتها في المجتمع المدني في النظام السياسي السائد حاليا</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5377373_1280447820"/>
      <w:bookmarkStart w:id="162" w:name="_Toc56"/>
      <w:bookmarkEnd w:id="161"/>
      <w:r>
        <w:rPr/>
        <w:t>3</w:t>
      </w:r>
      <w:r>
        <w:rPr>
          <w:rtl w:val="true"/>
        </w:rPr>
        <w:t xml:space="preserve">. </w:t>
      </w:r>
      <w:r>
        <w:rPr>
          <w:rtl w:val="true"/>
        </w:rPr>
        <w:t>في فرنسا</w:t>
      </w:r>
      <w:bookmarkEnd w:id="162"/>
    </w:p>
    <w:p>
      <w:pPr>
        <w:pStyle w:val="BookText"/>
        <w:rPr/>
      </w:pPr>
      <w:r>
        <w:rPr>
          <w:rFonts w:ascii="Amiri" w:hAnsi="Amiri" w:eastAsia="Amiri" w:cs="Amiri"/>
          <w:color w:val="111111"/>
          <w:sz w:val="28"/>
          <w:sz w:val="28"/>
          <w:szCs w:val="28"/>
          <w:rtl w:val="true"/>
          <w:lang w:bidi="ar-SA"/>
        </w:rPr>
        <w:t>يرجع الفضل للكانطية الجديدة الروسية في فتح باب الكانطية الجديدة على الباحثين الفرنسيين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موجز للفلسفة النقدية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بالفرنسية للروسي أفرايكن سبر عام </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اعتبار الفيلسوف الفرنسي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شارل بيرنار رينوفار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Charles Bernard Renouvier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أحد ممثلي الجناح الكانطي الجديد الفرنسي</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من فلسفة كانط، لكنه وصل إلى نتائج مغايرة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 مثلا على الظاهرة كما تتجلى أمامنا ، وأنكر الشيء في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ناقش تمييز كانط بين العقل النظري ونظيره العملي، محافظًا على مقولة العلاقة كمقولة وحيدة، معمّماً إياها على كل مقولات كانط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ونجد حضور هذا الاتجاه بقوة عند ميشال فوكو في نصوص مختلفة له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فرنسي آخر اهتم بالكانطية الجديدة في مطلع القرن العشرين، ويتعلق الأمر بلاشوليي </w:t>
      </w:r>
      <w:r>
        <w:rPr>
          <w:rFonts w:eastAsia="Times New Roman" w:cs="Times New Roman" w:ascii="Times New Roman" w:hAnsi="Times New Roman"/>
          <w:color w:val="111111"/>
          <w:sz w:val="28"/>
          <w:szCs w:val="28"/>
          <w:lang w:val="en-US" w:bidi="en-US"/>
        </w:rPr>
        <w:t>Lachelier (1832-1918)</w:t>
      </w:r>
      <w:r>
        <w:rPr>
          <w:rFonts w:ascii="Amiri" w:hAnsi="Amiri" w:eastAsia="Amiri" w:cs="Amiri"/>
          <w:color w:val="111111"/>
          <w:sz w:val="28"/>
          <w:sz w:val="28"/>
          <w:szCs w:val="28"/>
          <w:rtl w:val="true"/>
          <w:lang w:bidi="ar-SA"/>
        </w:rPr>
        <w:t xml:space="preserve">، الذي انطلق في الأصل من كانط، لكنه غير إلى ميتافيزيقا مثالية، قادت تلميذه بوتروكس </w:t>
      </w:r>
      <w:r>
        <w:rPr>
          <w:rFonts w:eastAsia="Times New Roman" w:cs="Times New Roman" w:ascii="Times New Roman" w:hAnsi="Times New Roman"/>
          <w:color w:val="111111"/>
          <w:sz w:val="28"/>
          <w:szCs w:val="28"/>
          <w:lang w:val="en-US" w:bidi="en-US"/>
        </w:rPr>
        <w:t>Boutrox (1845-1918)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إلى نوع من فلسفة </w:t>
      </w:r>
      <w:bookmarkStart w:id="163" w:name="pg16300_179412"/>
    </w:p>
    <w:p>
      <w:pPr>
        <w:pStyle w:val="BookText"/>
        <w:rPr/>
      </w:pPr>
      <w:bookmarkEnd w:id="163"/>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أيضا ،رويسن، الذي ألف كتابًا قائماً بذاته عن كانط، اعتبر مرجعاً مهماً بالفرنسية في ذلك الوقت</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هذا، حاول البعض في فرنسا ربط الكانطية بالفلسفة المسيحية</w:t>
      </w:r>
      <w:r>
        <w:rPr>
          <w:rStyle w:val="FootnoteAnchor"/>
          <w:rtl w:val="true"/>
        </w:rPr>
        <w:footnoteReference w:id="83"/>
      </w:r>
      <w:r>
        <w:rPr>
          <w:rFonts w:ascii="IRNazanin" w:hAnsi="IRNazanin" w:eastAsia="IRNazanin"/>
          <w:color w:val="111111"/>
          <w:sz w:val="28"/>
          <w:sz w:val="28"/>
          <w:szCs w:val="28"/>
          <w:rtl w:val="true"/>
          <w:lang w:bidi="fa-IR"/>
        </w:rPr>
        <w:t>،</w:t>
      </w:r>
    </w:p>
    <w:p>
      <w:pPr>
        <w:pStyle w:val="Heading4"/>
        <w:numPr>
          <w:ilvl w:val="3"/>
          <w:numId w:val="1"/>
        </w:numPr>
        <w:rPr/>
      </w:pPr>
      <w:bookmarkStart w:id="164" w:name="__RefHeading___Toc5377375_1280447820"/>
      <w:bookmarkStart w:id="165" w:name="_Toc57"/>
      <w:bookmarkEnd w:id="164"/>
      <w:r>
        <w:rPr/>
        <w:t>4</w:t>
      </w:r>
      <w:r>
        <w:rPr>
          <w:rtl w:val="true"/>
        </w:rPr>
        <w:t xml:space="preserve">. </w:t>
      </w:r>
      <w:r>
        <w:rPr>
          <w:rtl w:val="true"/>
        </w:rPr>
        <w:t>في انجلترا</w:t>
      </w:r>
      <w:bookmarkEnd w:id="165"/>
    </w:p>
    <w:p>
      <w:pPr>
        <w:pStyle w:val="BookText"/>
        <w:rPr/>
      </w:pPr>
      <w:r>
        <w:rPr>
          <w:rFonts w:ascii="Amiri" w:hAnsi="Amiri" w:eastAsia="Amiri" w:cs="Amiri"/>
          <w:color w:val="111111"/>
          <w:sz w:val="28"/>
          <w:sz w:val="28"/>
          <w:szCs w:val="28"/>
          <w:rtl w:val="true"/>
          <w:lang w:bidi="ar-SA"/>
        </w:rPr>
        <w:t xml:space="preserve">تُرجمت مؤلفات الكانطيين الجدد الألمان، بشقيهما، إلى اللغة الإنجليزية في وقت مبكر بالمقارنة مع لغات أوروبية أخرى، وبالخصوص كتاب لانغي تاريخ المادية ونقد لأهميتها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الراهنة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وأعيد طبعه مع مقدمة لبيرتراند روسل سنة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هناك تقارب بين هاميلتون </w:t>
      </w:r>
      <w:r>
        <w:rPr>
          <w:rFonts w:eastAsia="Amiri" w:cs="Amiri" w:ascii="Amiri" w:hAnsi="Amiri"/>
          <w:color w:val="111111"/>
          <w:sz w:val="28"/>
          <w:szCs w:val="28"/>
          <w:lang w:bidi="ar-SA"/>
        </w:rPr>
        <w:t>1856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Hamilton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وتلميذه مانزل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Mansel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ما يخص نسبية المعرفة الإنسانية واهتمامهما بالفلسفة النقدية لكانط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الاهتمام بهذا الأخير في أنجلترا لم يظهر بوضوح ولم يتعزز إلى ما بعد نشر الكتاب النقدي لفسلفة كانط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لصاحبه كايرد </w:t>
      </w:r>
      <w:r>
        <w:rPr>
          <w:rFonts w:eastAsia="Times New Roman" w:cs="Times New Roman" w:ascii="Times New Roman" w:hAnsi="Times New Roman"/>
          <w:color w:val="111111"/>
          <w:sz w:val="28"/>
          <w:szCs w:val="28"/>
          <w:lang w:val="en-US" w:bidi="en-US"/>
        </w:rPr>
        <w:t>Card (1835 1908)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وتوسيعه بعد ذلك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عمل غرين ومدرسته المثالية النقدية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على التجريبية وسيكولوجية التداعي</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5377377_1280447820"/>
      <w:bookmarkStart w:id="167" w:name="_Toc58"/>
      <w:bookmarkEnd w:id="166"/>
      <w:r>
        <w:rPr/>
        <w:t>5</w:t>
      </w:r>
      <w:r>
        <w:rPr>
          <w:rtl w:val="true"/>
        </w:rPr>
        <w:t xml:space="preserve">. </w:t>
      </w:r>
      <w:r>
        <w:rPr>
          <w:rtl w:val="true"/>
        </w:rPr>
        <w:t>في الدول الإسكندنافية</w:t>
      </w:r>
      <w:bookmarkEnd w:id="16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اهتم الفيلسوفان السويدان بويتيوس </w:t>
      </w:r>
      <w:r>
        <w:rPr>
          <w:rFonts w:eastAsia="Times New Roman" w:cs="Times New Roman" w:ascii="Times New Roman" w:hAnsi="Times New Roman"/>
          <w:color w:val="111111"/>
          <w:sz w:val="28"/>
          <w:szCs w:val="28"/>
          <w:lang w:val="en-US" w:bidi="en-US"/>
        </w:rPr>
        <w:t>Boëthius (1810-1750)</w:t>
      </w:r>
      <w:r>
        <w:rPr>
          <w:rFonts w:eastAsia="Times New Roman" w:cs="Times New Roman" w:ascii="Times New Roman" w:hAnsi="Times New Roman"/>
          <w:color w:val="111111"/>
          <w:sz w:val="28"/>
          <w:szCs w:val="28"/>
          <w:rtl w:val="true"/>
          <w:lang w:val="en-US" w:bidi="en-US"/>
        </w:rPr>
        <w:t xml:space="preserve"> </w:t>
      </w:r>
      <w:bookmarkStart w:id="168" w:name="pg16300_179413"/>
    </w:p>
    <w:p>
      <w:pPr>
        <w:pStyle w:val="BookText"/>
        <w:rPr/>
      </w:pPr>
      <w:bookmarkEnd w:id="168"/>
      <w:r>
        <w:rPr>
          <w:rFonts w:ascii="IRNazanin" w:hAnsi="IRNazanin" w:eastAsia="IRNazanin"/>
          <w:color w:val="111111"/>
          <w:sz w:val="28"/>
          <w:sz w:val="28"/>
          <w:szCs w:val="28"/>
          <w:rtl w:val="true"/>
          <w:lang w:bidi="fa-IR"/>
        </w:rPr>
        <w:t xml:space="preserve">و هویر </w:t>
      </w:r>
      <w:r>
        <w:rPr>
          <w:rFonts w:eastAsia="Times New Roman" w:cs="Times New Roman" w:ascii="Times New Roman" w:hAnsi="Times New Roman"/>
          <w:color w:val="111111"/>
          <w:sz w:val="28"/>
          <w:szCs w:val="28"/>
          <w:lang w:val="en-US" w:bidi="en-US"/>
        </w:rPr>
        <w:t>Higer (1812-1767)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بفلسفة كانط في مطلع القرن التاسع عشر، بل كان له تأثير مهم عليهما، في مقابل مواطنهما بوستروم </w:t>
      </w:r>
      <w:r>
        <w:rPr>
          <w:rFonts w:eastAsia="Times New Roman" w:cs="Times New Roman" w:ascii="Times New Roman" w:hAnsi="Times New Roman"/>
          <w:color w:val="111111"/>
          <w:sz w:val="28"/>
          <w:szCs w:val="28"/>
          <w:lang w:val="en-US" w:bidi="en-US"/>
        </w:rPr>
        <w:t>Boström (1866-1797)</w:t>
      </w:r>
      <w:r>
        <w:rPr>
          <w:rFonts w:ascii="Amiri" w:hAnsi="Amiri" w:eastAsia="Amiri" w:cs="Amiri"/>
          <w:color w:val="111111"/>
          <w:sz w:val="28"/>
          <w:sz w:val="28"/>
          <w:szCs w:val="28"/>
          <w:rtl w:val="true"/>
          <w:lang w:bidi="ar-SA"/>
        </w:rPr>
        <w:t xml:space="preserve">، الذي كان يهتم بالمثالية العقلانية التي كانت سائدةً في ذلك الوقت ولم تكن له إلا القليل من النقط المشتركة مع كانط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أهم الفلاسفة السويديين الذين دافعوا على الكانطية وطالبوا بتجديد وتطوير الفلسفة السويدية طبقًا للمعرفة النقدية الكانطية كان هناك فانيروس</w:t>
      </w:r>
      <w:r>
        <w:rPr>
          <w:rStyle w:val="FootnoteAnchor"/>
        </w:rPr>
        <w:footnoteReference w:id="85"/>
      </w:r>
      <w:r>
        <w:rPr>
          <w:rFonts w:eastAsia="Times New Roman" w:cs="Times New Roman" w:ascii="Times New Roman" w:hAnsi="Times New Roman"/>
          <w:color w:val="111111"/>
          <w:sz w:val="28"/>
          <w:szCs w:val="28"/>
          <w:lang w:val="en-US" w:bidi="en-US"/>
        </w:rPr>
        <w:t>Vannerus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المزداد عام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وهاغرستروم </w:t>
      </w:r>
      <w:r>
        <w:rPr>
          <w:rFonts w:eastAsia="Times New Roman" w:cs="Times New Roman" w:ascii="Times New Roman" w:hAnsi="Times New Roman"/>
          <w:color w:val="111111"/>
          <w:sz w:val="28"/>
          <w:szCs w:val="28"/>
          <w:lang w:val="en-US" w:bidi="en-US"/>
        </w:rPr>
        <w:t>Hägerström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المولود </w:t>
      </w: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وابتداءً من نهاية سبعينيات القرن التاسع عشر، نجد تأثير كانط يتزايد في الدنمارك مع كل من هيغارد </w:t>
      </w:r>
      <w:r>
        <w:rPr>
          <w:rFonts w:eastAsia="Times New Roman" w:cs="Times New Roman" w:ascii="Times New Roman" w:hAnsi="Times New Roman"/>
          <w:color w:val="111111"/>
          <w:sz w:val="28"/>
          <w:szCs w:val="28"/>
          <w:lang w:val="en-US" w:bidi="en-US"/>
        </w:rPr>
        <w:t>Heegaard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وكرومان </w:t>
      </w:r>
      <w:r>
        <w:rPr>
          <w:rFonts w:eastAsia="Times New Roman" w:cs="Times New Roman" w:ascii="Times New Roman" w:hAnsi="Times New Roman"/>
          <w:color w:val="111111"/>
          <w:sz w:val="28"/>
          <w:szCs w:val="28"/>
          <w:lang w:val="en-US" w:bidi="en-US"/>
        </w:rPr>
        <w:t>Kromann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وفيلكنس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Wil kens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وغيرهم ؛ والنرويج مع فولد </w:t>
      </w:r>
      <w:r>
        <w:rPr>
          <w:rFonts w:eastAsia="Times New Roman" w:cs="Times New Roman" w:ascii="Times New Roman" w:hAnsi="Times New Roman"/>
          <w:color w:val="111111"/>
          <w:sz w:val="28"/>
          <w:szCs w:val="28"/>
          <w:lang w:val="en-US" w:bidi="en-US"/>
        </w:rPr>
        <w:t>Vold</w:t>
      </w:r>
    </w:p>
    <w:p>
      <w:pPr>
        <w:pStyle w:val="Heading4"/>
        <w:numPr>
          <w:ilvl w:val="3"/>
          <w:numId w:val="1"/>
        </w:numPr>
        <w:rPr/>
      </w:pPr>
      <w:bookmarkStart w:id="169" w:name="__RefHeading___Toc5377379_1280447820"/>
      <w:bookmarkStart w:id="170" w:name="_Toc59"/>
      <w:bookmarkEnd w:id="169"/>
      <w:r>
        <w:rPr/>
        <w:t>6</w:t>
      </w:r>
      <w:r>
        <w:rPr>
          <w:rtl w:val="true"/>
        </w:rPr>
        <w:t xml:space="preserve">. </w:t>
      </w:r>
      <w:r>
        <w:rPr>
          <w:rtl w:val="true"/>
        </w:rPr>
        <w:t>في إسبانيا والبرتغال</w:t>
      </w:r>
      <w:bookmarkEnd w:id="17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كانط معروفًا في هذين البلدين إلا عن طريق الترجمات الفرنسية القليلة التي كانت تصلهما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يحدث التقاء مباشر في إسبانيا بنصوص كانط إلى بعدما ترجم إلى الإسبانية الكوبي بيريخو </w:t>
      </w:r>
      <w:r>
        <w:rPr>
          <w:rFonts w:eastAsia="Times New Roman" w:cs="Times New Roman" w:ascii="Times New Roman" w:hAnsi="Times New Roman"/>
          <w:color w:val="111111"/>
          <w:sz w:val="28"/>
          <w:szCs w:val="28"/>
          <w:lang w:val="en-US" w:bidi="en-US"/>
        </w:rPr>
        <w:t>Perojo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الذي دَرَسَ في جامعة هايدلبيرغ بين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من كتاب كانط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العقل الخالص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ويتعلق الأمر بجزء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التحليل المتعالي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ذهب الكثير من الطلبة الإسبان للدراسة في ألمانيا، وبالخصوص في ماربورغ، وانضموا مبكرًا للكانطية الجديدة مثل الفيلسوف والسوسيولوجي خوزي أورطيغا غاسي </w:t>
      </w:r>
      <w:r>
        <w:rPr>
          <w:rFonts w:eastAsia="Times New Roman" w:cs="Times New Roman" w:ascii="Times New Roman" w:hAnsi="Times New Roman"/>
          <w:color w:val="111111"/>
          <w:sz w:val="28"/>
          <w:szCs w:val="28"/>
          <w:lang w:val="en-US" w:bidi="en-US"/>
        </w:rPr>
        <w:t>José Ortega y Gasset (1955-1883)</w:t>
      </w:r>
      <w:r>
        <w:rPr>
          <w:rFonts w:ascii="Amiri" w:hAnsi="Amiri" w:eastAsia="Amiri" w:cs="Amiri"/>
          <w:color w:val="111111"/>
          <w:sz w:val="28"/>
          <w:sz w:val="28"/>
          <w:szCs w:val="28"/>
          <w:rtl w:val="true"/>
          <w:lang w:bidi="ar-SA"/>
        </w:rPr>
        <w:t xml:space="preserve">، الذي درس </w:t>
      </w:r>
      <w:bookmarkStart w:id="171" w:name="pg16300_179414"/>
    </w:p>
    <w:p>
      <w:pPr>
        <w:pStyle w:val="BookText"/>
        <w:rPr/>
      </w:pPr>
      <w:bookmarkEnd w:id="171"/>
      <w:r>
        <w:rPr>
          <w:rFonts w:ascii="Amiri" w:hAnsi="Amiri" w:eastAsia="Amiri" w:cs="Amiri"/>
          <w:color w:val="111111"/>
          <w:sz w:val="28"/>
          <w:sz w:val="28"/>
          <w:szCs w:val="28"/>
          <w:rtl w:val="true"/>
          <w:lang w:bidi="ar-SA"/>
        </w:rPr>
        <w:t xml:space="preserve">في ألمانيا بين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 لا يبتزيغ، وبرلين وماربورغ وفي هذه الجامعة حصل احتكاكه المباشر بالكانطية الجديدة وكوهن وناتروب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في البرتغال فقد مثل الكانطية، حوالى سنة </w:t>
      </w:r>
      <w:r>
        <w:rPr>
          <w:rFonts w:eastAsia="Amiri" w:cs="Amiri" w:ascii="Amiri" w:hAnsi="Amiri"/>
          <w:color w:val="111111"/>
          <w:sz w:val="28"/>
          <w:szCs w:val="28"/>
          <w:lang w:bidi="ar-SA"/>
        </w:rPr>
        <w:t>1900</w:t>
      </w:r>
      <w:r>
        <w:rPr>
          <w:rFonts w:ascii="Amiri" w:hAnsi="Amiri" w:eastAsia="Amiri" w:cs="Amiri"/>
          <w:color w:val="111111"/>
          <w:sz w:val="28"/>
          <w:sz w:val="28"/>
          <w:szCs w:val="28"/>
          <w:rtl w:val="true"/>
          <w:lang w:bidi="ar-SA"/>
        </w:rPr>
        <w:t xml:space="preserve">، فيلسوفُ القانون سيلفستر بينهايرو فيرايرا </w:t>
      </w:r>
      <w:r>
        <w:rPr>
          <w:rFonts w:eastAsia="Times New Roman" w:cs="Times New Roman" w:ascii="Times New Roman" w:hAnsi="Times New Roman"/>
          <w:color w:val="111111"/>
          <w:sz w:val="28"/>
          <w:szCs w:val="28"/>
          <w:lang w:val="en-US" w:bidi="en-US"/>
        </w:rPr>
        <w:t>Ferrera (1846-179)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وتبعه بعد ذلك الكثير من الفلاسفة البرتغاليين</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5377381_1280447820"/>
      <w:bookmarkStart w:id="173" w:name="_Toc60"/>
      <w:bookmarkEnd w:id="172"/>
      <w:r>
        <w:rPr/>
        <w:t>7</w:t>
      </w:r>
      <w:r>
        <w:rPr>
          <w:rtl w:val="true"/>
        </w:rPr>
        <w:t xml:space="preserve">. </w:t>
      </w:r>
      <w:r>
        <w:rPr>
          <w:rtl w:val="true"/>
        </w:rPr>
        <w:t>في إيطاليا</w:t>
      </w:r>
      <w:bookmarkEnd w:id="17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كانط معروفًا تقريبًا في إيطاليا في النصف الأول للقرن التاسع عشر،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أثناء المحاولات الأولى لنشر فكره في 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حاول طيستا </w:t>
      </w:r>
      <w:r>
        <w:rPr>
          <w:rFonts w:eastAsia="Times New Roman" w:cs="Times New Roman" w:ascii="Times New Roman" w:hAnsi="Times New Roman"/>
          <w:color w:val="111111"/>
          <w:sz w:val="28"/>
          <w:szCs w:val="28"/>
          <w:lang w:val="en-US" w:bidi="en-US"/>
        </w:rPr>
        <w:t>Testa (1784-1860)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العشرين سنة الأخيرة من حياته تعويض الهيغلية التي كانت جد قوية في إيطاليا بالتعريف بكانط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الوضع تغير عندما بدأ التقارب بين إيطاليا وألمانيا سياسيا في سبعينيات القرن التاسع عشر، حيث بدأت الكانطية الجديدة تأخذ طريقها في النسيج الثقافي الفكري الإيطالي بخطى حثيثة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بين أهم ممثليها كان هناك انوني </w:t>
      </w:r>
      <w:r>
        <w:rPr>
          <w:rFonts w:eastAsia="Times New Roman" w:cs="Times New Roman" w:ascii="Times New Roman" w:hAnsi="Times New Roman"/>
          <w:color w:val="111111"/>
          <w:sz w:val="28"/>
          <w:szCs w:val="28"/>
          <w:lang w:val="en-US" w:bidi="en-US"/>
        </w:rPr>
        <w:t>Cantone (1906-1840)</w:t>
      </w:r>
      <w:r>
        <w:rPr>
          <w:rFonts w:ascii="Amiri" w:hAnsi="Amiri" w:eastAsia="Amiri" w:cs="Amiri"/>
          <w:color w:val="111111"/>
          <w:sz w:val="28"/>
          <w:sz w:val="28"/>
          <w:szCs w:val="28"/>
          <w:rtl w:val="true"/>
          <w:lang w:bidi="ar-SA"/>
        </w:rPr>
        <w:t>، الذي نشر كتابًا من ثلاثة أجزاء حول كانط</w:t>
      </w:r>
      <w:r>
        <w:rPr>
          <w:rStyle w:val="FootnoteAnchor"/>
          <w:rtl w:val="true"/>
        </w:rPr>
        <w:footnoteReference w:id="86"/>
      </w:r>
      <w:r>
        <w:rPr>
          <w:rFonts w:ascii="Amiri" w:hAnsi="Amiri" w:eastAsia="Amiri" w:cs="Amiri"/>
          <w:color w:val="111111"/>
          <w:sz w:val="28"/>
          <w:sz w:val="28"/>
          <w:szCs w:val="28"/>
          <w:rtl w:val="true"/>
          <w:lang w:bidi="ar-SA"/>
        </w:rPr>
        <w:t xml:space="preserve">وطوكو </w:t>
      </w:r>
      <w:r>
        <w:rPr>
          <w:rFonts w:eastAsia="Times New Roman" w:cs="Times New Roman" w:ascii="Times New Roman" w:hAnsi="Times New Roman"/>
          <w:color w:val="111111"/>
          <w:sz w:val="28"/>
          <w:szCs w:val="28"/>
          <w:lang w:val="en-US" w:bidi="en-US"/>
        </w:rPr>
        <w:t>Tocco (1911-1845)</w:t>
      </w:r>
      <w:r>
        <w:rPr>
          <w:rFonts w:ascii="IRNazanin" w:hAnsi="IRNazanin" w:eastAsia="IRNazanin"/>
          <w:color w:val="111111"/>
          <w:sz w:val="28"/>
          <w:sz w:val="28"/>
          <w:szCs w:val="28"/>
          <w:rtl w:val="true"/>
          <w:lang w:bidi="fa-IR"/>
        </w:rPr>
        <w:t xml:space="preserve">، الذي ألف مونوغرافيا حول کوهن وكريداروس </w:t>
      </w:r>
      <w:r>
        <w:rPr>
          <w:rFonts w:eastAsia="Times New Roman" w:cs="Times New Roman" w:ascii="Times New Roman" w:hAnsi="Times New Roman"/>
          <w:color w:val="111111"/>
          <w:sz w:val="28"/>
          <w:szCs w:val="28"/>
          <w:lang w:val="en-US" w:bidi="en-US"/>
        </w:rPr>
        <w:t>Credaros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وانضاف لهم مفكرون آخرون مثل وجيوبرت </w:t>
      </w:r>
      <w:r>
        <w:rPr>
          <w:rFonts w:eastAsia="Times New Roman" w:cs="Times New Roman" w:ascii="Times New Roman" w:hAnsi="Times New Roman"/>
          <w:color w:val="111111"/>
          <w:sz w:val="28"/>
          <w:szCs w:val="28"/>
          <w:lang w:val="en-US" w:bidi="en-US"/>
        </w:rPr>
        <w:t>Giobert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وفيورنتينو </w:t>
      </w:r>
      <w:r>
        <w:rPr>
          <w:rFonts w:eastAsia="Times New Roman" w:cs="Times New Roman" w:ascii="Times New Roman" w:hAnsi="Times New Roman"/>
          <w:color w:val="111111"/>
          <w:sz w:val="28"/>
          <w:szCs w:val="28"/>
          <w:lang w:val="en-US" w:bidi="en-US"/>
        </w:rPr>
        <w:t>Fiorentino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وماسکی </w:t>
      </w:r>
      <w:r>
        <w:rPr>
          <w:rFonts w:eastAsia="Times New Roman" w:cs="Times New Roman" w:ascii="Times New Roman" w:hAnsi="Times New Roman"/>
          <w:color w:val="111111"/>
          <w:sz w:val="28"/>
          <w:szCs w:val="28"/>
          <w:lang w:val="en-US" w:bidi="en-US"/>
        </w:rPr>
        <w:t>Masci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شیابلی </w:t>
      </w:r>
      <w:r>
        <w:rPr>
          <w:rFonts w:eastAsia="Times New Roman" w:cs="Times New Roman" w:ascii="Times New Roman" w:hAnsi="Times New Roman"/>
          <w:color w:val="111111"/>
          <w:sz w:val="28"/>
          <w:szCs w:val="28"/>
          <w:lang w:val="en-US" w:bidi="en-US"/>
        </w:rPr>
        <w:t>Chappelli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أنطونيو </w:t>
      </w:r>
      <w:bookmarkStart w:id="174" w:name="pg16300_179415"/>
    </w:p>
    <w:p>
      <w:pPr>
        <w:pStyle w:val="BookText"/>
        <w:rPr/>
      </w:pPr>
      <w:bookmarkEnd w:id="174"/>
      <w:r>
        <w:rPr>
          <w:rFonts w:ascii="Amiri" w:hAnsi="Amiri" w:eastAsia="Amiri" w:cs="Amiri"/>
          <w:color w:val="111111"/>
          <w:sz w:val="28"/>
          <w:sz w:val="28"/>
          <w:szCs w:val="28"/>
          <w:rtl w:val="true"/>
          <w:lang w:bidi="ar-SA"/>
        </w:rPr>
        <w:t xml:space="preserve">روزميني سيرباتي </w:t>
      </w:r>
      <w:r>
        <w:rPr>
          <w:rFonts w:eastAsia="Times New Roman" w:cs="Times New Roman" w:ascii="Times New Roman" w:hAnsi="Times New Roman"/>
          <w:color w:val="111111"/>
          <w:sz w:val="28"/>
          <w:szCs w:val="28"/>
          <w:lang w:val="en-US" w:bidi="en-US"/>
        </w:rPr>
        <w:t>Antonio Rosmini Serbati (1797-1855)</w:t>
      </w:r>
      <w:r>
        <w:rPr>
          <w:rFonts w:ascii="Amiri" w:hAnsi="Amiri" w:eastAsia="Amiri" w:cs="Amiri"/>
          <w:color w:val="111111"/>
          <w:sz w:val="28"/>
          <w:sz w:val="28"/>
          <w:szCs w:val="28"/>
          <w:rtl w:val="true"/>
          <w:lang w:bidi="ar-SA"/>
        </w:rPr>
        <w:t>، الذي لُقب بكانط الإيطالي، لأنه حاول في فلسفته التوفيق بين الفلسفة والدين</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5377383_1280447820"/>
      <w:bookmarkStart w:id="176" w:name="_Toc61"/>
      <w:bookmarkEnd w:id="175"/>
      <w:r>
        <w:rPr/>
        <w:t>8</w:t>
      </w:r>
      <w:r>
        <w:rPr>
          <w:rtl w:val="true"/>
        </w:rPr>
        <w:t xml:space="preserve">. </w:t>
      </w:r>
      <w:r>
        <w:rPr>
          <w:rtl w:val="true"/>
        </w:rPr>
        <w:t>في هولندا</w:t>
      </w:r>
      <w:bookmarkEnd w:id="176"/>
    </w:p>
    <w:p>
      <w:pPr>
        <w:pStyle w:val="BookText"/>
        <w:rPr/>
      </w:pPr>
      <w:r>
        <w:rPr>
          <w:rFonts w:ascii="Amiri" w:hAnsi="Amiri" w:eastAsia="Amiri" w:cs="Amiri"/>
          <w:color w:val="111111"/>
          <w:sz w:val="28"/>
          <w:sz w:val="28"/>
          <w:szCs w:val="28"/>
          <w:rtl w:val="true"/>
          <w:lang w:bidi="ar-SA"/>
        </w:rPr>
        <w:t>من الملاحظات المهمة التي يمكن أن نبدأ بها هنا هو أن الاهتمام بكانط في هولندا، بدأ مع الشعراء وبعض الساسة</w:t>
      </w:r>
      <w:r>
        <w:rPr>
          <w:rStyle w:val="FootnoteAnchor"/>
          <w:rtl w:val="true"/>
        </w:rPr>
        <w:footnoteReference w:id="87"/>
      </w:r>
      <w:r>
        <w:rPr>
          <w:rFonts w:ascii="Amiri" w:hAnsi="Amiri" w:eastAsia="Amiri" w:cs="Amiri"/>
          <w:color w:val="111111"/>
          <w:sz w:val="28"/>
          <w:sz w:val="28"/>
          <w:szCs w:val="28"/>
          <w:rtl w:val="true"/>
          <w:lang w:bidi="ar-SA"/>
        </w:rPr>
        <w:t xml:space="preserve">ويرجع سبب هذا إلى أن الهولنديين لم يهتموا بالتأريخ الفلسفتهم إلا متأخرًا جدًا، ومن ثمَّ يصعب تتبع الاهتمام بالكانطية المبكرة عند المفكرين الهولنديين أكثر من هذا، طغى على الدراسات الفلسفية الهولندية لنهاية القرن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وبداية القرن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اللغة القديم، الذي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 لدُودًا للكانطية، تحت ذريعة كونها تُسمم الفهم السليم للهولنديين ودينهم</w:t>
      </w:r>
      <w:r>
        <w:rPr>
          <w:rStyle w:val="FootnoteAnchor"/>
          <w:rtl w:val="true"/>
        </w:rPr>
        <w:footnoteReference w:id="8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Philip Willem van Heusde (1778) (1820-Wyttenbach (1746) .(1808-Dionysius van de Wijnpersse (1724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للإشارة كانت الكلفانية هي الديانة السائدة في هذا البلد وحتى وإن التقينا ببعض الهولنديين من الفلاسفة ممن اهتم بكانط في ذلك الوقت، فإن هذا الاهتمام كان متواضعًا جدا، للأسباب التي ذكرناها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الأهمية بمكان للفهم السليم للاستقبال الهولندي لكانط، هو أن هذا الاستقبال لم يتم في</w:t>
      </w:r>
    </w:p>
    <w:p>
      <w:pPr>
        <w:pStyle w:val="BookText"/>
        <w:rPr/>
      </w:pPr>
      <w:r>
        <w:rPr>
          <w:rFonts w:ascii="Amiri" w:hAnsi="Amiri" w:eastAsia="Amiri" w:cs="Amiri"/>
          <w:color w:val="111111"/>
          <w:sz w:val="28"/>
          <w:sz w:val="28"/>
          <w:szCs w:val="28"/>
          <w:rtl w:val="true"/>
          <w:lang w:bidi="ar-SA"/>
        </w:rPr>
        <w:t>الجامعات، بل في الغالب في صالونات أمستردام</w:t>
      </w:r>
      <w:r>
        <w:rPr>
          <w:rFonts w:eastAsia="Amiri" w:cs="Amiri" w:ascii="Amiri" w:hAnsi="Amiri"/>
          <w:color w:val="111111"/>
          <w:sz w:val="28"/>
          <w:szCs w:val="28"/>
          <w:rtl w:val="true"/>
          <w:lang w:bidi="ar-SA"/>
        </w:rPr>
        <w:t>»</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والركيزتان الأساسيتان للكانطية في هولندا كانا متمثلتين في كل من يوهانيس كينكر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Johannes Kinker-1845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باولوس فان هيمرت </w:t>
      </w:r>
      <w:r>
        <w:rPr>
          <w:rFonts w:eastAsia="Amiri" w:cs="Amiri" w:ascii="Amiri" w:hAnsi="Amiri"/>
          <w:color w:val="111111"/>
          <w:sz w:val="28"/>
          <w:szCs w:val="28"/>
          <w:lang w:bidi="ar-SA"/>
        </w:rPr>
        <w:t>1756</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Paulus van Hemert-1825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كان هذا الأخير قيًّا في كنيسة كلفانية، عُزل عن مزاولة مهامه الكنسية عام </w:t>
      </w:r>
      <w:r>
        <w:rPr>
          <w:rFonts w:eastAsia="Amiri" w:cs="Amiri" w:ascii="Amiri" w:hAnsi="Amiri"/>
          <w:color w:val="111111"/>
          <w:sz w:val="28"/>
          <w:szCs w:val="28"/>
          <w:lang w:bidi="ar-SA"/>
        </w:rPr>
        <w:t>1784</w:t>
      </w:r>
      <w:r>
        <w:rPr>
          <w:rFonts w:ascii="Amiri" w:hAnsi="Amiri" w:eastAsia="Amiri" w:cs="Amiri"/>
          <w:color w:val="111111"/>
          <w:sz w:val="28"/>
          <w:sz w:val="28"/>
          <w:szCs w:val="28"/>
          <w:rtl w:val="true"/>
          <w:lang w:bidi="ar-SA"/>
        </w:rPr>
        <w:t xml:space="preserve">، بسبب الصراع حول إشكالية العلاقة بين الإيمان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الكنيسة رأت بأن هيميرت أعطى للعقل سلطةً أكثر من الإيمان لم يستسلم هذا القس في دفاعه عن العقل أمام سلطة الكنيسة، بل هاجمها وهاجم موقفها من العقل الذي كانت تعتبره ه فاسدًا</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إذا اعتبرنا صراع الكنيسة في هولندا مع من اهتم بأفكار كانط مدخلاً للكانطية في هذا البلد، فلا يسعنا إلا التأكيد على أنّ كانط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جيرانه في وقت مبكر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عام </w:t>
      </w:r>
      <w:r>
        <w:rPr>
          <w:rFonts w:eastAsia="Amiri" w:cs="Amiri" w:ascii="Amiri" w:hAnsi="Amiri"/>
          <w:color w:val="111111"/>
          <w:sz w:val="28"/>
          <w:szCs w:val="28"/>
          <w:lang w:bidi="ar-SA"/>
        </w:rPr>
        <w:t>1798</w:t>
      </w:r>
      <w:r>
        <w:rPr>
          <w:rFonts w:ascii="Amiri" w:hAnsi="Amiri" w:eastAsia="Amiri" w:cs="Amiri"/>
          <w:color w:val="111111"/>
          <w:sz w:val="28"/>
          <w:sz w:val="28"/>
          <w:szCs w:val="28"/>
          <w:rtl w:val="true"/>
          <w:lang w:bidi="ar-SA"/>
        </w:rPr>
        <w:t xml:space="preserve">، ظهرت مجلةٌ هولندية بأمستردام غير ناطقة بالألمانية اهتمت أساسا بالفلسفة النقدية لكانط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استمرت إلى عام </w:t>
      </w: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عوضت بمجلة جامعة وعامة </w:t>
      </w:r>
      <w:r>
        <w:rPr>
          <w:rFonts w:eastAsia="Times New Roman" w:cs="Times New Roman" w:ascii="Times New Roman" w:hAnsi="Times New Roman"/>
          <w:color w:val="111111"/>
          <w:sz w:val="28"/>
          <w:szCs w:val="28"/>
          <w:lang w:val="en-US" w:bidi="en-US"/>
        </w:rPr>
        <w:t>Lektuur bij het ontbijt en de thetael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استمرت إلى </w:t>
      </w:r>
      <w:r>
        <w:rPr>
          <w:rFonts w:eastAsia="Amiri" w:cs="Amiri" w:ascii="Amiri" w:hAnsi="Amiri"/>
          <w:color w:val="111111"/>
          <w:sz w:val="28"/>
          <w:szCs w:val="28"/>
          <w:lang w:bidi="ar-SA"/>
        </w:rPr>
        <w:t>1808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هيمرت هو صاحب المجلتين معا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أعلنت أكاديمية هارليم للعلوم عن جائزة لدراسة الفلسفة النقدية لكانط، فاز بها القس ألارد هو لسهوف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Allard Hulshoff-1795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ولعب دورا مهما في ما بعد فيما يتعلق بالجائزة الثانية لعام </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كان عضوًا</w:t>
      </w:r>
      <w:bookmarkStart w:id="177" w:name="pg16300_179417"/>
    </w:p>
    <w:p>
      <w:pPr>
        <w:pStyle w:val="BookText"/>
        <w:rPr/>
      </w:pPr>
      <w:bookmarkEnd w:id="177"/>
      <w:r>
        <w:rPr>
          <w:rFonts w:ascii="IRNazanin" w:hAnsi="IRNazanin" w:eastAsia="IRNazanin"/>
          <w:color w:val="111111"/>
          <w:sz w:val="28"/>
          <w:sz w:val="28"/>
          <w:szCs w:val="28"/>
          <w:rtl w:val="true"/>
          <w:lang w:bidi="fa-IR"/>
        </w:rPr>
        <w:t xml:space="preserve">فی اللجنة المنظمة للجائزة وهو الذي أعلن عن جائزة </w:t>
      </w:r>
      <w:r>
        <w:rPr>
          <w:rFonts w:eastAsia="IRNazanin" w:cs="IRNazanin"/>
          <w:color w:val="111111"/>
          <w:sz w:val="28"/>
          <w:szCs w:val="28"/>
          <w:lang w:bidi="fa-IR"/>
        </w:rPr>
        <w:t>1791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أيضا عضوًا في لجنتها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هو لسهوف أصغر من كانط بعشرة سنوات فقط، حصل على الدكتوراه عام </w:t>
      </w:r>
      <w:r>
        <w:rPr>
          <w:rFonts w:eastAsia="IRNazanin" w:cs="IRNazanin"/>
          <w:color w:val="111111"/>
          <w:sz w:val="28"/>
          <w:szCs w:val="28"/>
          <w:lang w:bidi="fa-IR"/>
        </w:rPr>
        <w:t>1755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بأطروحة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القبلي على وجود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عام </w:t>
      </w:r>
      <w:r>
        <w:rPr>
          <w:rFonts w:eastAsia="IRNazanin" w:cs="IRNazanin"/>
          <w:color w:val="111111"/>
          <w:sz w:val="28"/>
          <w:szCs w:val="28"/>
          <w:lang w:bidi="fa-IR"/>
        </w:rPr>
        <w:t>1758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أفضلُ عالم ممكن انتقد فيه بحدة لايبنتز، أهدى نسخةً منه لكانط شخصيا عام </w:t>
      </w:r>
      <w:r>
        <w:rPr>
          <w:rFonts w:eastAsia="IRNazanin" w:cs="IRNazanin"/>
          <w:color w:val="111111"/>
          <w:sz w:val="28"/>
          <w:szCs w:val="28"/>
          <w:lang w:bidi="fa-IR"/>
        </w:rPr>
        <w:t>1790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الرغم من الاهتمام الظاهر لهولسهوف بفلسفة كانط، إلا أنه لم يكن متفقا معه في كل شيء، وبالخصوص في ما يخص البرهنة على وجود الله، التي بقيت عند كانط غامضةً في نظره إلى حد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اهتم بالتعاليم الأخلاقية لكانط، مبتعدا عن التصور الأخلاقي المسيحي الأرثدوكسي المتمثل في الوصول إلى النعيم الإلهي كهدف أخلاقي مفضلاً الخير الأخلاقي</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5377385_1280447820"/>
      <w:bookmarkStart w:id="179" w:name="_Toc62"/>
      <w:bookmarkEnd w:id="178"/>
      <w:r>
        <w:rPr/>
        <w:t>9</w:t>
      </w:r>
      <w:r>
        <w:rPr>
          <w:rtl w:val="true"/>
        </w:rPr>
        <w:t xml:space="preserve">. </w:t>
      </w:r>
      <w:r>
        <w:rPr>
          <w:rtl w:val="true"/>
        </w:rPr>
        <w:t xml:space="preserve">في اليابان </w:t>
      </w:r>
      <w:r>
        <w:rPr>
          <w:rtl w:val="true"/>
        </w:rPr>
        <w:t>.</w:t>
      </w:r>
      <w:bookmarkEnd w:id="17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يكون من المفيد في هذا المقام الإشارة ولو في عجالة إلى أن اليابان كان يدخل في الاهتمامات المباشرة لكانط</w:t>
      </w:r>
      <w:r>
        <w:rPr>
          <w:rStyle w:val="FootnoteAnchor"/>
          <w:rtl w:val="true"/>
        </w:rPr>
        <w:footnoteReference w:id="92"/>
      </w:r>
      <w:r>
        <w:rPr>
          <w:rFonts w:ascii="Amiri" w:hAnsi="Amiri" w:eastAsia="Amiri" w:cs="Amiri"/>
          <w:color w:val="111111"/>
          <w:sz w:val="28"/>
          <w:sz w:val="28"/>
          <w:szCs w:val="28"/>
          <w:rtl w:val="true"/>
          <w:lang w:bidi="ar-SA"/>
        </w:rPr>
        <w:t>، حتى وإن كانت معرفته بهذا البلد قد تمت عن طريق الكتب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المعلوم أن كانط لم يغادر أبدًا مسقط رأسه، أي مدينة كونيغسبيرغ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تقارير إنغلبيرت كمبفر </w:t>
      </w:r>
      <w:r>
        <w:rPr>
          <w:rFonts w:eastAsia="Times New Roman" w:cs="Times New Roman" w:ascii="Times New Roman" w:hAnsi="Times New Roman"/>
          <w:color w:val="111111"/>
          <w:sz w:val="28"/>
          <w:szCs w:val="28"/>
          <w:lang w:val="en-US" w:bidi="en-US"/>
        </w:rPr>
        <w:t>Engelbert Kämpfer (1651- 1716)</w:t>
      </w:r>
      <w:r>
        <w:rPr>
          <w:rFonts w:ascii="Amiri" w:hAnsi="Amiri" w:eastAsia="Amiri" w:cs="Amiri"/>
          <w:color w:val="111111"/>
          <w:sz w:val="28"/>
          <w:sz w:val="28"/>
          <w:szCs w:val="28"/>
          <w:rtl w:val="true"/>
          <w:lang w:bidi="ar-SA"/>
        </w:rPr>
        <w:t>، الطبيب والمستكشف من بين المصادر التي اعتمد عليها كانط في اهتمامه باليابان، بل هو قد تطرق له بنوع من التفصيل في محاضراته في الجغرافيا الفيزيائية، وهي مادة درسها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ونشر </w:t>
      </w:r>
    </w:p>
    <w:p>
      <w:pPr>
        <w:pStyle w:val="BookText"/>
        <w:rPr/>
      </w:pPr>
      <w:r>
        <w:rPr>
          <w:rFonts w:ascii="Amiri" w:hAnsi="Amiri" w:eastAsia="Amiri" w:cs="Amiri"/>
          <w:color w:val="111111"/>
          <w:sz w:val="28"/>
          <w:sz w:val="28"/>
          <w:szCs w:val="28"/>
          <w:rtl w:val="true"/>
          <w:lang w:bidi="ar-SA"/>
        </w:rPr>
        <w:t xml:space="preserve">هيلموت فون غلاسنأب </w:t>
      </w:r>
      <w:r>
        <w:rPr>
          <w:rFonts w:eastAsia="Times New Roman" w:cs="Times New Roman" w:ascii="Times New Roman" w:hAnsi="Times New Roman"/>
          <w:color w:val="111111"/>
          <w:sz w:val="28"/>
          <w:szCs w:val="28"/>
          <w:lang w:val="en-US" w:bidi="en-US"/>
        </w:rPr>
        <w:t>Helmuth von Glasenapp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ما درسه کانط في هذا الإطار </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تعرف المهتمون بكانط في اليابان على كانط في غضون النصف الثاني من القرن التاسع عشر عندما بدأوا بدراسة الثقافة الأوروبية وأنظمتها الاجتماعية والسياسية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اسم كانط مرتبطاً عند اليابانيين بالفلسفة مباشرةً ، بل مرادفًا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للفيلسوف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وابتداءً من عام </w:t>
      </w:r>
      <w:r>
        <w:rPr>
          <w:rFonts w:eastAsia="Amiri" w:cs="Amiri" w:ascii="Amiri" w:hAnsi="Amiri"/>
          <w:color w:val="111111"/>
          <w:sz w:val="28"/>
          <w:szCs w:val="28"/>
          <w:lang w:bidi="ar-SA"/>
        </w:rPr>
        <w:t>1887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للطلبة اليابانيين تسهيلات للدراسة في أوروبا، وسافر عدد منهم إلى ألمانيا، ومن بين من استقر في هذا البلد كان هناك من اهتم مباشرةً بالكانطية الجديدة، سواءً اتجاه بادن أو نظيره لماربورغ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وابتداءً من ثلاثينيات القرن العشرين بدأ إنتاج نصوص عن كانط مباشرة باللغة اليابانية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التنافس الذي كانت تعرفه الاتجاهات الفلسفية الأخرى كالمثالية والمادية والهيغلية والماركسية والفينومينولوجية والوجودية فإن فلسفة كانط ظلت سيدتهم عند اليابانيين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يفتر الاهتمام بكانط في هذه الجزيرة الكبيرة، بل عمق المرء أكثر اهتمامه به،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نقد ملكة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أصبح منذ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حاضرًا بقوة في الاهتمامات الفلسفية اليابانية، لما له من أهمية في ما يخص إشكاليات الأخلاق اللاهوتية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تجدر الإشارة إلى أن الترجمة المبكرة للأعمال الكاملة لكانط إلى اليابانية ساهمت لا محالة في تعزيز حضور فلسفته باليابان</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بداية القرن الواحد والعشرين تمت ترجمة جديدة لهذه الأعمال </w:t>
      </w:r>
      <w:bookmarkStart w:id="180" w:name="pg16300_179419"/>
    </w:p>
    <w:p>
      <w:pPr>
        <w:pStyle w:val="BookText"/>
        <w:rPr/>
      </w:pPr>
      <w:bookmarkEnd w:id="180"/>
      <w:r>
        <w:rPr>
          <w:rFonts w:ascii="Amiri" w:hAnsi="Amiri" w:eastAsia="Amiri" w:cs="Amiri"/>
          <w:color w:val="111111"/>
          <w:sz w:val="28"/>
          <w:sz w:val="28"/>
          <w:szCs w:val="28"/>
          <w:rtl w:val="true"/>
          <w:lang w:bidi="ar-SA"/>
        </w:rPr>
        <w:t xml:space="preserve">الكاملة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أخذنا الإقبال الكبير لليابانيين على قراءة كتب معينة لكانط كمعيار لقياس التأثير الكبير له في اليابان، فإننا لا نتفاجأ إذا علمنا بأن ترجمة نقد العقل الخالص ونشره باليابانية في ثلاثة أجزاء</w:t>
      </w:r>
      <w:r>
        <w:rPr>
          <w:rStyle w:val="FootnoteAnchor"/>
          <w:rtl w:val="true"/>
        </w:rPr>
        <w:footnoteReference w:id="95"/>
      </w:r>
      <w:r>
        <w:rPr>
          <w:rFonts w:ascii="Amiri" w:hAnsi="Amiri" w:eastAsia="Amiri" w:cs="Amiri"/>
          <w:color w:val="111111"/>
          <w:sz w:val="28"/>
          <w:sz w:val="28"/>
          <w:szCs w:val="28"/>
          <w:rtl w:val="true"/>
          <w:lang w:bidi="ar-SA"/>
        </w:rPr>
        <w:t xml:space="preserve">، أعيد طبع الجزء الأول منه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إلى حدود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العقل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 xml:space="preserve">، وأعيد طبعه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إلى حدود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ملكة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جزئين، وأعيد طبع الجزء الأول منه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إلى حدود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وأعيد طبع الجزء الثاني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إلى حدود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 حول السلم الدائم عام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وأعيد طبعه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إلى حدود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تعزز حضور الكانطية في اليابان في السنين الأخيرة بتأسيس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الجمعية الكانطية في اليابان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وابتداءً من عام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تصدر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الدراسات الكانطية باليابان </w:t>
      </w:r>
      <w:r>
        <w:rPr>
          <w:rFonts w:eastAsia="Times New Roman" w:cs="Times New Roman" w:ascii="Times New Roman" w:hAnsi="Times New Roman"/>
          <w:color w:val="111111"/>
          <w:sz w:val="28"/>
          <w:szCs w:val="28"/>
          <w:lang w:val="en-US" w:bidi="en-US"/>
        </w:rPr>
        <w:t>Nihon Kantkenkyu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وهناك مجموعة يابانية أخرى تهتم بالكانطية،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البحث الكانطية الطوكيو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ظهرت عام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xml:space="preserve">، وتصدر مند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دوريةً سنويةً سمتها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الدراسات الكانطية الحالية </w:t>
      </w:r>
      <w:r>
        <w:rPr>
          <w:rFonts w:eastAsia="Times New Roman" w:cs="Times New Roman" w:ascii="Times New Roman" w:hAnsi="Times New Roman"/>
          <w:color w:val="111111"/>
          <w:sz w:val="28"/>
          <w:szCs w:val="28"/>
          <w:lang w:val="en-US" w:bidi="en-US"/>
        </w:rPr>
        <w:t>Gendai Kant kenkyu</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81" w:name="__RefHeading___Toc5377387_1280447820"/>
      <w:bookmarkStart w:id="182" w:name="_Toc63"/>
      <w:bookmarkEnd w:id="181"/>
      <w:r>
        <w:rPr/>
        <w:t>10</w:t>
      </w:r>
      <w:r>
        <w:rPr>
          <w:rtl w:val="true"/>
        </w:rPr>
        <w:t xml:space="preserve">. </w:t>
      </w:r>
      <w:r>
        <w:rPr>
          <w:rtl w:val="true"/>
        </w:rPr>
        <w:t>في كوريا</w:t>
      </w:r>
      <w:bookmarkEnd w:id="18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أول حضور لكانط في كوريا قبل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خلت، في حقبة تاريخية كانت مليئة بالصراعات مع القوى الأوروبية ونهاية أسرة حاكمة حكمت البلاد لمدة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الجو السياسي والتاريخي حط اهتمام الفلاسفة الكوريين بكانط، وبالخصوص </w:t>
      </w:r>
    </w:p>
    <w:p>
      <w:pPr>
        <w:pStyle w:val="BookText"/>
        <w:rPr/>
      </w:pPr>
      <w:r>
        <w:rPr>
          <w:rFonts w:ascii="Amiri" w:hAnsi="Amiri" w:eastAsia="Amiri" w:cs="Amiri"/>
          <w:color w:val="111111"/>
          <w:sz w:val="28"/>
          <w:sz w:val="28"/>
          <w:szCs w:val="28"/>
          <w:rtl w:val="true"/>
          <w:lang w:bidi="ar-SA"/>
        </w:rPr>
        <w:t>في ما يتعلق بفلسفته الأخلاقية وميولاته السلمية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الكونفوشيوسية كانت ديانةً وفلسفة رسمية آنذاك في كوريا، فإن الفلسفة التطبيقية لكانط كانت لها الأولوية على فلسفته النظرية، ذلك أن الكونفوشيوسية هي في المقام الأول وفي جانبها الكبير فلسفة تطبيقية</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modernen Zivilisation: Materialien der internationalen Konferenz: in 2 Bd. Hrsg. W.N. Brjuschinkin. -Kaliningrad: Verlag der Immanuel Kant Universität Kaliningrad, 2010. Band. 2, S. 247-254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الزاوية، لم يكن من الصدفة أن أول مترجم كوري لكانط، 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شوي </w:t>
      </w:r>
      <w:r>
        <w:rPr>
          <w:rFonts w:eastAsia="Times New Roman" w:cs="Times New Roman" w:ascii="Times New Roman" w:hAnsi="Times New Roman"/>
          <w:color w:val="111111"/>
          <w:sz w:val="28"/>
          <w:szCs w:val="28"/>
          <w:lang w:val="en-US" w:bidi="en-US"/>
        </w:rPr>
        <w:t>Jae-Hi Choi</w:t>
      </w:r>
      <w:r>
        <w:rPr>
          <w:rFonts w:ascii="Amiri" w:hAnsi="Amiri" w:eastAsia="Amiri" w:cs="Amiri"/>
          <w:color w:val="111111"/>
          <w:sz w:val="28"/>
          <w:sz w:val="28"/>
          <w:szCs w:val="28"/>
          <w:rtl w:val="true"/>
          <w:lang w:bidi="ar-SA"/>
        </w:rPr>
        <w:t xml:space="preserve">، ترجم ما هو عملي لكانط عام عام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يقسم المرء فلسفة كانط التطبيقية إلى أخلاق</w:t>
      </w:r>
      <w:r>
        <w:rPr>
          <w:rStyle w:val="FootnoteAnchor"/>
          <w:rtl w:val="true"/>
        </w:rPr>
        <w:footnoteReference w:id="97"/>
      </w:r>
      <w:r>
        <w:rPr>
          <w:rFonts w:ascii="Amiri" w:hAnsi="Amiri" w:eastAsia="Amiri" w:cs="Amiri"/>
          <w:color w:val="111111"/>
          <w:sz w:val="28"/>
          <w:sz w:val="28"/>
          <w:szCs w:val="28"/>
          <w:rtl w:val="true"/>
          <w:lang w:bidi="ar-SA"/>
        </w:rPr>
        <w:t>وفلسفة قانون</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geschichtsphilosophische Schriften von 1780 Jahren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يتأمل المرء دخولها إلى كوريا، فإن المرء قد يلاحظ ظاهرةً غير متوقعة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الوقت الذي درست الفلسفة الأخلاقية لكانط بإسهاب منذ وصولها إلى كوريا، بقيت فلسفته السياسية جانبًا نوعًا ما ويتمظهر هذا في حركة ترجمة مؤلفاته في هذا الإطار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واعتبارًا لهذا يمكن القول أن الاهتمام بكانط كان أحادي الجانب نوعا ما في كوريا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ويصعب فهم هذه الظاهرة أو شرحها، خاصةً إذا استحضرنا إلى الذهن بأن كوريا في ال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المنصرمة طورت ديموقراطية سياسيةً على مثال</w:t>
      </w:r>
      <w:bookmarkStart w:id="183" w:name="pg16300_179421"/>
    </w:p>
    <w:p>
      <w:pPr>
        <w:pStyle w:val="BookText"/>
        <w:rPr/>
      </w:pPr>
      <w:bookmarkEnd w:id="183"/>
      <w:r>
        <w:rPr>
          <w:rFonts w:ascii="Amiri" w:hAnsi="Amiri" w:eastAsia="Amiri" w:cs="Amiri"/>
          <w:color w:val="111111"/>
          <w:sz w:val="28"/>
          <w:sz w:val="28"/>
          <w:szCs w:val="28"/>
          <w:rtl w:val="true"/>
          <w:lang w:bidi="ar-SA"/>
        </w:rPr>
        <w:t>أوروبا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سبب هذا الأمر كامنا في الكونفوشيوسية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الطريق المباشر لوصول كانط لكوريا الصين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زمن كانت فيه البلاد تحت سيطرة اليابان التي عرفت رواجًا كبيرًا ومكثفا للكانطية في أوساطها الفكرية والفلسفية، استطاع الكثير من الطلبة التعرف على فلسفة كانط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الحرب، سافر العديد من الطلبة الكوريين للدراسة في ألمانيا، وفي أواخر الثمانينيات من القرن العشرين دخلت الكانطية بطريقة منظمة إلى كوريا، مُنافسة للهيغلية والماركسية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الجمعية الكانطية الكورية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وهناك دورية نصفُ سنوية مخصصة للدراسات الكانطية في هذا البلد</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5377389_1280447820"/>
      <w:bookmarkStart w:id="185" w:name="_Toc64"/>
      <w:bookmarkEnd w:id="184"/>
      <w:r>
        <w:rPr/>
        <w:t>11</w:t>
      </w:r>
      <w:r>
        <w:rPr>
          <w:rtl w:val="true"/>
        </w:rPr>
        <w:t xml:space="preserve">. </w:t>
      </w:r>
      <w:r>
        <w:rPr>
          <w:rtl w:val="true"/>
        </w:rPr>
        <w:t>في الدول العربية والمسلمة</w:t>
      </w:r>
      <w:bookmarkEnd w:id="185"/>
    </w:p>
    <w:p>
      <w:pPr>
        <w:pStyle w:val="BookText"/>
        <w:rPr/>
      </w:pPr>
      <w:r>
        <w:rPr>
          <w:rFonts w:ascii="Amiri" w:hAnsi="Amiri" w:eastAsia="Amiri" w:cs="Amiri"/>
          <w:color w:val="111111"/>
          <w:sz w:val="28"/>
          <w:sz w:val="28"/>
          <w:szCs w:val="28"/>
          <w:rtl w:val="true"/>
          <w:lang w:bidi="ar-SA"/>
        </w:rPr>
        <w:t>يُجمع الكثير من الباحثين على أن حضور كانط في العالم الفكري العربي والمسلم هو حضور متميز حاليا</w:t>
      </w:r>
      <w:r>
        <w:rPr>
          <w:rStyle w:val="FootnoteAnchor"/>
          <w:rtl w:val="true"/>
        </w:rPr>
        <w:footnoteReference w:id="99"/>
      </w:r>
      <w:r>
        <w:rPr>
          <w:rFonts w:ascii="Amiri" w:hAnsi="Amiri" w:eastAsia="Amiri" w:cs="Amiri"/>
          <w:color w:val="111111"/>
          <w:sz w:val="28"/>
          <w:sz w:val="28"/>
          <w:szCs w:val="28"/>
          <w:rtl w:val="true"/>
          <w:lang w:bidi="ar-SA"/>
        </w:rPr>
        <w:t xml:space="preserve">وحتى وإن نُشرت بعض ، النصوص الكانطية في جرائد عربية منذ نهاية القرن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كما يؤكد على ذلك أحمد عبد الحليم عطية، فإن الأكيد هو أن كانط لم يعرف رواجًا كبيراً في العالم المسلم عموما إلا بعد الحرب العالمية الثانية، وبدايات تحرر الدول المسلمة من الاستعمار السياسي الغربي، ودخول كانط مدرجات الجامعات ولعل مصر كانت السباقة في هذا الإطار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الكثير من المفكرين العرب ممن اهتموا بكانط سواءً في إطار مقررات الدراسة، التي كان عليهم تقديمها لطلبتهم في ما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يسمى بالفلسفة الغربية، أو في دراسات مستقلة، سواءً أكانت عبارةً عن مقالات مطولة أم عبارة عن كتب كتب قائمة بذاتها</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وتعزز حضور كانط بعدما أصبحت ترجمات كتبه متوفرةً، على الرغم من أن الكثير منها تُرجم عن طريق لغات أوروبية أخرى وبالخصوص من الفرنسية في عموم المغرب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شمال إفريقيا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الإنجليزية في ما يخص مصر وبلاد الشام والكتب القليلة التي تُرجمت لكانط مباشرةً من الألمانية إلى حدود منتصف التسعينيات من القرن العشرين وحتى وإن كانت مهمةً لأخذ فكرة عن فكره، إلا أن أكثريتها لا يجب التعويل عليه، لنقص فيها، سواءً على مستوى اللغة كلغة أو تمرير الأفكار بسلاسة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كان على الساحة الفكرية العربية انتظار مجموعة من الفلاسفة العرب ممن زاوجوا في تكوينهم بين الفلسفة وتعلم اللغة الألمانية بطريقة جيدة جدا</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عام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 ذكرى مرور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على وفاة كانط، حافلاً بالأنشطة حول فكره في العالم العربي عموما، وثمّ نشر مجموعة مهمة من المجلات والجرائد الدراسات مستفيضة حول جانب من جوانب فكره هذا</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السنة الماضية </w:t>
      </w:r>
      <w:r>
        <w:rPr>
          <w:rFonts w:eastAsia="IRNazanin" w:cs="IRNazanin"/>
          <w:color w:val="111111"/>
          <w:sz w:val="28"/>
          <w:szCs w:val="28"/>
          <w:rtl w:val="true"/>
          <w:lang w:bidi="fa-IR"/>
        </w:rPr>
        <w:t>(</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المركز الإسلامي للدراسات الاستراتيجية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بتاريخ </w:t>
      </w:r>
      <w:r>
        <w:rPr>
          <w:rFonts w:eastAsia="IRNazanin" w:cs="IRNazanin"/>
          <w:color w:val="111111"/>
          <w:sz w:val="28"/>
          <w:szCs w:val="28"/>
          <w:lang w:bidi="fa-IR"/>
        </w:rPr>
        <w:t>2017/8/15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ندوةً تناولت فكر الفيلسوف كانط بحضور محمود حیدر، جمیل ،قاسم حسين صفي الدين هادي قبيسي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w:t>
      </w:r>
    </w:p>
    <w:p>
      <w:pPr>
        <w:pStyle w:val="BookText"/>
        <w:rPr/>
      </w:pPr>
      <w:r>
        <w:rPr>
          <w:rFonts w:ascii="Amiri" w:hAnsi="Amiri" w:eastAsia="Amiri" w:cs="Amiri"/>
          <w:color w:val="111111"/>
          <w:sz w:val="28"/>
          <w:sz w:val="28"/>
          <w:szCs w:val="28"/>
          <w:rtl w:val="true"/>
          <w:lang w:bidi="ar-SA"/>
        </w:rPr>
        <w:t>مداخلته بالنيابة جمال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دل هذا الاهتمام عن شيء، فإنما يدل على أن فكر كانط حاضر بما فيه الكفاية في العالم الإسلامي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انكب اهتمام المفكر العربي على فلسفة الأخلاق الكانطية</w:t>
      </w:r>
      <w:r>
        <w:rPr>
          <w:rStyle w:val="FootnoteAnchor"/>
          <w:rtl w:val="true"/>
        </w:rPr>
        <w:footnoteReference w:id="103"/>
      </w:r>
      <w:r>
        <w:rPr>
          <w:rFonts w:ascii="Amiri" w:hAnsi="Amiri" w:eastAsia="Amiri" w:cs="Amiri"/>
          <w:color w:val="111111"/>
          <w:sz w:val="28"/>
          <w:sz w:val="28"/>
          <w:szCs w:val="28"/>
          <w:rtl w:val="true"/>
          <w:lang w:bidi="ar-SA"/>
        </w:rPr>
        <w:t>والدين وفكرة الحرية والسلام</w:t>
      </w:r>
      <w:r>
        <w:rPr>
          <w:rStyle w:val="FootnoteAnchor"/>
          <w:rtl w:val="true"/>
        </w:rPr>
        <w:footnoteReference w:id="104"/>
      </w:r>
      <w:r>
        <w:rPr>
          <w:rFonts w:ascii="Amiri" w:hAnsi="Amiri" w:eastAsia="Amiri" w:cs="Amiri"/>
          <w:color w:val="111111"/>
          <w:sz w:val="28"/>
          <w:sz w:val="28"/>
          <w:szCs w:val="28"/>
          <w:rtl w:val="true"/>
          <w:lang w:bidi="ar-SA"/>
        </w:rPr>
        <w:t xml:space="preserve">وفلسفته النقدية </w:t>
      </w:r>
      <w:r>
        <w:rPr>
          <w:rStyle w:val="FootnoteAnchor"/>
          <w:rtl w:val="true"/>
        </w:rPr>
        <w:footnoteReference w:id="10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htm.139823-http://www.islamtoday.net/nawafeth/artshow-40</w:t>
      </w:r>
    </w:p>
    <w:p>
      <w:pPr>
        <w:pStyle w:val="BookText"/>
        <w:rPr/>
      </w:pPr>
      <w:r>
        <w:rPr>
          <w:rFonts w:ascii="Amiri" w:hAnsi="Amiri" w:eastAsia="Amiri" w:cs="Amiri"/>
          <w:color w:val="111111"/>
          <w:sz w:val="28"/>
          <w:sz w:val="28"/>
          <w:szCs w:val="28"/>
          <w:rtl w:val="true"/>
          <w:lang w:bidi="ar-SA"/>
        </w:rPr>
        <w:t>والثورة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والتنوير والإبستيمولوجيا ونظرية المعرفة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https://www.hespress.com/writers/344820.html</w:t>
      </w:r>
    </w:p>
    <w:p>
      <w:pPr>
        <w:pStyle w:val="BookText"/>
        <w:rPr/>
      </w:pP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فنظرة ولو خاطفة على هذه الإهتمامات توشي بأن حضور كانط لم يكن حضورًا مناسباتيًا وحسب، بل نلمس استمرارية في الزمن لم تكتمل بعد، لأن هضم فكر فيلسوف شغل عالم الفكر منذ أكثر من ثلاثة قرون، لم يكتمل بعد عالميًا أيضًا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التحليليون إيجاد جذور لهم في فلسفته، والشيء نفسه بالنسبة للبنيويين والماركسيين والوضعيين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p>
    <w:p>
      <w:pPr>
        <w:pStyle w:val="BookText"/>
        <w:rPr/>
      </w:pPr>
      <w:r>
        <w:rPr>
          <w:rFonts w:ascii="Amiri" w:hAnsi="Amiri" w:eastAsia="Amiri" w:cs="Amiri"/>
          <w:color w:val="111111"/>
          <w:sz w:val="28"/>
          <w:sz w:val="28"/>
          <w:szCs w:val="28"/>
          <w:rtl w:val="true"/>
          <w:lang w:bidi="ar-SA"/>
        </w:rPr>
        <w:t>أن ما يُسمى بفلاسفة ما بعد الحداثة وفلاسفة الحداثة أنفسهم</w:t>
      </w:r>
      <w:r>
        <w:rPr>
          <w:rStyle w:val="FootnoteAnchor"/>
          <w:rtl w:val="true"/>
        </w:rPr>
        <w:footnoteReference w:id="106"/>
      </w:r>
      <w:r>
        <w:rPr>
          <w:rFonts w:ascii="Amiri" w:hAnsi="Amiri" w:eastAsia="Amiri" w:cs="Amiri"/>
          <w:color w:val="111111"/>
          <w:sz w:val="28"/>
          <w:sz w:val="28"/>
          <w:szCs w:val="28"/>
          <w:rtl w:val="true"/>
          <w:lang w:bidi="ar-SA"/>
        </w:rPr>
        <w:t>، لم يستطيعوا الاستغناء عن كانط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هذا يعتبر هابرماس فلسفة الحداثة مستمرةً لم تتجاوز بعد منذ سؤال كانط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التنوير؟</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يرجع في اعتقادنا اهتمام العرب والمسلمين بكانط إلى اهتمامه هو نفسه بالمسلمين في العديد من كتبه</w:t>
      </w:r>
      <w:r>
        <w:rPr>
          <w:rStyle w:val="FootnoteAnchor"/>
          <w:rtl w:val="true"/>
        </w:rPr>
        <w:footnoteReference w:id="108"/>
      </w:r>
      <w:r>
        <w:rPr>
          <w:rFonts w:ascii="Amiri" w:hAnsi="Amiri" w:eastAsia="Amiri" w:cs="Amiri"/>
          <w:color w:val="111111"/>
          <w:sz w:val="28"/>
          <w:sz w:val="28"/>
          <w:szCs w:val="28"/>
          <w:rtl w:val="true"/>
          <w:lang w:bidi="ar-SA"/>
        </w:rPr>
        <w:t>، بل إلى غنى ما درسه وألف فيه، وأهمية إرثه هذا للمسلمين باعتباره فيلسوفاً عبر في زمانه عن الكثير من الإشكاليات التي شغلت وتشغل المفكر العربي والمسلم سواءً في ما يخص الدين أو السياسية أو الأخلاق وتنظيم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راهنيته في الساحة العربية والمسلمة لا غبار عليها، ويتجلى ذلك في كثرة الأطروحات والبحوث الجامعية، إضافةً إلى المؤلفات، حوله في الكثير من الجامعات العربية والمسلمة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جانب المشرق من العالم الإسلامي الحالي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 لم يكن حظ كانط من الدراسة والتمحيص أقل منه في العالم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فالشيخ </w:t>
      </w:r>
    </w:p>
    <w:p>
      <w:pPr>
        <w:pStyle w:val="BookText"/>
        <w:rPr/>
      </w:pPr>
      <w:r>
        <w:rPr>
          <w:rFonts w:ascii="Amiri" w:hAnsi="Amiri" w:eastAsia="Amiri" w:cs="Amiri"/>
          <w:color w:val="111111"/>
          <w:sz w:val="28"/>
          <w:sz w:val="28"/>
          <w:szCs w:val="28"/>
          <w:rtl w:val="true"/>
          <w:lang w:bidi="ar-SA"/>
        </w:rPr>
        <w:t xml:space="preserve">مرتضى مطهري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أحد رواد النهضة الإسلامية، في اهتمامه بتأصيل الهوية المسلمة بما يتناسب وإكراهات الشريعة وضروريات العصر، وبالأخص في ما يتعلق بقيامه بالنقد الذاتي للمسلمين ونقد الآخر، اهتم من بين من اهتم بهم من الفلاسفة الغربيين بكانط عرض البعض من معارفه في ميادين معرفية مختلفة وحللها وانتقدها بعقل نير وعميق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نظرًا للعائق اللغوي، فإن المهتم العربي بالفكر الفلسفي الإيراني الغني، وبالخصوص في تعامله المرن مع الفكر الغربي، لا يسعه إلا أن ينتظر ترجمات المؤلفات الإيرانية إلى العربية للاطلاع على كيفية تعاملهم مع الإرث الكانطي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المفيد أن نشير ولو في عجالة إلى أحد الاجتهادات الإيرانية المعاصرة بخصوص فكر كانط، ويتعلق الأمر بالباحث رضا گندمي نصر آبادي</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الصارمة تعريب علي حسن 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الجذور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العلمانية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file:///C:/Users/hamid/Desktop pdf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كانط</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الذي أقدم على دراسة أصيلة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أنها قصيرة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لعلاقة كانط بالعلمانية حيث يقول في مقدمة بحثه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جذور العلمانية بادية بوضوح في جميع مؤلفاته ولا سيما تلك المرتبطة بدائرة الحقل العملي وخاصة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في حدود العقل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هذا المقال سنكتفي بالإجابة عن السؤال الأول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السؤال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الدور الذي لعبته فلسفة كانط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النظرية والعلمية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ظهور الفكر العلماني</w:t>
      </w:r>
      <w:bookmarkStart w:id="186" w:name="pg16300_179426"/>
    </w:p>
    <w:p>
      <w:pPr>
        <w:pStyle w:val="BookText"/>
        <w:rPr/>
      </w:pPr>
      <w:bookmarkEnd w:id="186"/>
      <w:r>
        <w:rPr>
          <w:rFonts w:ascii="Amiri" w:hAnsi="Amiri" w:eastAsia="Amiri" w:cs="Amiri"/>
          <w:color w:val="111111"/>
          <w:sz w:val="28"/>
          <w:sz w:val="28"/>
          <w:szCs w:val="28"/>
          <w:rtl w:val="true"/>
          <w:lang w:bidi="ar-SA"/>
        </w:rPr>
        <w:t xml:space="preserve">وانتشاره؟ وقبل كل شيء نقدم خلاصة لآراء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نقد العقل المحض ، وارتباطها بالعلمانية، لننتقل بعد ذلك إلى أعماله في حقل نقد العقل العملي </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5377391_1280447820"/>
      <w:bookmarkStart w:id="188" w:name="_Toc65"/>
      <w:bookmarkEnd w:id="187"/>
      <w:r>
        <w:rPr>
          <w:rtl w:val="true"/>
        </w:rPr>
        <w:t xml:space="preserve">الجزء الثاني </w:t>
      </w:r>
      <w:r>
        <w:rPr>
          <w:rtl w:val="true"/>
        </w:rPr>
        <w:t xml:space="preserve">: </w:t>
      </w:r>
      <w:r>
        <w:rPr>
          <w:rtl w:val="true"/>
        </w:rPr>
        <w:t>راهنية الكانطية الجديدة</w:t>
      </w:r>
      <w:bookmarkEnd w:id="188"/>
    </w:p>
    <w:p>
      <w:pPr>
        <w:pStyle w:val="Heading4"/>
        <w:numPr>
          <w:ilvl w:val="3"/>
          <w:numId w:val="1"/>
        </w:numPr>
        <w:rPr/>
      </w:pPr>
      <w:bookmarkStart w:id="189" w:name="__RefHeading___Toc5377393_1280447820"/>
      <w:bookmarkStart w:id="190" w:name="_Toc66"/>
      <w:bookmarkEnd w:id="189"/>
      <w:r>
        <w:rPr>
          <w:rtl w:val="true"/>
        </w:rPr>
        <w:t>اشارة</w:t>
      </w:r>
      <w:bookmarkEnd w:id="190"/>
    </w:p>
    <w:p>
      <w:pPr>
        <w:pStyle w:val="BookText"/>
        <w:rPr/>
      </w:pPr>
      <w:r>
        <w:rPr>
          <w:rFonts w:ascii="Amiri" w:hAnsi="Amiri" w:eastAsia="Amiri" w:cs="Amiri"/>
          <w:color w:val="111111"/>
          <w:sz w:val="28"/>
          <w:sz w:val="28"/>
          <w:szCs w:val="28"/>
          <w:rtl w:val="true"/>
          <w:lang w:bidi="ar-SA"/>
        </w:rPr>
        <w:t xml:space="preserve">الواقع أن الرجوع إلى كانط لم يقتصر على الكانطية الجديدة بكل تلويناتها، بل كان هناك فلاسفة رجعوا له قبل الكانطية الجديدة كياكوب فريس ويوهان هيربارت ورودولف لوتسا وويليام ديلتي؛ وهناك من رجع له بعد ظهور الكانطية الجديدة كيا سبيرس وهايدغر ونيكولاي هارتمان ومدرسة فرانكفورت وفوكو وفرانسوا ليوطار وغيرهم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ويكمن الفرق في الاهتمام بكانط من طرف من ذكرناهم وبين الكانطية الجديدة، في كون هذه الأخيرة كانت تهدف إلى تطوير فلسفة كانط إننا كلنا ممن يتفلسف في القرن التاسع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تلامذة كانط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رجوعنا الحالي له اليوم لا يجب أن يكون تجديدًا للشكل غير المشروط تاريخيا وحسب، حيث قدم فكرة الفلسفة النقدية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لمس المرء بعمق التناقض الموجود بين مختلف أشكال فكره كلما عثر على الوسائل لدراسة الإشكاليات التي خلقها عن طريق حله لإشكالياته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ففهم كانط يعني تجاوزه</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يميز الكانطية الجديدة في اهتمامها بكانط عن باقي كل من اهتم به هو كونها لم تقتصر على شرح فكره الفلسفي لغوياً وتاريخيا، بل حاولت تطويره وتوسيعه وتحيينه نسقيًّا؛ لأن الإشكاليات الفلسفية التي حلها، طرحت إشكاليات جديدة، تطلبت حلولاً جديدةً أيضا</w:t>
      </w:r>
      <w:r>
        <w:rPr>
          <w:rFonts w:eastAsia="Amiri" w:cs="Amiri" w:ascii="Amiri" w:hAnsi="Amiri"/>
          <w:color w:val="111111"/>
          <w:sz w:val="28"/>
          <w:szCs w:val="28"/>
          <w:rtl w:val="true"/>
          <w:lang w:bidi="ar-SA"/>
        </w:rPr>
        <w:t xml:space="preserve">. </w:t>
      </w:r>
      <w:bookmarkStart w:id="191" w:name="pg16300_179427"/>
    </w:p>
    <w:p>
      <w:pPr>
        <w:pStyle w:val="BookText"/>
        <w:rPr/>
      </w:pPr>
      <w:bookmarkEnd w:id="191"/>
      <w:r>
        <w:rPr>
          <w:rFonts w:ascii="Amiri" w:hAnsi="Amiri" w:eastAsia="Amiri" w:cs="Amiri"/>
          <w:color w:val="111111"/>
          <w:sz w:val="28"/>
          <w:sz w:val="28"/>
          <w:szCs w:val="28"/>
          <w:rtl w:val="true"/>
          <w:lang w:bidi="ar-SA"/>
        </w:rPr>
        <w:t>وهذه ميزة تميّزها عن الفهم الهيغلي للتطور التاريخي عموما، أي تأكيده على سيرورة تطور لها بداية ونهاية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فالطريق الكانطي الجديد، الذي سار عليه فيندلباند، لا يُقدم أي تطور عمودي لتاريخ الفكر الفلسفي، بقدر ما يؤكد على التطور غير النهائي للإشكاليات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ولربما لهذا السبب نجد حاليا انتعاشًا ملحوظا في الاهتمام بكانط، بعد فترة معينة من فتور الكانطية الجديدة بعد الحرب العالمية الثانية، ويُترجم هذا الاهتمام في على أكثر من مستوى، سواءً في الجامعات الغربية كمؤسسات رسمية، أو عند الكثير من المفكرين</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5377395_1280447820"/>
      <w:bookmarkStart w:id="193" w:name="_Toc67"/>
      <w:bookmarkEnd w:id="192"/>
      <w:r>
        <w:rPr/>
        <w:t>1</w:t>
      </w:r>
      <w:r>
        <w:rPr>
          <w:rtl w:val="true"/>
        </w:rPr>
        <w:t xml:space="preserve">. </w:t>
      </w:r>
      <w:r>
        <w:rPr>
          <w:rtl w:val="true"/>
        </w:rPr>
        <w:t>فتور الاهتمام بالكانطية الجديدة بعد الحرب العالمية الثانية</w:t>
      </w:r>
      <w:bookmarkEnd w:id="193"/>
    </w:p>
    <w:p>
      <w:pPr>
        <w:pStyle w:val="BookText"/>
        <w:rPr/>
      </w:pPr>
      <w:r>
        <w:rPr>
          <w:rFonts w:ascii="Amiri" w:hAnsi="Amiri" w:eastAsia="Amiri" w:cs="Amiri"/>
          <w:color w:val="111111"/>
          <w:sz w:val="28"/>
          <w:sz w:val="28"/>
          <w:szCs w:val="28"/>
          <w:rtl w:val="true"/>
          <w:lang w:bidi="ar-SA"/>
        </w:rPr>
        <w:t xml:space="preserve">قد يكون من الضروري التساؤل عن مصير الكانطية الجديدة بعد الحرب العالمية الثانية وما آل إليه البحث في هذا الاتجاه، خاصةً ونحن نعلم بأن دعم ، بل ومشاركة بعض أقطابه في النازية لم يكن سرًا خافيًا على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الحديث بالفعل عن أي راهنية للكانطية الجديدة، أو حتى على ما بعد كانطية جديدة في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 تسربت الكانطية الجديدة لعالم القرن الواحد والعشرين وأين تتجلى بصماتها؟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تكون الإجابة عن هذه السلسلة من الأسئلة بمثابة مشروع بحث مستقل، لأنّ مادةَ البحث غنيةٌ ودسمةٌ، من شأنها توفير الفرصة لإصدار بحث قائم بذاته عن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نكتفي هنا ببعض الإشارات التمهيدية، التي قد تُحمس باحثين آخرين لإتمام البحث في هذه النقطة، من أجل إتمام فهمنا للكانطية الجديدة </w:t>
      </w:r>
    </w:p>
    <w:p>
      <w:pPr>
        <w:pStyle w:val="BookText"/>
        <w:rPr/>
      </w:pPr>
      <w:r>
        <w:rPr>
          <w:rFonts w:ascii="Amiri" w:hAnsi="Amiri" w:eastAsia="Amiri" w:cs="Amiri"/>
          <w:color w:val="111111"/>
          <w:sz w:val="28"/>
          <w:sz w:val="28"/>
          <w:szCs w:val="28"/>
          <w:rtl w:val="true"/>
          <w:lang w:bidi="ar-SA"/>
        </w:rPr>
        <w:t>وأخذ موقف أقرب إلى الموضوعية منها، لتعزيز أخذ موقف ثقافي وحضاري مما يُروّج في الساحة الثقافية الناطقة بالعربية، كمسؤولية حضارية يتحملها الجيل الجديد من الباحثين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يؤكد غيرت إيدل</w:t>
      </w:r>
      <w:r>
        <w:rPr>
          <w:rStyle w:val="FootnoteAnchor"/>
        </w:rPr>
        <w:footnoteReference w:id="112"/>
      </w:r>
      <w:r>
        <w:rPr>
          <w:rFonts w:eastAsia="Times New Roman" w:cs="Times New Roman" w:ascii="Times New Roman" w:hAnsi="Times New Roman"/>
          <w:color w:val="111111"/>
          <w:sz w:val="28"/>
          <w:szCs w:val="28"/>
          <w:lang w:val="en-US" w:bidi="en-US"/>
        </w:rPr>
        <w:t>Geert Edel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على إن الادعاء القائل بأن الكانطية الجديدة قد صبت كرافد مُهم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التحليل اللغوي والهيرمونيطيقا هو ادعاء</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يفهم بعد عمق ومدى الكانطية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يتأمل المرء إنتاجات مؤرخي الفلسفة المعاصرين</w:t>
      </w:r>
      <w:r>
        <w:rPr>
          <w:rStyle w:val="FootnoteAnchor"/>
          <w:rtl w:val="true"/>
        </w:rPr>
        <w:footnoteReference w:id="113"/>
      </w:r>
      <w:r>
        <w:rPr>
          <w:rFonts w:ascii="Amiri" w:hAnsi="Amiri" w:eastAsia="Amiri" w:cs="Amiri"/>
          <w:color w:val="111111"/>
          <w:sz w:val="28"/>
          <w:sz w:val="28"/>
          <w:szCs w:val="28"/>
          <w:rtl w:val="true"/>
          <w:lang w:bidi="ar-SA"/>
        </w:rPr>
        <w:t>، فإنه يلاحظ وكأن المرء يحاول جاهدًا وضع سد اصطناعي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الكانطية الجديدة، التي لا يشار إليها إلا عرضيّاً وباختصار شديد للغاية، وكأنها انتهت بالتحفظ المشهور لهوسرل اتجاهها عندما أكد بأن الفينومينولوجيا هي نتيجة عدم ثقة اتجاه البناءات المثالية التأملية للكانطية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ويشخص إيدل أسباب محاولة إقصاء الكانطية الجديدة من طرف مؤرخي الفلسفة المعاصرين في اعتبارهم إياها بقايا فكر القرن التاسع عشر، وهي بقايا تُجُووِزَت ولم تبق لها أيُّ أهمية تُذكر، كما عبر هايدغر وغادامير </w:t>
      </w:r>
      <w:r>
        <w:rPr>
          <w:rFonts w:eastAsia="Times New Roman" w:cs="Times New Roman" w:ascii="Times New Roman" w:hAnsi="Times New Roman"/>
          <w:color w:val="111111"/>
          <w:sz w:val="28"/>
          <w:szCs w:val="28"/>
          <w:lang w:val="en-US" w:bidi="en-US"/>
        </w:rPr>
        <w:t>Gadamer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وأتباعهم مثلا على ذلك؛ بل يُهاجم المرء الكانطية الجديدة بسلاح الكانطي الجديد كوهن الذي قال عنها بأنها ليست 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هذا فإن إيدل يرى بأن أحد الأسباب الحاسمة في عدم التطرق للكانطية الجديدة، أو المرور عليها مرور </w:t>
      </w:r>
    </w:p>
    <w:p>
      <w:pPr>
        <w:pStyle w:val="BookText"/>
        <w:rPr/>
      </w:pPr>
      <w:r>
        <w:rPr>
          <w:rFonts w:ascii="Amiri" w:hAnsi="Amiri" w:eastAsia="Amiri" w:cs="Amiri"/>
          <w:color w:val="111111"/>
          <w:sz w:val="28"/>
          <w:sz w:val="28"/>
          <w:szCs w:val="28"/>
          <w:rtl w:val="true"/>
          <w:lang w:bidi="ar-SA"/>
        </w:rPr>
        <w:t>الكرام فقط، في التاريخ المعاصر للفلسفة هو سبب سياسي محض، تمخض عن الحرب العالمية الأولى واعتبار الإنجليز بالخصوص الكانطية الجديدة بمثابة الفلسفة الرسمية لألمانيا، نظرًا للمواقف التي أبان عنها الكثير من ممثليها قبيل وأثناء هذه الحرب، دفاعًا عن وطنهم، لكونهم كانوا قوميين في غالبيتهم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عوضت الفلسفة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التحليلية الكانطية الجديدة بعد الحرب العالمية الثانية، مقدمةً نفسها بأنها فلسفةٌ داتُ منحى علميّ، أي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الرغم من كل محاولات الإقصاء هذه</w:t>
      </w:r>
      <w:r>
        <w:rPr>
          <w:rStyle w:val="FootnoteAnchor"/>
          <w:rtl w:val="true"/>
        </w:rPr>
        <w:footnoteReference w:id="114"/>
      </w:r>
      <w:r>
        <w:rPr>
          <w:rFonts w:ascii="Amiri" w:hAnsi="Amiri" w:eastAsia="Amiri" w:cs="Amiri"/>
          <w:color w:val="111111"/>
          <w:sz w:val="28"/>
          <w:sz w:val="28"/>
          <w:szCs w:val="28"/>
          <w:rtl w:val="true"/>
          <w:lang w:bidi="ar-SA"/>
        </w:rPr>
        <w:t>، فإن الكانطية الجديدة ظلت صامدةً وتابعت الفتوحات الكانطية مع مجموعة من الفلاسفة المعاصرين من مختلف الأقطار والقارات إلى اليوم، ولم يكن فوكو مخطئًا تمامًا عندما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إننا كلنا كانطيون 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الهم الجوهري للدراسات الكانطية الجديدة في الوقت المعاصر هو تساؤلها الثلاثي الأبعاد الموضوع الأساسي للكانطية الجديدة، نتيجتها السوسيو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العلمية التاريخية وثقلها الثقافي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تطرح الدراسات الحالية وجهة النظر الداخلية لتساؤل الكانطيين الجدد أنفسهم، وهو تساؤل اهتم، نتيجة التركيب الكانطي، بإشكالية الوحدة للتفكير في وحدة الوعي والعقل كشرط لـ</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التجربة</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إلى جانب المواضيع المركزية للكانطية الجديدة، يهتم البحث حاليًا في بعده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سوسيولوجي التاريخي من جهة بخاصية الكانطية الجديدة، والذي يتجاوز المدرستين المعروفتين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بادن وماربورغ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جهة أخرى تتساءل عن معايير انتمائها للكانطية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ويتميز هذا البعد ببناء بعد داخلي متباين للكانطية الجديدة، وهو بعد يُوضع موضعَ تساؤل عن طريق بعد خارجي يتساءل عن وحدته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التمييز الداخلي لهذا الاتجاه الفلسفي يميز بين توجه فيزيولوجي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هيلمهولتس، لانجي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وتوجه ميتافيزيقي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ليبمان، فولكيلت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Volkelt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وتوجه 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وتوجه منطقي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كوهن، ناتروب كاسيرر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وتوجه قيمي نظري ونقدي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فيندلباند، ريكرت مزنستر بيرغ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وتوجه نسبي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سيمل </w:t>
      </w:r>
      <w:r>
        <w:rPr>
          <w:rFonts w:eastAsia="Times New Roman" w:cs="Times New Roman" w:ascii="Times New Roman" w:hAnsi="Times New Roman"/>
          <w:color w:val="111111"/>
          <w:sz w:val="28"/>
          <w:szCs w:val="28"/>
          <w:lang w:val="en-US" w:bidi="en-US"/>
        </w:rPr>
        <w:t>Simmel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وتوجه سيكولوجي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فريس والمدرسة الفريسية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يطرح إذًا هذا التنوع الداخلي إشكالية معيار الانتماء إلى الكانطية الجديدة، بمعنى ما يوجد داخلها ويُحسب عليها؟ وما يوجد خارجها ولا يُحسب عليها؟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البعد الثالث فإنّه ذو طبيعة ثقافية فلسفيّة، تركز على وحدة التطلعات الفلسفية والعلمية للقرن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الكانطية الجديدة كانت تطمح إلى ضم خيوط الثقافة العقلية الكانطية إلى نسيج الوعي الثقافي الفعلي للقرن التاسع عشر، اعترف للكانطية الجديدة بحافز تاريخي، له صلة وثيقة بظهور مفهوم للثقافة وللوعي، مغاير كمفهوم زمني تاريخي للمثالية التاريخانية الألمانية</w:t>
      </w:r>
      <w:r>
        <w:rPr>
          <w:rFonts w:eastAsia="Amiri" w:cs="Amiri" w:ascii="Amiri" w:hAnsi="Amiri"/>
          <w:color w:val="111111"/>
          <w:sz w:val="28"/>
          <w:szCs w:val="28"/>
          <w:rtl w:val="true"/>
          <w:lang w:bidi="ar-SA"/>
        </w:rPr>
        <w:t xml:space="preserve">. </w:t>
      </w:r>
      <w:bookmarkStart w:id="194" w:name="pg16300_179431"/>
    </w:p>
    <w:p>
      <w:pPr>
        <w:pStyle w:val="Heading4"/>
        <w:numPr>
          <w:ilvl w:val="3"/>
          <w:numId w:val="1"/>
        </w:numPr>
        <w:rPr/>
      </w:pPr>
      <w:bookmarkStart w:id="195" w:name="__RefHeading___Toc5377397_1280447820"/>
      <w:bookmarkStart w:id="196" w:name="_Toc68"/>
      <w:bookmarkEnd w:id="194"/>
      <w:bookmarkEnd w:id="195"/>
      <w:r>
        <w:rPr/>
        <w:t>2</w:t>
      </w:r>
      <w:r>
        <w:rPr>
          <w:rtl w:val="true"/>
        </w:rPr>
        <w:t xml:space="preserve">. </w:t>
      </w:r>
      <w:r>
        <w:rPr>
          <w:rtl w:val="true"/>
        </w:rPr>
        <w:t>ما بعد الكانطية الجديدة</w:t>
      </w:r>
      <w:bookmarkEnd w:id="19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يتحدث هانس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لودفيغ أوليغ</w:t>
      </w:r>
      <w:r>
        <w:rPr>
          <w:rStyle w:val="FootnoteAnchor"/>
        </w:rPr>
        <w:footnoteReference w:id="116"/>
      </w:r>
      <w:r>
        <w:rPr>
          <w:rFonts w:eastAsia="Times New Roman" w:cs="Times New Roman" w:ascii="Times New Roman" w:hAnsi="Times New Roman"/>
          <w:color w:val="111111"/>
          <w:sz w:val="28"/>
          <w:szCs w:val="28"/>
          <w:lang w:val="en-US" w:bidi="en-US"/>
        </w:rPr>
        <w:t>Hans-Ludwig Ollig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عما 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الكانطية الجديدة الجديدة </w:t>
      </w:r>
      <w:r>
        <w:rPr>
          <w:rFonts w:eastAsia="Times New Roman" w:cs="Times New Roman" w:ascii="Times New Roman" w:hAnsi="Times New Roman"/>
          <w:color w:val="111111"/>
          <w:sz w:val="28"/>
          <w:szCs w:val="28"/>
          <w:lang w:val="en-US" w:bidi="en-US"/>
        </w:rPr>
        <w:t>Der Neoneokantianismus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التي اهتمت أساسًا بالفلسفة الترنسندالية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من بين من يذكر رودولف تسوخر </w:t>
      </w:r>
      <w:r>
        <w:rPr>
          <w:rFonts w:eastAsia="Times New Roman" w:cs="Times New Roman" w:ascii="Times New Roman" w:hAnsi="Times New Roman"/>
          <w:color w:val="111111"/>
          <w:sz w:val="28"/>
          <w:szCs w:val="28"/>
          <w:lang w:val="en-US" w:bidi="en-US"/>
        </w:rPr>
        <w:t>Rudolf Zocher (1887-1976)</w:t>
      </w:r>
      <w:r>
        <w:rPr>
          <w:rFonts w:ascii="Amiri" w:hAnsi="Amiri" w:eastAsia="Amiri" w:cs="Amiri"/>
          <w:color w:val="111111"/>
          <w:sz w:val="28"/>
          <w:sz w:val="28"/>
          <w:szCs w:val="28"/>
          <w:rtl w:val="true"/>
          <w:lang w:bidi="ar-SA"/>
        </w:rPr>
        <w:t>، الذي كان تلميذا لريكرت، وكانت هناك أسئلة جوهرية كثيرة شغلته في بحثه حول الكانطية ومنها بالخصوص تساؤله حول مساهمة النسق النقدي الكانطي في تأسيس التفكير 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وتتضمن هذه الإشكالية الجانب النقدي لكانط وجانبًا تأسيسيًا يُحين فيه التعاليم الأساسية لكانط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وفولفغانغ كرامر </w:t>
      </w:r>
      <w:r>
        <w:rPr>
          <w:rFonts w:eastAsia="Times New Roman" w:cs="Times New Roman" w:ascii="Times New Roman" w:hAnsi="Times New Roman"/>
          <w:color w:val="111111"/>
          <w:sz w:val="28"/>
          <w:szCs w:val="28"/>
          <w:lang w:val="en-US" w:bidi="en-US"/>
        </w:rPr>
        <w:t>Wolfgang Cramer (1901-1974)</w:t>
      </w:r>
      <w:r>
        <w:rPr>
          <w:rFonts w:ascii="IRNazanin" w:hAnsi="IRNazanin" w:eastAsia="IRNazanin"/>
          <w:color w:val="111111"/>
          <w:sz w:val="28"/>
          <w:sz w:val="28"/>
          <w:szCs w:val="28"/>
          <w:rtl w:val="true"/>
          <w:lang w:bidi="fa-IR"/>
        </w:rPr>
        <w:t xml:space="preserve">، الذي من بين من تتلمذ على يدهم الكانطي الجديد ريخارد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هونيغسفالد حاول ،کرامر انطلاقًا من الكانطية الجديدة تجاوز الفلسفة الترانسندالية وتطوير نظرية حول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منطلقه النسقي في هذا الإطار انشغاله بالمثالية المتعالية لكانط ومونادولوجيا لايبنتز، محاولاً تأسيس أنطولوجيا متعالية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واهتم بالخصوص من زاوية نقدية بدحض كانط للبراهين على وجود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ومارس هذا الاهتمام الفلسفي الخاص بكرامر سحراً خاصا على مجموعة من الفلاسفة الألمان الآخرين ممن يمكن تأطيرهم في خانة ما بعد الكانطيين الجدد، ومنهم هانس فاغنر </w:t>
      </w:r>
      <w:r>
        <w:rPr>
          <w:rFonts w:eastAsia="Times New Roman" w:cs="Times New Roman" w:ascii="Times New Roman" w:hAnsi="Times New Roman"/>
          <w:color w:val="111111"/>
          <w:sz w:val="28"/>
          <w:szCs w:val="28"/>
          <w:lang w:val="en-US" w:bidi="en-US"/>
        </w:rPr>
        <w:t>Hans Wagner (1917-2000)</w:t>
      </w:r>
      <w:r>
        <w:rPr>
          <w:rFonts w:ascii="Amiri" w:hAnsi="Amiri" w:eastAsia="Amiri" w:cs="Amiri"/>
          <w:color w:val="111111"/>
          <w:sz w:val="28"/>
          <w:sz w:val="28"/>
          <w:szCs w:val="28"/>
          <w:rtl w:val="true"/>
          <w:lang w:bidi="ar-SA"/>
        </w:rPr>
        <w:t>، الذي حاول توسيع الكانطية الجديدة والفينومينولوجيا، معتمدًا في ذلك على كانط في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الشيء هيغل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مساهماً بدوره في تأسيس الفلسفة المتعالية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قبل حوالي ربع 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عمل في ألمانيا يهتم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الكانطية الجديدة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ويوثق لها منهجًا وموضوعًا انطلاقا ممن اشتغل عليها وأنتج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قدم صاحبها كورت فالتر تسايدلر </w:t>
      </w:r>
      <w:r>
        <w:rPr>
          <w:rFonts w:eastAsia="Times New Roman" w:cs="Times New Roman" w:ascii="Times New Roman" w:hAnsi="Times New Roman"/>
          <w:color w:val="111111"/>
          <w:sz w:val="28"/>
          <w:szCs w:val="28"/>
          <w:lang w:val="en-US" w:bidi="en-US"/>
        </w:rPr>
        <w:t>Kurt Walter Zeidler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خدمةً جليلة للخزانة العالمية في هذا الإطار </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Kurt Walter Zeidler, Kritische Dialektik und Transzendentalontologie. Der Ausgang des Neukantianismus und die post-neukantianische Systematik R. Hönigswalds, W. Cramers, B. Bauchs, H. Wagners, R. Reiningers und E. Heintels. Bonn (Bouvier) 1995, 372 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انطلاقا من عنوان هذا الكتاب يفهم المرء مضمونه والحيز الزمني الذي يهتم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حيث الموضوع، فإن الأمر يتعلق بالتأسيس النسقي لما بعد الكانطية الجديدة، التي تشبثت بالبعد المتعالي والنسقية في اهتمامها بفلسفة ما بين الحربين العالميتين وما بعدها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الأنطولوجيا الجديدة والفلسفة الوجودية وفلسفة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بمحاولة تقديم الصلاحية الأزلية للفكرة والوجود الزمني الداخلي، بطريقة ديالكتيكية أو مونادوليجية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المرء البناءات النسقية المابعد الكانطيية الجديدة بطريقة أفضل، عندما يسلط الضوء على اختلافهم مع الكانطية الجديدة فبسبب رفضهم بناء موضوع مثالي، اهتموا بإشكالية تحقيق التعالي أو فلسفة ذاتية 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أنه بالإمكان وصف فينومينولوجيا هوسرل والأنثروبولوجيا الفلسفية بالطريقة نفسها فمن الضروري فهم إشكاليات مابعد الكانطية الجديدة لا توديع للإرث الكانطي الجديد، بل كتتمة له، لأنه أظهر مقاومةً اتجاه محاولات إعادة بناء صلابته النظرية، وبذلك كان من </w:t>
      </w:r>
      <w:bookmarkStart w:id="197" w:name="pg16300_179433"/>
    </w:p>
    <w:p>
      <w:pPr>
        <w:pStyle w:val="BookText"/>
        <w:rPr/>
      </w:pPr>
      <w:bookmarkEnd w:id="197"/>
      <w:r>
        <w:rPr>
          <w:rFonts w:ascii="Amiri" w:hAnsi="Amiri" w:eastAsia="Amiri" w:cs="Amiri"/>
          <w:color w:val="111111"/>
          <w:sz w:val="28"/>
          <w:sz w:val="28"/>
          <w:szCs w:val="28"/>
          <w:rtl w:val="true"/>
          <w:lang w:bidi="ar-SA"/>
        </w:rPr>
        <w:t>الضروري إعادة النظر في الكثير من أحكامه المسبقة في ما يتعلق بالاتجاهات الفلسفية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ابتداءً من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تُوجد نشرةٌ رقمية سنوية خاصة بالتعريف بأحدث ما يصدر من بحوث ومقالات وندوات حول مابعد الكانطية الجديدة</w:t>
      </w:r>
      <w:r>
        <w:rPr>
          <w:rStyle w:val="FootnoteAnchor"/>
          <w:rtl w:val="true"/>
        </w:rPr>
        <w:footnoteReference w:id="118"/>
      </w:r>
      <w:r>
        <w:rPr>
          <w:rFonts w:ascii="Amiri" w:hAnsi="Amiri" w:eastAsia="Amiri" w:cs="Amiri"/>
          <w:color w:val="111111"/>
          <w:sz w:val="28"/>
          <w:sz w:val="28"/>
          <w:szCs w:val="28"/>
          <w:rtl w:val="true"/>
          <w:lang w:bidi="ar-SA"/>
        </w:rPr>
        <w:t xml:space="preserve">، يسهر عليها الهولاندي كريينن </w:t>
      </w:r>
      <w:r>
        <w:rPr>
          <w:rFonts w:eastAsia="Times New Roman" w:cs="Times New Roman" w:ascii="Times New Roman" w:hAnsi="Times New Roman"/>
          <w:color w:val="111111"/>
          <w:sz w:val="28"/>
          <w:szCs w:val="28"/>
          <w:lang w:val="en-US" w:bidi="en-US"/>
        </w:rPr>
        <w:t>Ch Krinen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أحد المتخصصين المعاصرين في مابعد الكانطية الجديدة، لأنه فتح آفاقاً جديدةً في البحث في هذا الاتجاه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غضون سنوات قليلة فقط أصبحت هذه النشرة الرقمية مصدر معلومات مهمة للغاية للمختصين وغير المختصين، المهتمين بالكانطية الجديدة وبما بعد الكانطية الجديدة وتجمع النشرةُ كل المساهمات التي تصلها من مختلف بقاع العالم بقاع العالم</w:t>
      </w:r>
      <w:r>
        <w:rPr>
          <w:rStyle w:val="FootnoteAnchor"/>
          <w:rtl w:val="true"/>
        </w:rPr>
        <w:footnoteReference w:id="119"/>
      </w:r>
      <w:r>
        <w:rPr>
          <w:rFonts w:ascii="Amiri" w:hAnsi="Amiri" w:eastAsia="Amiri" w:cs="Amiri"/>
          <w:color w:val="111111"/>
          <w:sz w:val="28"/>
          <w:sz w:val="28"/>
          <w:szCs w:val="28"/>
          <w:rtl w:val="true"/>
          <w:lang w:bidi="ar-SA"/>
        </w:rPr>
        <w:t>، وإن دل هذا على شيء، فإنما يدل على حيوية ونشاط الكانطية بصفة عامة والكانطية الجديدة وما بعدها؛ وهي حيوية تُعبّر في آخر في آخر المطاف على غنى وعدم فتور الفكر الكانطي نفسه، بل إنه مُستمر في البوح ببعض أسراره للمهتمين بالفكر الفلسفي عمومًا</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5377399_1280447820"/>
      <w:bookmarkStart w:id="199" w:name="_Toc69"/>
      <w:bookmarkEnd w:id="198"/>
      <w:r>
        <w:rPr/>
        <w:t>3</w:t>
      </w:r>
      <w:r>
        <w:rPr>
          <w:rtl w:val="true"/>
        </w:rPr>
        <w:t xml:space="preserve">. </w:t>
      </w:r>
      <w:r>
        <w:rPr>
          <w:rtl w:val="true"/>
        </w:rPr>
        <w:t>الكانطية وما بعد الحداثة</w:t>
      </w:r>
      <w:bookmarkEnd w:id="19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هناك أي أدنى شك فى التأثير الواضح والحاسم لكانط في الحداثة الأوروبية وعقلانيتها التنويرية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نفسه يمكن تأكيده في ما يخص مابعد الحداثة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يؤكد على ذلك الكثير من الباحثين </w:t>
      </w:r>
    </w:p>
    <w:p>
      <w:pPr>
        <w:pStyle w:val="BookText"/>
        <w:rPr/>
      </w:pPr>
      <w:r>
        <w:rPr>
          <w:rFonts w:ascii="Amiri" w:hAnsi="Amiri" w:eastAsia="Amiri" w:cs="Amiri"/>
          <w:color w:val="111111"/>
          <w:sz w:val="28"/>
          <w:sz w:val="28"/>
          <w:szCs w:val="28"/>
          <w:rtl w:val="true"/>
          <w:lang w:bidi="ar-SA"/>
        </w:rPr>
        <w:t>ومنهم كارولا هينتش</w:t>
      </w:r>
      <w:r>
        <w:rPr>
          <w:rStyle w:val="FootnoteAnchor"/>
        </w:rPr>
        <w:footnoteReference w:id="120"/>
      </w:r>
      <w:r>
        <w:rPr>
          <w:rFonts w:eastAsia="Times New Roman" w:cs="Times New Roman" w:ascii="Times New Roman" w:hAnsi="Times New Roman"/>
          <w:color w:val="111111"/>
          <w:sz w:val="28"/>
          <w:szCs w:val="28"/>
          <w:lang w:val="en-US" w:bidi="en-US"/>
        </w:rPr>
        <w:t>Carola Hantsch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مثلاً، على الرغم من أنها تؤكد في الوقت نفسه على قلة البحوث التي تهتم بهذا الموضوع وركزت هينتش في بحثها هذا على مستويات ثلاثة مهمة، تعلق الأمر في الأول منها بالمنطلقات والاختلافات في الحداثة وما بعد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تطرقت إلى موقع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كانط في هذا الاختلاف، مقدمةً بعض المساهمات الفلسفية المابعد حداثية، وبالخصوص الفرنسية منها، التي اهتمت بكانط بعد الكانطية الجديدة، إذا لم نقل بأنها اعتمدت عليها أيضًا في الكثير من الجوانب في اهتمامها بكانط</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المقصود بفلسفة الحداثة عند هيتش هي فلسفة العصر الحديث، التي جعلت من الإنسان مركز اهتمامها، معتبرةً إياه موجودًا عاقلاً ومفكرًا، وبالخصوص مع فرانسيس بيكون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Fran cis Bacon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ديكارت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الحداثة إذا هي تفكير انطلاقا من الهوية </w:t>
      </w:r>
      <w:r>
        <w:rPr>
          <w:rFonts w:eastAsia="Times New Roman" w:cs="Times New Roman" w:ascii="Times New Roman" w:hAnsi="Times New Roman"/>
          <w:color w:val="111111"/>
          <w:sz w:val="28"/>
          <w:szCs w:val="28"/>
          <w:lang w:val="en-US" w:bidi="en-US"/>
        </w:rPr>
        <w:t>Identität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والوحدة </w:t>
      </w:r>
      <w:r>
        <w:rPr>
          <w:rFonts w:eastAsia="Times New Roman" w:cs="Times New Roman" w:ascii="Times New Roman" w:hAnsi="Times New Roman"/>
          <w:color w:val="111111"/>
          <w:sz w:val="28"/>
          <w:szCs w:val="28"/>
          <w:lang w:val="en-US" w:bidi="en-US"/>
        </w:rPr>
        <w:t>Einheit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فالعقل </w:t>
      </w:r>
      <w:r>
        <w:rPr>
          <w:rFonts w:eastAsia="Times New Roman" w:cs="Times New Roman" w:ascii="Times New Roman" w:hAnsi="Times New Roman"/>
          <w:color w:val="111111"/>
          <w:sz w:val="28"/>
          <w:szCs w:val="28"/>
          <w:lang w:val="en-US" w:bidi="en-US"/>
        </w:rPr>
        <w:t>Vernunft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الحديث هو عقلانية </w:t>
      </w:r>
      <w:r>
        <w:rPr>
          <w:rFonts w:eastAsia="Times New Roman" w:cs="Times New Roman" w:ascii="Times New Roman" w:hAnsi="Times New Roman"/>
          <w:color w:val="111111"/>
          <w:sz w:val="28"/>
          <w:szCs w:val="28"/>
          <w:lang w:val="en-US" w:bidi="en-US"/>
        </w:rPr>
        <w:t>Rationalitat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وتجد الحداثة بهذا المعنى مداها الأقصى في التنوير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فإن الفكر الغربي المعاصر هو وريث هذه الحداثة وهذا التنوير وفيه تجد الحداثة استمراريتها وعلى الرغم من عقلانيته التنويرية، فإن هذا الإرث الحداثي الأوروبي لم ينجح في تجنيب الغرب الأوروبي أهوال حروب ونزاعات وأزمات مُدمّرة في القرنين العشرين والواحد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أدى إلى التساؤل النقدي من جديد حول العقل الإنساني وقدرته وكفاءته </w:t>
      </w:r>
    </w:p>
    <w:p>
      <w:pPr>
        <w:pStyle w:val="BookText"/>
        <w:rPr/>
      </w:pPr>
      <w:r>
        <w:rPr>
          <w:rFonts w:ascii="Amiri" w:hAnsi="Amiri" w:eastAsia="Amiri" w:cs="Amiri"/>
          <w:color w:val="111111"/>
          <w:sz w:val="28"/>
          <w:sz w:val="28"/>
          <w:szCs w:val="28"/>
          <w:rtl w:val="true"/>
          <w:lang w:bidi="ar-SA"/>
        </w:rPr>
        <w:t xml:space="preserve">في فهم الحداثة كعقلانية معيارية، وبالخصوص في فرنسا ابتداءً من ثمانينيات القرن العشرين ومن هنا ظهور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وتحدد هينتش هذا المصطلح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لا أستعمل المصطلح لتشخيص حقبة فكرية جاءت بعد الحداثة، لكن كمفهوم للتعبير عن طريقة مغايرة في التفلسف طريقة تفكير تضع الخطاب الحداثي موضع تساؤل في ما يتعلق بفرضياته وخلفياته العلمية والفلسفية السياسية</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الرغم من كل الانتقادات التي وجهها هابرماس مثلا لمنظري ما بعد الحداثة، يبقى التأكيد على أن هذه الأخيرة فرضت نفسها آخر المطاف في الأوساط الفلسفية وساهمت إلى حد كبير في فتح آفاق فلسفية نقدية شاسعة أمام الجيل الشاب من الفلاسفة المعاصرين، بتأكيدها على ضرورة التركيز على الفرد وعلى المسؤولية، وهنا بالضبط نلمس معانقتها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للكانطية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يُخوّل لنا القول بأن مابعد الحداثة لم تتأسس فقط على فلسفة نيتشه والسابقين واللاحقين ،له بل أيضا على فلسفة كانط كما نجد ذلك عند الكثير ممن دافعوا على ما بعد الحداثة مثل ليفيناس </w:t>
      </w:r>
      <w:r>
        <w:rPr>
          <w:rFonts w:eastAsia="Times New Roman" w:cs="Times New Roman" w:ascii="Times New Roman" w:hAnsi="Times New Roman"/>
          <w:color w:val="111111"/>
          <w:sz w:val="28"/>
          <w:szCs w:val="28"/>
          <w:lang w:val="en-US" w:bidi="en-US"/>
        </w:rPr>
        <w:t>Levinas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وليوطار </w:t>
      </w:r>
      <w:r>
        <w:rPr>
          <w:rFonts w:eastAsia="Times New Roman" w:cs="Times New Roman" w:ascii="Times New Roman" w:hAnsi="Times New Roman"/>
          <w:color w:val="111111"/>
          <w:sz w:val="28"/>
          <w:szCs w:val="28"/>
          <w:lang w:val="en-US" w:bidi="en-US"/>
        </w:rPr>
        <w:t>Lyotard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وفوكو </w:t>
      </w:r>
      <w:r>
        <w:rPr>
          <w:rFonts w:eastAsia="Times New Roman" w:cs="Times New Roman" w:ascii="Times New Roman" w:hAnsi="Times New Roman"/>
          <w:color w:val="111111"/>
          <w:sz w:val="28"/>
          <w:szCs w:val="28"/>
          <w:lang w:val="en-US" w:bidi="en-US"/>
        </w:rPr>
        <w:t>Foucault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بورديو </w:t>
      </w:r>
      <w:r>
        <w:rPr>
          <w:rFonts w:eastAsia="Times New Roman" w:cs="Times New Roman" w:ascii="Times New Roman" w:hAnsi="Times New Roman"/>
          <w:color w:val="111111"/>
          <w:sz w:val="28"/>
          <w:szCs w:val="28"/>
          <w:lang w:val="en-US" w:bidi="en-US"/>
        </w:rPr>
        <w:t>Bondieu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ودولوز </w:t>
      </w:r>
      <w:r>
        <w:rPr>
          <w:rFonts w:eastAsia="Times New Roman" w:cs="Times New Roman" w:ascii="Times New Roman" w:hAnsi="Times New Roman"/>
          <w:color w:val="111111"/>
          <w:sz w:val="28"/>
          <w:szCs w:val="28"/>
          <w:lang w:val="en-US" w:bidi="en-US"/>
        </w:rPr>
        <w:t>Deleze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ديريدا </w:t>
      </w:r>
      <w:r>
        <w:rPr>
          <w:rFonts w:eastAsia="Times New Roman" w:cs="Times New Roman" w:ascii="Times New Roman" w:hAnsi="Times New Roman"/>
          <w:color w:val="111111"/>
          <w:sz w:val="28"/>
          <w:szCs w:val="28"/>
          <w:lang w:val="en-US" w:bidi="en-US"/>
        </w:rPr>
        <w:t>Derida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الجوهري الذي يفرض نفسه في هذا الإطار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شرح هذا الرجوع الكثيف لكانط من طرف المابعد حداثيين على الرغم من أن المرء هاجمهم بدعوة هدمهم للعقلانية الأوروبية، وهي العقلانية التي أسسها كانط نفسه؟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وجدت الفلسفة الأوروبية نفسها فى نهاية القرن العشرين </w:t>
      </w:r>
      <w:bookmarkStart w:id="200" w:name="pg16300_179436"/>
    </w:p>
    <w:p>
      <w:pPr>
        <w:pStyle w:val="BookText"/>
        <w:rPr/>
      </w:pPr>
      <w:bookmarkEnd w:id="200"/>
      <w:r>
        <w:rPr>
          <w:rFonts w:ascii="Amiri" w:hAnsi="Amiri" w:eastAsia="Amiri" w:cs="Amiri"/>
          <w:color w:val="111111"/>
          <w:sz w:val="28"/>
          <w:sz w:val="28"/>
          <w:szCs w:val="28"/>
          <w:rtl w:val="true"/>
          <w:lang w:bidi="ar-SA"/>
        </w:rPr>
        <w:t xml:space="preserve">مضطرةً لفهم كانط كناقد للعقل، وهو فهم ناتج في المقام الأول عن الاهتمام بالتأويل الهايدغري لكانط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طال نقد كانط الدين والدولة والعقل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لا يُعتبر فيلسوف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الخالص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ناقد هذا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أخرى كان البعد النقدي للعقل عند كانط بكل النتائج المترتبة عنه في ما يخص التفكير في الأخلاق والإستيطيقا ،والسياسة، هو الذي استهوى إلى جانب نيتشه الكثير من المفكرين الفرنسيين، وهذا ما فتح لهم الباب على مصراعيه لتقديم محاولات ما بعد حداثية</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5377401_1280447820"/>
      <w:bookmarkStart w:id="202" w:name="_Toc70"/>
      <w:bookmarkEnd w:id="201"/>
      <w:r>
        <w:rPr/>
        <w:t>4</w:t>
      </w:r>
      <w:r>
        <w:rPr>
          <w:rtl w:val="true"/>
        </w:rPr>
        <w:t xml:space="preserve">. </w:t>
      </w:r>
      <w:r>
        <w:rPr>
          <w:rtl w:val="true"/>
        </w:rPr>
        <w:t>دائرة فيينا المعاصرة والكانطية الجديدة</w:t>
      </w:r>
      <w:bookmarkEnd w:id="202"/>
    </w:p>
    <w:p>
      <w:pPr>
        <w:pStyle w:val="BookText"/>
        <w:rPr/>
      </w:pPr>
      <w:r>
        <w:rPr>
          <w:rFonts w:ascii="Amiri" w:hAnsi="Amiri" w:eastAsia="Amiri" w:cs="Amiri"/>
          <w:color w:val="111111"/>
          <w:sz w:val="28"/>
          <w:sz w:val="28"/>
          <w:szCs w:val="28"/>
          <w:rtl w:val="true"/>
          <w:lang w:bidi="ar-SA"/>
        </w:rPr>
        <w:t>قد نعتبر اهتمام دائرة فيينا بالكانطية الجديدة في السنين القليلة الماضية نوعًا من ما بعد الكانطية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ويتمظهر هذا الاهتمام في فتح تكوين رسميّ بجامعة الفلسفة بفيينا، حيث مقر دائرة فيينا، والندوات التي شاركت هذه الدائرة في تنظيمها حول الموضوع نفسه</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اللقاء الرابع مقرر بمدينة تورين </w:t>
      </w:r>
      <w:r>
        <w:rPr>
          <w:rFonts w:eastAsia="Times New Roman" w:cs="Times New Roman" w:ascii="Times New Roman" w:hAnsi="Times New Roman"/>
          <w:color w:val="111111"/>
          <w:sz w:val="28"/>
          <w:szCs w:val="28"/>
          <w:lang w:val="en-US" w:bidi="en-US"/>
        </w:rPr>
        <w:t>Turin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الإيطالية، وليس هناك تاريخ محدد له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شارك فيها الكثير من أقطاب دائرة فيينا المعاصرين، وعلى رأسهم 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فيينا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الحالي فريدريك شتادلر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إضافةً إلى هذا فشتادلر هذا هو الذي يسهر على التكوين الآنف الذكر بجامعة فيينا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Friedrich Stadler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ويؤكد هذا الأخير في هذا الإطار على اهتمام العديد من الوضعيين الجدد لدائرة فيينا بفلسفة كانط النظرية والتطبيقية وبأشكال متعددة للكانطية الجديدة، على الرغم من الموقف الحاسم المبدئي للوضعية المنطقية الرافضة لكانط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ممثلو دائرة فيينا الذين يهتمون بكانط والكانطية الجديدة بالخصوص إلى ثنائية التركيب والتحليل والقبلية والواقعية والضرورة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ويسجل شتادلر غياب بناء متكامل لحضور كانط في دائرته، بعيدًا عن السجالات الفلسفية القديمة بين دائرة فيينا والكانطيين الجدد، بحيث إن الوضعيين الجدد عابوا على الكانطية غياب فلسفة علم فيها ورفض الكانطية الجديدة للوضعية التجريبية وحواشيها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العقلانية النقدية والتعاليم القانونية الخالصة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الإهتمام نفسه نجده عند الوضعيّ الجديد المعاصر ماسيمو فيراري </w:t>
      </w:r>
      <w:r>
        <w:rPr>
          <w:rFonts w:eastAsia="Times New Roman" w:cs="Times New Roman" w:ascii="Times New Roman" w:hAnsi="Times New Roman"/>
          <w:color w:val="111111"/>
          <w:sz w:val="28"/>
          <w:szCs w:val="28"/>
          <w:lang w:val="en-US" w:bidi="en-US"/>
        </w:rPr>
        <w:t>Massimo Ferrari</w:t>
      </w:r>
      <w:r>
        <w:rPr>
          <w:rFonts w:ascii="Amiri" w:hAnsi="Amiri" w:eastAsia="Amiri" w:cs="Amiri"/>
          <w:color w:val="111111"/>
          <w:sz w:val="28"/>
          <w:sz w:val="28"/>
          <w:szCs w:val="28"/>
          <w:rtl w:val="true"/>
          <w:lang w:bidi="ar-SA"/>
        </w:rPr>
        <w:t>، الذي اهتم أساسًا بالكانطي الجديد كاسيرر والوضعيّ المنطقي شليك</w:t>
      </w:r>
      <w:r>
        <w:rPr>
          <w:rStyle w:val="FootnoteAnchor"/>
          <w:rtl w:val="true"/>
        </w:rPr>
        <w:footnoteReference w:id="123"/>
      </w:r>
      <w:r>
        <w:rPr>
          <w:rFonts w:ascii="Amiri" w:hAnsi="Amiri" w:eastAsia="Amiri" w:cs="Amiri"/>
          <w:color w:val="111111"/>
          <w:sz w:val="28"/>
          <w:sz w:val="28"/>
          <w:szCs w:val="28"/>
          <w:rtl w:val="true"/>
          <w:lang w:bidi="ar-SA"/>
        </w:rPr>
        <w:t>، لا في إطار الخصومات المبدئية بين الاتجاهاين، والتي درست بما فيه الكفاية، كما تشهد على ذلك دراسات متعددة، بل انصب اهتمامه على شروط ونتائج مواقف شليك وكاسيرر في إطار الفلسفة الألمانية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شليك اهتم بين </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بمدرسة ماربورغ وكاسيرر، كما اهتم هذا الأخير في وقت متأخر بالطبعة الأولى من مؤلف شليك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المعرفة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الاتجاه نفسه، اهتم وضعي جديد آخر، هو طوماس مورمان</w:t>
      </w:r>
      <w:r>
        <w:rPr>
          <w:rStyle w:val="FootnoteAnchor"/>
          <w:rtl w:val="true"/>
        </w:rPr>
        <w:footnoteReference w:id="124"/>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المرجع السابق نفسه </w:t>
      </w:r>
      <w:r>
        <w:rPr>
          <w:rFonts w:eastAsia="Times New Roman" w:cs="Times New Roman" w:ascii="Times New Roman" w:hAnsi="Times New Roman"/>
          <w:color w:val="111111"/>
          <w:sz w:val="28"/>
          <w:szCs w:val="28"/>
          <w:lang w:val="en-US" w:bidi="en-US"/>
        </w:rPr>
        <w:t>Thomas Mormann: Wissenschaftliche Philosophie im «Exil: Cassirer und der Wiener Kreis nach 1933</w:t>
      </w:r>
    </w:p>
    <w:p>
      <w:pPr>
        <w:pStyle w:val="BookText"/>
        <w:rPr/>
      </w:pPr>
      <w:r>
        <w:rPr>
          <w:rFonts w:eastAsia="Times New Roman" w:cs="Times New Roman" w:ascii="Times New Roman" w:hAnsi="Times New Roman"/>
          <w:color w:val="111111"/>
          <w:sz w:val="28"/>
          <w:szCs w:val="28"/>
          <w:lang w:val="en-US" w:bidi="en-US"/>
        </w:rPr>
        <w:t>Thomas Mormann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بعلاقة كاسرير بدائرة فيينا بعد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 مؤكدًا على كون كاسيرر ربطته علاقات صداقة فكرية مع بعض المنضوين لدائرة فيينا آنذاك، ومن هذه العلاقات نتجت نقاشات مهمة بينهم، وبالخصوص مع الوضعي الجديد هانس رايخنباخ، حول نظرية النسبية الأينشطاينية والعلاقة بين فلسفة العلوم الوضعية ونظيرتها الكانطية الجديدة في بدايات عشرينيات القرن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ميخائيل هايدلبيرغر</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Michael Heidelberger: Die neukantianischen Wurzeln des Leib-Seele- Problems bei Moritz Schlick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Michael Heidelberger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فقد حاول إظهار الخلفية الكانطية الجديدة لأحد أقطاب الوضعية الجديدة بفيينا، موريتس شليك في ما يخص اهتمامه الرئيسي قبل الانتماء لدائرة فيينا، ويتعلق الأمر بنظرية العلاقة بين الجسم والروح، التي اشتغل عليها الكانطي الجديد ألوايس ريهل </w:t>
      </w:r>
      <w:r>
        <w:rPr>
          <w:rFonts w:eastAsia="Times New Roman" w:cs="Times New Roman" w:ascii="Times New Roman" w:hAnsi="Times New Roman"/>
          <w:color w:val="111111"/>
          <w:sz w:val="28"/>
          <w:szCs w:val="28"/>
          <w:lang w:val="en-US" w:bidi="en-US"/>
        </w:rPr>
        <w:t>Alois. Rihl</w:t>
      </w:r>
      <w:r>
        <w:rPr>
          <w:rFonts w:eastAsia="Times New Roman" w:cs="Times New Roman" w:ascii="Times New Roman" w:hAnsi="Times New Roman"/>
          <w:color w:val="111111"/>
          <w:sz w:val="28"/>
          <w:szCs w:val="28"/>
          <w:rtl w:val="true"/>
          <w:lang w:val="en-US" w:bidi="en-US"/>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إذا اهتمام واضح للوضعية المنطقية لدائرة فيينا الحالية بالكانطية الجديدة في السنين الأخيرة، وفي غياب أي دراسة حول أسباب ونتائج هذا الاهتمام، فإننا نُدرجها من جانبنا مؤقتًا في إطار المابعد الكانطية الجديدة، وهو إدراج تمليه علينا فرضيةٌ مضمرة ثنائيةٌ تتمثل في إما محاولة ابتلاع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فيينا المعاصرة للكانطية الجديدة، أو وعيها بأهمية فلسفة كانط في ميدان إبستمولوجيا العلوم بصفة عامة، أي الميدان المفضل للوضعية الجديدة بصفة عامة</w:t>
      </w:r>
      <w:r>
        <w:rPr>
          <w:rFonts w:eastAsia="Amiri" w:cs="Amiri" w:ascii="Amiri" w:hAnsi="Amiri"/>
          <w:color w:val="111111"/>
          <w:sz w:val="28"/>
          <w:szCs w:val="28"/>
          <w:rtl w:val="true"/>
          <w:lang w:bidi="ar-SA"/>
        </w:rPr>
        <w:t xml:space="preserve">. </w:t>
      </w:r>
      <w:bookmarkStart w:id="203" w:name="pg16300_179439"/>
    </w:p>
    <w:p>
      <w:pPr>
        <w:pStyle w:val="Heading2"/>
        <w:numPr>
          <w:ilvl w:val="1"/>
          <w:numId w:val="1"/>
        </w:numPr>
        <w:rPr/>
      </w:pPr>
      <w:bookmarkStart w:id="204" w:name="__RefHeading___Toc5377403_1280447820"/>
      <w:bookmarkStart w:id="205" w:name="_Toc71"/>
      <w:bookmarkEnd w:id="203"/>
      <w:bookmarkEnd w:id="204"/>
      <w:r>
        <w:rPr>
          <w:rtl w:val="true"/>
        </w:rPr>
        <w:t xml:space="preserve">الفصل الخامس </w:t>
      </w:r>
      <w:r>
        <w:rPr>
          <w:rtl w:val="true"/>
        </w:rPr>
        <w:t xml:space="preserve">: </w:t>
      </w:r>
      <w:r>
        <w:rPr>
          <w:rtl w:val="true"/>
        </w:rPr>
        <w:t>مرتكزات الكانطية الجديدة ونقدها</w:t>
      </w:r>
      <w:bookmarkEnd w:id="20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6" w:name="__RefHeading___Toc5377405_1280447820"/>
      <w:bookmarkStart w:id="207" w:name="_Toc72"/>
      <w:bookmarkEnd w:id="206"/>
      <w:r>
        <w:rPr>
          <w:rtl w:val="true"/>
        </w:rPr>
        <w:t>اشارة</w:t>
      </w:r>
      <w:bookmarkStart w:id="208" w:name="pg16300_179440"/>
      <w:bookmarkEnd w:id="207"/>
    </w:p>
    <w:p>
      <w:pPr>
        <w:pStyle w:val="BookText"/>
        <w:rPr/>
      </w:pPr>
      <w:bookmarkEnd w:id="208"/>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مرتكزات الكانطية الجديدة ونقدها</w:t>
      </w:r>
    </w:p>
    <w:p>
      <w:pPr>
        <w:pStyle w:val="Heading3"/>
        <w:numPr>
          <w:ilvl w:val="2"/>
          <w:numId w:val="1"/>
        </w:numPr>
        <w:rPr/>
      </w:pPr>
      <w:bookmarkStart w:id="209" w:name="__RefHeading___Toc5377407_1280447820"/>
      <w:bookmarkStart w:id="210" w:name="_Toc73"/>
      <w:bookmarkEnd w:id="209"/>
      <w:r>
        <w:rPr>
          <w:rtl w:val="true"/>
        </w:rPr>
        <w:t xml:space="preserve">الجزء الأول </w:t>
      </w:r>
      <w:r>
        <w:rPr>
          <w:rtl w:val="true"/>
        </w:rPr>
        <w:t xml:space="preserve">: </w:t>
      </w:r>
      <w:r>
        <w:rPr>
          <w:rtl w:val="true"/>
        </w:rPr>
        <w:t>بعض مرتكزات الكانطية الجديدة</w:t>
      </w:r>
      <w:bookmarkEnd w:id="210"/>
    </w:p>
    <w:p>
      <w:pPr>
        <w:pStyle w:val="BookText"/>
        <w:rPr/>
      </w:pPr>
      <w:r>
        <w:rPr>
          <w:rFonts w:ascii="Amiri" w:hAnsi="Amiri" w:eastAsia="Amiri" w:cs="Amiri"/>
          <w:color w:val="111111"/>
          <w:sz w:val="28"/>
          <w:sz w:val="28"/>
          <w:szCs w:val="28"/>
          <w:rtl w:val="true"/>
          <w:lang w:bidi="ar-SA"/>
        </w:rPr>
        <w:t>إنّ الانتماء إلى نفس التيار الفلسفي الكانطي الجديد لم يكن سببًا لقيام وحدة بين اتجاهاته الرئيسية واتجاهاته الفرعية في ما يخص النقاط المحورية وبالخصوص في ما يخص تأويلهم لكانط، بما في ذلك الاتجاه الذي يجب تتبعه لتطوير فلسفته النقدية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أن الحركة المثالية لهذا الاتجاه، التي قامت قبل أكثر من مائة سنة كانت تؤكد بأنها ليست إلا فلسفةً كانطيةً، لكنها طورت في مناح كثيرة أفكار كانط نفسه عكس الدراسات الكانطية الحديثة، التي لا تبارح الفلسفة الكانطية ذاتها في منطلقاتها والتصاقها بمؤلفات كانط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الرغم من الاختلافات التي نجدها بين الكانطيين الجدد، فقد اشتركت كلَّ مدارسها في خصوصيات نجملها كالتالي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التركيز على نظرية المعرفة في أبحاثها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الاستغناء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الشيء في ذاته </w:t>
      </w:r>
      <w:r>
        <w:rPr>
          <w:rFonts w:eastAsia="Times New Roman" w:cs="Times New Roman" w:ascii="Times New Roman" w:hAnsi="Times New Roman"/>
          <w:color w:val="111111"/>
          <w:sz w:val="28"/>
          <w:szCs w:val="28"/>
          <w:lang w:val="en-US" w:bidi="en-US"/>
        </w:rPr>
        <w:t>Ding an sich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تجاوز كانط بعد فهمه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بالنسبة لمدرسة ماربورغ، فإن الكانطية الجديدة هي فلسفة، وبالخصوص نظرية معرفة ونظرية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وبالرجوع إلى الاستنتاج المتعالي الكانطي، حاولت هذه المدرسة تأسيس الشروط المنطقية </w:t>
      </w:r>
    </w:p>
    <w:p>
      <w:pPr>
        <w:pStyle w:val="BookText"/>
        <w:rPr/>
      </w:pPr>
      <w:r>
        <w:rPr>
          <w:rFonts w:ascii="Amiri" w:hAnsi="Amiri" w:eastAsia="Amiri" w:cs="Amiri"/>
          <w:color w:val="111111"/>
          <w:sz w:val="28"/>
          <w:sz w:val="28"/>
          <w:szCs w:val="28"/>
          <w:rtl w:val="true"/>
          <w:lang w:bidi="ar-SA"/>
        </w:rPr>
        <w:t>للعلوم الطبيعية والرياضيات، أي نوعًا من المثالية المنطقية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نجد ذلك عند أهم ممثلي هذه المدرسة من أمثال هرمان كوهن </w:t>
      </w:r>
      <w:r>
        <w:rPr>
          <w:rFonts w:eastAsia="Times New Roman" w:cs="Times New Roman" w:ascii="Times New Roman" w:hAnsi="Times New Roman"/>
          <w:color w:val="111111"/>
          <w:sz w:val="28"/>
          <w:szCs w:val="28"/>
          <w:lang w:val="en-US" w:bidi="en-US"/>
        </w:rPr>
        <w:t>Hermann Cohen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باول ناتور </w:t>
      </w:r>
      <w:r>
        <w:rPr>
          <w:rFonts w:eastAsia="Times New Roman" w:cs="Times New Roman" w:ascii="Times New Roman" w:hAnsi="Times New Roman"/>
          <w:color w:val="111111"/>
          <w:sz w:val="28"/>
          <w:szCs w:val="28"/>
          <w:lang w:val="en-US" w:bidi="en-US"/>
        </w:rPr>
        <w:t>Paul Nator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إرنست كاسيرر </w:t>
      </w:r>
      <w:r>
        <w:rPr>
          <w:rFonts w:eastAsia="Times New Roman" w:cs="Times New Roman" w:ascii="Times New Roman" w:hAnsi="Times New Roman"/>
          <w:color w:val="111111"/>
          <w:sz w:val="28"/>
          <w:szCs w:val="28"/>
          <w:lang w:val="en-US" w:bidi="en-US"/>
        </w:rPr>
        <w:t>Ernst Cassier</w:t>
      </w:r>
      <w:r>
        <w:rPr>
          <w:rFonts w:ascii="IRNazanin" w:hAnsi="IRNazanin" w:eastAsia="IRNazanin"/>
          <w:color w:val="111111"/>
          <w:sz w:val="28"/>
          <w:sz w:val="28"/>
          <w:szCs w:val="28"/>
          <w:rtl w:val="true"/>
          <w:lang w:bidi="fa-IR"/>
        </w:rPr>
        <w:t xml:space="preserve">، برونو باوخ </w:t>
      </w:r>
      <w:r>
        <w:rPr>
          <w:rFonts w:eastAsia="Times New Roman" w:cs="Times New Roman" w:ascii="Times New Roman" w:hAnsi="Times New Roman"/>
          <w:color w:val="111111"/>
          <w:sz w:val="28"/>
          <w:szCs w:val="28"/>
          <w:lang w:val="en-US" w:bidi="en-US"/>
        </w:rPr>
        <w:t>Bruno Bauch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وریخارد هونیغسفالد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Richard Hönigswald</w:t>
      </w:r>
    </w:p>
    <w:p>
      <w:pPr>
        <w:pStyle w:val="BookText"/>
        <w:rPr/>
      </w:pPr>
      <w:r>
        <w:rPr>
          <w:rFonts w:ascii="Amiri" w:hAnsi="Amiri" w:eastAsia="Amiri" w:cs="Amiri"/>
          <w:color w:val="111111"/>
          <w:sz w:val="28"/>
          <w:sz w:val="28"/>
          <w:szCs w:val="28"/>
          <w:rtl w:val="true"/>
          <w:lang w:bidi="ar-SA"/>
        </w:rPr>
        <w:t>في حين ركزت مدرسة بادن على إشكالية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هناك نوع من العداوة بين ممثلي المدرستين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ذلك يظهر بأن الأساسي بالنسبة للكانطية الجديدة كان هو المثالية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وبهذا فإنها تذكر كثيراً بأفلاطون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الوقت الذي نجد فيه المثالية الذاتية عند ممثلي مدرسة ماربورغ، نجد ما سُمي بالمثالية الموضوعية عند رواد مدرسة بادن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وقفت الاتجاهات الكانطية الجديدة في وجه المذاهب الميتافيزيقية التقليدية وكانت تؤمن بأنه بإمكان الفلسفة اكتساب صفات العلم إذا سايرت طريقة كانط النقدية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الزاوية يمكن القول بأن ظهور الكانطية الجديدة هو تجسيد لما قاله كانط، والمتمثل في اعتقاده بأن نتائج فكره ستتحقق مائة عام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 عموما بأن ما يجمع الكانطيين الجدد 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حملوا على عاتقهم مهمة إعادة إحياء الفلسفة وإنقاذ الوعي الأوربي من مخالب المذهب التجريبي والتأويلات الوضعية لكانط، بقراءة كانط عن طريق أفلاطون، وتغليب الجانب القبلي اللاتجريبي اللانفسي النقدي في فلسفته، وتأسيس الفلسفة على الفكر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كرسوا جهودهم على البحث عن المنطقي والقبلي المستقل</w:t>
      </w:r>
    </w:p>
    <w:p>
      <w:pPr>
        <w:pStyle w:val="BookText"/>
        <w:rPr/>
      </w:pPr>
      <w:r>
        <w:rPr>
          <w:rFonts w:ascii="Amiri" w:hAnsi="Amiri" w:eastAsia="Amiri" w:cs="Amiri"/>
          <w:color w:val="111111"/>
          <w:sz w:val="28"/>
          <w:sz w:val="28"/>
          <w:szCs w:val="28"/>
          <w:rtl w:val="true"/>
          <w:lang w:bidi="ar-SA"/>
        </w:rPr>
        <w:t xml:space="preserve">عن التجربة في شتى العلوم الإنسانية فى الجمال والأخلاق وعلم النفس والقانون والاجتماع والتاريخ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 في ذاته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سبقت الإشارة مرارًا وتكرارًا هو عندهم تصور محدّد مستقل عن العقل، أما عالم الظاهر فإنه عالم واقعي، هو عالم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السبب اعتبرت الكانطية الجديدة إحدى صور المثالية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انتسابهم جميعا إلى كانط، الذي يعتبر في نظرهم مفكر الثقافة الغربية الحديثة بامتياز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الأغلبية الساحقة منهم مجموعةً كبيرةً من مواقفه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يرفضون مثلاً المنهج النفسي والميتافيزيقا، معتبرين هذه الأخيرة مستحيلةً وغير 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نادوا بإحلال المنهج المتعالي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الترنسند نتالي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الفلسفة عوض المنهج النفسي وكل منهج تجريبي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 كانط، يُعتبرُون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تجريديين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ينكرون وجود الحدس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فالعقل بالنسبة لهم ما هو إلا ملكة تكوين الكل، انطلاقا من عناصره ولا يسمح بأي قدرة باستثناء قدرة التركيب والنتيجة باستثناء لاسك </w:t>
      </w:r>
      <w:r>
        <w:rPr>
          <w:rFonts w:eastAsia="Times New Roman" w:cs="Times New Roman" w:ascii="Times New Roman" w:hAnsi="Times New Roman"/>
          <w:color w:val="111111"/>
          <w:sz w:val="28"/>
          <w:szCs w:val="28"/>
          <w:lang w:val="en-US" w:bidi="en-US"/>
        </w:rPr>
        <w:t>Lask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هي تأكيدهم على عدم وجود معرفة لمضمون الأشياء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يُعتبرون مثاليين فى نظرية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فعل المعرفة في نظرهم في عملية إدراك الموضوع، بل في خلق الموضوع نفسه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رأينا عرفت الكانطية الجديدة انتشارًا كبيرًا في العالم كله تقريبًا وهو انتشار لازال ساري المفعول بالنظر إلى الدراسات المعاصرة التي تهتم بجانب من جوانب هذا الاتجاه الفلسفي وهذا ما يجعل منها الاتجاه الأوسع في نظرية المعرفة </w:t>
      </w:r>
    </w:p>
    <w:p>
      <w:pPr>
        <w:pStyle w:val="BookText"/>
        <w:rPr/>
      </w:pPr>
      <w:r>
        <w:rPr>
          <w:rFonts w:ascii="Amiri" w:hAnsi="Amiri" w:eastAsia="Amiri" w:cs="Amiri"/>
          <w:color w:val="111111"/>
          <w:sz w:val="28"/>
          <w:sz w:val="28"/>
          <w:szCs w:val="28"/>
          <w:rtl w:val="true"/>
          <w:lang w:bidi="ar-SA"/>
        </w:rPr>
        <w:t xml:space="preserve">عندما تمعن النظر في عمق الكانطية الجديدة، بكل اتجاهاتها والمشتغلين عليها، فلا يمكن ألا نلاحظ بأنها كانت نتيجة ما نسميه هنا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 الطبيعي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بحيث نجدها ملتصقةً أيضا بالعلوم الطبيعية الحقة، وبالخصوص الفيزياء</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Traugott Konstantin Oesterreich, Die philosophischen Strömungen der Gegenwart in Paul Hinneberg (Hg), Systematische Philosophie, Berlin und Leipzig 1921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تماما كما نجد ذلك عند كانط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بين النقط التي يُجمع عليها الكانطيون الجدد بمختلف ميولاتهم الفلسفية هي تأكيدهم على أنه لا يمكن معرفة الواقع كما هو، كما تعتقد الواقعية الساذجة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التأكيد يخص المسائل التي تُعتبر علمياً محضةً، فالألوان مثلاً أو الأصوات لا توجد كما نراها ونسمعها، بل تُعتبر تابعةً لتصورنا لها وعندما نستقرأ هذا الإجماع الكانطي الجديد، ونُصغي جيدًا لتاريخ الفلسفة الغربية، فإننا نجده بكميات متساوية عند هيوم ولوك وديكارت وغاليلي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كانط السبّاق لاكتشاف هذا الأمر، حتى وإن كان لزاما علينا الإقرار بأنه هو الذي عبر عنه بطريقة نسقية عميقة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الخاصية المشتركة الثانية للكانطية الجديدة فتتمثل في الاقتناع القائل بأن الطبيعة لا تُعتبر مضمونًا لتمثلاتنا الحسية، لكنها في مجموعها الجوهري نتاج فكرنا تفكيرنا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وباهتمامها النسقي للبرهنة على هذه الأطروحة اكتسبت الكانطية عموما مكانةً مهمةً في عالم الفكر 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هذا فقد افترضت كل الاتجاهات الكانطية الجديدة أيضًا بأن العوامل القبلية تلعب </w:t>
      </w:r>
      <w:bookmarkStart w:id="211" w:name="pg16300_179444"/>
    </w:p>
    <w:p>
      <w:pPr>
        <w:pStyle w:val="BookText"/>
        <w:rPr/>
      </w:pPr>
      <w:bookmarkEnd w:id="211"/>
      <w:r>
        <w:rPr>
          <w:rFonts w:ascii="Amiri" w:hAnsi="Amiri" w:eastAsia="Amiri" w:cs="Amiri"/>
          <w:color w:val="111111"/>
          <w:sz w:val="28"/>
          <w:sz w:val="28"/>
          <w:szCs w:val="28"/>
          <w:rtl w:val="true"/>
          <w:lang w:bidi="ar-SA"/>
        </w:rPr>
        <w:t>دورًا حاسما في بناء الطبيعة، لكن هذا لم يمنعهم من الاختلاف في 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القبلي</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5377409_1280447820"/>
      <w:bookmarkStart w:id="213" w:name="_Toc74"/>
      <w:bookmarkEnd w:id="212"/>
      <w:r>
        <w:rPr>
          <w:rtl w:val="true"/>
        </w:rPr>
        <w:t xml:space="preserve">الجزء الثاني </w:t>
      </w:r>
      <w:r>
        <w:rPr>
          <w:rtl w:val="true"/>
        </w:rPr>
        <w:t xml:space="preserve">: </w:t>
      </w:r>
      <w:r>
        <w:rPr>
          <w:rtl w:val="true"/>
        </w:rPr>
        <w:t>القبلي ونظرية المعرفة</w:t>
      </w:r>
      <w:bookmarkEnd w:id="213"/>
    </w:p>
    <w:p>
      <w:pPr>
        <w:pStyle w:val="BookText"/>
        <w:rPr/>
      </w:pPr>
      <w:r>
        <w:rPr>
          <w:rFonts w:ascii="Amiri" w:hAnsi="Amiri" w:eastAsia="Amiri" w:cs="Amiri"/>
          <w:color w:val="111111"/>
          <w:sz w:val="28"/>
          <w:sz w:val="28"/>
          <w:szCs w:val="28"/>
          <w:rtl w:val="true"/>
          <w:lang w:bidi="ar-SA"/>
        </w:rPr>
        <w:t xml:space="preserve">لم يعد للتعبير القديم المتعلق بمشروطية تصورنا للعالم عن طريق أعضائنا الحسية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نجد ذلك عند هيلمهولتس </w:t>
      </w:r>
      <w:r>
        <w:rPr>
          <w:rFonts w:eastAsia="Times New Roman" w:cs="Times New Roman" w:ascii="Times New Roman" w:hAnsi="Times New Roman"/>
          <w:color w:val="111111"/>
          <w:sz w:val="28"/>
          <w:szCs w:val="28"/>
          <w:lang w:val="en-US" w:bidi="en-US"/>
        </w:rPr>
        <w:t>Helmholtz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وجود في الوقت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الشيء نفسه ينطبق على التصور القائل بأن روحنا تملك وظائف فطريةً معينةً، ولهذا السبب لا يمكن عزلها عن تصورنا للعالم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عبر عن هذا سیمل </w:t>
      </w:r>
      <w:r>
        <w:rPr>
          <w:rFonts w:eastAsia="Times New Roman" w:cs="Times New Roman" w:ascii="Times New Roman" w:hAnsi="Times New Roman"/>
          <w:color w:val="111111"/>
          <w:sz w:val="28"/>
          <w:szCs w:val="28"/>
          <w:lang w:val="en-US" w:bidi="en-US"/>
        </w:rPr>
        <w:t>Simmel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بوعي مرارا وتكرارًا، على الرغم من أننا نجد عنده في الوقت نفسه تصورًا منطقيًا بجانب التصور الذي أشرنا له وما حدث معه هو ،أنه وفي تأسيسه لنظرية المعرفة للعلوم الإنسانية، اعتبر الفهم السيكولوجي مهما لدراسة الظواهر الاجتماعية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 نيلسون </w:t>
      </w:r>
      <w:r>
        <w:rPr>
          <w:rFonts w:eastAsia="Times New Roman" w:cs="Times New Roman" w:ascii="Times New Roman" w:hAnsi="Times New Roman"/>
          <w:color w:val="111111"/>
          <w:sz w:val="28"/>
          <w:szCs w:val="28"/>
          <w:lang w:val="en-US" w:bidi="en-US"/>
        </w:rPr>
        <w:t>Nelson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إلى الإعتراف الأساس ودون حدود بالأهمية السيكولوجية للقبلي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وباعتماده على فريس </w:t>
      </w:r>
      <w:r>
        <w:rPr>
          <w:rFonts w:eastAsia="Times New Roman" w:cs="Times New Roman" w:ascii="Times New Roman" w:hAnsi="Times New Roman"/>
          <w:color w:val="111111"/>
          <w:sz w:val="28"/>
          <w:szCs w:val="28"/>
          <w:lang w:val="en-US" w:bidi="en-US"/>
        </w:rPr>
        <w:t>Fries</w:t>
      </w:r>
      <w:r>
        <w:rPr>
          <w:rFonts w:ascii="Amiri" w:hAnsi="Amiri" w:eastAsia="Amiri" w:cs="Amiri"/>
          <w:color w:val="111111"/>
          <w:sz w:val="28"/>
          <w:sz w:val="28"/>
          <w:szCs w:val="28"/>
          <w:rtl w:val="true"/>
          <w:lang w:bidi="ar-SA"/>
        </w:rPr>
        <w:t xml:space="preserve">، طالب بتأويل سيكولوجي لكانط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طريق التأمل الذاتي يجب إيصال تأسيس الجمل البديهية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فإن الأمر يتعلق إما بوجهات نظر واضحة في جُمَل بعينها، أو باستنتاجات فقط، مفادها أنّ هناك مبادئ معينةً تؤسس فكرنا في بنائه للطبيعة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كانط رفض الحالة الأولى، أما الحالة الثانية فلا تحدث إلا في السلوك الواقعي للأفراد وما عدا هذا، فإن الكانطية الجديدة ترفض مبدأ الأهمية السيكولوجية للقبلي، ولا تعترف إلا بالتأويل المنطقي لكانط، كتأويل 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تنطلق مدرسة ماربورغ من موضوعية العلوم الدقيقة، وبالخصوص الفيزياء النظرية في اشتغالها على نظرية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للإشارة فإن هذا الجناح الكانطي لا يفهم من العلم أساسًا إلا العلوم الطبيعية الدقيقة، الفيزياء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خطوات كانط، فإن الماربورغية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مدرسة ماربورغ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بأن كل العلوم الأخرى لا تُؤخذ بعين الاعتبار لتشكيل نظرية المعرفة بل كانت تعتبر هذه العلوم الأخرى أنواعًا معرفيةً غير كاملة، ستختفي عندما تكتمل الفيزياء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يجب تشريح البنية المنطقية للفيزياء وإضاءتها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يذكر المرء كيف يمكن للفرد الوصول إلى تمثل العالم هذا ولا كيف حصل ذلك تاريخيًا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يكون المرء قد قدّم مبدأ الابتعاد الكلي عن كلّ تجربة 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وللإشارة فإن كوهن مثلاً كان يرفض الاعتراف للتجربة الحسية بكل خاصية تجعل منها مصدرًا مشروعًا للمعرفة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النتيجة الضرورية لهذا هو إعادة تشكيل مفهوم الواقع وطبقًا لهذا التصور فإنّ ما يحدد الحالة الخاصة للواقع ليس هو الإدراك المباشر، لكن الوضع الذي يمثل في العلوم الطبيعية الرياضية قيمةً أكبر من الصفر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ويعترف كوهن للواقع، لا فقط بالأعداد السلبية ونظيرتها الإيجابية، بل أيضا بالأعداد المتخَيَّلة، وبهذا يُرْفَع كلُّ فرقٍ بين الكميات الواقعية والرياضية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الرغم من أن ناتروب وكاسيرير لم يكونا بعيدين عما سبق ذكره وتشبئا بتأويل القبلي تأويلاً منطقيا محضا، فإننا نلمس إلحاح عامل سيكولوجي في تفكيريهما في هذا الموضوع فهذا ناتروب مثلا يؤكد بأن كلَّ إدراك، والذي يتضمن كذلك دائما حكمًا،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للفكر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Denkbestimmung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كما أن كلّ واقع عنده هو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محتوى الفكر </w:t>
      </w:r>
      <w:r>
        <w:rPr>
          <w:rFonts w:eastAsia="Times New Roman" w:cs="Times New Roman" w:ascii="Times New Roman" w:hAnsi="Times New Roman"/>
          <w:color w:val="111111"/>
          <w:sz w:val="28"/>
          <w:szCs w:val="28"/>
          <w:lang w:val="en-US" w:bidi="en-US"/>
        </w:rPr>
        <w:t>Denkinhalt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وباعتباره هكذا فإنه يخضع للأصناف الأساسية للكمية والقيمة والعلاقة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وتحدّث ناتروب أيضا عن انفصال مفهوم الواقع عن الإدراك، لكن بفهم مغاير لفهم كوهن ما هو حاسم في إيجاد المعنى بالنسبة لناتروب هو ما يكون متضَمَّنا في الصورة الطبيعية المضبوطة المفكّر فيها بطريقة كاملة، وتكون هذه الصورة عنده جزء لا ء لا يتجزأ من إيجاد المعنى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يمكن التأكيد بأن ناتروب كان يتوفر على فهم مغاير لعدم اكتمال المعرفة بالمقارنة مع كوهن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السبب فإنّ الحقيقة </w:t>
      </w:r>
      <w:r>
        <w:rPr>
          <w:rFonts w:eastAsia="Times New Roman" w:cs="Times New Roman" w:ascii="Times New Roman" w:hAnsi="Times New Roman"/>
          <w:color w:val="111111"/>
          <w:sz w:val="28"/>
          <w:szCs w:val="28"/>
          <w:lang w:val="en-US" w:bidi="en-US"/>
        </w:rPr>
        <w:t>Tatsache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عنده ما هي إلا هدفٌ للمعرفة، لا شيء موجود مبرهن عليه، لأن المعرفة الطبيعية تكون غير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يتخلص من كانط بمثل هذه الأطروحات في نظرية المعرفة، فكل ما هو مسموح به في هذا الإطار هي هي صورة عن العالم نابعة من السببية الطبيعية المغلقة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نتيجة هذا هو نفيه للاستقلال المعرفي للسيكولوجيا، التي عليها أن تكون خطوةً أوليةً فقط للمعرفة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كمنهج للعلم يجب دراسة مادة الشعور أو الإحساس بطريقة عقلية وبالإخراج الكلي أو الجزئي لمثل هذه التكميلات، بما فيها الاحتمالية كذلك، تقوم صورة للعالم سبية مغلقة وصارمة في قوانينها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الطريقة وحدها هي التي تُعتبر طريقةً علميةً كاملةً في نظر ناتروب، وكلَّ ما يسبقها ما هو إلا خطوة أولية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يمر ناتروب من التحليل المنطقي إلى السيكولوجيا المؤسسة للمعرفة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تطور فهم مدرسة ماربورغ لنظرية المعرفة مع كاسيرر خطوةً إضافيةً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رفض أيضا الاعتراف بالإدراك كمعيار أخير للواقع، كما ألغى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فالموضوعي يوجد بالنسبة له فقط في العلوم الطبيعية، لا في المعطى المباشر الموجود في الوعي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طبقًا لمدرسة ماربورغ فإن كلَّ مصطلحات العلوم الطبيعية كالوزن والمادة والأثير والقوة إلخ ليست بأي حال من الأحوال نسخًا عقليةً لحقائقَ توجد في استقلال عنا، تُدرك عن طريق</w:t>
      </w:r>
    </w:p>
    <w:p>
      <w:pPr>
        <w:pStyle w:val="BookText"/>
        <w:rPr/>
      </w:pPr>
      <w:r>
        <w:rPr>
          <w:rFonts w:ascii="Amiri" w:hAnsi="Amiri" w:eastAsia="Amiri" w:cs="Amiri"/>
          <w:color w:val="111111"/>
          <w:sz w:val="28"/>
          <w:sz w:val="28"/>
          <w:szCs w:val="28"/>
          <w:rtl w:val="true"/>
          <w:lang w:bidi="ar-SA"/>
        </w:rPr>
        <w:t>الحواس بطريقة غير كافية؛ بل تُعتبر عند هذه المدرسة وسائل عقليةً مساعدةً لإقامة نظام ما في تشابك التمظهرات الطبيعية والوصول في آخر المطاف إلى بناء صورة عن العالم بطريقة سببية على شكل معادلات رياضية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فإن التقريرات الإدراكية البسيطة لمضامين الوعي، الذي يتجاهل السياق الطبيعي تماما، لا تجد عند كاسيرر أي اعتراف بها، بل توجد في نظره خارج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تطابق مع الميول إلى اعتبار الطبيعة ككيان منطقي خالص، وبالتالي إخضاعها إلى التحليل العقلي واستبعاد الإدراك من التأمل المعرف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نظري، ترفض مدرسة ماربورغ للكانطية الجديدة الفرضية القائلة بوجود قيمة موضوعية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للأشياء في ذاتها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 الإدراك الحسي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العكس من هذا تؤكد على وجود تشابك أو شبكة من التمظهرات الحسية من جهة وأشكال منطقية للطبيعة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موضوعي بالنسبة لها هي فقط هذه الأشكال الطبيعية، في كمالها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الموضوعي لا يعني أكثر من وقوع العامل المعني بالأمر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العالم هذه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للإشارة فإن هذا الفهم الخاص للمنهج المعرفي النظري طبق من طرف مدرسة ماربورغ في الحقل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فبالطريقة التي تدرس بها نظرية المعرفة الشروط المنطقية للوجود والواقع، يجب على الأخلاق كذلك تحديد شروط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ويتميز الآداء الخاص لكوهن وناتروب في تحقيق الأخلاق النقدية بمضامين إيجابية، </w:t>
      </w:r>
    </w:p>
    <w:p>
      <w:pPr>
        <w:pStyle w:val="BookText"/>
        <w:rPr/>
      </w:pPr>
      <w:r>
        <w:rPr>
          <w:rFonts w:ascii="Amiri" w:hAnsi="Amiri" w:eastAsia="Amiri" w:cs="Amiri"/>
          <w:color w:val="111111"/>
          <w:sz w:val="28"/>
          <w:sz w:val="28"/>
          <w:szCs w:val="28"/>
          <w:rtl w:val="true"/>
          <w:lang w:bidi="ar-SA"/>
        </w:rPr>
        <w:t>وهو ما تفتقر إليه أخلاق الوقت الحاضر في غالب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الميدان بالضبط يتشمم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التأثير الواضح للماركسية على بعض أعضاء الكانطية الجديدة، على الرغم من أنهم تجاوزوا الانتماء المحض لتعاليم الماركسية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الكرامة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يوجدان في قلب الأخلاق الكانطية الجديدة في جناحها الماربورغي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لماربورغ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مصطلحان ماركسيان كما نعلم أو على الأقل كانا من بين أهم المصطلحات فيها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ترفض مدرسة بادن أيضا فرضية الأشياء في ذاتها وفهم الإدراك كنوع من التمكين لواقع يوجد باستقلال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هذه المدرسة تحل إشكالية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بطريقة مغايرة لمدرسة ماربورغ تبحث للوصول إلى معيار الموضوعية من خلال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بالرجوع إلى مفهوم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فيندلباند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Windel band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مثلاً يجد الفرق الجوهري بين التفكير الصحيح والتفكير الخاطئ معتبرا الأول مطابقا للمعايير، بينما يتناقض الثاني مع معايير 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هناك معيارا للسلوك في الواجب المطلق، هناك معيار أيضًا للفكر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يعتبر الفكر الصحيح مطابقا للمعيار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ويتحدث كانط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المعيار، أما التفكير الخاطئ فإنه وكما قلنا يعارض هذا المعيار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وجود طبقًا لهذا الفهم، لأي تطابق يُذكر مع حقيقة موضوعية خارج وعينا وإدراكنا، وستكون غير قابلة للاكتشاف أو الكشف، لأنه لا يمكننا أبدًا تجاوز محيط وعينا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ويوجد تحديد هذا النظام المعياري على عاتق نظرية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أكد فيختيه على ذلك، فإن مبادئها تُظهر بناءً غائيًا، وهدفها هو التفكير الصالح شموليا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ويوجد في الواقع </w:t>
      </w:r>
    </w:p>
    <w:p>
      <w:pPr>
        <w:pStyle w:val="BookText"/>
        <w:rPr/>
      </w:pPr>
      <w:r>
        <w:rPr>
          <w:rFonts w:ascii="Amiri" w:hAnsi="Amiri" w:eastAsia="Amiri" w:cs="Amiri"/>
          <w:color w:val="111111"/>
          <w:sz w:val="28"/>
          <w:sz w:val="28"/>
          <w:szCs w:val="28"/>
          <w:rtl w:val="true"/>
          <w:lang w:bidi="ar-SA"/>
        </w:rPr>
        <w:t>خليط من التفكير ، منه ما يطابق المعايير ومنه ما يتناقض معها، تمامًا كوجود السلوك الحسن والمشين والجميل والقبيح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الوقت الذي تكتفي فيه العلوم الدقيقة بتوثيق ما يوجد ولا تهتم بإشكالية المعايير الأخلاقية، فإن الفلسفة تهتم بكل ميادين المعايير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المعنى تُعتبر نظريةً معيارية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يدافع ريكرت </w:t>
      </w:r>
      <w:r>
        <w:rPr>
          <w:rFonts w:eastAsia="Times New Roman" w:cs="Times New Roman" w:ascii="Times New Roman" w:hAnsi="Times New Roman"/>
          <w:color w:val="111111"/>
          <w:sz w:val="28"/>
          <w:szCs w:val="28"/>
          <w:lang w:val="en-US" w:bidi="en-US"/>
        </w:rPr>
        <w:t>Rickert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أيضًا على هذا التصور المعياري، مضيفًا معيارًا آخر يتمثل في تأكيده على أن كلَّ وجود يوجد في الوعي، على الرغم من أنه لا يعتبر هذا الوعي أمرًا فرديًا وشخصيَّا، لكن فوقَ شخصيَّاً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وتشير إشكالية المتعالي عنده، إلى هذا الوعي فقط ، لا إلى الفرد أو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ويوجد الكائن </w:t>
      </w:r>
      <w:r>
        <w:rPr>
          <w:rFonts w:eastAsia="Times New Roman" w:cs="Times New Roman" w:ascii="Times New Roman" w:hAnsi="Times New Roman"/>
          <w:color w:val="111111"/>
          <w:sz w:val="28"/>
          <w:szCs w:val="28"/>
          <w:lang w:val="en-US" w:bidi="en-US"/>
        </w:rPr>
        <w:t>Seiende</w:t>
      </w:r>
      <w:r>
        <w:rPr>
          <w:rFonts w:ascii="Amiri" w:hAnsi="Amiri" w:eastAsia="Amiri" w:cs="Amiri"/>
          <w:color w:val="111111"/>
          <w:sz w:val="28"/>
          <w:sz w:val="28"/>
          <w:szCs w:val="28"/>
          <w:rtl w:val="true"/>
          <w:lang w:bidi="ar-SA"/>
        </w:rPr>
        <w:t xml:space="preserve">، كما يؤكد ريكرت ذلك، ما وراء الوعي الفردي بطبيعة الحال، لكنه يرفض في المقابل كل كينونة </w:t>
      </w:r>
      <w:r>
        <w:rPr>
          <w:rFonts w:eastAsia="Times New Roman" w:cs="Times New Roman" w:ascii="Times New Roman" w:hAnsi="Times New Roman"/>
          <w:color w:val="111111"/>
          <w:sz w:val="28"/>
          <w:szCs w:val="28"/>
          <w:lang w:val="en-US" w:bidi="en-US"/>
        </w:rPr>
        <w:t>Sein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وراء الوعي والغريب أنه يعتقد بأن هذا الوعي أو هذا الإدراك لا يوجد كمصطلح فقط، بل كواقع حقيقي، لا فقط كمجموع وعي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مونستر بيرغ </w:t>
      </w:r>
      <w:r>
        <w:rPr>
          <w:rFonts w:eastAsia="Times New Roman" w:cs="Times New Roman" w:ascii="Times New Roman" w:hAnsi="Times New Roman"/>
          <w:color w:val="111111"/>
          <w:sz w:val="28"/>
          <w:szCs w:val="28"/>
          <w:lang w:val="en-US" w:bidi="en-US"/>
        </w:rPr>
        <w:t>Muensterberg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الخاصية القيمية المنطقية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مقابل هذين الجناحين للكانطية الجديدة اللذين يرفضان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الشيء في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 الاتجاه الذي دافع عنه، تماما كما فعل كانط نفسه في الكثير من المواضع في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ريهل، الممثل الرئيسي لهذا الاتجاه كما سبق وأن رأينا في هذا البحث، يؤكد كذلك بأن معرفتنا ليست ببساطة نتيجةً لإدراكاتنا الحسية لكنها نتيجةً فكرنا وتفكيرنا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طريق معالجة الانطباعات الحسية تقوم الإدراكات الحقيقية لأنها تحتوي منطقيا دائما على</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أمور أكثر من الانطباعات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وتقوم تجاربنا طبقا لشروط </w:t>
      </w:r>
      <w:bookmarkStart w:id="214" w:name="pg16300_179450"/>
    </w:p>
    <w:p>
      <w:pPr>
        <w:pStyle w:val="BookText"/>
        <w:rPr/>
      </w:pPr>
      <w:bookmarkEnd w:id="214"/>
      <w:r>
        <w:rPr>
          <w:rFonts w:ascii="Amiri" w:hAnsi="Amiri" w:eastAsia="Amiri" w:cs="Amiri"/>
          <w:color w:val="111111"/>
          <w:sz w:val="28"/>
          <w:sz w:val="28"/>
          <w:szCs w:val="28"/>
          <w:rtl w:val="true"/>
          <w:lang w:bidi="ar-SA"/>
        </w:rPr>
        <w:t xml:space="preserve">مبادئ تجريبية معينة مثل جمل قضايا المحافظة على المادة والسببية غير المشروطة، وهي 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قضايا عبر عنها المرء أيضًا في العصور القديمة، والتي تأكدت بهذا في قبليتها وفي خاصيتها الخالية من أي خبرة 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لهذه المبادئ أهميةً تأسيسية لكل تجربة، فإن هذه الأخيرة لن تتناقض معها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يجب تحديدها من خلال التحليل المنطقي للعلوم الدقيقة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وبعكس مدرسة ماربورغ، فإن ريهل يعتقد بأن الخلق العقلي للطبيعة ليس شكلاً يحلّق بحرية في الهواء، بل يُعتبر عكسًا لواقع موضوعي يوجد باستقلال عَنَّا وتُعتبر المشاعر الحسية علامة على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تتوفر المعاني الموضوعية إلا على المضمون الرقمي والمنطقي لإدراكاتنا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حيث الجودة، تبقى الأشياء في ذاتها غير معروفة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أنه ليس للوقت الزمن أي صلاحية موضوعية، فإن ريهل ككانط يعتبر المعيشات النفسية كظواهر فقط، ولربما يكون هو الوحيد الذي يدافع على هذا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وأكد فولكيلت </w:t>
      </w:r>
      <w:r>
        <w:rPr>
          <w:rFonts w:eastAsia="Times New Roman" w:cs="Times New Roman" w:ascii="Times New Roman" w:hAnsi="Times New Roman"/>
          <w:color w:val="111111"/>
          <w:sz w:val="28"/>
          <w:szCs w:val="28"/>
          <w:lang w:val="en-US" w:bidi="en-US"/>
        </w:rPr>
        <w:t>Volkelt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أيضًا وبقوة بأن التجاوز الحتمي للانطباعات الحسية يقدم الأصناف القبلية كالسببية والضرورة والعمومية والمطابقة </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5377411_1280447820"/>
      <w:bookmarkStart w:id="216" w:name="_Toc75"/>
      <w:bookmarkEnd w:id="215"/>
      <w:r>
        <w:rPr>
          <w:rtl w:val="true"/>
        </w:rPr>
        <w:t>الجزء الثالث</w:t>
      </w:r>
      <w:r>
        <w:rPr>
          <w:rtl w:val="true"/>
        </w:rPr>
        <w:t xml:space="preserve">: </w:t>
      </w:r>
      <w:r>
        <w:rPr>
          <w:rtl w:val="true"/>
        </w:rPr>
        <w:t>النقد السياسي</w:t>
      </w:r>
      <w:r>
        <w:rPr>
          <w:rtl w:val="true"/>
        </w:rPr>
        <w:t xml:space="preserve">- </w:t>
      </w:r>
      <w:r>
        <w:rPr>
          <w:rtl w:val="true"/>
        </w:rPr>
        <w:t>الأخلاقي للكانطية الجديدة</w:t>
      </w:r>
      <w:bookmarkEnd w:id="21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بعيدًا عن الميادين الفلسفية التي اهتم بها الكانطيون الجدد، بغض النظر عن المدرسة التي كانوا ينتمون إليها، فإنّ هناك انتقادًا عميقا يوجه لهم، وبالخصوص إلى مدرسة بادن والكثير من ممثليها، ويتعلق الأمر بمساندتهم للنظام النازي عند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يُعاب عليهم في هذا الإطار هو أنهم لم يستفيدوا من فلسفة كانط، </w:t>
      </w:r>
    </w:p>
    <w:p>
      <w:pPr>
        <w:pStyle w:val="BookText"/>
        <w:rPr/>
      </w:pPr>
      <w:r>
        <w:rPr>
          <w:rFonts w:ascii="Amiri" w:hAnsi="Amiri" w:eastAsia="Amiri" w:cs="Amiri"/>
          <w:color w:val="111111"/>
          <w:sz w:val="28"/>
          <w:sz w:val="28"/>
          <w:szCs w:val="28"/>
          <w:rtl w:val="true"/>
          <w:lang w:bidi="ar-SA"/>
        </w:rPr>
        <w:t>التي كان بإمكانها تسليحهم بما هو ضروري لتجنب براثن هذا النظام العنصري المتطرف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هانس فريديريك فولدا</w:t>
      </w:r>
      <w:r>
        <w:rPr>
          <w:rStyle w:val="FootnoteAnchor"/>
        </w:rPr>
        <w:footnoteReference w:id="127"/>
      </w:r>
      <w:r>
        <w:rPr>
          <w:rFonts w:eastAsia="Times New Roman" w:cs="Times New Roman" w:ascii="Times New Roman" w:hAnsi="Times New Roman"/>
          <w:color w:val="111111"/>
          <w:sz w:val="28"/>
          <w:szCs w:val="28"/>
          <w:lang w:val="en-US" w:bidi="en-US"/>
        </w:rPr>
        <w:t>Hans Friedrich Fulda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مثلاً أسباب هذا الأمر إلى كون مدرسة بادن لم تفهم بما فيه الكفاية فلسفة كانط، وسوء فهمها هذا كان سببًا في مؤازرتها لألمانيا الهتليرية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أهم ممثلي النازية في مدرسة بادن كان هناك ريكرت</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Hans Friederich Fuldah. «Krise und Untergang des südwestdeutschen Neukantianiusmus, in Hans Jörg Sandkhüler (Hg.). Philosophie im Nationalsozialismus. Hamburg. Meiner 2009. S. 83- 132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 F. Fulda, Heinrich Rickerts Anpassung an den Nationalsozialismus. In: Deutsche Zeitschrift für Philosophie, 1999, S. 253-269</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يؤكد على ذلك فولدا، فإنه وبعدما كان من الناحية السياسية ديمقراطيًا ومعاديًا للنازية، فإنه انقلب على نفسه ابتداءً من عام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وصل هيتلر إلى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فولدا في هذا الإطار بأن الدافع الأساسي وراء هذا الإنجرار كان نابعًا من اقتناع فكري لريكرت لا لأسباب سياسية أو انبهار بشخصية هيتلر أو خوف من بطش نظامه والخلفية الفلسفية التي كوّنت اقتناع ريكرت بالنظام النازي تضرب بجدورها طبقًا لفولدا بعيدًا، بحيث إن ريكرت كان يعتبر فيخته </w:t>
      </w:r>
      <w:r>
        <w:rPr>
          <w:rFonts w:eastAsia="Times New Roman" w:cs="Times New Roman" w:ascii="Times New Roman" w:hAnsi="Times New Roman"/>
          <w:color w:val="111111"/>
          <w:sz w:val="28"/>
          <w:szCs w:val="28"/>
          <w:lang w:val="en-US" w:bidi="en-US"/>
        </w:rPr>
        <w:t>Fichte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بمثابة أول قومي اشتراكي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تسمية أخرى للنازية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في نظره كان قوميًا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وطنيًا واشتراكيا في الوقت نفسه، وكان ريكرت يعتبره محاربًا على صعيد الفلسفة الاجتماعية وفلسفة</w:t>
      </w:r>
    </w:p>
    <w:p>
      <w:pPr>
        <w:pStyle w:val="BookText"/>
        <w:rPr/>
      </w:pPr>
      <w:r>
        <w:rPr>
          <w:rFonts w:ascii="Amiri" w:hAnsi="Amiri" w:eastAsia="Amiri" w:cs="Amiri"/>
          <w:color w:val="111111"/>
          <w:sz w:val="28"/>
          <w:sz w:val="28"/>
          <w:szCs w:val="28"/>
          <w:rtl w:val="true"/>
          <w:lang w:bidi="ar-SA"/>
        </w:rPr>
        <w:t>الأمة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ويعزز فولدا ما يقوله بمحتوى محاضرة ريكرت حول فيخته للموسم الجامعي ،</w:t>
      </w:r>
      <w:r>
        <w:rPr>
          <w:rFonts w:eastAsia="Amiri" w:cs="Amiri" w:ascii="Amiri" w:hAnsi="Amiri"/>
          <w:color w:val="111111"/>
          <w:sz w:val="28"/>
          <w:szCs w:val="28"/>
          <w:lang w:bidi="ar-SA"/>
        </w:rPr>
        <w:t>33/1934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عبر عن اقتناعه المتمثل في كون فيخته كان قوميا اشتراكيا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دافع ريكرت إذا على النازية كنظام حكم، وبهذا حدث هناك انعطاف للكانطية الجديدة عنده من الفلسفة النقدية إلى الأيديولوجيا النازية، بكل ما يتضمنه ذلك من انتماء وانضمام علني أو ضمني للفكر الإقصائي للنازية، سواءً تعلق الأمر بأيديولوجيا سموّ العرق الآري على كل الأجناس أو كره كل ما ليس ألمانيا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هذه العنصرية الموروثة من الفكر الغربي عموما، والتي عششت في استراتيجيات السياسات الاستعمارية، حتى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أبارتهايدا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خالصا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يُرجع كيغي</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D. Kaegi. In: W.U. Eckart, V. Sellin, E. Wolgast (Hg.). Die Universität Heidelberg im Nationalsozialismus, Heidelberg 2006, S 321 -349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Kaegi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سبب مساندة ريكرت للنازية إلى فقدان مدرسة بادن للكثير من مكانتها في ما يخص فلسفة القيم، نظرًا للمنافسة الحادة لتيارات فلسفية معاصرة لها كالفينومينولوجيا والأنثروبولوجيا الفلسفية والوجودية والأنطولوجيا الأساسية لهايدغر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وتسبب هذا في نظره في أزمة فعلية للكانطية الجديدة، ويُرجع فولدا سبب هذه الأزمة إلى خلط المدرسة للقيمي والسياسي؛ وهو خلط وقع مبكرًا عندها، سبق وصول النازية للحكم بسنوات عديدة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سبق وأن رأينا في عرض أهم ممثلي الكانطية الجديدة، فإن توجهاتهم السياسية كانت مختلفةً قبل وبعد الحرب العالمية </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منهم اليساريون واليمينيون، بل حتى اللامبالون سياسيًا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وببداية الحكم النازي تحول معظمهم إلى النازية، وكانت أسباب هذا التحول تختلف من شخص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ويُعبر هذا في العمق على تفاقم الأزمة التي أشرنا لها سابقًا، وتتفاقم هذه الأزمة إذا استحضرنا للذهن إشكالية تعريف مصطلح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فريكرت مثلا ربطها بأصل طبيعي، إثني مشترك، لكنه استثنى اليهود، لأنهم في نظره لا ينتمون الحقيقة إلى الأمة الألمانية ؛ وحتى الكانطيون الجدد مثل كوهن وكاسيرر ويونس كون و ریخارد كرونر وغيرهم، لم يكونوا في نظره قادرين على فهم الثقافة الألمانية من الداخل بطريقة سليمة، بما في ذلك كانط؛ ولا يحبون في اعتقاده الوطن الأم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الألمان له والغريب في الأمر هو أن لا كوهن ولا كاسيرر اعترضوا على مثل هذه الأمور، باستثناء هانس إيرنبيرغ </w:t>
      </w:r>
      <w:r>
        <w:rPr>
          <w:rFonts w:eastAsia="Times New Roman" w:cs="Times New Roman" w:ascii="Times New Roman" w:hAnsi="Times New Roman"/>
          <w:color w:val="111111"/>
          <w:sz w:val="28"/>
          <w:szCs w:val="28"/>
          <w:lang w:val="en-US" w:bidi="en-US"/>
        </w:rPr>
        <w:t>Ehrenberg</w:t>
      </w:r>
      <w:r>
        <w:rPr>
          <w:rFonts w:ascii="IRNazanin" w:hAnsi="IRNazanin" w:eastAsia="IRNazanin"/>
          <w:color w:val="111111"/>
          <w:sz w:val="28"/>
          <w:sz w:val="28"/>
          <w:szCs w:val="28"/>
          <w:rtl w:val="true"/>
          <w:lang w:bidi="fa-IR"/>
        </w:rPr>
        <w:t>، الذي انفصل عن الكانطية قبل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كوهن وكاسيرر لم يساهما أيضًا في تحديد مفهوم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إطار فلسفة القيم، حتى عندما  نادی ریکرت بضرورة إجلاء اليهود وإخراجهم من ألمانيا، ناسيًا أو متناسيًا مواقفه ضد العنصرية ودفاعه على حقوق الإنسان في وقت سابق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الكثير من الخلفيات الفلسفية التي كانت وراء سقوط الكثير من الكانطيين الجدد في مخالب النازية، ومن بين أهم هذه الخلفيات طبقًا لفولدا، هناك الفهم الخاطئ للكانطية الجديدة في جناح بادن ونظيره جناح ماربورغ لمفهوم القانون الكانطي، وهذا الخطأ هو الذي أدى إلى احتواء فلسفة القانون الكانطي الجديد على بذور مضمرة للطوطاليرية، بإدماج فلسفة القانون في فلسفة </w:t>
      </w:r>
    </w:p>
    <w:p>
      <w:pPr>
        <w:pStyle w:val="BookText"/>
        <w:rPr/>
      </w:pPr>
      <w:r>
        <w:rPr>
          <w:rFonts w:ascii="Amiri" w:hAnsi="Amiri" w:eastAsia="Amiri" w:cs="Amiri"/>
          <w:color w:val="111111"/>
          <w:sz w:val="28"/>
          <w:sz w:val="28"/>
          <w:szCs w:val="28"/>
          <w:rtl w:val="true"/>
          <w:lang w:bidi="ar-SA"/>
        </w:rPr>
        <w:t xml:space="preserve">الأخلاق؛ ضدا على كل محاولات كانط نفسه لإبقاء الميدانين بعيدين عن بعضهما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الرغم من التباين بين الكانطية الجديدة والعلوم الاجتماعية، وبالخصوص السوسيولوجيا التجريبية والوضعية، في ما يتعلق بفلسفة القانون فإن هناك الكثير من مواطن الاتفاق بينهما في ما يخص فلسفة القانون، لا يسمح المقام بتفصيل القول فيه هنا، لأن ما يهمنا أكثر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العلاقة بين فكر فلسفة الكانطية الجديدة وفلسفة القانون والعلوم القانونية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والسؤال الجوهري الذي نطرحه مع کاوفمان </w:t>
      </w:r>
      <w:r>
        <w:rPr>
          <w:rFonts w:eastAsia="Times New Roman" w:cs="Times New Roman" w:ascii="Times New Roman" w:hAnsi="Times New Roman"/>
          <w:color w:val="111111"/>
          <w:sz w:val="28"/>
          <w:szCs w:val="28"/>
          <w:lang w:val="en-US" w:bidi="en-US"/>
        </w:rPr>
        <w:t>Erich Kaufmann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هذا الإطار هو ما هي الأسباب التي دفعت بالفكر الألماني إلى الرجوع إلى كانط بعدما كان المرء يعتقد بأن فكره قد طُويَ جرّاء هيمنة التفكير التأملي؟ ويرى كاوفمان سببين لهذا الأمر ، يكمن الأول منهما في تأكيده على أن العقلانية القبلية وتعاليمه حول الضرورة القاطعة لسيادة القوانين العقلية قدمت دعما لا يُستهان به لمواجهة التجريبية التي كانت طاغيةً آنذاك على الحياة الحديثة بكل تعقيداتها ومخاطرها، بما في ذلك نزوحها المادي والنسبي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السبب الثاني فيكمن في نظر كاوفمان في فهم القانون العقلي القبلي بطريقة شكلية، وهو فهم رُحّب به في ذلك الوقت بسبب فراغه مضامينيّا بالخصوص؛ لأنه بذلك لم يقوّض العلوم الدقيقة في اشتغالها على المادة الطبيعية تجريبيا، وبهذا نجح كانط، طبقًا لكاوفمان، في تقديم أساس لنظرية المعرفة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بعدم دعوة كانط إلى تأسيس الميتافيزيقا من جديد، بل بتحويلها إلى منهج، فإن الكانطية الجديدة لعصر التجريبية الذي ظهرت فيه، لم تر في موقف كانط أي خطر، بل اعتبرته من لحمتها، على اعتبار </w:t>
      </w:r>
    </w:p>
    <w:p>
      <w:pPr>
        <w:pStyle w:val="BookText"/>
        <w:rPr/>
      </w:pPr>
      <w:r>
        <w:rPr>
          <w:rFonts w:ascii="Amiri" w:hAnsi="Amiri" w:eastAsia="Amiri" w:cs="Amiri"/>
          <w:color w:val="111111"/>
          <w:sz w:val="28"/>
          <w:sz w:val="28"/>
          <w:szCs w:val="28"/>
          <w:rtl w:val="true"/>
          <w:lang w:bidi="ar-SA"/>
        </w:rPr>
        <w:t>أن ما كان يهمها في المقام الأول هو تشكيل الشروط الشكلية للعلوم الإنسانية عن طريق التحديد النقدي الذاتي؛ وبهذا ظهرت الكانطية الجديدة كعلم خاص، إلى جانب كل العلوم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أكد كاوفمان على ذلك، فإن الكانطية الجديدة حاولت بهذا توحيد ما هو غير قابل للتوحيد، لأن محاولة إعطاء العالم الإمبريقي متكأ ومعنّى، قاد إلى عدم فهم العلاقة بين الكانطية الجديدة، التي قدمت عالماً متعاليًا شكليًّا وقيميًّا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والعالم التجريبي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میز کانط بين أشكال التأمل وأشكال الأصناف وتأسيس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أفكار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وأعطى لفكرة العقل وظيفةً تاريخيةً فلسفيةً، عن طريق تاريخ الميتافيزيقا العقلاني، المؤسس في آخر المطاف على الشيء في ذاته التأملية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جانب هذا طور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ملكة الحكم غائية عقلانية لفهم العالم التاريخي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ويؤكد كاوفمان بأن كلَّ هذا صُبّ في الكانطية الجديدة بطرق مختلفة في مدارسها المتعددة بطريقة لاكانطيّة وبطريقة غير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حاول المرء مثلا تجنب الميتافيزيقا الكانطية، لكنه سقط في صعوبات غير قابلة للحل في الأماكن التي كان تفكير كانط فيها متجذرًا ميتافيزيقيا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إلى هذا فإن الكانطية الجديدة رفضت الفهم المدرسي للقيم المطلقة، التي كانت تعتبرها جواهر ميتافيزيقيةً، لها مستويات أو درجات مختلفة؛ لكنها لم تقدم أي بديل عنها، ولا يمكن تعويضها بتجريدات معرفية نظرية </w:t>
      </w:r>
      <w:r>
        <w:rPr>
          <w:rFonts w:eastAsia="Amiri" w:cs="Amiri" w:ascii="Amiri" w:hAnsi="Amiri"/>
          <w:color w:val="111111"/>
          <w:sz w:val="28"/>
          <w:szCs w:val="28"/>
          <w:rtl w:val="true"/>
          <w:lang w:bidi="ar-SA"/>
        </w:rPr>
        <w:t xml:space="preserve">. </w:t>
      </w:r>
      <w:bookmarkStart w:id="217" w:name="pg16300_179456"/>
    </w:p>
    <w:p>
      <w:pPr>
        <w:pStyle w:val="Heading3"/>
        <w:numPr>
          <w:ilvl w:val="2"/>
          <w:numId w:val="1"/>
        </w:numPr>
        <w:rPr/>
      </w:pPr>
      <w:bookmarkStart w:id="218" w:name="__RefHeading___Toc5377413_1280447820"/>
      <w:bookmarkStart w:id="219" w:name="_Toc76"/>
      <w:bookmarkEnd w:id="217"/>
      <w:bookmarkEnd w:id="218"/>
      <w:r>
        <w:rPr>
          <w:rtl w:val="true"/>
        </w:rPr>
        <w:t>الجزء الرابع</w:t>
      </w:r>
      <w:r>
        <w:rPr>
          <w:rtl w:val="true"/>
        </w:rPr>
        <w:t xml:space="preserve">: </w:t>
      </w:r>
      <w:r>
        <w:rPr>
          <w:rtl w:val="true"/>
        </w:rPr>
        <w:t>نقد فلسفة الدين للكانطية الجديدة</w:t>
      </w:r>
      <w:bookmarkEnd w:id="219"/>
    </w:p>
    <w:p>
      <w:pPr>
        <w:pStyle w:val="BookText"/>
        <w:rPr/>
      </w:pPr>
      <w:r>
        <w:rPr>
          <w:rFonts w:ascii="Amiri" w:hAnsi="Amiri" w:eastAsia="Amiri" w:cs="Amiri"/>
          <w:color w:val="111111"/>
          <w:sz w:val="28"/>
          <w:sz w:val="28"/>
          <w:szCs w:val="28"/>
          <w:rtl w:val="true"/>
          <w:lang w:bidi="ar-SA"/>
        </w:rPr>
        <w:t>كانت الحرب العالمية الأولى بكل أسبابها ومسبباتها ومبرراتها ونتائجها، سببًا في إعادة الرأي العام الغربي بصفة عامة في قضية الدين ومكانه، ولربما مكانته في المجتمع ؛ بعد أكثر من قرن من الزمن من شعارات التخلص من الدين حتى وإن كانت هذه الحرب لم تندلع 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لأسباب سياسية واقتصادية 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حصل على مستوى العلاقة بالدين، هو أن الإنسان الأوروبي الشعبي العامي البسيط، الذي وعلى الرغم من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الثقافية ونشر ثقافة مادية ملحدة، لم تكتف برفض الدين بل هاجمته بمناسبة أو بغير مناسبة بحجة عدم عقلانيته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انتبه إلى أن الحرب كانت بمثابة هدم للعقل الذي تغنى المرء بفضائله وحباه بمقام ،سام وبالتالي كان من شبه المنطقي، في ظروف الحرب هذه، عدم التضحية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هذا الأخير لم يغادر الواقع الاجتماعي الغربي، وبالخصوص الناطق بالألمانية منه، حتى وإن كانت التيارات الملحدة سوّقت دون هوادة منذ الثورة الفرنسية وَهُمَ 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الدين قُضي عليه إلى غير رجعة </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بين التيارات الفلسفية التي اهتمت بكثافة بالدين قُبيل وأثناء وبعد الحرب العالمية الأولى، كانت هناك الكانطية الجديدة؛ التي بقيت إلى حدود معينة </w:t>
      </w:r>
      <w:r>
        <w:rPr>
          <w:rStyle w:val="FootnoteAnchor"/>
          <w:rtl w:val="true"/>
        </w:rPr>
        <w:footnoteReference w:id="131"/>
      </w:r>
      <w:r>
        <w:rPr>
          <w:rFonts w:ascii="Amiri" w:hAnsi="Amiri" w:eastAsia="Amiri" w:cs="Amiri"/>
          <w:color w:val="111111"/>
          <w:sz w:val="28"/>
          <w:sz w:val="28"/>
          <w:szCs w:val="28"/>
          <w:rtl w:val="true"/>
          <w:lang w:bidi="ar-SA"/>
        </w:rPr>
        <w:t>سابحة في الفهم الأغسطيني للمسيحية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داعي للتذكير أن أغسطين حاول تذويب المسيحية والأفلاطونية في بعضيهما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لهيسن </w:t>
      </w:r>
      <w:r>
        <w:rPr>
          <w:rFonts w:eastAsia="Times New Roman" w:cs="Times New Roman" w:ascii="Times New Roman" w:hAnsi="Times New Roman"/>
          <w:color w:val="111111"/>
          <w:sz w:val="28"/>
          <w:szCs w:val="28"/>
          <w:lang w:val="en-US" w:bidi="en-US"/>
        </w:rPr>
        <w:t>Hessen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فإن الفلسفة الكانطية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تستنشق مع أفضل ممثليها الأفلاطونية، وبهذا، ومن خلال أفلاطون وبالرجوع إلى أغسطين تسبح الكانطية الجديدة إذا في المسيحية، وبالخصوص في جناحها البروتيستاني، كما يؤكد على ذلك هيسن السالف الذكر؛ باستثناء كوهن الذي اهتم في المقام الأول باليهودية، دينه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المشكل الأساسي بالنسبة للكانطية الجديدة هو موضعة أو وضع الدين في مكان ما من نسقها الفلسفي العام الخاص بالفلسفة الثقافية المكونة من العلم والأخلاق والفن؛ في وقت وحقبة تاريخية أصبح الاهتمام بالدين في الثقافات الغربية من نوافل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هناك محاولات عديدة ومختلفة لإيجاد مكان للدين في هذا الفضاء الفلسفي الشاسع للكانطية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المرء ترك الدين يسبق الفلسفة، أو أنه اعتبره تتمةً للميادين الثقافية الأخرى أو اعتبره خاتمةً للفلسفة أو درس إشكالية الدين في استقلال عن الميادين الأخرى أو في علاقتها بالنسق الفلسفي الثقافي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إذا كل هذه الحلول الأربعة مُمَثَّلة في الكانطية الجديدة في مدرستيها الرئيسيتين ماربورغ و بادن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ناتروب الحل الأول في دراسته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 في حدود الإنسانية</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معتبرًا أنّ الدين ينتمي إلى الذاتية المحضة، في مقابل المواضيع الثقافية الأخرى العلم الأخلاق،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أنه كان يرى بأن الدين لا يتوفر على أي موضوع، ولا يمكن أن يتوفر عليه، </w:t>
      </w:r>
    </w:p>
    <w:p>
      <w:pPr>
        <w:pStyle w:val="BookText"/>
        <w:rPr/>
      </w:pPr>
      <w:r>
        <w:rPr>
          <w:rFonts w:ascii="Amiri" w:hAnsi="Amiri" w:eastAsia="Amiri" w:cs="Amiri"/>
          <w:color w:val="111111"/>
          <w:sz w:val="28"/>
          <w:sz w:val="28"/>
          <w:szCs w:val="28"/>
          <w:rtl w:val="true"/>
          <w:lang w:bidi="ar-SA"/>
        </w:rPr>
        <w:t>فمن الضروري أن يسقط موضوعه المتعالي؛ وهذا من شأنه، كما كان يرى أن يحدث تغييرا في الدين الموحى به التاريخي، ليصبح دين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هذا هو أن فكرة الله ستصبح فكرة الإنسان، وسيصبح القدر النهائي للإنسان ليس هو الخلاص والحياة الأبدية،</w:t>
      </w:r>
    </w:p>
    <w:p>
      <w:pPr>
        <w:pStyle w:val="BookText"/>
        <w:rPr/>
      </w:pPr>
      <w:r>
        <w:rPr>
          <w:rFonts w:ascii="Amiri" w:hAnsi="Amiri" w:eastAsia="Amiri" w:cs="Amiri"/>
          <w:color w:val="111111"/>
          <w:sz w:val="28"/>
          <w:sz w:val="28"/>
          <w:szCs w:val="28"/>
          <w:rtl w:val="true"/>
          <w:lang w:bidi="ar-SA"/>
        </w:rPr>
        <w:t>لأن فهم ناتروب للدين لا يضمن أي حياة بعد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كوهن فقد مثل الحل الثاني بدءًا من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الدين في النسق الفلسفي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فبعدما كان يطالب بإلحاق الدين بالأخلاق، فإنه غير رأيه بالاعتراف للدين بمجاله الخاص به، دون الاعتراف له بالإستقلال عن الفلسفة كان یری بأن العلاقة بين الدين والمنطق تكمن في رجوعهما سويًا إلى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أن هذا الأخير يكون ممثلاً في المنطق في مواضيع العلوم الطبيعية، أما في الدين فإن الوجود الوحيد المعترف به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وانطلاقا من هذا فإن الأخلاق طبقا لكوهن تقود بالضرورة إلى فكرة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كان يرى بأنّ هناك علاقةً بين الدين والإستيطيقا، تتمثل في تأسيس كليهما على الأحاسيس والمشاعر والمعيشات الداخلية للأفراد؛ على الرغم من أنه يعطي للأحاسيس والمشاعر الدينية فهما خاصا، يتمثل في</w:t>
      </w:r>
    </w:p>
    <w:p>
      <w:pPr>
        <w:pStyle w:val="BookText"/>
        <w:rPr/>
      </w:pPr>
      <w:r>
        <w:rPr>
          <w:rFonts w:ascii="Amiri" w:hAnsi="Amiri" w:eastAsia="Amiri" w:cs="Amiri"/>
          <w:color w:val="111111"/>
          <w:sz w:val="28"/>
          <w:sz w:val="28"/>
          <w:szCs w:val="28"/>
          <w:rtl w:val="true"/>
          <w:lang w:bidi="ar-SA"/>
        </w:rPr>
        <w:t>الشعور بألم وحاجة الآخر والتتوق الشغوف للإقتراب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السبب الرئيس الذي حدا بكوهن إلى عدم تقرير استقلال الدين كحقل خاص، فيرجع إلى اعتقاده في كون الدين لا يُشكّل أيَّ توجه خاص للوعي</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Hans-Ludwig Ollig. Der Neukantianismus. Stuttgart, Mezler, 1979</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هناك، على ما يقوله، إلى جانب التفكير الخالص والشعور والإرادة أيُّ وظيفة أخرى يمكن للدين</w:t>
      </w:r>
    </w:p>
    <w:p>
      <w:pPr>
        <w:pStyle w:val="BookText"/>
        <w:rPr/>
      </w:pPr>
      <w:r>
        <w:rPr>
          <w:rFonts w:ascii="Amiri" w:hAnsi="Amiri" w:eastAsia="Amiri" w:cs="Amiri"/>
          <w:color w:val="111111"/>
          <w:sz w:val="28"/>
          <w:sz w:val="28"/>
          <w:szCs w:val="28"/>
          <w:rtl w:val="true"/>
          <w:lang w:bidi="ar-SA"/>
        </w:rPr>
        <w:t>الزعم بأنها خاصة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وعلى الرغم من ذلك فإنه كان يرى بأن الميادين الثقافية الثلاثة آنفة الذكر في حاجة إلى إتمام لها عبر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حاول المنتمون لمدرسة بادن أو القريبون منهم الإجابة على الحل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عكس ما رآه كوهن وناتروب، فإن فيندلباند، مؤسس مدرس بادن رأى بأن الدين يتجاوز المنطق والأخلاق والإستيطيقا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يميّز الدين عنده هو حيازته لميدانه الخاص، المتمثل في المقدس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Heiligen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كما أنه أكد على أن المرء بإمكانه الحديث عن میدان خاص بالحقيقي أو الصحيح والخير والجميل شكليًّا فقط، لا من وجهة نظر مادية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ويذهب فيندلباند أكثر من هذا، ليؤكد بأن المدى والوظيفة النفسية للمنطقي والأخلاقي والإستيطيقي يصلان إلى حدهما الأقصى، وبهذا لا يجب البحث عن المقدس في ميدان الحياة النفسية من هنا فإنه يؤكد بأن المقدس يستمد مضمونه من الميادين القيمية الثلاثة الأخرى؛ فالمقدس هو الوعي المادي للحقيقي أو الصحيح والخير والجميل، ويُعاش كحقيقة متعالية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الوقت الذي تكون فيه هذه القيم محدودةً، بالنظر إلى ما هو صحيح نفسيًا ومعياريّاً، فإنها تكون في الدين صالحةً دون حدود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بمعنى يرى بأن ما يسود في الدين هو شمولية المعايير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فيندلباند هذه المعايير بمثابة أسمى وآخر ما نمتلكه في شمولية مضمون وعينا، ولا نعرف أي شيء آخر خارجها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وتُعتبر مقدسةً بالنسبة لنا، لأنها ليست نتاج الحياة الروحية للأفراد ولا نتيجة الوعي المجتمعي التجريبي، بل إنّها مضمون قيم وجود عقلي أسمى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الإنسان متدينا إذا كان مُحددًا بهذا النوع من التعالي السامي</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بصفة عامة فالدين عند فیندل باند هو حياة متعالية، وما هو </w:t>
      </w:r>
    </w:p>
    <w:p>
      <w:pPr>
        <w:pStyle w:val="BookText"/>
        <w:rPr/>
      </w:pPr>
      <w:r>
        <w:rPr>
          <w:rFonts w:ascii="Amiri" w:hAnsi="Amiri" w:eastAsia="Amiri" w:cs="Amiri"/>
          <w:color w:val="111111"/>
          <w:sz w:val="28"/>
          <w:sz w:val="28"/>
          <w:szCs w:val="28"/>
          <w:rtl w:val="true"/>
          <w:lang w:bidi="ar-SA"/>
        </w:rPr>
        <w:t>جوهري في هذه الأخيرة ويُعاش فوق التجربة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 الانتماء إلى عالم قيم روحية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يُعبر الدين عن نفسه، طبقا له، كإحساس متعال، وتمثل متعال وتصور متعال وإرادة متعالية وسلوك متعال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فَهم ريكرت الدين كذلك كتكميل وخاتمة للثقافة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ويميّز فی نسقُه القيميُّ بين القيم التأملية والقيم النشيطة، ويُعتبر التصوف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جانب العلم والفن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قيمةً تأملية؛ في حين يعتبر التوحيد، إلى جانب الخيرات الأخلاقية والشخصية قيمةً نشيطةً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كانت الحلولية تميل إلى توحيد العالم، فإن التوحيد يُضمر عند ريكرت تأييد الحياة الفردية والجماعية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فالعلاقة بالألوهية لا تأتي بإيقاع للأنا الفردي، بل إنّ اللحظة الاجتماعية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ترفع إلى ما وراء كل ما هو عرضي، بما ان الألوهية تتقدم لكل أنا كأنت خاص، يدخل معه في اتحاد داخلي عميق </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Hans-Ludwig Ollig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ذكره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Marburger Schule</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يعط ريكرت أي معنى موحد للحياة الدينية ولم يناقش صحة هذا الدين أو ذاك، لكن ما كان يهمه في المقام الأول هو التأكيد على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الشخصي للتوحيد وكثرة الأرواح النشيطة في عرفنا مكانها كالحلولية في الجهة الأخرى للحياة التأملية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الوقت الذي ينطلق فيه فيندلباند من الواقع الميتافيزيقي للقيم الدينية كوجود حقيقي سام، فإن ريكرت يُرجع هذا الوجود إلى ميدان الاعتقاد؛ ذلك أن الذي يعتقد في الله لا يقنع بصلاحية القيم وحسب، بل يفترض أيضًا سلطانها على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وينبه إلى أن </w:t>
      </w:r>
    </w:p>
    <w:p>
      <w:pPr>
        <w:pStyle w:val="BookText"/>
        <w:rPr/>
      </w:pPr>
      <w:r>
        <w:rPr>
          <w:rFonts w:ascii="Amiri" w:hAnsi="Amiri" w:eastAsia="Amiri" w:cs="Amiri"/>
          <w:color w:val="111111"/>
          <w:sz w:val="28"/>
          <w:sz w:val="28"/>
          <w:szCs w:val="28"/>
          <w:rtl w:val="true"/>
          <w:lang w:bidi="ar-SA"/>
        </w:rPr>
        <w:t>المرء يقوم بهذا انطلاقا من إيمانه، لا طبقًا لأي قانون موضوع من طرف جهة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انتقلنا لباوخ</w:t>
      </w:r>
      <w:r>
        <w:rPr>
          <w:rFonts w:eastAsia="Times New Roman" w:cs="Times New Roman" w:ascii="Times New Roman" w:hAnsi="Times New Roman"/>
          <w:color w:val="111111"/>
          <w:sz w:val="28"/>
          <w:szCs w:val="28"/>
          <w:lang w:val="en-US" w:bidi="en-US"/>
        </w:rPr>
        <w:t>Bauch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فإننا نجد عنده الفهم نفسه للدين كما رأيناه عند فيندلباند وريكرت ذلك أن الواقع والقيمة توجدان عنده كذلك في تقابل مع بعضهما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فطالما شكلنا الواقع طبقا للقيم، فإنّ القيمة تكتسي معنى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الإلهي فإنه عند باوخ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القيمة في علاقتها مع الواقع في الواقع، في أهميته الحقيقية</w:t>
      </w:r>
      <w:r>
        <w:rPr>
          <w:rFonts w:eastAsia="Amiri" w:cs="Amiri" w:ascii="Amiri" w:hAnsi="Amiri"/>
          <w:color w:val="111111"/>
          <w:sz w:val="28"/>
          <w:szCs w:val="28"/>
          <w:rtl w:val="true"/>
          <w:lang w:bidi="ar-SA"/>
        </w:rPr>
        <w:t>»</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يرى خاصية الدين في كونه يضيف لحظةً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القيم الثقافية، وبالضبط لحظة علاقة صحة صلابة الواقع بقيم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يثبت الدين نفسه كإتمام وتاج للثقافة، طبقًا لباوخ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يبقى وفيا للمبدأ المثالي للكانطية الجديدة، لأنه لا يعتبر القيمة الدينية كحقيقة أو كواقع ميتافيزيقي كفندلباند ولا كحقيقة واقعية كريكرت لكنه يعتبرها فقط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واقعيةً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مؤكدًا على العلاقة بين القيمة والواقع، لكن هي نفسها ليست واقعا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تقترح مدرسة ماربورغ للكانطية الجديدة جوابًا على الحل الرابع المتعلق بالدين كما ذكرنا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ونجد أنفسنا في هذه النقطة من جديد وجها لوجه مع كوهن وبالخصوص في اهتمامه المتأخر بالدين، كما نجد ذلك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 العقل انطلاقًا من مصادر 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أن المرء يلمس عنده في كتابه هذا ميله إلى استنتاج قبلي لدين عقلي، إلا أن الواقع يوحي، عند قراءة متأنية لهذا الكتاب، بأنه سقط في نوع من البناء البعدي لحبه لدينه الأصلي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 نلمس نوعا من الإزدواجية عنده إذا لم نقل تناقضا أو تأرجحا، في ما يخص المفهوم المركزي الذي استعمله، أي مصطلح الارتباط </w:t>
      </w:r>
      <w:r>
        <w:rPr>
          <w:rFonts w:eastAsia="Times New Roman" w:cs="Times New Roman" w:ascii="Times New Roman" w:hAnsi="Times New Roman"/>
          <w:color w:val="111111"/>
          <w:sz w:val="28"/>
          <w:szCs w:val="28"/>
          <w:lang w:val="en-US" w:bidi="en-US"/>
        </w:rPr>
        <w:t>Korrelation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الفرد المتدين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نلمس بوضوح، بالطريقة التي تعرض بها كوهن للظاهرة الدينية، بأنه قاد الكانطية الجديدة لمدرسة ماربورغ إلى حدود فظيعة، لأننا نلمس فيها آثارًا واضحةً للوجودية، أو على الأقل نوعاً من الحوار مع هذه الأخيرة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الشيء نفسه نجده تقريبا كذلك عند ناتروب المتأخر، الذي تجاوز بوضوح نسقية مدرسة ماربورغ، ووجد فهمه للدين في شيخوخته صدى في الثيولوجيا الدياليكتيكية، كما نظر لها فريدريك غوغارتين </w:t>
      </w:r>
      <w:r>
        <w:rPr>
          <w:rFonts w:eastAsia="Times New Roman" w:cs="Times New Roman" w:ascii="Times New Roman" w:hAnsi="Times New Roman"/>
          <w:color w:val="111111"/>
          <w:sz w:val="28"/>
          <w:szCs w:val="28"/>
          <w:lang w:val="en-US" w:bidi="en-US"/>
        </w:rPr>
        <w:t>Friedrich Gogarten (1967-1887)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ويتمثل اقتراب ناتروب من هذه الثيولوجيا في علاقة الذاتية الفانية بالله كمصدر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ناتروب الذاتية الفانية كمغاير بطريقة مطلقة لله وغير قادرة على إعادة العلاقة مع مصدرها انطلاقا من ذاتها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تكون على الرغم من ذلك في قابليتها للفناء في علاقة فوق فانية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تعرضت فلسفة الدين للكانطية الجديدة لانتقادات عديدة منذ ظهورها، وبالخصوص من طرف كورت كيسلر</w:t>
      </w:r>
      <w:r>
        <w:rPr>
          <w:rStyle w:val="FootnoteAnchor"/>
        </w:rPr>
        <w:footnoteReference w:id="136"/>
      </w:r>
      <w:r>
        <w:rPr>
          <w:rFonts w:eastAsia="Times New Roman" w:cs="Times New Roman" w:ascii="Times New Roman" w:hAnsi="Times New Roman"/>
          <w:color w:val="111111"/>
          <w:sz w:val="28"/>
          <w:szCs w:val="28"/>
          <w:lang w:val="en-US" w:bidi="en-US"/>
        </w:rPr>
        <w:t>Kurt Kessler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وماكس شیلر</w:t>
      </w:r>
      <w:r>
        <w:rPr>
          <w:rStyle w:val="FootnoteAnchor"/>
        </w:rPr>
        <w:footnoteReference w:id="137"/>
      </w:r>
      <w:r>
        <w:rPr>
          <w:rFonts w:eastAsia="Times New Roman" w:cs="Times New Roman" w:ascii="Times New Roman" w:hAnsi="Times New Roman"/>
          <w:color w:val="111111"/>
          <w:sz w:val="28"/>
          <w:szCs w:val="28"/>
          <w:lang w:val="en-US" w:bidi="en-US"/>
        </w:rPr>
        <w:t>Max Schler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وهاينريك شولتس</w:t>
      </w:r>
      <w:r>
        <w:rPr>
          <w:rStyle w:val="FootnoteAnchor"/>
        </w:rPr>
        <w:footnoteReference w:id="138"/>
      </w:r>
      <w:r>
        <w:rPr>
          <w:rFonts w:eastAsia="Times New Roman" w:cs="Times New Roman" w:ascii="Times New Roman" w:hAnsi="Times New Roman"/>
          <w:color w:val="111111"/>
          <w:sz w:val="28"/>
          <w:szCs w:val="28"/>
          <w:lang w:val="en-US" w:bidi="en-US"/>
        </w:rPr>
        <w:t>Heinrich Schola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ورودولف أوطو </w:t>
      </w:r>
      <w:r>
        <w:rPr>
          <w:rStyle w:val="FootnoteAnchor"/>
        </w:rPr>
        <w:footnoteReference w:id="139"/>
      </w:r>
      <w:r>
        <w:rPr>
          <w:rFonts w:eastAsia="Times New Roman" w:cs="Times New Roman" w:ascii="Times New Roman" w:hAnsi="Times New Roman"/>
          <w:color w:val="111111"/>
          <w:sz w:val="28"/>
          <w:szCs w:val="28"/>
          <w:lang w:val="en-US" w:bidi="en-US"/>
        </w:rPr>
        <w:t>Rudolf Otto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ويؤكد هيسن</w:t>
      </w:r>
      <w:r>
        <w:rPr>
          <w:rStyle w:val="FootnoteAnchor"/>
          <w:rtl w:val="true"/>
        </w:rPr>
        <w:footnoteReference w:id="140"/>
      </w:r>
      <w:r>
        <w:rPr>
          <w:rFonts w:ascii="Amiri" w:hAnsi="Amiri" w:eastAsia="Amiri" w:cs="Amiri"/>
          <w:color w:val="111111"/>
          <w:sz w:val="28"/>
          <w:sz w:val="28"/>
          <w:szCs w:val="28"/>
          <w:rtl w:val="true"/>
          <w:lang w:bidi="ar-SA"/>
        </w:rPr>
        <w:t xml:space="preserve">بأنّ هناك </w:t>
      </w:r>
    </w:p>
    <w:p>
      <w:pPr>
        <w:pStyle w:val="BookText"/>
        <w:rPr/>
      </w:pPr>
      <w:r>
        <w:rPr>
          <w:rFonts w:ascii="Amiri" w:hAnsi="Amiri" w:eastAsia="Amiri" w:cs="Amiri"/>
          <w:color w:val="111111"/>
          <w:sz w:val="28"/>
          <w:sz w:val="28"/>
          <w:szCs w:val="28"/>
          <w:rtl w:val="true"/>
          <w:lang w:bidi="ar-SA"/>
        </w:rPr>
        <w:t>نواقص مهمةً في الفلسفة الدينية للكانطية الجديدة، تطرق للبعض منها، ومن أهمها في نظره كونها لم تنطلق من تاريخ الدين ولا من سيكولوجيا الدين؛ بل فضّلت الانطلاق من منطق استنتاجي أو استنباطي عوض المنطق الاستقرائي في تحديدها لجوهر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الأمر في نظره علاقة وطيدة بالتصور المثالي الأساسي</w:t>
      </w:r>
    </w:p>
    <w:p>
      <w:pPr>
        <w:pStyle w:val="BookText"/>
        <w:rPr/>
      </w:pPr>
      <w:r>
        <w:rPr>
          <w:rFonts w:ascii="Amiri" w:hAnsi="Amiri" w:eastAsia="Amiri" w:cs="Amiri"/>
          <w:color w:val="111111"/>
          <w:sz w:val="28"/>
          <w:sz w:val="28"/>
          <w:szCs w:val="28"/>
          <w:rtl w:val="true"/>
          <w:lang w:bidi="ar-SA"/>
        </w:rPr>
        <w:t>للكانطية الجديدة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طبقًا لهذا التصور فإن المفاهيم لا تستخرج من مادة التجربة، بل تُؤسّس قبليًا وتُقدَّم من خلال التفكير الخالص وتُنتَج كأفكار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لا يمكن لتاريخ الدين وللسيكولوجيا الدينية، والتي تُعتبر علومًا إمبريقيةً، أن تُقدّم لنا مفهوم الدين، بل إنّ الفلسفة النسقية وحدها هي التي باستطاعتها ذلك</w:t>
      </w:r>
      <w:r>
        <w:rPr>
          <w:rFonts w:eastAsia="Amiri" w:cs="Amiri" w:ascii="Amiri" w:hAnsi="Amiri"/>
          <w:color w:val="111111"/>
          <w:sz w:val="28"/>
          <w:szCs w:val="28"/>
          <w:rtl w:val="true"/>
          <w:lang w:bidi="ar-SA"/>
        </w:rPr>
        <w:t xml:space="preserve">» </w:t>
      </w:r>
      <w:r>
        <w:rPr>
          <w:rStyle w:val="FootnoteAnchor"/>
          <w:rtl w:val="true"/>
        </w:rPr>
        <w:footnoteReference w:id="141"/>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تقصينا خُطى هيسن هذا في نقده سالف الذكر، فإننا نجد إشكالية صحة الدين من وجهة نظر الكانطية الجديدة حاضرة 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،فالدين طبقا لهيسن يستمد مشروعيته من قانونه الداخلي ومن نوع من اليقين الداخلي له علاقة وطيدة بالتجربة الخاصة التي يقوم بها أيُّ إنسان في اتحاده مع أو بالله وهذه التجربة هي التي تؤسس في آخر المطاف نوعا من الوعي الديني، كما نجد ذلك في الكثير من التجارب الصوفية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الكانطية الجديدة لا تعترف بهذا اليقين، بل تعتبر ذلك غير عقلاني، كما نجد ذلك عند الكثير من ممثلي هذا الاتجاه الفلسفي كليبرت </w:t>
      </w:r>
      <w:r>
        <w:rPr>
          <w:rFonts w:eastAsia="Times New Roman" w:cs="Times New Roman" w:ascii="Times New Roman" w:hAnsi="Times New Roman"/>
          <w:color w:val="111111"/>
          <w:sz w:val="28"/>
          <w:szCs w:val="28"/>
          <w:lang w:val="en-US" w:bidi="en-US"/>
        </w:rPr>
        <w:t>Libert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وكوهن الذي ادعى أنه يحاول تحرير الدين من مثل هذا النوع من الحدس الديني</w:t>
      </w:r>
      <w:r>
        <w:rPr>
          <w:rStyle w:val="FootnoteAnchor"/>
          <w:rtl w:val="true"/>
        </w:rPr>
        <w:footnoteReference w:id="142"/>
      </w:r>
      <w:r>
        <w:rPr>
          <w:rFonts w:ascii="Amiri" w:hAnsi="Amiri" w:eastAsia="Amiri" w:cs="Amiri"/>
          <w:color w:val="111111"/>
          <w:sz w:val="28"/>
          <w:sz w:val="28"/>
          <w:szCs w:val="28"/>
          <w:rtl w:val="true"/>
          <w:lang w:bidi="ar-SA"/>
        </w:rPr>
        <w:t xml:space="preserve">، بالاعتماد في المقام الأول على منهج الاستنباط، لأنه يعتقد بأنّ </w:t>
      </w:r>
    </w:p>
    <w:p>
      <w:pPr>
        <w:pStyle w:val="BookText"/>
        <w:rPr/>
      </w:pPr>
      <w:r>
        <w:rPr>
          <w:rFonts w:ascii="Amiri" w:hAnsi="Amiri" w:eastAsia="Amiri" w:cs="Amiri"/>
          <w:color w:val="111111"/>
          <w:sz w:val="28"/>
          <w:sz w:val="28"/>
          <w:szCs w:val="28"/>
          <w:rtl w:val="true"/>
          <w:lang w:bidi="ar-SA"/>
        </w:rPr>
        <w:t>الموضوعية لا يمكن أن تتحقق إلا بمراقبة المعارف المحصل عليها</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ويمشي ناتروب في الدرب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المستحيل الوصول إلى أي موضوعية بالانطلاق من الذاتية</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من المعلوم أن الكانطية الجديدة اهتمت في نسقها الفلسفي كله أيما اهتمام بمحاولة فهم العالم انطلاقا من مبدأ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يتعلق الأمر في هذا الإطار بمحاولة توحيد ميتافيزيقي، بل بإيجاد وحدة معرف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يتعلق الأمر من جديد بوحدة مضامينية، بل بوحدة شكلية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يُشكّل مشكلاً في الفلسفة الدينية للكانطية الجديدة عمومًا هو تحديدها للعلاقة بين الدين والثقافة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إلحاق الدين للثقافة، واعتبار هذه الأخيرة نشاطاً خلاقًا، يطرح مشكلاً على أكثرَ من مستوى، وبالخصوص في ما يتعلق بأهمية الدين، لأنها بهذا الإلحاق تُثبت بأن الدين هو على الأكثر عنصرًا من عناصر الثقافة ليس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أن الدين هو ثقافةٌ قائمة بذاتها من جهة، ومؤثر، بل مصدر مهم لمختلف الثقافات الفرعية في المجتمع</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برفض حق الدين في تأسيس صحته داخليا، كما رأينا، تُقوّض الكانطية الجديدة كل حقائق الدين وترفضها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أنها ترفض باختصار شدید مضامين الدين وصلاحية هذه الأخيرة، وبالتالي لا تعترف بالقيم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ويرى هيسن في هذا الأمر أحاديتها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تمثلُ الكانطية الجديدة، التي يُعتبر اللوغوس عندها كلّ شيء والوجود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Dasein (existentia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لاشيء، الجانب الأقصى الآخر للوضعية </w:t>
      </w:r>
    </w:p>
    <w:p>
      <w:pPr>
        <w:pStyle w:val="BookText"/>
        <w:rPr/>
      </w:pPr>
      <w:r>
        <w:rPr>
          <w:rFonts w:ascii="Amiri" w:hAnsi="Amiri" w:eastAsia="Amiri" w:cs="Amiri"/>
          <w:color w:val="111111"/>
          <w:sz w:val="28"/>
          <w:sz w:val="28"/>
          <w:szCs w:val="28"/>
          <w:rtl w:val="true"/>
          <w:lang w:bidi="ar-SA"/>
        </w:rPr>
        <w:t>،والبراغماتية اللتين تستبعدان كليًّا اللوغوس ولا تعترف إلا بوجود غير 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وانطلاقا من هذه الزاوية، يظهر بأن الكانطية الجديدة أحادية الجانب كذلك</w:t>
      </w:r>
      <w:r>
        <w:rPr>
          <w:rFonts w:eastAsia="Amiri" w:cs="Amiri" w:ascii="Amiri" w:hAnsi="Amiri"/>
          <w:color w:val="111111"/>
          <w:sz w:val="28"/>
          <w:szCs w:val="28"/>
          <w:rtl w:val="true"/>
          <w:lang w:bidi="ar-SA"/>
        </w:rPr>
        <w:t>»</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ويضيف في نقده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سمينا الأشياء بأسمائها، فإننا نجد بأن الطريقة التي تعبر بها الكانطية الجديدة على الدين وتتبناها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فعلينا أن نعتبر هذا بمثابة مثالية تطبيقية</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لكن يجب التنبيه إلى أن الفرق بين الدين والمثالية</w:t>
      </w:r>
      <w:r>
        <w:rPr>
          <w:rStyle w:val="FootnoteAnchor"/>
          <w:rtl w:val="true"/>
        </w:rPr>
        <w:footnoteReference w:id="147"/>
      </w:r>
      <w:r>
        <w:rPr>
          <w:rFonts w:ascii="Amiri" w:hAnsi="Amiri" w:eastAsia="Amiri" w:cs="Amiri"/>
          <w:color w:val="111111"/>
          <w:sz w:val="28"/>
          <w:sz w:val="28"/>
          <w:szCs w:val="28"/>
          <w:rtl w:val="true"/>
          <w:lang w:bidi="ar-SA"/>
        </w:rPr>
        <w:t>فرقٌ شاسع حقا؛ لأن كل واحد منهما يُقدِّم عالماً مغايرا على عالم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العموم، وكيفما كان موقف الكانطية الجديدة من الدين وفهمها له والمكان الذي حددته له على خارطة الثقافة التي جاءت بها؛ فإن أكبر عقبة لم تستطع تجاوزها هو الانطلاق من النهائي لفهم اللانهائي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الأخير، الذي يُعتبر بحقِّ الموضوع الداخلي العميق لأي دين، لاينتمي إلى مثالية نهائية، بل إلى واقع لانهائي، يصعب فهمه أو الاقتراب منه بالوسائل والمناهج التي أنتجها العقل الإنساني، الذي له حدود كما عبر ذلك كانط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قال كيسلر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أظهرت الكانطية الجديدة لحد الساعة، نتيجة عقلانيتها، بأنها لم تكن قادرةً على تقديم فلسفة دينية تتطابق وجوهر الدين</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Kurt Kessler. Das Problem der Religion. Leipzig und Berlin, 1917, S. 11</w:t>
      </w:r>
      <w:r>
        <w:rPr>
          <w:rFonts w:eastAsia="Times New Roman" w:cs="Times New Roman" w:ascii="Times New Roman" w:hAnsi="Times New Roman"/>
          <w:color w:val="111111"/>
          <w:sz w:val="28"/>
          <w:szCs w:val="28"/>
          <w:rtl w:val="true"/>
          <w:lang w:val="en-US" w:bidi="en-US"/>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علاوة على هذا، غض النظر عن كون الدين يتضمن دائما لحظات وجوديةً وروحانيةً غير قابلة البتة للتجربة، ومستقلةً تمام </w:t>
      </w:r>
    </w:p>
    <w:p>
      <w:pPr>
        <w:pStyle w:val="BookText"/>
        <w:rPr/>
      </w:pPr>
      <w:r>
        <w:rPr>
          <w:rFonts w:ascii="Amiri" w:hAnsi="Amiri" w:eastAsia="Amiri" w:cs="Amiri"/>
          <w:color w:val="111111"/>
          <w:sz w:val="28"/>
          <w:sz w:val="28"/>
          <w:szCs w:val="28"/>
          <w:rtl w:val="true"/>
          <w:lang w:bidi="ar-SA"/>
        </w:rPr>
        <w:t xml:space="preserve">الاستقلال عن الخلق أو الإبداع الثقافيَّين، بل قد يكون الدين مصدر هذا الخلق، كما نلاحظ ذلك في ميدان الفن التشكيلي، لا في الغرب المسيحي فقط، بل في الكثير من ثقافات الديانات الأخرى، بما في ذلك المسلمة، ولربما نقول بالخصوص هذه الأخيرة، التي أنتجت فتًا معماريا وتشكيليًّا قل نظيره وموسيقى روحيةً إلخ، الشيء نفسه يمكن قوله في ما يخص الإبداع الأدبي في كل تفرعاته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نثر، قصة قصيرة، رواية 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فن صناعة الأفلام أو الموسيقى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لايمكن القبول بالتصور الاختزالي للدين من طرف الكانطية الجديدة، لأنه يختزل كل الوجود الإنساني، في كل مستوياته في مفهوم ثقافة لا يتسع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والشيء نفسه يمكن قوله في ما يخص مفهوم الله الذي حددته الكانطية الجديدة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نسجّله بقوة كنقد للكانطية الجديدة في هذه النقطة هو عدم أخذها تذبذبات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فلسفة الدين الكانطية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في حدود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ضايق العديد من الكانطيين الجدد، وبالخصوص كاسيرر، الذي اعتبره مؤلفاً توفيقيًّا موضوعًا للعامة، وليس مستوى كتبه النقدية السابقة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كانط في الدين لا يمكن أن يُقاس بنفس مقياس أعماله النقدية الأساسية والرئيسية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يقف على نفس أرضية كتابات تأصيل النسق من نقد العقل المحض أو العملي، من تأسيس ميتافيزيقا الأخلاق أو نقد ملكة الحكم</w:t>
      </w:r>
      <w:r>
        <w:rPr>
          <w:rFonts w:eastAsia="Amiri" w:cs="Amiri" w:ascii="Amiri" w:hAnsi="Amiri"/>
          <w:color w:val="111111"/>
          <w:sz w:val="28"/>
          <w:szCs w:val="28"/>
          <w:rtl w:val="true"/>
          <w:lang w:bidi="ar-SA"/>
        </w:rPr>
        <w:t>»</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ويرجع كاسيرر سبب ذلك إلى غياب فلسفة دين حقيقية في النسق الفلسفي الكانطي عمومًا، باعتبار أنّها غير مستقلة، بل تخدم نظريته الأخلاقية لا غير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تتأمل الكانطية الجديدة الموقف المتضارب لكانط من الدين، بل لم تدرسه في عمقه فتأخذ موقفا واضحًا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فكانط هو 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الملحدين</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عند الكثيرين، وهو في الوقت نفسه المدافع الشرس عن البروستنطانية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الكاثوليكية</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I. KANT, Briefwechsel, II. Bd, in Kant`s gesammelte Schriften, hrg von der Königlich Preußischen Akademie der Wissenschaft. Bd XI, Walter de Gruyter, Berlin und Leipzig 1922, pp. 8- 9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أي الغارس جذوره في تقليد ديني لا يعترف إلا بنفسه وبمصالحه، وعنه تفرعت كل الفرق المعاصرة التي نشرت في العالم ويلات لا حصر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يقول بالحرف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النّقد فقط هو وحده القادر على اجتثاث جُذور المادية، والقدريّة والإلحاد وكفر المفكرين الأحرار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كانط نأخذ به؟ أم إن كانط الحقيقي يكمن بالضبط في هذه الثنائية المتعارضة في ما يخص قضية الدين؟ وما هو أثر هذا على المستقبل المسلم لفكره في هذا الإطار؟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أن موقف كانط من الإسلام كان إيجابيا بالمقارنة مع الكثير من المعاصرين له</w:t>
      </w:r>
      <w:r>
        <w:rPr>
          <w:rStyle w:val="FootnoteAnchor"/>
          <w:rtl w:val="true"/>
        </w:rPr>
        <w:footnoteReference w:id="152"/>
      </w:r>
      <w:r>
        <w:rPr>
          <w:rFonts w:ascii="Amiri" w:hAnsi="Amiri" w:eastAsia="Amiri" w:cs="Amiri"/>
          <w:color w:val="111111"/>
          <w:sz w:val="28"/>
          <w:sz w:val="28"/>
          <w:szCs w:val="28"/>
          <w:rtl w:val="true"/>
          <w:lang w:bidi="ar-SA"/>
        </w:rPr>
        <w:t xml:space="preserve">، ومع ذلك على كل مفكر مسلم </w:t>
      </w:r>
    </w:p>
    <w:p>
      <w:pPr>
        <w:pStyle w:val="BookText"/>
        <w:rPr/>
      </w:pPr>
      <w:r>
        <w:rPr>
          <w:rFonts w:ascii="Amiri" w:hAnsi="Amiri" w:eastAsia="Amiri" w:cs="Amiri"/>
          <w:color w:val="111111"/>
          <w:sz w:val="28"/>
          <w:sz w:val="28"/>
          <w:szCs w:val="28"/>
          <w:rtl w:val="true"/>
          <w:lang w:bidi="ar-SA"/>
        </w:rPr>
        <w:t>الاحتراس من فهمه للدين عمومًا ، لأنّ فيه نزوعات سلبيةً مختلفةً لا تتماشى وروح الإسلام وعلى رأسها بالخصوص تصوره لله ودفاعة المضمر أو المعلن على الطائفية ورفض كل ما يؤسس الديانات التوحيدية من إقامة للشعائر والطقوس والممارسات التعبدية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يمكن لمفكّر مسلم ملتزم بدينه قبول تصور كانط عن الله، لأنه لا يضرب فقط جوهر الله، بل وأيضا كل ما يُساهم في تمثله</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حمّى محاولة بناء كل شيء على العقل، أنكر على هذا الأخير إمكانية الوصول إلى معرفة الله والبرهنة بالتالي على وجوده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 كانط، الله هو نومين، وعلى أساس براهينه فإن ذاك الكائن المثالي المتعالي الذي دعوناه حتى اللحظة الله ليس هو إلا افتراضًا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نتيجةً وهم 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كانط يبرهن كيف أننا لا نستطيع أن نعرف شيئا عن هذا النومين، عن الله، وكيف أنّ أي برهنة عقلانية عن وجود الله مستحيلة</w:t>
      </w:r>
      <w:r>
        <w:rPr>
          <w:rFonts w:eastAsia="Amiri" w:cs="Amiri" w:ascii="Amiri" w:hAnsi="Amiri"/>
          <w:color w:val="111111"/>
          <w:sz w:val="28"/>
          <w:szCs w:val="28"/>
          <w:rtl w:val="true"/>
          <w:lang w:bidi="ar-SA"/>
        </w:rPr>
        <w:t>»</w:t>
      </w:r>
      <w:r>
        <w:rPr>
          <w:rStyle w:val="FootnoteAnchor"/>
          <w:rtl w:val="true"/>
        </w:rPr>
        <w:footnoteReference w:id="15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رأى كانط في الممارسات التعبدية وطقوس التقرب إلى الله رجوعًا إلى الوثنية، وإن كان في هذا المضمار يقصد الكاثوليكية، فإنه يفتح المجال أمام أشباه الباحثين المسلمين المنبهرين بالفكر الغربي، وغير القادرين على تمييز الغث من النفيس فيه، لمهاجمتهم دينهم الأصلي والارتماء في أحضان الإلحاد والترويج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كيف يمكن لمفكر مسلم يستحق هذا الإسم قبول رفض كانط لطقس الصلاة واعتباره غير ضروري في علاقة العبد بخالقه، بل </w:t>
      </w:r>
    </w:p>
    <w:p>
      <w:pPr>
        <w:pStyle w:val="BookText"/>
        <w:rPr/>
      </w:pPr>
      <w:r>
        <w:rPr>
          <w:rFonts w:ascii="Amiri" w:hAnsi="Amiri" w:eastAsia="Amiri" w:cs="Amiri"/>
          <w:color w:val="111111"/>
          <w:sz w:val="28"/>
          <w:sz w:val="28"/>
          <w:szCs w:val="28"/>
          <w:rtl w:val="true"/>
          <w:lang w:bidi="ar-SA"/>
        </w:rPr>
        <w:t>تملقا مصدره الخوف لا حبا في الله في ذاته وبذاته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 إذا هو وثنية</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استشهد به محمد المزوغي في نصه المسألة الدينية عند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Genova 1990, 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أخذناه عنه حتى وإن كنا نرفض جملةً وتفصيلاً قناعاته الدينية</w:t>
      </w:r>
    </w:p>
    <w:p>
      <w:pPr>
        <w:pStyle w:val="BookText"/>
        <w:rPr/>
      </w:pPr>
      <w:r>
        <w:rPr>
          <w:rFonts w:ascii="Amiri" w:hAnsi="Amiri" w:eastAsia="Amiri" w:cs="Amiri"/>
          <w:color w:val="111111"/>
          <w:sz w:val="28"/>
          <w:sz w:val="28"/>
          <w:szCs w:val="28"/>
          <w:rtl w:val="true"/>
          <w:lang w:bidi="ar-SA"/>
        </w:rPr>
        <w:t>؟ إذا كانت الصلاة ركنًا أساسيًا من أركان الإسلام، فكيف يمكن فهم مطالبة كانط التخلي عن الصلاة، لأنها ضرب من الوثنية؟</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يمكن المرور مرور الكرام في ما يخص فلسفة كانط الدينية دون التنبيه بأنه كان مقتنعًا اقتناعاً كافيًا، ولربما قويًا باللوثيرية وفهمها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وبغض النظر على كون لوثر كان يعتبر الإسلام عملاً شيطانيا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أن بعض المسلمين يعتبرون بهتانا بأن تعاليمه قريبة من الإسلام، فإن كانط كان يعتبر البروستنطانية الدين الذي يجب أن يُهيمن في العالم، وإلا فإن مصير هذا الأخير سيكون الزوال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تحققت رغبة كانط هذه عبر التاريخ، إلى درجة أن بعض فرقها المتطرفة أصبحت سيدة العالم، ويتجلى هذا بوضوح في السياسات الأمريكية بالخصوص إلى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هذا أصبح من المعتاد تقريبًا انتظار إصلاح ديني لوثري في الإسلام، هي فكرة معشّشةٌ في الفكر الغربي؛ بل إن الغرب يطالب المسلمين بمثل هذا الإصلاح، وتصفّق له بعض الأيادي غير الآمنة في الأمة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ينتبه المرء بأن مثل هذه الدعوة تسبح في مركزية أوروبية </w:t>
      </w:r>
      <w:bookmarkStart w:id="220" w:name="pg16300_179470"/>
    </w:p>
    <w:p>
      <w:pPr>
        <w:pStyle w:val="BookText"/>
        <w:rPr/>
      </w:pPr>
      <w:bookmarkEnd w:id="220"/>
      <w:r>
        <w:rPr>
          <w:rFonts w:ascii="Amiri" w:hAnsi="Amiri" w:eastAsia="Amiri" w:cs="Amiri"/>
          <w:color w:val="111111"/>
          <w:sz w:val="28"/>
          <w:sz w:val="28"/>
          <w:szCs w:val="28"/>
          <w:rtl w:val="true"/>
          <w:lang w:bidi="ar-SA"/>
        </w:rPr>
        <w:t>جلية، يُحاول الغربي تحديد كل مجالات حياة المسلم، بما فيها دينه وكيفية وجوده وممارسته، وينتظر من المسلمين، بل يضغط عليهم لتغيير دينهم على الطرية اللوثرية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عريضة لوثر ينبغي عليها اليوم قبل أن تقارع سلطة الكهنوت أن تقود حركة إصلاح في منظومة الحداثة التي وقع تحنيط قيمها ومقولاتها واستغلال قدراتها المتراكمة بأساليب ذاتِ وقع مدمّر على الإنسان والعالم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على مارتن خوض نضال جديد للتبرؤ من مسالك وتقاليد و ممارسات تذرعت بالبروتستانتية أيضاً خلال ضلوعها في التمدد الاستعماري والمشروع الصهيوني والتفرقة العنصرية والحمّى النازية والجشع الرأسمالي وصور متعددة من الشرور، التي لا تنفي الوجوه الإيجابية التي دفعت بها أيضاً وإن لم تكن مكتملة</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2017/11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http://blogs.aljazeera.net/blogs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مارتن لوثر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5377415_1280447820"/>
      <w:bookmarkStart w:id="222" w:name="_Toc77"/>
      <w:bookmarkEnd w:id="221"/>
      <w:r>
        <w:rPr>
          <w:rtl w:val="true"/>
        </w:rPr>
        <w:t>الجزء الخامس</w:t>
      </w:r>
      <w:r>
        <w:rPr>
          <w:rtl w:val="true"/>
        </w:rPr>
        <w:t xml:space="preserve">: </w:t>
      </w:r>
      <w:r>
        <w:rPr>
          <w:rtl w:val="true"/>
        </w:rPr>
        <w:t>نقد غض طرف الكانطية الجديدة عن الإسلام</w:t>
      </w:r>
      <w:bookmarkEnd w:id="22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أهم ما يمكن لمفكر ذي ثقافة مسلمة مؤاخذة الكانطية الجديدة عليه في تعرّضها للدين هو إغفال التصور النبيل الذي قدمه أستاذهم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نقصد هنا كانط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يتطرق، حسب علمنا أيّ منهم إلى مساهمة كانط في مهاجمة اليهودية والكاثوليكية وديانات أخرى، مفضلاً الإسلام عليها كلّها، مقدمًا في ذلك تحاليل وتأويلات مقنعةً إلى حد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 بعض الباحثين بأن كوهن كان معارضًا لكانط لأسباب دينية محضة وعميقة، ولربما كان تأسيسه لمدرسة ماربورغ لهذا الهدف بالذات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لأنه كان كانطيّا، كان كوهن ضد هيغل بل توجه لكانط لأنه كان ضد هيغل بشدة، نظرا ليهوديته </w:t>
      </w:r>
    </w:p>
    <w:p>
      <w:pPr>
        <w:pStyle w:val="BookText"/>
        <w:rPr/>
      </w:pPr>
      <w:r>
        <w:rPr>
          <w:rFonts w:ascii="Amiri" w:hAnsi="Amiri" w:eastAsia="Amiri" w:cs="Amiri"/>
          <w:color w:val="111111"/>
          <w:sz w:val="28"/>
          <w:sz w:val="28"/>
          <w:szCs w:val="28"/>
          <w:rtl w:val="true"/>
          <w:lang w:bidi="ar-SA"/>
        </w:rPr>
        <w:t xml:space="preserve">بدون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يستطع قبول أطروحة هيغل القائلة بأن المسيحية هي حقيقة اليهودية</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xml:space="preserve">، معللاً الموقف السلبي لكانط من اليهودية بكونه تعرف على هذا الدين عن طريق سبينوزا، الذي قاده إلى حلولية، لم يقبلها كانط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يكون من المفيد التطرق ولو بتلخيص إلى دراسة كانط للإسلام، وسنرجع في هذا المقام إلى الدراسة القيمة للمسكيني في هذا الإطار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يؤكد فتحي المسكيني</w:t>
      </w:r>
      <w:r>
        <w:rPr>
          <w:rStyle w:val="FootnoteAnchor"/>
          <w:rtl w:val="true"/>
        </w:rPr>
        <w:footnoteReference w:id="159"/>
      </w:r>
      <w:r>
        <w:rPr>
          <w:rFonts w:ascii="Amiri" w:hAnsi="Amiri" w:eastAsia="Amiri" w:cs="Amiri"/>
          <w:color w:val="111111"/>
          <w:sz w:val="28"/>
          <w:sz w:val="28"/>
          <w:szCs w:val="28"/>
          <w:rtl w:val="true"/>
          <w:lang w:bidi="ar-SA"/>
        </w:rPr>
        <w:t>، على حد علمه كما يقول، بأن كانط لم يستعمل مصطلح الإسلام إلا مرةً واحدةً في نص له قبل المرحلة النقدية</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über das Gefühl des schönen und Erhabenen, 1764,. In: Ausgabe der preußischen Akademie der Wissenschaften, Berlin, 1900, AA, II, 237,252</w:t>
      </w:r>
    </w:p>
    <w:p>
      <w:pPr>
        <w:pStyle w:val="BookText"/>
        <w:rPr/>
      </w:pPr>
      <w:r>
        <w:rPr>
          <w:rFonts w:ascii="Amiri" w:hAnsi="Amiri" w:eastAsia="Amiri" w:cs="Amiri"/>
          <w:color w:val="111111"/>
          <w:sz w:val="28"/>
          <w:sz w:val="28"/>
          <w:szCs w:val="28"/>
          <w:rtl w:val="true"/>
          <w:lang w:bidi="ar-SA"/>
        </w:rPr>
        <w:t>، ومع ذلك يلمس المرء الكثير من ملاحظاته حول العرب في العديد من نصوصه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المسكيني بكتابة كانط بأحرف عربية للبسملة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غلاف أطروحته كما أنه يذكر بأن كانط يعتبر العرب، إلى جانب الفرس، من الشعوب التي أخذت الفلسفة عن اليونان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 في الميتافيزيقا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ويعترف كانط للعرب في هذا الميدان بدور أكثر من الاستهلاك السلبي للموروث اليوناني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اجتزنا الآن بنظرة خاطفة، تلك الأجزاء</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الأخرى من العالم، إذًا، لالتقينا بالعربي، الإنسان الأكثر نبلاً في الشرق، ولكن المشوب بشعور كثيراً ما ينقلب إلى مغامرة خطرة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مضيافٌ، ذو سماحة، وصادق ، إلا أن حكاياته وقصصه، وأحاسيسه عامة، مخلوطة، في كل آن، بشيء من الأعاجيب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خياله المحموم إنما يُقدم له الأشياء في صور غير طبيعية وملتوية، حتى انتشار ديانته كان مغامرةً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العرب بمثابة إسبان الشرق، فإن الفرس هم فرنجة آسيا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شعراء جيدون، مهذبون، وأصحاب ذوق على قدر محمود من الرقة والأناقة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ليسوا بأتباع متشددين للإسلام، وإنهم ليسمحون لمزاجهم المشدود إلى المزاح بأن يتأول القرآن بقدر محمود من الترفّق والتلطف</w:t>
      </w:r>
      <w:r>
        <w:rPr>
          <w:rFonts w:eastAsia="Amiri" w:cs="Amiri" w:ascii="Amiri" w:hAnsi="Amiri"/>
          <w:color w:val="111111"/>
          <w:sz w:val="28"/>
          <w:szCs w:val="28"/>
          <w:rtl w:val="true"/>
          <w:lang w:bidi="ar-SA"/>
        </w:rPr>
        <w:t>»</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المسكيني إلى نص كانط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مشاعر الجميل والجليل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سابرًا أغوار اهتمام كانط بالعرب، وكأنه في اعتقادنا في جلسة تحليل نفسية لشخصية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مُركّزا على الجانب الروحي والأخلاقي والطباع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نهاية الأمر، خمدت جذوة الثقافة عند الرومان، وظهرت البربرية، وذلك حتى جاء العرب الذين غمروا أجزاء من الإمبراطورية الرومانية، وعزموا في القرن السابع على نذر أنفسهم للعلوم، وأوْلَوْا أرسطو مكانةً مرموقةً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أفاقت العلوم في الغرب من كبوتها، تم اتباع أرسطو كالعبيد</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المسكيني إلى ما قاله كانط عن الإسبان لفهم مقارنته للعرب بهم، قائلاً بأن كانط كان يعتبر الفرنسيين والإيطاليين شعوب الجميل، في حين اعتبر الألمان والإنجليز والإسبان شعوب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يفت المسكيني الرجوع </w:t>
      </w:r>
    </w:p>
    <w:p>
      <w:pPr>
        <w:pStyle w:val="BookText"/>
        <w:rPr/>
      </w:pPr>
      <w:r>
        <w:rPr>
          <w:rFonts w:ascii="Amiri" w:hAnsi="Amiri" w:eastAsia="Amiri" w:cs="Amiri"/>
          <w:color w:val="111111"/>
          <w:sz w:val="28"/>
          <w:sz w:val="28"/>
          <w:szCs w:val="28"/>
          <w:rtl w:val="true"/>
          <w:lang w:bidi="ar-SA"/>
        </w:rPr>
        <w:t>إلى المعنى الذي يُعطيه كانط لمصطلحي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الجميل ذاته إما فاتن ومؤثر وإما مضحكٌ وظريف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عن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الطبع القومي، الذي يمتلك تعبيراً عن الجليل، يكون هذا الأخير إما من نمط الهائل الذي يميل شيئًا من الميل إلى المغامرة الجسور، وإما هو شعور بالنبل، أو، ربما، هو 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وأعتقد أن لي أسبابًا تمكنني من أن أمنح الإسبان النمط الأول من الشعور، أما الثاني فللإنجليز، وأما الثالث فللألمان</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للإشارة، فإن المسكيني يُذكّر بأنّ ثنائية مصطلحي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الجميل والجليل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متجذران في الثرات الإسلامي، بحيث نجدهما عند بن عربي في إطار حديثه عن الصفات الجمالية والصفات الجلالية لله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يخلص المسكيني في معرض اهتمامه باهتمام كانط بالإسلام إلى البحث عن نوعية هذا الاهتمام في كتابين له؛ مؤكدا على أنّ هناك طريقتين تظهران متناقضتين لهذا الاهتمام الكانطي بالإسلام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العقل العملي </w:t>
      </w:r>
      <w:r>
        <w:rPr>
          <w:rFonts w:eastAsia="IRNazanin" w:cs="IRNazanin"/>
          <w:color w:val="111111"/>
          <w:sz w:val="28"/>
          <w:szCs w:val="28"/>
          <w:rtl w:val="true"/>
          <w:lang w:bidi="fa-IR"/>
        </w:rPr>
        <w:t>(</w:t>
      </w:r>
      <w:r>
        <w:rPr>
          <w:rFonts w:eastAsia="IRNazanin" w:cs="IRNazanin"/>
          <w:color w:val="111111"/>
          <w:sz w:val="28"/>
          <w:szCs w:val="28"/>
          <w:lang w:bidi="fa-IR"/>
        </w:rPr>
        <w:t>1788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يتحدث کانط من بين ما يتحدث عنه عن العقل النظري والعقل العملي الأول خاص بالعلوم والبحث عن قوانينها وعلاقاتها، أما الثاني فإنه خاص بعالم المشاعر والأخلاق بصفة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الإطار يؤكد المسكيني بأن حديث الدين عن الجنة والنار هو حديث يخرج عن نطاق العقل النظري المحض، لأنه يوجد في نطاق الخيال والانفعال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فهناك، طبقًا له، مصلحة روحية محضة لفكرة الجنة تفوق مصالح العقل العملي في رأيه، وهو العقل الذي يُوسع إمكانية التفكير في حريتنا، ولا يُنتج أيَّ معرفة حقيقية حول أو عن أنفسنا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في حدود مجرّد العقل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كانط يتدارك ما قاله في نقد العقل العملي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المحمديين إنما يعرفون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يبين رينالد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يمنحون وصف فردوسهم المرسوم بكل شهوة حسية، معنّى روحيا حقًا جدا، وذاك ما فعله الهنود مع تفسير الفيداس، على الأقل، بالنسبة للقسم المتنور من شعبهم</w:t>
      </w:r>
      <w:r>
        <w:rPr>
          <w:rFonts w:eastAsia="Amiri" w:cs="Amiri" w:ascii="Amiri" w:hAnsi="Amiri"/>
          <w:color w:val="111111"/>
          <w:sz w:val="28"/>
          <w:szCs w:val="28"/>
          <w:rtl w:val="true"/>
          <w:lang w:bidi="ar-SA"/>
        </w:rPr>
        <w:t>»</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ويؤوّل المسكيني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الانعطاف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الكانطي اتجاه الإسلام في تأكيده بأن كانط كان يبحث عن طريقة يمكن للأخلاق العقلية من خلالها تطوير أمل يتماشى والطبيعة البشرية المحدودة؛ قد تُؤَمِّن علاقةً روحيةً بالله مثلاً، دون السقوط الأعمى في دينِ معارك وحروب من هنا يصل المسكيني إلى أن كانط كان يرى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المحمديين قد تأوّلوا فردوسهم الحسي بشكل روحي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انطلاقا من كل هذا، هناك في العمق، تغيير في فهم كانط للدين عمومًا، لا فقط في ما يخص رأيه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أنه مرّ من فكرة الخلاص الأخروي في الجنة إلى فكرة اعتقاد يفكر ؛ يعني حسب مفردات المسكيني، هناك انتقال خطير عنده من الفلسفة إلى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الكونية عند كانط، طبقًا للمسكيني، هي أهم سمة لأي دين؛ إضافةً إلى اعتماده على الحواس، دون المس بشرط التعايش بين البشر المختلفين في ديانتهم، أي الوصول إلى الدين العقلي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يسهم في أداء جميع واجبات الإنسان بوصفها أوامر إلهيةً</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يمثل جوهر كل دين</w:t>
      </w:r>
      <w:r>
        <w:rPr>
          <w:rFonts w:eastAsia="Amiri" w:cs="Amiri" w:ascii="Amiri" w:hAnsi="Amiri"/>
          <w:color w:val="111111"/>
          <w:sz w:val="28"/>
          <w:szCs w:val="28"/>
          <w:rtl w:val="true"/>
          <w:lang w:bidi="ar-SA"/>
        </w:rPr>
        <w:t>)</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خلاف الأديان التاريخية، فإن الدين العقلي الكانطي لا يتوفر ولا يريد أن يتوفر على أي مضمون تبشيري محدد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يضيف المسكيني في تقديمه لاهتمام كانط بالإسلام معلومةً أخرى تتمثل في اعتبار كانط للإسلام كدين مؤسس على الكبرياء، وكلُّ طقوسه من نوع شجاع؛ بالمقارنة مع اليهودية والمسيحية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بالكبرياء عند كانط في هذا الإطار، حسب المسكيني، هو اعتماد الإسلام على الفتوحات والانتصارات عوض المعجزات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دین محمد، فهو يتميز بالكبرياء، إذ بدلاً من المعجزات، وجد التأييد الخاص بإيمانه في الانتصارات، وفي قهر الشعوب الأخرى، وطقوس عبادته كلها من نوع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ومعنى الشجاعة عند كانط، كما يؤوّل ذلك المسكيني، هي قدرة نبيلة على الواجب، والمقصود هنا هو الواجب الأخلاقي تحديدا، والذي لا يُعتبر إكراها يُفرض على المرء من الخارخ، بل نفرضه على أنفسنا بأنفسنا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يتم ذلك إلا إذا كان المرء حُراً، وله الشجاعة الكافية للانتصار على نفسه؛ أي إذا كان فاضلاً، ما دام الأمر يدور حول الحرية الباطنية عند كانط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يميز كانط بين الكبرياء والتكبر، يعني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يقول المسكيني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التنازل عن أي شيء من الكرامة الإنسانية للفرد بالمقارنة مع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التكبر فإنه الرغبة في إيهام الآخرين بأننا أحسن منهم، أو نفرض عليهم التصور الذي نريد أن يحملونه 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كانط هذا الأمر رذيلةً متناقضةً مع فضيلة احترام الآخر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نوافق المسكيني في المعنى الذي أعطاه كانط للإسلام كدين كبرياء، لأنه لا يُعوّل على المعجزات التي تستخف بالعقل، بل على الانتصارات إضافةً إلى هذا هناك إمكانية لفهم الإسلام كدين كبرياء لا كدين تكبر ، لأنّ نبي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يدع بأنه جاء بمفهوم </w:t>
      </w:r>
    </w:p>
    <w:p>
      <w:pPr>
        <w:pStyle w:val="BookText"/>
        <w:rPr/>
      </w:pPr>
      <w:r>
        <w:rPr>
          <w:rFonts w:ascii="Amiri" w:hAnsi="Amiri" w:eastAsia="Amiri" w:cs="Amiri"/>
          <w:color w:val="111111"/>
          <w:sz w:val="28"/>
          <w:sz w:val="28"/>
          <w:szCs w:val="28"/>
          <w:rtl w:val="true"/>
          <w:lang w:bidi="ar-SA"/>
        </w:rPr>
        <w:t xml:space="preserve">جديد لوحدانية الله ووحدته وتحرر تمثله من طرف البشر في شكل من الأشكال ، وهو اعتراف صريح اعتراف صريح لكانط بنبل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الكبرياء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عبر عن ذلك المسكيني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ويخلص المسكيني إلى كون كانط في مدحه للإسلام، فإنما كان يقصد نقد المسيحية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يتبين لنا، آخر الأمر، أن كانط لم يتكلم عن الإسلام، أو عن المحمدية، إلا من أجل نقد الإيمان المسيحي، في مرآة إيمان آخر يتميز عنه بالقدرة على التعبير عن نفسه بشكل شجاع، ومن ثَمَّ هو أقرب إلى حفظ الكرامة الإنسانية من أي دين آخرَ</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تأويل المسكيني لاهتمام كانط بالإسلام وأسباب هذا الاهتمام وحكم محمود كيشانة على كانط بعداوته للإسلام</w:t>
      </w:r>
      <w:r>
        <w:rPr>
          <w:rStyle w:val="FootnoteAnchor"/>
          <w:rtl w:val="true"/>
        </w:rPr>
        <w:footnoteReference w:id="167"/>
      </w:r>
      <w:r>
        <w:rPr>
          <w:rFonts w:ascii="Amiri" w:hAnsi="Amiri" w:eastAsia="Amiri" w:cs="Amiri"/>
          <w:color w:val="111111"/>
          <w:sz w:val="28"/>
          <w:sz w:val="28"/>
          <w:szCs w:val="28"/>
          <w:rtl w:val="true"/>
          <w:lang w:bidi="ar-SA"/>
        </w:rPr>
        <w:t>هناك هُوَةٌ عميقة ، نابعة من غلو ما إما في التأويل أو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 نية الدفاع عن أي من المفكرين، لا نرى أي هجوم لكانط على الإسلام، بقدر ما نلاحظ نوعًا من اعتباره نموذجًا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استغله للهجوم على دينه المسيحي وعلى اليهودية في الوقت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نتنكر أو ننكر بأن الهدف الأخير لكانط كان هو تقديم 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تعويضًا كما رأى كيشانة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للديانات التاريخية الثلاثة، ولربما لكل الديانات الأخرى، وهو بديل يتماشى والحقبة التاريخية التي وُجد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فالزعزعة التي تعرضت لها المسيحية من طرف فكر الأنوار، نجحت على المستوى الأكاديمي بالخصوص </w:t>
      </w:r>
    </w:p>
    <w:p>
      <w:pPr>
        <w:pStyle w:val="BookText"/>
        <w:rPr/>
      </w:pPr>
      <w:r>
        <w:rPr>
          <w:rFonts w:ascii="Amiri" w:hAnsi="Amiri" w:eastAsia="Amiri" w:cs="Amiri"/>
          <w:color w:val="111111"/>
          <w:sz w:val="28"/>
          <w:sz w:val="28"/>
          <w:szCs w:val="28"/>
          <w:rtl w:val="true"/>
          <w:lang w:bidi="ar-SA"/>
        </w:rPr>
        <w:t>في حث الباحثين الحداثيين على تكثيف نقد الدين، لا فقط لأسباب ثقافية عقلية، بل وأيضًا لأسباب سياسية؛ بما أن المشكل الحقيقي كان هو جمع الكنيسة للسلطة الدينية والدنيوية، بكل النتائج التي نعرفها من قهر وبطش وأحادية الرؤية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ننتقده هنا هو أن كانط باهتمامه بالإسلام وتقديم صورة إيجابية عنه، فإنما ساهم أيضا في تأجيج كراهيته من طرف الكثير من المفكرين في زمانه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ولربما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الكانطية الجديدة بدراسة الإسلام إلى هذا الأمر، بل أكثر من هذا أُتيحت الفرصة لكوهن ليُعلي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دينه اليهودي، على الرغم من الصورة السلبية جدًّا التي كانت لهذا الدين في أوساط المفكرين والشعوب الأوروبية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وأتى إلحاح كوهن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دينه بأكمله بعد الحرب العالمية الثانية بالخصوص، بحيث أصبح الاعتراف بأهمية هذا الدين مرتبطاً أساسًا بالاعتراف بالهولوكوست و محاولة إبادة اليهود، وبالتالي الاعتراف بالصهيونية كمرادف لليهودية، وتشجيعها المباشر أو غير المباشر على إبادة المسلمين في الشرق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إذا كان هناك كانطي جديد قلب معادلة الاهتمام الإيجابي لكانط بالإسلام، إلى سكوت الكانطية الجديدة عن هذا الاهتمام والإهتمام السلبي العام ،به فإنه كوهن ونلمس نتائج قلب هذه المعادلة إلى يومنا هذا، ويؤكد بروكشطاين شروح </w:t>
      </w:r>
      <w:r>
        <w:rPr>
          <w:rFonts w:eastAsia="Times New Roman" w:cs="Times New Roman" w:ascii="Times New Roman" w:hAnsi="Times New Roman"/>
          <w:color w:val="111111"/>
          <w:sz w:val="28"/>
          <w:szCs w:val="28"/>
          <w:lang w:val="en-US" w:bidi="en-US"/>
        </w:rPr>
        <w:t>BRUCKSTEIN ÇORUH</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A. S. Bruckstein Coruh: Die jüdisch-christliche Tradition ist eine Erfindung https://www.tagesspiegel.de/kultur/islam-debatte-die- juedisch-christliche-tradition-ist-eine-erfindung/1954276.html</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الحديث في ألمانيا حاليا عن تراث مشترك بين</w:t>
      </w:r>
    </w:p>
    <w:p>
      <w:pPr>
        <w:pStyle w:val="BookText"/>
        <w:rPr/>
      </w:pPr>
      <w:r>
        <w:rPr>
          <w:rFonts w:ascii="Amiri" w:hAnsi="Amiri" w:eastAsia="Amiri" w:cs="Amiri"/>
          <w:color w:val="111111"/>
          <w:sz w:val="28"/>
          <w:sz w:val="28"/>
          <w:szCs w:val="28"/>
          <w:rtl w:val="true"/>
          <w:lang w:bidi="ar-SA"/>
        </w:rPr>
        <w:t xml:space="preserve">اليهودية والمسيحية وهو التراث الذي رفضه كانط جملةً وتفصيلاً ومعه العديد من الفلاسفة الغربيون يقاد باسم المحافظة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الحق والقانون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حساب الإسلام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يقتصر هذا على ألمانيا وحدها، بل يشمل عموم الغرب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القلب هناك أيضا قلب للتاريخ، ففي العصر الذهبي للحضارة الإسلامية، كان المرء يتغنى باشتراك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تراث ديني مشترك واشتغال مفكرين مسلمين يدًا في يد مع مفكرين 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الميموني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ندعو هنا إلى إعادة إحياء هذا التراث، بقدر ما نضع الأصبع على ما قاله جاك دريدا في زيارته في يوم من الأيام لإسرائيل الغاشمة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الميموني كان عرف بأن المرء قد جنده في يوم من الأيام وجند كل التراث اليهودي معه لتلك الحرب الغريبة وبأنه وعلى غير علمه وقع اتفاقية مع ألمانيا المابعد اللوثرية، فهل سترقد روحه في سلام؟</w:t>
      </w:r>
      <w:r>
        <w:rPr>
          <w:rFonts w:eastAsia="Amiri" w:cs="Amiri" w:ascii="Amiri" w:hAnsi="Amiri"/>
          <w:color w:val="111111"/>
          <w:sz w:val="28"/>
          <w:szCs w:val="28"/>
          <w:rtl w:val="true"/>
          <w:lang w:bidi="ar-SA"/>
        </w:rPr>
        <w:t>»</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تعيشه صورة الإسلام والمسلمين من تشويه على يد الغرب، عاشته اليهودية بين منتصف القرنين السابع عشر والعشرين وتساهم الصهيونية في التشويه الذي يعرفه الإسلام حاليا بمقدار كبير،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الإرث اليهودي المسيحي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نؤكد مجددًا على رفض السكوت المطبق للكانطية الجديدة على مساهمة كانط في تقديم الإسلام بصورة إيجابية، وبهذا السكوت ساهمت إلى حد بعيد في الصورة السلبية التي يتعامل بها الغرب السياسي وأغلبية شعوبه مع الإسلام والمسلمين حاليا</w:t>
      </w:r>
      <w:r>
        <w:rPr>
          <w:rFonts w:eastAsia="Amiri" w:cs="Amiri" w:ascii="Amiri" w:hAnsi="Amiri"/>
          <w:color w:val="111111"/>
          <w:sz w:val="28"/>
          <w:szCs w:val="28"/>
          <w:rtl w:val="true"/>
          <w:lang w:bidi="ar-SA"/>
        </w:rPr>
        <w:t xml:space="preserve">. </w:t>
      </w:r>
      <w:bookmarkStart w:id="223" w:name="pg16300_179479"/>
    </w:p>
    <w:p>
      <w:pPr>
        <w:pStyle w:val="Heading3"/>
        <w:numPr>
          <w:ilvl w:val="2"/>
          <w:numId w:val="1"/>
        </w:numPr>
        <w:rPr/>
      </w:pPr>
      <w:bookmarkStart w:id="224" w:name="__RefHeading___Toc5377417_1280447820"/>
      <w:bookmarkStart w:id="225" w:name="_Toc78"/>
      <w:bookmarkEnd w:id="223"/>
      <w:bookmarkEnd w:id="224"/>
      <w:r>
        <w:rPr>
          <w:rtl w:val="true"/>
        </w:rPr>
        <w:t xml:space="preserve">الجزء السادس </w:t>
      </w:r>
      <w:r>
        <w:rPr>
          <w:rtl w:val="true"/>
        </w:rPr>
        <w:t>:</w:t>
      </w:r>
      <w:r>
        <w:rPr>
          <w:rtl w:val="true"/>
        </w:rPr>
        <w:t>نقد إهمال مشروع السلام الدائم في الكانطية الجديدة</w:t>
      </w:r>
      <w:bookmarkEnd w:id="225"/>
    </w:p>
    <w:p>
      <w:pPr>
        <w:pStyle w:val="BookText"/>
        <w:rPr/>
      </w:pPr>
      <w:r>
        <w:rPr>
          <w:rFonts w:ascii="Amiri" w:hAnsi="Amiri" w:eastAsia="Amiri" w:cs="Amiri"/>
          <w:color w:val="111111"/>
          <w:sz w:val="28"/>
          <w:sz w:val="28"/>
          <w:szCs w:val="28"/>
          <w:rtl w:val="true"/>
          <w:lang w:bidi="ar-SA"/>
        </w:rPr>
        <w:t xml:space="preserve">لم تعط الكانطية الجديدة أهمية تذكر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مشروع السلام الدائم</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لكانط</w:t>
      </w:r>
      <w:r>
        <w:rPr>
          <w:rStyle w:val="FootnoteAnchor"/>
          <w:rtl w:val="true"/>
        </w:rPr>
        <w:footnoteReference w:id="17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Hermann Cohen, Vom ewigen Frieden, Abschnitt 2: Kriegspflicht als Freiheit und Notwendigkeit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in: Hessische Quellen zum Ersten Weltkrieg. https://www.lagis-hessen.de/de/purl/resolve/subject/qhg/id</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الهدف من النص هو تشجيع طلبة الجامعات الذين نودي عليهم للمشاركة في الحرب</w:t>
      </w:r>
    </w:p>
    <w:p>
      <w:pPr>
        <w:pStyle w:val="BookText"/>
        <w:rPr/>
      </w:pPr>
      <w:r>
        <w:rPr>
          <w:rFonts w:ascii="Amiri" w:hAnsi="Amiri" w:eastAsia="Amiri" w:cs="Amiri"/>
          <w:color w:val="111111"/>
          <w:sz w:val="28"/>
          <w:sz w:val="28"/>
          <w:szCs w:val="28"/>
          <w:rtl w:val="true"/>
          <w:lang w:bidi="ar-SA"/>
        </w:rPr>
        <w:t>والدفاع عن ألمانيا، في أول احتفال لهم بعيد ميلاد المسيح وهو في جبهات القتال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بل لم ينل هذا الموضوع الأهمية التي يستحقها، حتى بعد تأسيس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الأمم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الحرب العالمية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الرغم من أننا نجد بصمات فلسفة كانط المتعلقة بالسلام في مبادئ الاتحاد الأوروبي على مستويات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الفيلسوف الألماني إيمانويل كانط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مشاريع الوحدة الأوروبية هذه بكتيبه الصغير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السلام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مشروع السلم الدائم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يحاول تحديد فلسفة سياسية للسلام بطابع 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الفيلسوف الألماني يطمح إلى الوصول إلى السلم والوحدة في القارة الأوروبية وحسب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اقترح مخططًا فلسفيا من أجل وحدة عالمية للشعوب تتجاوز أوروبا، مؤسسا على الحقوق</w:t>
      </w:r>
    </w:p>
    <w:p>
      <w:pPr>
        <w:pStyle w:val="BookText"/>
        <w:rPr/>
      </w:pPr>
      <w:r>
        <w:rPr>
          <w:rFonts w:ascii="Amiri" w:hAnsi="Amiri" w:eastAsia="Amiri" w:cs="Amiri"/>
          <w:color w:val="111111"/>
          <w:sz w:val="28"/>
          <w:sz w:val="28"/>
          <w:szCs w:val="28"/>
          <w:rtl w:val="true"/>
          <w:lang w:bidi="ar-SA"/>
        </w:rPr>
        <w:t>الأساسية لكل البشر</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Stéphane Bloetzer. L'Union européenne</w:t>
      </w:r>
    </w:p>
    <w:p>
      <w:pPr>
        <w:pStyle w:val="BookText"/>
        <w:rPr/>
      </w:pPr>
      <w:r>
        <w:rPr>
          <w:rFonts w:eastAsia="Times New Roman" w:cs="Times New Roman" w:ascii="Times New Roman" w:hAnsi="Times New Roman"/>
          <w:color w:val="111111"/>
          <w:sz w:val="28"/>
          <w:szCs w:val="28"/>
          <w:lang w:val="en-US" w:bidi="en-US"/>
        </w:rPr>
        <w:t>Un ordre cosmopolitique</w:t>
      </w:r>
    </w:p>
    <w:p>
      <w:pPr>
        <w:pStyle w:val="BookText"/>
        <w:rPr/>
      </w:pPr>
      <w:r>
        <w:rPr>
          <w:rFonts w:eastAsia="Times New Roman" w:cs="Times New Roman" w:ascii="Times New Roman" w:hAnsi="Times New Roman"/>
          <w:color w:val="111111"/>
          <w:sz w:val="28"/>
          <w:szCs w:val="28"/>
          <w:lang w:val="en-US" w:bidi="en-US"/>
        </w:rPr>
        <w:t>européen en émergence? Le «Projet de paix perpétuel» de I. Kant – Un cadre théorique pour étudier les Institutions européennes? Institut européen de l'Université de Genève Janvier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Projet de paix perpétuelle et Charte des Nations Unies. In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فإن هذا الإتحاد يظهر كحمل أمام الذئب الأمريكي، الذي لم يترك له أي مجال للفعل الحقيقي وبالخصوص للمساهمة في تطوير ثقافة السلام في العالم، بقدر ما يستعمل كل الإمكانيات المتاحة له، لإبقائه في حضيرة التابعين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الرغم من أن ميثاق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منظمة الأمم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استلهم الكثير من مبادئه من فلسفة كانط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الهدف من هذا المقال هذا المقال هو تحديد التأثير الكانطي على مبادئ وقيم اتفاقية الأمم المتحدة</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http://www.implications-philosophiques.org/ethique-et-politique/ philosophie-politique/projet-de-paix-perpetuelle-et-charte-des-nations- unies</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فإن السلام الذي تنتجه هذه المنظمة هو في العمق ظلم حقيقي في حق الإنسانية جمعاء، يقترفه بعض أعضائها الدائمين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هدف كانط هو جعل حد للحروب بين الدول وتطوير نوع من القانون الدولي يُنهي حالة الفوضى التي كانت تتسم بها العلاقات الدولية في عهده، في محاولة لتأسيسها على قوانينَ تُنظم علاقاتها على المستوى الخارجي، وأخرى على المستوى الداخلي بضمان قوانين عادلة بين المواطنين وتوفير حقوق بعينها لكل مواطن على حدة، بما في ذلك الأجانب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عندما نمعن النظر في فصول منظمة الأمم المتحدة،</w:t>
      </w:r>
    </w:p>
    <w:p>
      <w:pPr>
        <w:pStyle w:val="BookText"/>
        <w:rPr/>
      </w:pPr>
      <w:r>
        <w:rPr>
          <w:rFonts w:ascii="Amiri" w:hAnsi="Amiri" w:eastAsia="Amiri" w:cs="Amiri"/>
          <w:color w:val="111111"/>
          <w:sz w:val="28"/>
          <w:sz w:val="28"/>
          <w:szCs w:val="28"/>
          <w:rtl w:val="true"/>
          <w:lang w:bidi="ar-SA"/>
        </w:rPr>
        <w:t>فإننا نقتنع بأنها خانت إلى حد كبير المبادئ الأساسية والمهمة لكانط في ما يخص العلاقات الدولية والسلم العالميّين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جدال في كون هذه المنظمة هي تنظيم للمنتصرين في الحرب العالمية الثانية لا أقل ولا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الأمر بسلام يفرضه المنتصرون طبقًا المصالحهم وأهدافهم السياسية والاقتصادية والاستراتيجية بعيدة الأمد، ويتناقض هذا كليًّا مع ما دعا إليه كانط ويوحي هذا بأن البلدان المؤسسة لمنظمة الأمم المتحدة لم تأخذ أيَّ عِبَرَ من حربين عالميتين مدمرتين، لأن منطق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مركزيا في ميثاقها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تنطبق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الدولة المعادية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المذكورة في الفقرة الأولى من هذه المادة على أي دولة كانت في الحرب العالمية الثانية من أعداء أي دولة موقّعة على هذا الميثاق </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هذا الميثاق ما يبطل أو يمنع أي عمل إزاء دولة كانت في أثناء الحرب العالمية الثانية معادية لإحدى الدول الموقعة على هذا الميثاق إذا كان هذا العمل قد أتخذ أو رُخص به نتيجة لتلك الحرب من قبل الحكومات المسؤولة عن القيام بهذا العمل</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أصبحت هذه المنظمة إذًا، بشهادة حتى الكثير من الغربيين أنفسهم</w:t>
      </w:r>
      <w:r>
        <w:rPr>
          <w:rStyle w:val="FootnoteAnchor"/>
          <w:rtl w:val="true"/>
        </w:rPr>
        <w:footnoteReference w:id="176"/>
      </w:r>
      <w:r>
        <w:rPr>
          <w:rFonts w:ascii="IRNazanin" w:hAnsi="IRNazanin" w:eastAsia="IRNazanin"/>
          <w:color w:val="111111"/>
          <w:sz w:val="28"/>
          <w:sz w:val="28"/>
          <w:szCs w:val="28"/>
          <w:rtl w:val="true"/>
          <w:lang w:bidi="fa-IR"/>
        </w:rPr>
        <w:t>، أداةً طيعةً في يد الاستكبار الأمريكي بالخصوص اتجاه القضايا العربية والمسلمة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الهدف الأسمى من تأسيس هذه المنظمة قبل ستة عقود هو إحلال السلام بين الشعوب فإننا نلاحظ فرادی و جماعات وفي كل قارات المعمورة، بأنها تساهم مباشرةً في </w:t>
      </w:r>
    </w:p>
    <w:p>
      <w:pPr>
        <w:pStyle w:val="BookText"/>
        <w:rPr/>
      </w:pPr>
      <w:r>
        <w:rPr>
          <w:rFonts w:ascii="Amiri" w:hAnsi="Amiri" w:eastAsia="Amiri" w:cs="Amiri"/>
          <w:color w:val="111111"/>
          <w:sz w:val="28"/>
          <w:sz w:val="28"/>
          <w:szCs w:val="28"/>
          <w:rtl w:val="true"/>
          <w:lang w:bidi="ar-SA"/>
        </w:rPr>
        <w:t>إشعال الحروب بين الشعوب بخضوعها لإرادة الأعضاء الدائمين بصفة عامة والإرادة الأمريكية بصفة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 السلام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الكانطي مثالاً نظرياً، لم تعتن به الكانطية الجديدة ليصبح من أولويات الساسة وحتى وإن كان كانط قد كتب هذا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 فعل على ما تسببت فيه الثورة الفرنسية من إراقة للدماء بين نابوليون والأوروبيين، وكموقف له بمناسبة عقد مؤتمر بال عام </w:t>
      </w: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معاهدة السلام بين بروسيا وفرنسا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الوقت الذي كانت فيه النمسا وأنجلترا في حالة حرب، فإن لا الحرب العالمية الأولى ولا الثانية كانت مناسبةً للكانطية الجديدة لإعادة النظر في البناء الفكري النفسي العدواني للغرب الذي مارسه داخليًا وخارجيًا اتجاه مستعمراته وما يزال يمارسه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التفكير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الدائم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أهم محطات التفكير في القرن الثامن عشر</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Marc BELISSA: Kant Idéaliste? Le débat sur la paix perpétuelle 1795- 1081.Paris X Nanterre - CHISCO</w:t>
      </w:r>
    </w:p>
    <w:p>
      <w:pPr>
        <w:pStyle w:val="BookText"/>
        <w:rPr/>
      </w:pPr>
      <w:r>
        <w:rPr>
          <w:rFonts w:eastAsia="Times New Roman" w:cs="Times New Roman" w:ascii="Times New Roman" w:hAnsi="Times New Roman"/>
          <w:color w:val="111111"/>
          <w:sz w:val="28"/>
          <w:szCs w:val="28"/>
          <w:lang w:val="en-US" w:bidi="en-US"/>
        </w:rPr>
        <w:t>Charles Irénée</w:t>
      </w:r>
    </w:p>
    <w:p>
      <w:pPr>
        <w:pStyle w:val="BookText"/>
        <w:rPr/>
      </w:pPr>
      <w:r>
        <w:rPr>
          <w:rFonts w:ascii="IRNazanin" w:hAnsi="IRNazanin" w:eastAsia="IRNazanin"/>
          <w:color w:val="111111"/>
          <w:sz w:val="28"/>
          <w:sz w:val="28"/>
          <w:szCs w:val="28"/>
          <w:rtl w:val="true"/>
          <w:lang w:bidi="fa-IR"/>
        </w:rPr>
        <w:t>نجده مثلا عند الأب سان بییر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Saint-Pierre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تطرق لهذا الموضوع في نص له عام </w:t>
      </w:r>
      <w:r>
        <w:rPr>
          <w:rFonts w:eastAsia="Amiri" w:cs="Amiri" w:ascii="Amiri" w:hAnsi="Amiri"/>
          <w:color w:val="111111"/>
          <w:sz w:val="28"/>
          <w:szCs w:val="28"/>
          <w:lang w:bidi="ar-SA"/>
        </w:rPr>
        <w:t>1713</w:t>
      </w:r>
      <w:r>
        <w:rPr>
          <w:rFonts w:ascii="Amiri" w:hAnsi="Amiri" w:eastAsia="Amiri" w:cs="Amiri"/>
          <w:color w:val="111111"/>
          <w:sz w:val="28"/>
          <w:sz w:val="28"/>
          <w:szCs w:val="28"/>
          <w:rtl w:val="true"/>
          <w:lang w:bidi="ar-SA"/>
        </w:rPr>
        <w:t xml:space="preserve">، على الرغم من أن ما قدمه في هذا الإطار لا يرقى إلى المساهمة الثمينة لكانط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ترتب عنها بعده عند الكثير من المفكرين والفلاسفة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هذا فإن اهتمام كانط بالموضوع يرجع إلى</w:t>
      </w:r>
    </w:p>
    <w:p>
      <w:pPr>
        <w:pStyle w:val="BookText"/>
        <w:rPr/>
      </w:pP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1784</w:t>
      </w:r>
      <w:r>
        <w:rPr>
          <w:rFonts w:ascii="IRNazanin" w:hAnsi="IRNazanin" w:eastAsia="IRNazanin"/>
          <w:color w:val="111111"/>
          <w:sz w:val="28"/>
          <w:sz w:val="28"/>
          <w:szCs w:val="28"/>
          <w:rtl w:val="true"/>
          <w:lang w:bidi="fa-IR"/>
        </w:rPr>
        <w:t xml:space="preserve">، عندما اعتبر تطور البشرية كسيرورة تتجه نحو شكل من أشكال الدولة العالمية، وفى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لمثل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طريق مجتمع مدني يُدير القانون بطريقة كونية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يمكن تحقيق هذا الهدف إلا بتغيير راديكالي لدساتير المجتمعات، وهذا ما سبق لروسو قوله كذلك بطريقة خاصة، وبذلك يُعارض كانط وينتقد حكم السلام الدائم للأب سان بيير ، فما طالب به کانط في هذا الإطار هو إقرار نظام جمهوري من أجل بناء مجتمع الأمم، لأن الشرط الإنساني يكمن في رغبة البشر في العيش في سلم وسلام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يعتبر كانط السلم الدائم، كنتيجة لنظام عالمي،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حلماً مثالياً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هو في عرفه حركة موضوعية للإنسانية فلم تُقنع فكرة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الأخوّة الكونية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التي كانت توجد في ثنايا الثورة الفرنسية، كانط، لأنها لم تكن كافيةً في نظره لبناء أي سلام دائم، بل أكد على أنّ الأساس الذي ينبني عليه هذا السلام هي الواجبات التي تجمع كل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وسبب هذا هو أنه كان يرى السلام كأفق سياسي وكشرط عقلي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تطرّق كانط في مشروع السلام الدائم إلى بعض العوائق التي تقف أمام تحقيق هذا المشروع، ومنها بالخصوص وقوفه ضد الاستعمار والديبلوماسية السرية والمخابراتية وبناء جيوش 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بأن السلام يتطلب قوانين بعينها، حددها في الحق العام وحق الأشخاص والحق الكوني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يؤكده في هذا الإطار هو هو كون السلام لا يكمن في غياب النزاعات والتناحرات، بل في حضور قانون عادل يمكن الاحتكام إليه والنظام الدستوري الجمهوري</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يمكنه في نظره ضمان هذه المستويات الثلاثة للقانون أو الحقوق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بغض النظر عن المبيعات المهمة لكتاب كانط حول السلام الدائم وإعادة طبعه مرات عديدةً في وقت وجيز بعد صدوره وترجمته إلى لغات أخرى، فإنه ألهم فلاسفةً ومفكرين كُثراً للاهتمام بالموضوع نفسه، وأثار زوبعةً من النقاشات السياسية في ألمانيا وفرنسا بالخصوص</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Lucian Calvié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لوسيان كالفيي </w:t>
      </w:r>
      <w:r>
        <w:rPr>
          <w:rFonts w:eastAsia="Times New Roman" w:cs="Times New Roman" w:ascii="Times New Roman" w:hAnsi="Times New Roman"/>
          <w:color w:val="111111"/>
          <w:sz w:val="28"/>
          <w:szCs w:val="28"/>
          <w:lang w:val="en-US" w:bidi="en-US"/>
        </w:rPr>
        <w:t>Olsner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أولزنر تمهيدات السلام ابتداءً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رييم وضع والمصالح السياسية لأوروبا وأوروبا وعلاقاتها السياسية والإقتصادية </w:t>
      </w:r>
      <w:r>
        <w:rPr>
          <w:rFonts w:eastAsia="Times New Roman" w:cs="Times New Roman" w:ascii="Times New Roman" w:hAnsi="Times New Roman"/>
          <w:color w:val="111111"/>
          <w:sz w:val="28"/>
          <w:szCs w:val="28"/>
          <w:lang w:val="en-US" w:bidi="en-US"/>
        </w:rPr>
        <w:t>Riem 1795) Schlegel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شليغل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 حول الجمهورية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Gorres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غورس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الدائم، مثال، </w:t>
      </w:r>
      <w:r>
        <w:rPr>
          <w:rFonts w:eastAsia="IRNazanin" w:cs="IRNazanin"/>
          <w:color w:val="111111"/>
          <w:sz w:val="28"/>
          <w:szCs w:val="28"/>
          <w:lang w:bidi="fa-IR"/>
        </w:rPr>
        <w:t>1797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Fichte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الدولة التجارية المنغلقة ، </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Gentz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غينتس في ما يتعلق بالسلم الأبدي </w:t>
      </w:r>
      <w:r>
        <w:rPr>
          <w:rFonts w:eastAsia="Times New Roman" w:cs="Times New Roman" w:ascii="Times New Roman" w:hAnsi="Times New Roman"/>
          <w:color w:val="111111"/>
          <w:sz w:val="28"/>
          <w:szCs w:val="28"/>
          <w:lang w:val="en-US" w:bidi="en-US"/>
        </w:rPr>
        <w:t>Zacharia 1802, Friesen 1803, Heeren 1809 Jean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جون 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إعلان الحرب على الحرب </w:t>
      </w:r>
      <w:r>
        <w:rPr>
          <w:rFonts w:eastAsia="Times New Roman" w:cs="Times New Roman" w:ascii="Times New Roman" w:hAnsi="Times New Roman"/>
          <w:color w:val="111111"/>
          <w:sz w:val="28"/>
          <w:szCs w:val="28"/>
          <w:lang w:val="en-US" w:bidi="en-US"/>
        </w:rPr>
        <w:t>Adam Mueller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آدم مولير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المفاهيم الأساسية للسياسة </w:t>
      </w:r>
      <w:r>
        <w:rPr>
          <w:rFonts w:eastAsia="Amiri" w:cs="Amiri" w:ascii="Amiri" w:hAnsi="Amiri"/>
          <w:color w:val="111111"/>
          <w:sz w:val="28"/>
          <w:szCs w:val="28"/>
          <w:lang w:bidi="ar-SA"/>
        </w:rPr>
        <w:t>1809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Rühle von Lillienstern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روهلا لفون ليلينشتيرن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يتعلق بالحرب، </w:t>
      </w:r>
      <w:r>
        <w:rPr>
          <w:rFonts w:eastAsia="Amiri" w:cs="Amiri" w:ascii="Amiri" w:hAnsi="Amiri"/>
          <w:color w:val="111111"/>
          <w:sz w:val="28"/>
          <w:szCs w:val="28"/>
          <w:lang w:bidi="ar-SA"/>
        </w:rPr>
        <w:t>1813</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القول، لا بد للمفكر العربي والمسلم الاحتراس من النظريات البراقة للغرب، سواءً قديمًا أو حديثا فمساهمة الغرب في الثقافة العالمية لم تفهم من طرف الغرب نفسه إلا كوسيلة لبسط النفوذ على الشعوب الأخرى واستعبادها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 الأقصى لهذه الأيديولوجيا الغربية يتجلى حاليا في ثقافته التكنولوجية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فالانبهار بالمنتوجات التكنولوجية والرغبة في حيازتها من طرف الشعوب غير المصنّعة لها، يقحمها في تبعية 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يُصدر الغرب، أو لا يقتسم علم التكنولوجيا، بل يسوق منتوجاتها في الدول التابعة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نفسه يُقال عن الصناعة الحربية، الممركزة في يد الغرب، وبالخصوص أمريكا، وما إن تحاول أي دولة غير غربية الاجتهاد للالتحاق بالركب العلمي لصناعة أسلحة تكنولوجية حديثة، حتى تنزل قبضة رعاة البقر على رقبة هذا البلد</w:t>
      </w:r>
      <w:r>
        <w:rPr>
          <w:rFonts w:eastAsia="Amiri" w:cs="Amiri" w:ascii="Amiri" w:hAnsi="Amiri"/>
          <w:color w:val="111111"/>
          <w:sz w:val="28"/>
          <w:szCs w:val="28"/>
          <w:rtl w:val="true"/>
          <w:lang w:bidi="ar-SA"/>
        </w:rPr>
        <w:t xml:space="preserve">. </w:t>
      </w:r>
      <w:bookmarkStart w:id="226" w:name="pg16300_179485"/>
    </w:p>
    <w:p>
      <w:pPr>
        <w:pStyle w:val="BookText"/>
        <w:rPr/>
      </w:pPr>
      <w:bookmarkEnd w:id="226"/>
      <w:r>
        <w:rPr>
          <w:rFonts w:ascii="Amiri" w:hAnsi="Amiri" w:eastAsia="Amiri" w:cs="Amiri"/>
          <w:color w:val="111111"/>
          <w:sz w:val="28"/>
          <w:sz w:val="28"/>
          <w:szCs w:val="28"/>
          <w:rtl w:val="true"/>
          <w:lang w:bidi="ar-SA"/>
        </w:rPr>
        <w:t xml:space="preserve">هناك إذا حلقةٌ مغلقة للفكر الغربي لم تنجح الكانطية الجديدة في تجاوزها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فرقعتها لبلوغ ما كان كانط ينتظره من إعمال العقل والوصول إلى شرط إنساني عادل، ينبذ الهيمنة والاستعمار فإلى جانب مساندتها للنازية، الوجه الخشن والمتوحش للثقافة الغربية عمومًا، فإنها كانت حسب بعض الدارسين مساندة للإمبريالية كذلك</w:t>
      </w:r>
      <w:r>
        <w:rPr>
          <w:rStyle w:val="FootnoteAnchor"/>
          <w:rtl w:val="true"/>
        </w:rPr>
        <w:footnoteReference w:id="179"/>
      </w:r>
    </w:p>
    <w:p>
      <w:pPr>
        <w:pStyle w:val="Heading2"/>
        <w:numPr>
          <w:ilvl w:val="1"/>
          <w:numId w:val="1"/>
        </w:numPr>
        <w:rPr/>
      </w:pPr>
      <w:bookmarkStart w:id="227" w:name="__RefHeading___Toc5377419_1280447820"/>
      <w:bookmarkStart w:id="228" w:name="_Toc79"/>
      <w:bookmarkEnd w:id="227"/>
      <w:r>
        <w:rPr>
          <w:rtl w:val="true"/>
        </w:rPr>
        <w:t>خلاصة</w:t>
      </w:r>
      <w:bookmarkEnd w:id="228"/>
    </w:p>
    <w:p>
      <w:pPr>
        <w:pStyle w:val="BookText"/>
        <w:rPr/>
      </w:pPr>
      <w:r>
        <w:rPr>
          <w:rFonts w:ascii="Amiri" w:hAnsi="Amiri" w:eastAsia="Amiri" w:cs="Amiri"/>
          <w:color w:val="111111"/>
          <w:sz w:val="28"/>
          <w:sz w:val="28"/>
          <w:szCs w:val="28"/>
          <w:rtl w:val="true"/>
          <w:lang w:bidi="ar-SA"/>
        </w:rPr>
        <w:t>صحيح أن الكانطية الجديدة، وبالخصوص مدرسة بادن، قد تكون أقرب إلى طبيعة الثقافة العربية والإسلامية بالمقارنة مع اتجاهات فكرية وفلسفية غربية أخرى، لأنها حاولت إحياء المثالية بطريقتها وكانت بمثابة لبنة للقومية الجرمانية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الأخيرة مثالاً لجحافل الثوار العرب بعد الحرب العالمية الثانية بالخصوص، سعيًا إلى التحرر من الاستعمار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حركات القومية العربية، وبالخصوص في الشرق العربي، محاولةً بناء وعي قومي على أساس العروبة والإسلام، وأجهضت مشاريع الوحدة والتعاون والتآزر ، ليُفسح المجال للشذرمة والتفريق والتمزيق الأيديولوجي والعقائدي في الأقطار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وصل الأمر إلى دَلَّ أقطار عربية بعينها وزرع فتيل الفتنة فيها وإشعال الحرب المدمرة بين حكام شعوبها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نزعم بأن الكانطية الجديدة هي سبب ويلاتنا الحالية، بقدر ما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نوثق لارتباط فكرها بمركزية غربية لمطلع القرن العشرين، لم يشتغل على صحة شعاراته الفلسفية ومثلها الإنسانية العدالة الحرية السلم إلخ، والاعتراف للشعوب غير الأوروبية بحقها الطبيعي في هذه المثل بقدر ما كرّس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بسكوته السياسات الاستعمارية اتجاه غير الأوروبيين، ومنهم بالخصوص الدول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تعتن الكانطية الجديدة مثلاً بتمثل كانط للأنوار، على الرغم من أنها وجدت في وقت تغدى كثيراً من إرثها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نريد هنا الترويج لفكر الأنوار الأوربية، بقدر ما نؤكد على أن المناخ العام لألمانيا في ذلك الوقت، والدول الأوروبية معها ، يشبه إلى حد بعيد مناخ الدول العربية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نريد هنا إيقاظ الشعور بأننا نحاول إسقاط تاريخ أمم على أمم أخرى، بل إن تقدم الأمم يكون دائماً تفاعليًّا، أخدًا وعطاءً، تأثيراً وتأثيرا مضادًا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يهم المفكر العربي المعاصر في المقام الأول في الأنوار كما نظر لها كانط هو عدم البقاء مكتوف اليدين اتجاه ما يحدث على طول خارطة العرب، أو اعتباره قدرًا محتومًا، بل محاولة فهم ما يحدث ومحاولة تحليله والمشاركة في تقديم 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فرياح التغيير لم تهدأ من الهبوب في البلدان العربية على الرغم من كل سرقات الحراك العربي، سواءً من طرف الحكام العرب أنفسهم أو أياد خارجية أو حركات دينية رجعية، لا تفهم إلا لغة العنف والهدم إذا لم يُبعث بعد من رحم السلطات التي تحكم العرب منذ عهود أي ملك أو أمير فيلسوف، يشبه فريدريك الثاني</w:t>
      </w:r>
      <w:r>
        <w:rPr>
          <w:rStyle w:val="FootnoteAnchor"/>
          <w:rtl w:val="true"/>
        </w:rPr>
        <w:footnoteReference w:id="180"/>
      </w:r>
      <w:r>
        <w:rPr>
          <w:rFonts w:ascii="Amiri" w:hAnsi="Amiri" w:eastAsia="Amiri" w:cs="Amiri"/>
          <w:color w:val="111111"/>
          <w:sz w:val="28"/>
          <w:sz w:val="28"/>
          <w:szCs w:val="28"/>
          <w:rtl w:val="true"/>
          <w:lang w:bidi="ar-SA"/>
        </w:rPr>
        <w:t xml:space="preserve">، الذي لم يكتف بالحكم فقط، بل نظر </w:t>
      </w:r>
    </w:p>
    <w:p>
      <w:pPr>
        <w:pStyle w:val="BookText"/>
        <w:rPr/>
      </w:pPr>
      <w:r>
        <w:rPr>
          <w:rFonts w:ascii="Amiri" w:hAnsi="Amiri" w:eastAsia="Amiri" w:cs="Amiri"/>
          <w:color w:val="111111"/>
          <w:sz w:val="28"/>
          <w:sz w:val="28"/>
          <w:szCs w:val="28"/>
          <w:rtl w:val="true"/>
          <w:lang w:bidi="ar-SA"/>
        </w:rPr>
        <w:t>لممارسة السلطة وأخذ موقفا معاديًا من الحرب على الرغم من أنه أقحم فيها، فإن الوضع الحالي سيرجعنا إلى عصور الظلام والتناحر المستمر بين أصحاب القرار في الدول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يفهم صاحب السلطة العربي المعاصر ، الذي يشارك بنشاط في حروب الممالك، ويُساهم في إشعال فتيل الفتنة السياسية بين الفرقاء العرب، ويتفنن تشتيت المسلمين بتشجيع فرقة ضد فرقة أخرى، ومذهب ضد آخر، والشيعة ضد السنة والسنّة ضد الشيعة بل ويشنّ حروبًا مذهبيةً مقدسةً على آخرين بمؤازرة من يعتبرهم مبدئيًا أعداء في العقيدة، بأن السلطة ليست تشريفا، بل تكليفا، وبأنّ مصيرها إذا لم تكن نابعةً من إرادة الشعوب لن يكون إلا الاندثار، كما يشهد التاريخ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يفهم المفكر العربي، بأن المطلوب ليس هو التركيز على أعراض مرض العرب ، بل التسرب لفهم أسباب هذا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فالملاحظ أن المفكر العربي الذي يهتم حاليا بأحوال أمته، لم يتجاوز بعد مرحلة الترقب والانتظار، بل في بعض المرات يسقط، عن وعي أو دون وعي، في مؤازرة نظام هذا الحاكم أو ذاك، منسلخًا بذلك على دوره الأساسي، المتمثل في إيقاظ المجتمعات العربية، وتشجيعها على أخذ مصيرها بين أيديها، لأن ما حكامها، ليس هو مساعدتها للخروج من حالة القصور إلى مرحلة النضج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إبقاءها تابعةً لها ومسيَّرةً من طرفها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هناك أي حاكم عربي يفكر في إعتاق شعبه من عبوديات </w:t>
      </w:r>
      <w:bookmarkStart w:id="229" w:name="pg16300_179488"/>
    </w:p>
    <w:p>
      <w:pPr>
        <w:pStyle w:val="BookText"/>
        <w:rPr/>
      </w:pPr>
      <w:bookmarkEnd w:id="229"/>
      <w:r>
        <w:rPr>
          <w:rFonts w:ascii="Amiri" w:hAnsi="Amiri" w:eastAsia="Amiri" w:cs="Amiri"/>
          <w:color w:val="111111"/>
          <w:sz w:val="28"/>
          <w:sz w:val="28"/>
          <w:szCs w:val="28"/>
          <w:rtl w:val="true"/>
          <w:lang w:bidi="ar-SA"/>
        </w:rPr>
        <w:t>لا حصر لها ، بقدر ما يعمل جاهدًا للمحافظة على سلطته وامتيازات الفئة التي تسبح في فلكه على حساب رعية لم تصل بعد إلى مرحلة المواطنة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الآن في الدول العربية هو أن تطالب شعوبها بحقها في المواطنة بكل ما يترتب عن ذلك من نتائج، وبالخصوص تحمل مسؤولياتها اتجاه ذواتها واتجاه أوطانها فليس هناك مواطنة دون حرية، وليس هناك حرية دون مسؤولية، وليس هناك مسؤولية دون وعي وتربية وبناء مثل أخلاقية إنسانية توحد الشعوب وتساعدها على تقرير مصيرها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0" w:name="__RefHeading___Toc5377421_1280447820"/>
      <w:bookmarkStart w:id="231" w:name="_Toc80"/>
      <w:bookmarkEnd w:id="230"/>
      <w:r>
        <w:rPr>
          <w:rtl w:val="true"/>
        </w:rPr>
        <w:t>قائمه المراجع</w:t>
      </w:r>
      <w:bookmarkEnd w:id="231"/>
    </w:p>
    <w:p>
      <w:pPr>
        <w:pStyle w:val="BookText"/>
        <w:rPr/>
      </w:pPr>
      <w:r>
        <w:rPr>
          <w:rFonts w:ascii="Amiri" w:hAnsi="Amiri" w:eastAsia="Amiri" w:cs="Amiri"/>
          <w:color w:val="111111"/>
          <w:sz w:val="28"/>
          <w:sz w:val="28"/>
          <w:szCs w:val="28"/>
          <w:rtl w:val="true"/>
          <w:lang w:bidi="ar-SA"/>
        </w:rPr>
        <w:t>المراجع بالعربية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أكبر أحمدي الحداثة عند كانط في رحاب آراء الشيخ مرتضى مطهري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مندي الكعبي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الإسلامي للدراسات الاستراتيجية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العباسية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إيمانويل كانط أنطولوجيا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محمد أحميد سلیمان دار التنوير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إيمانويل كانط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في حدود مجرد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فتحي المسكيني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جداول للطباعة والنشر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إيمانويل كانت تأسيس ميتافيزيقا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الغفار مكاوي منشورات الجمل كولونيا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ألمانيا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إيمانويل كانط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لكل ميتافيزيقا مقبلة يمكن أن تصير علما متبوع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أسس ميتافيزيقا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نازلي إسماعيل حسين ومحمد فتحي الشنيطي، موفيم للنشر ،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إيمانويل كنت نقد العقل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غانم هنا المنظمة العربية للترجمة بيروت،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إيمانويل كانط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ملكة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سعيد الغانمي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منشورات الجمل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گندمي نصر آبادي الجذور العلمانية في فلسفة </w:t>
      </w:r>
    </w:p>
    <w:p>
      <w:pPr>
        <w:pStyle w:val="BookText"/>
        <w:rPr/>
      </w:pPr>
      <w:r>
        <w:rPr>
          <w:rFonts w:ascii="Amiri" w:hAnsi="Amiri" w:eastAsia="Amiri" w:cs="Amiri"/>
          <w:color w:val="111111"/>
          <w:sz w:val="28"/>
          <w:sz w:val="28"/>
          <w:szCs w:val="28"/>
          <w:rtl w:val="true"/>
          <w:lang w:bidi="ar-SA"/>
        </w:rPr>
        <w:t>كانط الحداثة بدنيويتها الصارم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تعريب علي حسن 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الاستغراب، خريف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غيضان السيد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أثر الأخلاق الكانطية في الفكر العربي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مؤمنون بلا حدود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الزاوي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مفهوم اللغة في الفلسفة الكانطية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الرابع جامعة الكويت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بدوي إيمانويل كنط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بدوي فلسفة الدين والتربية عند كنت المؤسسة العربية للدراسات والنشر، بيروت،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فريال حسن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والسلام عند كانط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كانط مصر العربية للنشر 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محمود زيدان كنط وفلسفته النظرية دار المعارف،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المختار شعالي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المعرفة عند كانط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هيسبريس،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أبريل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عبد الحليم عطية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كانط وفلاسفة ما بعد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دوامات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الاستغراب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خريف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عبد الحليم عطية كانط وأنطولوجيا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الفارابي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حنان علي عواضة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الفلسفة النقدية لكانط طبيعتها وتطبيقاته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الأستاذ العدد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كامل محمد محمد عويضة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عيمانويل كانط شيخ الفلسفة في العصر الحديث دار الكتب العلمية بيروت لبنان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مراد وهبة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المذهب عند كانط تعريب نظمي لوقا مكتبة الأنجلو المصرية،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بلغات أجنبية</w:t>
      </w:r>
    </w:p>
    <w:p>
      <w:pPr>
        <w:pStyle w:val="BookText"/>
        <w:rPr/>
      </w:pPr>
      <w:r>
        <w:rPr>
          <w:rFonts w:eastAsia="Times New Roman" w:cs="Times New Roman" w:ascii="Times New Roman" w:hAnsi="Times New Roman"/>
          <w:color w:val="111111"/>
          <w:sz w:val="28"/>
          <w:szCs w:val="28"/>
          <w:lang w:val="en-US" w:bidi="en-US"/>
        </w:rPr>
        <w:t>Cassirer, Ernst: Symbolische Prägnanz, Ausdruck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sphänomen und 'Wiener Kreis'. Hrsg. V. Ch. Möckel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Meiner Verlag, Hamburg 2011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1865-1869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Cohen, Hermann: Kleinere Schriften 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Werke 12, Hildesheim u.a., Olms 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Hermann Cohen: Kants Begründung der Ethik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erw. Aufl. 1910, .1877</w:t>
      </w:r>
    </w:p>
    <w:p>
      <w:pPr>
        <w:pStyle w:val="BookText"/>
        <w:rPr/>
      </w:pPr>
      <w:r>
        <w:rPr>
          <w:rFonts w:eastAsia="Times New Roman" w:cs="Times New Roman" w:ascii="Times New Roman" w:hAnsi="Times New Roman"/>
          <w:color w:val="111111"/>
          <w:sz w:val="28"/>
          <w:szCs w:val="28"/>
          <w:lang w:val="en-US" w:bidi="en-US"/>
        </w:rPr>
        <w:t>Hermann Cohen: Ethik des reinen Willens. 1904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rev. Aufl. 1907, 3. Aufl. 1921, 4. Aufl. 1923, 5. Aufl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Deutsche Zeitschrift für Philosophie, Volume 59, 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sue 2 (May 2011). Schwerpunkt: Hermann Cohens Phi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losophie. Jahrbuch 6</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Dmitrieva N. A., Der russische Neukantianismus</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Marburg« in Russland. Historisch-philosophische Skiz</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zen, Moskva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Marion Heinz und Christian Krijnen (Hrsg.): Kant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im Neukantianismus. Fortschritt oder Rückschritt?. Stu</w:t>
      </w:r>
    </w:p>
    <w:p>
      <w:pPr>
        <w:pStyle w:val="BookText"/>
        <w:rPr/>
      </w:pPr>
      <w:r>
        <w:rPr>
          <w:rFonts w:eastAsia="Times New Roman" w:cs="Times New Roman" w:ascii="Times New Roman" w:hAnsi="Times New Roman"/>
          <w:color w:val="111111"/>
          <w:sz w:val="28"/>
          <w:szCs w:val="28"/>
          <w:lang w:val="en-US" w:bidi="en-US"/>
        </w:rPr>
        <w:t>dien und Materialien zum Neukantianismus. Königshau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sen und Neumann, Würzburg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Peter Hoeres: Kants Friedensidee in der deutschen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Kriegsphilosophie des Ersten Weltkriegs. In: Kant-Studi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en 93</w:t>
      </w:r>
    </w:p>
    <w:p>
      <w:pPr>
        <w:pStyle w:val="BookText"/>
        <w:rPr/>
      </w:pPr>
      <w:r>
        <w:rPr>
          <w:rFonts w:eastAsia="Times New Roman" w:cs="Times New Roman" w:ascii="Times New Roman" w:hAnsi="Times New Roman"/>
          <w:color w:val="111111"/>
          <w:sz w:val="28"/>
          <w:szCs w:val="28"/>
          <w:lang w:val="en-US" w:bidi="en-US"/>
        </w:rPr>
        <w:t>Helmut Holzhey (Hrsg.): Ethischer Sozialismus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Zur politischen Philosophie des Neukantianismus. Suhr</w:t>
      </w:r>
    </w:p>
    <w:p>
      <w:pPr>
        <w:pStyle w:val="BookText"/>
        <w:rPr/>
      </w:pPr>
      <w:r>
        <w:rPr>
          <w:rFonts w:eastAsia="Times New Roman" w:cs="Times New Roman" w:ascii="Times New Roman" w:hAnsi="Times New Roman"/>
          <w:color w:val="111111"/>
          <w:sz w:val="28"/>
          <w:szCs w:val="28"/>
          <w:lang w:val="en-US" w:bidi="en-US"/>
        </w:rPr>
        <w:t>kamp, Frankfurt 1994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Marburger und Südwestdeutscher Neukantianis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mus. (Anthologie). Hrsg. v. Andrzej J. Noras, Tomasz</w:t>
      </w:r>
    </w:p>
    <w:p>
      <w:pPr>
        <w:pStyle w:val="BookText"/>
        <w:rPr/>
      </w:pPr>
      <w:r>
        <w:rPr>
          <w:rFonts w:eastAsia="Times New Roman" w:cs="Times New Roman" w:ascii="Times New Roman" w:hAnsi="Times New Roman"/>
          <w:color w:val="111111"/>
          <w:sz w:val="28"/>
          <w:szCs w:val="28"/>
          <w:lang w:val="en-US" w:bidi="en-US"/>
        </w:rPr>
        <w:t>Kubalica. Katowice: Wydawnctwo US 2011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Revue de Métaphysique et de Morale, 2011, Nr. 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Hermann Cohen. L'idéalisme critique aux prises avec le</w:t>
      </w:r>
    </w:p>
    <w:p>
      <w:pPr>
        <w:pStyle w:val="BookText"/>
        <w:rPr/>
      </w:pPr>
      <w:r>
        <w:rPr>
          <w:rFonts w:eastAsia="Times New Roman" w:cs="Times New Roman" w:ascii="Times New Roman" w:hAnsi="Times New Roman"/>
          <w:color w:val="111111"/>
          <w:sz w:val="28"/>
          <w:szCs w:val="28"/>
          <w:lang w:val="en-US" w:bidi="en-US"/>
        </w:rPr>
        <w:t>matérialisme (numero dirigé par M. Bienenstock)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Renate Schindler und Gesine Palmer, Frieden und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Krieg. Mit Beiträgen zu Cohen. González Porta, Mario 2011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Ulrich Sieg: Aufstieg und Niedergang des Marburger</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Neukantianismus: die Geschichte einer philosophischen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Schulgemeinschaft. Königshausen und Neumann, Würz- burg 1994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Der Vernunftkritik zur Erkenntnislogik. Die 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wicklung der theoretischen Philosophie Hermann Co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hens. Freiburg/München 1988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Hans-Dieter Häußer: Transzendentale Reflexion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und Erkenntnisgegenstand. Zur transzendentalphilo- sophischen Erkenntnisbegründung unter besonderer Berücksichtigung objektivistischer Transformation des</w:t>
      </w:r>
    </w:p>
    <w:p>
      <w:pPr>
        <w:pStyle w:val="BookText"/>
        <w:rPr/>
      </w:pPr>
      <w:r>
        <w:rPr>
          <w:rFonts w:eastAsia="Times New Roman" w:cs="Times New Roman" w:ascii="Times New Roman" w:hAnsi="Times New Roman"/>
          <w:color w:val="111111"/>
          <w:sz w:val="28"/>
          <w:szCs w:val="28"/>
          <w:lang w:val="en-US" w:bidi="en-US"/>
        </w:rPr>
        <w:t>Kritizismus. Ein Beitrag zur systematischen und histori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schen Genese des Neukantianismus. Bouvier, Bonn 1989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Marion Heinz und Christian Krijnen (Hrsg.): Kant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im Neukantianismus. Fortschritt oder Rückschritt?. Stu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dien und Materialien zum Neukantianismus. Königshau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sen und Neumann, Würzburg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Peter Hoeres: Kants Friedensidee in der deutschen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Kriegsphilosophie des Ersten Weltkriegs. In: Kant-Studi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en 93 (2002), S. 84-112</w:t>
      </w:r>
    </w:p>
    <w:p>
      <w:pPr>
        <w:pStyle w:val="BookText"/>
        <w:rPr/>
      </w:pPr>
      <w:r>
        <w:rPr>
          <w:rFonts w:eastAsia="Times New Roman" w:cs="Times New Roman" w:ascii="Times New Roman" w:hAnsi="Times New Roman"/>
          <w:color w:val="111111"/>
          <w:sz w:val="28"/>
          <w:szCs w:val="28"/>
          <w:lang w:val="en-US" w:bidi="en-US"/>
        </w:rPr>
        <w:t>Helmut Holzhey: Cohen und Natorp. 2 Bände (Band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Ursprung und Einheit. Die Geschichte der,Marburger</w:t>
      </w:r>
    </w:p>
    <w:p>
      <w:pPr>
        <w:pStyle w:val="BookText"/>
        <w:rPr/>
      </w:pPr>
      <w:r>
        <w:rPr>
          <w:rFonts w:eastAsia="Times New Roman" w:cs="Times New Roman" w:ascii="Times New Roman" w:hAnsi="Times New Roman"/>
          <w:color w:val="111111"/>
          <w:sz w:val="28"/>
          <w:szCs w:val="28"/>
          <w:lang w:val="en-US" w:bidi="en-US"/>
        </w:rPr>
        <w:t>Schule als Auseinandersetzung um die Logik des Den</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kens. Band 2: Der Marburger Neukantianismus in Quel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len. Zeugnisse kritischer Lektüre - Briefe der Marburger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Dokumente zur Philosophiepolitik der Schule), Schwa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be, Basel 1986</w:t>
      </w:r>
    </w:p>
    <w:p>
      <w:pPr>
        <w:pStyle w:val="BookText"/>
        <w:rPr/>
      </w:pPr>
      <w:r>
        <w:rPr>
          <w:rFonts w:eastAsia="Times New Roman" w:cs="Times New Roman" w:ascii="Times New Roman" w:hAnsi="Times New Roman"/>
          <w:color w:val="111111"/>
          <w:sz w:val="28"/>
          <w:szCs w:val="28"/>
          <w:lang w:val="en-US" w:bidi="en-US"/>
        </w:rPr>
        <w:t>Helmut Holzhey (Hrsg.): Ethischer Sozialismus</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Zur politischen Philosophie des Neukantianismus. Suhr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kamp, Frankfurt 1994</w:t>
      </w:r>
    </w:p>
    <w:p>
      <w:pPr>
        <w:pStyle w:val="BookText"/>
        <w:rPr/>
      </w:pPr>
      <w:r>
        <w:rPr>
          <w:rFonts w:eastAsia="Times New Roman" w:cs="Times New Roman" w:ascii="Times New Roman" w:hAnsi="Times New Roman"/>
          <w:color w:val="111111"/>
          <w:sz w:val="28"/>
          <w:szCs w:val="28"/>
          <w:lang w:val="en-US" w:bidi="en-US"/>
        </w:rPr>
        <w:t>Helmut Holzhey: Neukantianismus. In: Wolfgang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Röd (Hrsg.): Geschichte der Philosophie, Band 12, Beck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München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Christian Krijnen: Nachmetaphysischer Sinn. Eine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problemgeschichtliche und systematische Studie zu den Prinzipien der Wertphilosophie Heinrich Rickerts, Kö</w:t>
      </w:r>
    </w:p>
    <w:p>
      <w:pPr>
        <w:pStyle w:val="BookText"/>
        <w:rPr/>
      </w:pPr>
      <w:r>
        <w:rPr>
          <w:rFonts w:eastAsia="Times New Roman" w:cs="Times New Roman" w:ascii="Times New Roman" w:hAnsi="Times New Roman"/>
          <w:color w:val="111111"/>
          <w:sz w:val="28"/>
          <w:szCs w:val="28"/>
          <w:lang w:val="en-US" w:bidi="en-US"/>
        </w:rPr>
        <w:t>nigshausen und Neumann, Würzburg 2001</w:t>
      </w:r>
    </w:p>
    <w:p>
      <w:pPr>
        <w:pStyle w:val="BookText"/>
        <w:rPr/>
      </w:pPr>
      <w:r>
        <w:rPr>
          <w:rFonts w:eastAsia="Times New Roman" w:cs="Times New Roman" w:ascii="Times New Roman" w:hAnsi="Times New Roman"/>
          <w:color w:val="111111"/>
          <w:sz w:val="28"/>
          <w:szCs w:val="28"/>
          <w:lang w:val="en-US" w:bidi="en-US"/>
        </w:rPr>
        <w:t>Christian Krijnen: Philosophie als System. Prinzi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pientheoretische Untersuchungen zumSystemgedanken</w:t>
      </w:r>
    </w:p>
    <w:p>
      <w:pPr>
        <w:pStyle w:val="BookText"/>
        <w:rPr/>
      </w:pPr>
      <w:r>
        <w:rPr>
          <w:rFonts w:eastAsia="Times New Roman" w:cs="Times New Roman" w:ascii="Times New Roman" w:hAnsi="Times New Roman"/>
          <w:color w:val="111111"/>
          <w:sz w:val="28"/>
          <w:szCs w:val="28"/>
          <w:lang w:val="en-US" w:bidi="en-US"/>
        </w:rPr>
        <w:t>bei Hegel, im Neukantianismus und in der Gegenwarts</w:t>
      </w:r>
    </w:p>
    <w:p>
      <w:pPr>
        <w:pStyle w:val="BookText"/>
        <w:rPr/>
      </w:pPr>
      <w:r>
        <w:rPr>
          <w:rFonts w:eastAsia="Times New Roman" w:cs="Times New Roman" w:ascii="Times New Roman" w:hAnsi="Times New Roman"/>
          <w:color w:val="111111"/>
          <w:sz w:val="28"/>
          <w:szCs w:val="28"/>
          <w:lang w:val="en-US" w:bidi="en-US"/>
        </w:rPr>
        <w:t>philosophie. Würzburg 2008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Wolfgang Marx und Ernst Wolfgang Orth: Hermann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Cohen und die Erkenntnistheorie. Königshausen und</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Neumann, Würzburg 2001</w:t>
      </w:r>
    </w:p>
    <w:p>
      <w:pPr>
        <w:pStyle w:val="BookText"/>
        <w:rPr/>
      </w:pPr>
      <w:r>
        <w:rPr>
          <w:rFonts w:eastAsia="Times New Roman" w:cs="Times New Roman" w:ascii="Times New Roman" w:hAnsi="Times New Roman"/>
          <w:color w:val="111111"/>
          <w:sz w:val="28"/>
          <w:szCs w:val="28"/>
          <w:lang w:val="en-US" w:bidi="en-US"/>
        </w:rPr>
        <w:t>Peter-Ulrich Merz-Benz, Ursula Renz (Hgg.): Ethik</w:t>
      </w:r>
      <w:r>
        <w:rPr>
          <w:rFonts w:eastAsia="Times New Roman" w:cs="Times New Roman" w:ascii="Times New Roman" w:hAnsi="Times New Roman"/>
          <w:color w:val="111111"/>
          <w:sz w:val="28"/>
          <w:szCs w:val="28"/>
          <w:rtl w:val="true"/>
          <w:lang w:val="en-US" w:bidi="en-US"/>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oder Ästhetik. Zur Aktualität der neukantianischen Kul</w:t>
      </w:r>
      <w:r>
        <w:rPr>
          <w:rFonts w:eastAsia="Times New Roman" w:cs="Times New Roman" w:ascii="Times New Roman" w:hAnsi="Times New Roman"/>
          <w:color w:val="111111"/>
          <w:sz w:val="28"/>
          <w:szCs w:val="28"/>
          <w:rtl w:val="true"/>
          <w:lang w:val="en-US" w:bidi="en-US"/>
        </w:rPr>
        <w:t xml:space="preserve"> </w:t>
      </w:r>
      <w:bookmarkStart w:id="232" w:name="pg16300_179495"/>
    </w:p>
    <w:p>
      <w:pPr>
        <w:pStyle w:val="BookText"/>
        <w:rPr/>
      </w:pPr>
      <w:bookmarkEnd w:id="232"/>
      <w:r>
        <w:rPr>
          <w:rFonts w:eastAsia="Times New Roman" w:cs="Times New Roman" w:ascii="Times New Roman" w:hAnsi="Times New Roman"/>
          <w:color w:val="111111"/>
          <w:sz w:val="28"/>
          <w:szCs w:val="28"/>
          <w:lang w:val="en-US" w:bidi="en-US"/>
        </w:rPr>
        <w:t>turphilosophie, Königshausen &amp; Neumann, Würzburg</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2004</w:t>
      </w:r>
    </w:p>
    <w:p>
      <w:pPr>
        <w:pStyle w:val="BookText"/>
        <w:rPr/>
      </w:pPr>
      <w:r>
        <w:rPr>
          <w:rFonts w:eastAsia="Times New Roman" w:cs="Times New Roman" w:ascii="Times New Roman" w:hAnsi="Times New Roman"/>
          <w:color w:val="111111"/>
          <w:sz w:val="28"/>
          <w:szCs w:val="28"/>
          <w:lang w:val="en-US" w:bidi="en-US"/>
        </w:rPr>
        <w:t>Ulrich Sieg. Aufstieg und Niedergang des Marburger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Neukantianismus: die Geschichte einer philosophischen</w:t>
      </w:r>
    </w:p>
    <w:p>
      <w:pPr>
        <w:pStyle w:val="BookText"/>
        <w:rPr/>
      </w:pPr>
      <w:r>
        <w:rPr>
          <w:rFonts w:eastAsia="Times New Roman" w:cs="Times New Roman" w:ascii="Times New Roman" w:hAnsi="Times New Roman"/>
          <w:color w:val="111111"/>
          <w:sz w:val="28"/>
          <w:szCs w:val="28"/>
          <w:lang w:val="en-US" w:bidi="en-US"/>
        </w:rPr>
        <w:t>Schulgemeinschaft. Königshausen und Neumann, Würz- burg 1994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Eggert Winter: Ethik und Rechtswissenschaft: Eine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historisch-systematische Untersuchung zur Ethik-Kon</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zeption des Marburger Neukantianismus im Werke Her mann Cohens. Duncker und Humblot, Berlin 1980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Kurt Walter Zeidler: Kritische Dialektik und Tran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szendentalontologie. Der Ausgang desNeukantianismus</w:t>
      </w:r>
    </w:p>
    <w:p>
      <w:pPr>
        <w:pStyle w:val="BookText"/>
        <w:rPr/>
      </w:pPr>
      <w:r>
        <w:rPr>
          <w:rFonts w:eastAsia="Times New Roman" w:cs="Times New Roman" w:ascii="Times New Roman" w:hAnsi="Times New Roman"/>
          <w:color w:val="111111"/>
          <w:sz w:val="28"/>
          <w:szCs w:val="28"/>
          <w:lang w:val="en-US" w:bidi="en-US"/>
        </w:rPr>
        <w:t>und die post-neukantianische Systematik R. Hönigs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walds, W. Cramers, B. Bauchs, H. Wagners, R. Reinin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gers und E. Heintels. Bouvier, Bonn 1995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Sascha Ziemann: Neukantianisches Strafrechtsden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ken. Die Philosophie des Südwestdeutschen Neukantia</w:t>
      </w:r>
    </w:p>
    <w:p>
      <w:pPr>
        <w:pStyle w:val="BookText"/>
        <w:rPr/>
      </w:pPr>
      <w:r>
        <w:rPr>
          <w:rFonts w:eastAsia="Times New Roman" w:cs="Times New Roman" w:ascii="Times New Roman" w:hAnsi="Times New Roman"/>
          <w:color w:val="111111"/>
          <w:sz w:val="28"/>
          <w:szCs w:val="28"/>
          <w:lang w:val="en-US" w:bidi="en-US"/>
        </w:rPr>
        <w:t>nismus und ihre Rezeption in der Strafrechtswissenschaft des frühen 20. Jahrhunderts. Nomos, Baden-Baden 2009</w:t>
      </w:r>
    </w:p>
    <w:p>
      <w:pPr>
        <w:pStyle w:val="Heading2"/>
        <w:numPr>
          <w:ilvl w:val="1"/>
          <w:numId w:val="1"/>
        </w:numPr>
        <w:rPr/>
      </w:pPr>
      <w:bookmarkStart w:id="233" w:name="__RefHeading___Toc5377423_1280447820"/>
      <w:bookmarkStart w:id="234" w:name="_Toc81"/>
      <w:bookmarkEnd w:id="233"/>
      <w:r>
        <w:rPr>
          <w:rtl w:val="true"/>
        </w:rPr>
        <w:t>نبذة موجزة عن المؤلف</w:t>
      </w:r>
      <w:bookmarkEnd w:id="23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ازداد سنة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بالمغرب، مقيم في النمسا منذ أكثر من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درس علم النفس الإكلينيكي بالنمسا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حصل على درجة دكتوراه قسم الفلسفة، علوم اللغة والتواصل وعلوم التربية تخصص علوم التربية جامعة ستراسبورغ الفرنسية، سنة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حصل على دبلوم الدراسات المعمقة، في التخصص نفسه والجامعة نفسها عام سنة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تخرج من جامعة محمد بن عبد الله بفاس، قسم الفلسفة وعلم الاجتماع وعلم النفس تخصص علم النفس سنة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حصل كأول باحث عربي على الجائزة العالمية إريك فروم لسنة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يعمل منذ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كسيكولوجي وبيداغوجي، متخصص في المراهقة والشباب في النمسا وإمارة الليكتنشطاين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اشتغل من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مشاريع عمل مع الفيلسوف النمساوي هانس كوكلر، الرئيس السابق لقسم الفلسفة بجامعة إنزبروك النمساوية، ترجمات وندوات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اشتغل من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مشاريع عمل مع الجمعية العالمية لإريك فروم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ترجمات وندوات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درس عام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بأكاديمية العمل الإجتماعي بمدينة بريغينس النمساوية، تخصص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سيكولوجية الشباب والمراهقة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اشتغل بين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إطار مشاريع بحث وترجمة</w:t>
      </w:r>
    </w:p>
    <w:p>
      <w:pPr>
        <w:pStyle w:val="BookText"/>
        <w:rPr/>
      </w:pPr>
      <w:r>
        <w:rPr>
          <w:rFonts w:ascii="Amiri" w:hAnsi="Amiri" w:eastAsia="Amiri" w:cs="Amiri"/>
          <w:color w:val="111111"/>
          <w:sz w:val="28"/>
          <w:sz w:val="28"/>
          <w:szCs w:val="28"/>
          <w:rtl w:val="true"/>
          <w:lang w:bidi="ar-SA"/>
        </w:rPr>
        <w:t>ودورات بالأكاديمية العالمية للفلسفة بإمارة الليكتنشطاين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عضو المجلس البلدي لمدينة فيلدكيرخ النمساوية منذ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مؤلفات ودراسات ومقالات عديدة في الميدان الفلسفي والسيكولوجي والبيداغوجي والسياسي، منها على الخصوص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إبستمولوجية علوم التربية وعلوم التربية العربية الواقع والآفاق، منشورات اختلاف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الطفل والله الأسس النفسية لظهور وتطور فكرة الله عند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البوكيلي للطباعة دسمبر دسمبر </w:t>
      </w:r>
      <w:r>
        <w:rPr>
          <w:rFonts w:eastAsia="Amiri" w:cs="Amiri" w:ascii="Amiri" w:hAnsi="Amiri"/>
          <w:color w:val="111111"/>
          <w:sz w:val="28"/>
          <w:szCs w:val="28"/>
          <w:lang w:bidi="ar-SA"/>
        </w:rPr>
        <w:t>1998</w:t>
      </w:r>
    </w:p>
    <w:p>
      <w:pPr>
        <w:pStyle w:val="BookText"/>
        <w:rPr/>
      </w:pPr>
      <w:r>
        <w:rPr>
          <w:rFonts w:ascii="Amiri" w:hAnsi="Amiri" w:eastAsia="Amiri" w:cs="Amiri"/>
          <w:color w:val="111111"/>
          <w:sz w:val="28"/>
          <w:sz w:val="28"/>
          <w:szCs w:val="28"/>
          <w:rtl w:val="true"/>
          <w:lang w:bidi="ar-SA"/>
        </w:rPr>
        <w:t xml:space="preserve">رحابة فكر، دار أبي رقراق للطباعة والنشر، الرباط،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رحاب الفكر جاهز للطبع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النخبة المغربية المهاجرة الرأسمال البشري الضائع؟ في طريق الإعداد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مشارف حوارات في الفكر والحوار الثقافي و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جاهز للطبع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لعب الظل عمل أدبي مشترك بالألمانية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مجموعة من الأدباء النمساويين،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الكتابة، عمل أدبي مشترك بالألمانية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الجنود المغاربة للذين شاركوا في تحرير النمسا من النازية عام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دورنبيرن، النمسا،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عشر سنة دراسية مهربة عن طريق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عن </w:t>
      </w:r>
    </w:p>
    <w:p>
      <w:pPr>
        <w:pStyle w:val="BookText"/>
        <w:rPr/>
      </w:pPr>
      <w:r>
        <w:rPr>
          <w:rFonts w:ascii="Amiri" w:hAnsi="Amiri" w:eastAsia="Amiri" w:cs="Amiri"/>
          <w:color w:val="111111"/>
          <w:sz w:val="28"/>
          <w:sz w:val="28"/>
          <w:szCs w:val="28"/>
          <w:rtl w:val="true"/>
          <w:lang w:bidi="ar-SA"/>
        </w:rPr>
        <w:t>هجرة الطلبة المغاربة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فضالة شتنبر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موسم العودة إلى الجنوب رواية عن الهجرة المغربية لأوروبا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الهلال العربية للنشر والتوزيع، أكتوبر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حفريات مهاجر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قصيرة عن المهاجرين العرب في أوروبا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،فضالة، المحمدية،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غربة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الغربة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جاهز للطبع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Sindibad le Surfer, Imprimerie Fedala, Mohamadia, .13</w:t>
      </w:r>
    </w:p>
    <w:p>
      <w:pPr>
        <w:pStyle w:val="BookText"/>
        <w:rPr/>
      </w:pP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بالفرنسية عن خلخلة البنى الاجتماعية والثقافية والأخلاقية في الدول العربية جراء التطور وسائل التواصل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من الألمانية إلى العربية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كبرهان على وجود الله إعادة بناء فينومونولوجي للبرهان الأنطولوجي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يوسف سايفرت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أفريقيا الشرق،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الطبيب كدواء العلاقة العلاجية بين الطبيب والمريض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بوريس لوبان بلوتسا، طباعة ناداكوم، الرباط،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تفاعل الحضارات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الفينومنولوجيا الواقعية في حوار الحضارات والديانات طباعة ناداكوم، الرباط،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الحرب الغريبة، تأليف مارتين أور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ناداكوم، الرباط،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الإنسان المستلب وآفاق تحرره إريك فروم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فيديبرانت الرباط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المسلمون والغرب من الصراع إلى الحوار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طوب، الدار البيضاء،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الشك ونقد المجتمع عند هايدغر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التيسير، الدار البيضاء،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الشك ونقد المجتمع عند هيدجر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مزيدة ومنقحة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جداول للطباعة والنشر والترجمة، بيروت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تشنج العلاقة بين المسلمين والغرب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الأسباب والحلول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تأليف هانس كوكلر جداول للطباعة والنشر والترجمة بيروت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جدلية العلمنة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والدين جداول للطباعة والنشر والترجمة، بيروت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شوبنهاور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الفلسفة الكنطية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تبادل الرسائل بين هانا أرينت ومارتين هايدغر جداول للطباعة والنشر، بيروت،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راينر فونك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الأنا والنحن التحليل النفسي لإنسان ما بعد الحداثة جداول للطباعة والنشر، بيروت،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إريك فروم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مختارة جداول للطباعة والنشر، بيروت،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جذور التملك وآفاق الكينونية في فكر إيريك فروم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ناداكوم، الرباط،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العقل والدين في المجتمع الحديث ومابعد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ناداكوم، الرباط، </w:t>
      </w:r>
      <w:r>
        <w:rPr>
          <w:rFonts w:eastAsia="Amiri" w:cs="Amiri" w:ascii="Amiri" w:hAnsi="Amiri"/>
          <w:color w:val="111111"/>
          <w:sz w:val="28"/>
          <w:szCs w:val="28"/>
          <w:lang w:bidi="ar-SA"/>
        </w:rPr>
        <w:t>2005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النزعة الإنسانية في حوار الثقافات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إيريك فروم کنموذج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طوب، الدار البيضاء، </w:t>
      </w:r>
      <w:r>
        <w:rPr>
          <w:rFonts w:eastAsia="IRNazanin" w:cs="IRNazanin"/>
          <w:color w:val="111111"/>
          <w:sz w:val="28"/>
          <w:szCs w:val="28"/>
          <w:lang w:bidi="fa-IR"/>
        </w:rPr>
        <w:t>2007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حوار العالمين الجرماني والعربي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أبي رقراق للطباعة والنشر، الرباط </w:t>
      </w:r>
      <w:r>
        <w:rPr>
          <w:rFonts w:eastAsia="Amiri" w:cs="Amiri" w:ascii="Amiri" w:hAnsi="Amiri"/>
          <w:color w:val="111111"/>
          <w:sz w:val="28"/>
          <w:szCs w:val="28"/>
          <w:lang w:bidi="ar-SA"/>
        </w:rPr>
        <w:t>2007</w:t>
      </w:r>
    </w:p>
    <w:p>
      <w:pPr>
        <w:pStyle w:val="BookText"/>
        <w:rPr/>
      </w:pPr>
      <w:r>
        <w:rPr>
          <w:rFonts w:ascii="Amiri" w:hAnsi="Amiri" w:eastAsia="Amiri" w:cs="Amiri"/>
          <w:color w:val="111111"/>
          <w:sz w:val="28"/>
          <w:sz w:val="28"/>
          <w:szCs w:val="28"/>
          <w:rtl w:val="true"/>
          <w:lang w:bidi="ar-SA"/>
        </w:rPr>
        <w:t>شارك في العديد من اللقاءات العلمية والندوات في المغرب ألمانيا والنمسا، وشارك في تنظيم أكثر من خمسة ندوات علمية، في المغرب والنمسا وألمانيا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الكثير من الدراسات والمقالات في ميدان الفلسفة والفكر والبيداغوجيا والسيكولوجيا والسياسة والهجرة، نُشرت في مجلات متخصصة وجرائد في العالم العربي والعالم الجرماني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حاور العديد من المفكرين والفلاسفة العرب ،والجرمانيين، كما حاورته العديد من وسائل الإعلام المرئية والمسموعة والمقروءة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المؤلف في سطور</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لشهب</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لشهب</w:t>
      </w:r>
    </w:p>
    <w:p>
      <w:pPr>
        <w:pStyle w:val="BookText"/>
        <w:rPr/>
      </w:pPr>
      <w:r>
        <w:rPr>
          <w:rFonts w:ascii="Amiri" w:hAnsi="Amiri" w:eastAsia="Amiri" w:cs="Amiri"/>
          <w:color w:val="111111"/>
          <w:sz w:val="28"/>
          <w:sz w:val="28"/>
          <w:szCs w:val="28"/>
          <w:rtl w:val="true"/>
          <w:lang w:bidi="ar-SA"/>
        </w:rPr>
        <w:t xml:space="preserve">باحث واكاديمي مغربي، مقيم في النمسا منذ أكثر من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حصل على درجة دكتوراه قسم الفلسفة، علوم اللغة والتواصل وعلوم التربية، تخصص علوم التربية ، جامعة ستراسبورغ الفرنسية ، سنة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للمؤلف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إبستمولوجية علوم التربية و علوم التربية العربية الواقع والآفاق منشورات اختلاف</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الطفل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الأسس النفسية لظهور وتطور فكرة الله عند الطفل البوكيلي للطباعة دسمبر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رحابة فكر دار أبي رقراق للطباعة والنشر، الرباط، </w:t>
      </w:r>
      <w:r>
        <w:rPr>
          <w:rFonts w:eastAsia="Amiri" w:cs="Amiri" w:ascii="Amiri" w:hAnsi="Amiri"/>
          <w:color w:val="111111"/>
          <w:sz w:val="28"/>
          <w:szCs w:val="28"/>
          <w:lang w:bidi="ar-SA"/>
        </w:rPr>
        <w:t>2010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رحاب الفكر، جاهز للطبع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النخبة المغربية المهاجرة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الرأسمال البشري الضائع ؟ في طريق الإعداد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مشارف حوارات في الفكر والحوار الثقافي والهجرة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جاهز للطبع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بالألمانية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 الظل، مع مجموعة من الأدباء النمساويين،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الكتابة ، مع مجموعة من الأدباء النمساويين،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مغربي دورنبيرن، النمسا، </w:t>
      </w:r>
      <w:r>
        <w:rPr>
          <w:rFonts w:eastAsia="Amiri" w:cs="Amiri" w:ascii="Amiri" w:hAnsi="Amiri"/>
          <w:color w:val="111111"/>
          <w:sz w:val="28"/>
          <w:szCs w:val="28"/>
          <w:lang w:bidi="ar-SA"/>
        </w:rPr>
        <w:t>2005</w:t>
      </w:r>
    </w:p>
    <w:p>
      <w:pPr>
        <w:pStyle w:val="BookText"/>
        <w:rPr/>
      </w:pPr>
      <w:r>
        <w:rPr>
          <w:rFonts w:ascii="Amiri" w:hAnsi="Amiri" w:eastAsia="Amiri" w:cs="Amiri"/>
          <w:color w:val="111111"/>
          <w:sz w:val="28"/>
          <w:sz w:val="28"/>
          <w:szCs w:val="28"/>
          <w:rtl w:val="true"/>
          <w:lang w:bidi="ar-SA"/>
        </w:rPr>
        <w:t>بالعربية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سنة دراسية مهربة عن طريق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فضالة، شتنبر </w:t>
      </w:r>
      <w:r>
        <w:rPr>
          <w:rFonts w:eastAsia="Amiri" w:cs="Amiri" w:ascii="Amiri" w:hAnsi="Amiri"/>
          <w:color w:val="111111"/>
          <w:sz w:val="28"/>
          <w:szCs w:val="28"/>
          <w:lang w:bidi="ar-SA"/>
        </w:rPr>
        <w:t>1999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موسم العودة إلى الجنوب ، الهلال العربية للنشر والتوزيع، أكتوبر </w:t>
      </w:r>
      <w:r>
        <w:rPr>
          <w:rFonts w:eastAsia="Amiri" w:cs="Amiri" w:ascii="Amiri" w:hAnsi="Amiri"/>
          <w:color w:val="111111"/>
          <w:sz w:val="28"/>
          <w:szCs w:val="28"/>
          <w:lang w:bidi="ar-SA"/>
        </w:rPr>
        <w:t>1998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حفريات 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فضالة المحمدية،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غربة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الغربة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طريق الإنجاز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بالفرنسية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Sindibad le Surfer, Imprimerie Fedala, Mohamadia, 2003</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عشرات الكتب والدراسات المترجمة من الألمانية إلى العربية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الكتاب</w:t>
      </w:r>
    </w:p>
    <w:p>
      <w:pPr>
        <w:pStyle w:val="BookText"/>
        <w:rPr/>
      </w:pPr>
      <w:r>
        <w:rPr>
          <w:rFonts w:ascii="Amiri" w:hAnsi="Amiri" w:eastAsia="Amiri" w:cs="Amiri"/>
          <w:color w:val="111111"/>
          <w:sz w:val="28"/>
          <w:sz w:val="28"/>
          <w:szCs w:val="28"/>
          <w:rtl w:val="true"/>
          <w:lang w:bidi="ar-SA"/>
        </w:rPr>
        <w:t>الكانطية الجديدة</w:t>
      </w:r>
    </w:p>
    <w:p>
      <w:pPr>
        <w:pStyle w:val="BookText"/>
        <w:rPr/>
      </w:pPr>
      <w:r>
        <w:rPr>
          <w:rFonts w:ascii="Amiri" w:hAnsi="Amiri" w:eastAsia="Amiri" w:cs="Amiri"/>
          <w:color w:val="111111"/>
          <w:sz w:val="28"/>
          <w:sz w:val="28"/>
          <w:szCs w:val="28"/>
          <w:rtl w:val="true"/>
          <w:lang w:bidi="ar-SA"/>
        </w:rPr>
        <w:t xml:space="preserve">تركز هذه الدراسة التي تندرج ضمن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مصطلحات معاصرة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بيان المرتكزات الأساسية 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الكانطية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شاع أمره في الأوساط العلمية والأكاديمية والثقافية غربا وشرقًا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يتناول بالتحليل والنقد أهم التيارات التي تدخل تحت هذا المصطلح، ولا سيما مدرسة بادن وماربورغ والنقدية الكانطية المعدّلة وذلك لأهميتها في تطور المفهوم وأثره الكبير في</w:t>
      </w:r>
    </w:p>
    <w:p>
      <w:pPr>
        <w:pStyle w:val="BookText"/>
        <w:rPr/>
      </w:pPr>
      <w:r>
        <w:rPr>
          <w:rFonts w:ascii="Amiri" w:hAnsi="Amiri" w:eastAsia="Amiri" w:cs="Amiri"/>
          <w:color w:val="111111"/>
          <w:sz w:val="28"/>
          <w:sz w:val="28"/>
          <w:szCs w:val="28"/>
          <w:rtl w:val="true"/>
          <w:lang w:bidi="ar-SA"/>
        </w:rPr>
        <w:t>الفلسفة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المقدمة</w:t>
      </w:r>
    </w:p>
    <w:p>
      <w:pPr>
        <w:pStyle w:val="BookText"/>
        <w:rPr/>
      </w:pPr>
      <w:r>
        <w:rPr>
          <w:rFonts w:ascii="Amiri" w:hAnsi="Amiri" w:eastAsia="Amiri" w:cs="Amiri"/>
          <w:color w:val="111111"/>
          <w:sz w:val="28"/>
          <w:sz w:val="28"/>
          <w:szCs w:val="28"/>
          <w:rtl w:val="true"/>
          <w:lang w:bidi="ar-SA"/>
        </w:rPr>
        <w:t>المركز المنارة للدراسات الامة الحمر</w:t>
      </w:r>
    </w:p>
    <w:p>
      <w:pPr>
        <w:pStyle w:val="BookText"/>
        <w:rPr/>
      </w:pPr>
      <w:r>
        <w:rPr>
          <w:rFonts w:eastAsia="Times New Roman" w:cs="Times New Roman" w:ascii="Times New Roman" w:hAnsi="Times New Roman"/>
          <w:color w:val="111111"/>
          <w:sz w:val="28"/>
          <w:szCs w:val="28"/>
          <w:lang w:val="en-US" w:bidi="en-US"/>
        </w:rPr>
        <w:t>http://www.iicss.iq</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islamic.css@gmail.com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عملنا في هذا الإطار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فيينا والوضعية المنطقية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الطبع</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Hans-Ludwig Ollig. Der Neukantianismus, Metzler Stuttgart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وتطور الكانطية الجديدة الفلسفة الألمانية الجامعية بين المثالية</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تسمى أيضاً ثورة مارس، وهي جزء من ثورات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اندلعت في العديد من بلدان أوروبا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 يخص ألمانيا، التي كانت دويلاتها منظمةً في شكل اتحاد، كانت هناك سلسلة من الاحتجاجات والتمردات غير المنسقة بإحكام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الاتحاد الذي كان يظم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دويلةً صغيرةً قامت بعد نهاية الإمبراطورية الرومانية، التي كانت ألمانيا خاضعةً لها أيضًا، كان من طبيعة استبدادية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محافظة بادن الحالية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الجنوب الشرقي لألمانيا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منطقة اندلعت فيها الثورة وامتدت إلى العديد من المناطق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الدويلات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 نوع من الثورة المضادة عام </w:t>
      </w:r>
      <w:r>
        <w:rPr>
          <w:rFonts w:eastAsia="IRNazanin" w:cs="IRNazanin"/>
          <w:b w:val="false"/>
          <w:bCs w:val="false"/>
          <w:i w:val="false"/>
          <w:iCs w:val="false"/>
          <w:color w:val="333333"/>
          <w:sz w:val="20"/>
          <w:szCs w:val="20"/>
        </w:rPr>
        <w:t>1849</w:t>
      </w:r>
      <w:r>
        <w:rPr>
          <w:rFonts w:ascii="IRNazanin" w:hAnsi="IRNazanin" w:eastAsia="IRNazanin"/>
          <w:b w:val="false"/>
          <w:b w:val="false"/>
          <w:bCs w:val="false"/>
          <w:i w:val="false"/>
          <w:i w:val="false"/>
          <w:iCs w:val="false"/>
          <w:color w:val="333333"/>
          <w:sz w:val="20"/>
          <w:sz w:val="20"/>
          <w:szCs w:val="20"/>
          <w:rtl w:val="true"/>
        </w:rPr>
        <w:t>، قضى على الثورة الأصلية للعام الذي سبقه بالقوة العسكرية بمشاركة القوات النمساوية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كونكا </w:t>
      </w:r>
      <w:r>
        <w:rPr>
          <w:rFonts w:eastAsia="IRNazanin" w:cs="IRNazanin"/>
          <w:b w:val="false"/>
          <w:bCs w:val="false"/>
          <w:i w:val="false"/>
          <w:iCs w:val="false"/>
          <w:color w:val="333333"/>
          <w:sz w:val="20"/>
          <w:szCs w:val="20"/>
        </w:rPr>
        <w:t>Khake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المرجع السابق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يتعلق الأمر بالجدل الذي دارت رحاه كنتيجة لتطور العلوم الطبيعية في ما يخص تصور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ودار النقاش بالخصوص حول ما إذا كانت نتائج العلوم تتوافق مع تصور روح غير مادية وإله شخصي وإرادة 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إلى هذا، ركز النقاش حول الشروط</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Rudolf Haym, Carl Prantl, Friedrich Überweg, Kuno Fischer, Jürgen Bona Mayer, F. Albert Lange</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نفسه،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سنعود إلى هذه النقطة بشيئ من التفصيل في هذا الكتاب</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كونكا </w:t>
      </w:r>
      <w:r>
        <w:rPr>
          <w:rFonts w:eastAsia="IRNazanin" w:cs="IRNazanin"/>
          <w:b w:val="false"/>
          <w:bCs w:val="false"/>
          <w:i w:val="false"/>
          <w:iCs w:val="false"/>
          <w:color w:val="333333"/>
          <w:sz w:val="20"/>
          <w:szCs w:val="20"/>
        </w:rPr>
        <w:t>Kohnke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المرجع السابق نفسه،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فولدا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وكريينين الفلسفة النسقية كمعرفة ذاتية هيغل والكانطية الجديدة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Pr>
        <w:t>Tomasz Kubalica: Die Beziehung zwischen dem Lehrmeister und dem Schüler in der Neukantischen Philosophie». IDEA, XXVII, Bialystok .2015, S 384-394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الأمر طوماتس كوباليكا، المرجع السابق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Kritische Geschichte des Neukantianismus von seinerEnsttehung bis zur Gegenwart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ترجمتنا لكتابه هذا جداول للطباعة والنشر والترجمة، بيروت، </w:t>
      </w:r>
      <w:r>
        <w:rPr>
          <w:rFonts w:eastAsia="IRNazanin" w:cs="IRNazanin"/>
          <w:b w:val="false"/>
          <w:bCs w:val="false"/>
          <w:i w:val="false"/>
          <w:iCs w:val="false"/>
          <w:color w:val="333333"/>
          <w:sz w:val="20"/>
          <w:szCs w:val="20"/>
        </w:rPr>
        <w:t>2016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إدورد سكايد لسكي إرنست كاسيرر فيلسوف الحضارة الأخير، نشرة مطبعة جامعة برنكتون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Oesterreich [Hg.], Grundriss der Geschichte der Philosophie, 12. Auflage 1923, 417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Karl Vorländer. Volkstümliche Geschichte der Philosophie. Verlag von J. H. W. Dietz Nachf. G. m. b. H. 1921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ترجمتنا لنص كانط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ماهي الأنوار؟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كونكا </w:t>
      </w:r>
      <w:r>
        <w:rPr>
          <w:rFonts w:eastAsia="IRNazanin" w:cs="IRNazanin"/>
          <w:b w:val="false"/>
          <w:bCs w:val="false"/>
          <w:i w:val="false"/>
          <w:iCs w:val="false"/>
          <w:color w:val="333333"/>
          <w:sz w:val="20"/>
          <w:szCs w:val="20"/>
        </w:rPr>
        <w:t>Kohnke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نفس المرجع السابق،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Fechner, Gustav Theodor. Zend-Avesta oder über die Dinge des Himmels und des Jenseits. Vom Standpunkt der Naturbetrachtung. 2 Bande. Leopold Vof Verlag. Leipzig, Hamburg. 1901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Hermann Lotze. Allgemeine Pathologie und Therapie als mechanische Naturwissenschaften. Weidmann, Leipzig 1842</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Hermann Lotze. Logik. Weidmann, Leipzig 1843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Hermann Lotze Metaphysik. Weidmann, Leipzig 1841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Georgi Schischkoff Philosophisches Wörterbuch, 21. Auflage, Kröner, Stuttgart 1982, Stichwort: Lotze, Rudolf Hermann, S. 419</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Kant und die Epigonen Canstadt 1865; Berlin 1912; Erlangen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التنبيه هنا إلى أن هناك أوطو ليبمان آخر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كان حقوقيا وقانونيا، ولم تكن له علاقة بأوطو ليبمان الفيلسوف، الذي يهمنا هنا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أهم كتبه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nomothetisch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متعلقة باستخراج النواميس العامة للظواهر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idiographisch</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متعلقة بوصف الحالات الجزئية الحادثة والمتغيرة والعرضية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Geschichte und Naturwissenschaft: Rede zum Antritt des Rectorats der Kaiser-Wilhelms-Universität Strassburg, geh. am 1. Mai 1894, Strassburg, 1894. Sitzungsberichte der Heidelberger Akademie der Wissenschaften, Philosophisch-Historische Klasse; Jg. 1910, Abh. 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هذا الإطار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بين أهم ما كتب</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للتذكير كان المقصود من الثقافة العلوم الإجتماعية أو الإنسانية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Gegenstand der Erkenntnis, 1915, S. IX</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كتابه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Grundzüge der Psychologie, 2. Ausgabe, 1918, S</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أهمها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نفسه،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نفسه، السابق نفسه،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على الخصوص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Gesammelte Schriften. 3 Bände. Herausgegeben von Eugen Herrigel. J. C. B. Mohr (Paul Siebeck), Tübingen 1923 (Band I, II), 1924 (Band III)</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بين أهم ما ألفه باوخ</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أهم ما كتب</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مؤلفاته الرئيسية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مثلا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Friedrich Albert Lange, Otto Liebmann, Eduard Zeller und Hermann von Helmholtz</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Carole Prompsy: «Entre Kant et Dieu: la philosophie de la religion de Herman Cohen</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فيلسوف وعالم لغة وعالم بيداغوجيا ألماني اهتم في المقام الأول بكانط وأرسطو</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هو الآخر فيلسوفا وعالم لغة ألماني</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 العقل من مصادر اليهودية </w:t>
      </w:r>
      <w:r>
        <w:rPr>
          <w:rFonts w:eastAsia="IRNazanin" w:cs="IRNazanin"/>
          <w:b w:val="false"/>
          <w:bCs w:val="false"/>
          <w:i w:val="false"/>
          <w:iCs w:val="false"/>
          <w:color w:val="333333"/>
          <w:sz w:val="20"/>
          <w:szCs w:val="20"/>
        </w:rPr>
        <w:t>Die Religion der Vernunft aus den Quellen 1919 ,des Judentums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نصه اليهودية والخلاص </w:t>
      </w:r>
      <w:r>
        <w:rPr>
          <w:rFonts w:eastAsia="IRNazanin" w:cs="IRNazanin"/>
          <w:b w:val="false"/>
          <w:bCs w:val="false"/>
          <w:i w:val="false"/>
          <w:iCs w:val="false"/>
          <w:color w:val="333333"/>
          <w:sz w:val="20"/>
          <w:szCs w:val="20"/>
        </w:rPr>
        <w:t>Monotheismus und Messianismus. In: Neue Jüdische Monatshefte. 1. Jahrgang, 4. Heft, S</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mache Dir die Selbstgesetzgebung in der Person eines jeden Menschen zum Zwecke</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كارول ،برومبسي، المرجع السابق نفسه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أهم مؤلفاته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بين أهم مؤلفاته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بين كتبه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Norbert Jegelka: Paul Natorp: Philosophie, Pädagogik, Politik. Würzburg 1992, S. 10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Nationalsozialistische Deutsche Arbeiterpartei (NSDAP)</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أهم ما خلّف من مؤلفات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بين ما كتب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لشهب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فيينا والوضعية المنطقية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Kröner Lexikon der philosophischen Werke</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أشرف على نشره كل من إيدوارد شبرانغر وهانس هيسي </w:t>
      </w:r>
      <w:r>
        <w:rPr>
          <w:rFonts w:eastAsia="IRNazanin" w:cs="IRNazanin"/>
          <w:b w:val="false"/>
          <w:bCs w:val="false"/>
          <w:i w:val="false"/>
          <w:iCs w:val="false"/>
          <w:color w:val="333333"/>
          <w:sz w:val="20"/>
          <w:szCs w:val="20"/>
        </w:rPr>
        <w:t>Eduard Spranger und .Hans Heyse</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Realistische Grundzüge, 1870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بين ما كتبه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يتعلق الأمر في الخيال المفيد بافتراض أو نظرية في فلسفة نظرية المعرفة، تُقبل كشرح أو شكل تفكير بطريقة مؤقتة، حتى وإن كان من الصعب البرهنة عليها أو الدفاع عنها من وجهة نظر علمية أو منطقية محضة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ونجد هذا المصطلح في تيارات فلسفية متعددة كالبراغماتية والاداتية والطبيعانية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المذهب الطبيعي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جانب فايهينغر الذي استعمل المصطلح، نجد كذلك دانييل دينيت </w:t>
      </w:r>
      <w:r>
        <w:rPr>
          <w:rFonts w:eastAsia="IRNazanin" w:cs="IRNazanin"/>
          <w:b w:val="false"/>
          <w:bCs w:val="false"/>
          <w:i w:val="false"/>
          <w:iCs w:val="false"/>
          <w:color w:val="333333"/>
          <w:sz w:val="20"/>
          <w:szCs w:val="20"/>
        </w:rPr>
        <w:t>Daniel Dennett</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بين الميادين التي نجد حضور مفهوم الخيال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 فيها هناك ميدان القانون في ما يخص حرية الإرادة للإنسان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الرغم من أن المرء لا يستطيع البرهنة على الإرادة الحرة للإنسان، فإن المشرع في الكثير من الدول يؤكد على أن الإنسان الناضج، المعافى جسديا ونفسيا، يتوفر على إرادة حرة للقيام بشيء ما أو عدم القيام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الشيء نفسه نجده في علم التنجيم، لأن له وظيفةً اجتماعيةً تتمثل في تقديم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 لأفراد المجتمع الباحثين عن معنى لحياتهم وللحياة بصفة 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نجده في الأنطولوجيا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والنزعة الإسمية يشير مصطلح النزعة الخيالية </w:t>
      </w:r>
      <w:r>
        <w:rPr>
          <w:rFonts w:eastAsia="IRNazanin" w:cs="IRNazanin"/>
          <w:b w:val="false"/>
          <w:bCs w:val="false"/>
          <w:i w:val="false"/>
          <w:iCs w:val="false"/>
          <w:color w:val="333333"/>
          <w:sz w:val="20"/>
          <w:szCs w:val="20"/>
        </w:rPr>
        <w:t>Fiktionalismus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الفلسفة النسقية الحديثة إلى نوع من مواقف غير واقعية في ما معينة، لا توجد بالفعل، بل خيالية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فلاسفة عديدون استعملوا المصطلح نذكر منهم بالخصوص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Peter van</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كتبه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Grundfragen der Erkenntnistheorie. Tübingen</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كتب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كتابه القانون والدولة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Recht und Staat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Karl Vorländer. Geschichte der Philosophie. Band , Leipzig 1919</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Bezrodnyj, M. Zur Geschichte des russischen Neukantianismus. Die Zeitschrift "Logos» und ihre Redakteure. Zeitschrift für Slawistik, 37(4), 1992. PP. 489 -511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Nina A. Dmitrieva. Der russische Neukantianismus: Marburg in Rußland. Historisch-philosophische Skizzen</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Karol Bal. Kant in Polen. Kant in the World, 31 January, 2014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Bobko A. "Radykalne zło» ludzkiej natury a idea ❝wiecznego pokoju». // Znak. Nr. 454. 1993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Józef K. Szaniawski, F. Jaro'ski, F. Wigura, Michał Czacki, Tadeusz Dzieduszycki, J. E. Jankowski</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Walicki A. Polska recepcja myšli Kanta w okresie mi@dzypowstaniowym. //Dziedzictwo Kanta. Materiały z sesji Kantowskiej. Hg. von J. Garewicz. Warszawa, 1976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وبالخصوص مؤلفه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Essais de critique générale, 4 Bde-64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يصدر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النقد الفلسفي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Revue: La critique philosophique-89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توقفها أصدر مجلة سنوية للفلسفة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LAnnée philosophique</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يتعلق الأمر بمؤلفه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Ruyssen (Kant, Paris)</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 Leclère, Le mouvement catholique Kantien en France à .363-l'heure présente, Kantstudien VII, 300</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Critical Philosophy of Immanuel Kant, 2 Bde., 1889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انطر مجلة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268f ,Kantstudien VI</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Cantoni Pavia. Emanuele Kant, Milano 1879 bis 84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Antal G. von. von. Die Holländische Philosophie im neunzehnten Jahrhundert eine Studie. Utrecht, 1888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الكانطية في هلندا نذكر على سبيل المثال كل 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Daniel</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Onnasch, Ernst-Otto. Die erste Rezeption der Philosophie Immanuel Kants in der Niederlande. // Kant zwischen West und Ost. Zum Gedenken an Kants 200. Todestag und 280. Geburtstag. Hrsg. Von Prof. Dr. Wladimir Bryuschinkin. Bd. 1. Kaliningrad, 2005. S. 105- 116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Paulus van Hemert, Ueber die Existenz der prinzipien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أهم ما ألفه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eines reinen uneigennützigen Wohlwollens im Menschen, Dortmund 1799 Magazyn voor de critische</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wijsgeerte en de geschiedenis van dezelve</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Iroo Nakamura. Kant in Japan. Kant in the World. 10 January,2014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Physischen Geographie. Kant und die Religionen des Ostens, Beihefte zum Jahrbuch der Albertus-Universität Königsberg/Pr. Kitzingen- Main, 1954, S. 107 -118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Tokyo: Iwanami-1939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Tokyo: Risosha-1988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الياباني المتخصص في كانط </w:t>
      </w:r>
      <w:r>
        <w:rPr>
          <w:rFonts w:eastAsia="IRNazanin" w:cs="IRNazanin"/>
          <w:b w:val="false"/>
          <w:bCs w:val="false"/>
          <w:i w:val="false"/>
          <w:iCs w:val="false"/>
          <w:color w:val="333333"/>
          <w:sz w:val="20"/>
          <w:szCs w:val="20"/>
        </w:rPr>
        <w:t>Iwanami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62/1961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Pr>
        <w:t>Lee, Choong-Jin. Praktische Philosophie Kants und ihre Rezeption - in der konfuzianischen Kultur in Der Fall Korean // 10. Internationale Kant Konferenz. Klassische Vernunft und die Herausforderungen der</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Kritik der praktischen Vernunft, Grundlegung zur Metaphysik der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La Sitten, Tugendlehre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Pr>
        <w:t>Kleine  Rechtslehre, Zum ewigen Frieden</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هذا الإطار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عبد الحليم عطية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كانط وأنطولوجيا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الفارابي بیروت، لبنان </w:t>
      </w:r>
      <w:r>
        <w:rPr>
          <w:rFonts w:eastAsia="IRNazanin" w:cs="IRNazanin"/>
          <w:b w:val="false"/>
          <w:bCs w:val="false"/>
          <w:i w:val="false"/>
          <w:iCs w:val="false"/>
          <w:color w:val="333333"/>
          <w:sz w:val="20"/>
          <w:szCs w:val="20"/>
        </w:rPr>
        <w:t>2010</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القائمة طويلة، لا يسعنا ذكر كل الأسماء، لذا نقتصر على بعضها زكي نجيب محمود، توفيق الطويل عبد الكبير الخطيبي، محمد عابد الجابري، مطاوع صفدي، حسن حنفي علي حرب ناصيف نصار فريال خليفة أحمد عبد الحليم عطية، أم الزين بن شيخة المسكيني، فتحي المسكيني إلخ</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نريد هنا تفضيل مفكر على آخر، بل نذكر فقط بأن فتحي المسكيني قد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 لكانط في الوقت الحاضر إلى حد الآن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التفاصيل انظر أحمد عبد الحليم عطية، مرجع سابق</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المحمدي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كانط ونموذجه المثالي لتأسيس جماعة أخلاقية كونية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https://aawsat.com/home/article</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كانط ونموذجه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لتأسيس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أخلاقية كونية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تقديم علاء الدين محمود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الثقافة العربية وراهنية كانط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 4da4-a2ad 93b19a97b0b2-alkhaleej.ae/supplements/page/de315b67-ec17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لعمل أم الزين بن شيخة المسكيني</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النقد الكانطي وأثره على مشروعي أركون والجابري</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الفيصلي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الحداثة عند كانط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https://m.annabaa.org/n/studies/10769</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ترجمتنا لهذا النص إيمانويل كانط ما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الاتحاد الإشتراكى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المغربية وموقع حكمة </w:t>
      </w:r>
      <w:r>
        <w:rPr>
          <w:rFonts w:eastAsia="IRNazanin" w:cs="IRNazanin"/>
          <w:b w:val="false"/>
          <w:bCs w:val="false"/>
          <w:i w:val="false"/>
          <w:iCs w:val="false"/>
          <w:color w:val="333333"/>
          <w:sz w:val="20"/>
          <w:szCs w:val="20"/>
        </w:rPr>
        <w:t>http://hekmah.org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إيمانويل كانط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يورد فتحي المسكيني قائمةً لكتب ونصوص كانط، حيث اهتم بالإسلام، أو ما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بالمحمدية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نسبة لرسول المسلمین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ملاحظات حول الشعور بالجميل والجليل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محاولة في أمراض الرأس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نقد العقل العملي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الدين في حدود مجرد العقل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ميتافيزيقا الأخلاق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نزاع الكليات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والأثروبولوجيا من وجهة نظر براغماتية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دروس في الميتافيزيقا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دروس في الإتيقا إلخ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فتحي المسكيني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كانط والإسلام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http://hekmah org</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كانط والإسلام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الكبرياء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هذا الإطار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أكبر أحمدي الحداثة عند كانط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آراء الشيخ مرتضى مطهري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رؤيةً نقدية معاصرة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أسعد مندي الكعبي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المركز الإسلامي للدراسات الاستراتيجية العتبة العباسية المقدسة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گندمي نصر آبادي الجذور العلمانية في فلسفة كانط الحداثة بدنيويتها</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 Windelband, Präludien. Aufsätze und Reden zur Einleitung in .die Philosophie. Bd. I., Aufl. 9. Tübingen, 1924, IV</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لماذا الكانطية الجديدة اليوم؟ </w:t>
      </w:r>
      <w:r>
        <w:rPr>
          <w:rFonts w:eastAsia="IRNazanin" w:cs="IRNazanin"/>
          <w:b w:val="false"/>
          <w:bCs w:val="false"/>
          <w:i w:val="false"/>
          <w:iCs w:val="false"/>
          <w:color w:val="333333"/>
          <w:sz w:val="20"/>
          <w:szCs w:val="20"/>
        </w:rPr>
        <w:t>Geert Edel: Warum Neukantianismus heute?», Vortrag zur Internationalen Tagung: «Deutscher und Russischer .Neukantianismus)- Moskau 29.-31 Mai 2018</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Coreth/Ehlen/Hafner/Ricken (Hrg.): Philosophie dee .Jahrhunderts, Stuttgart, Kohlhammer, 1986</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التيارات الرئيسية للفلسفة المعاصرة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Stegmuller, W Hauptströmungen der Gegenwartsphilosphie, Bd. 1., Kröner, Stuttgart, .1989</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Ernst Wolfgang Orth: Die Einheit des Neukantianismus In: Ders. (Hrsg.): Neukantianismus. Perspektiven und Probleme. .Königshausen&amp;Neumann, Würzburg 1994, S. 14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انطر كتابه الكانطية الجديدة </w:t>
      </w:r>
      <w:r>
        <w:rPr>
          <w:rFonts w:eastAsia="IRNazanin" w:cs="IRNazanin"/>
          <w:b w:val="false"/>
          <w:bCs w:val="false"/>
          <w:i w:val="false"/>
          <w:iCs w:val="false"/>
          <w:color w:val="333333"/>
          <w:sz w:val="20"/>
          <w:szCs w:val="20"/>
        </w:rPr>
        <w:t>Hans-Ludwig OlligDerNeukantianismus .Stuttgart, Metzler, 1979. S. 94 -110</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كورت فالتر تسايدلر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الدياليكتيك النقدي والأنطولوجيا المتعالية نهاية الكانطية الجديدة ونسقية المابعد الكانطية الجديدة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https://sites.google.com/site/neukantianismusforschung/home</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باستثناء العالم العربي، لأسباب نجهلها، ونرجع السبب في عدم توصل الساهرين على النشرة بالمساهمات العربية وعدم معرفة العرب بهذه النشرة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Carola Häntsch: "Kant und die postmoderne Vernunft», in 10. Internationale Kant Konferenz. Klassische Vernunft und die Herausforderungen der modernen Zivilisation. Hrsg. W. N. Brjuschinkin. Kaliningrad. 2010. Band 1. S. 429-441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المرجع السابق</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خصصت دائرة فيينا الحالية أربعة ندوات متتالية للكانطية الجديدة بين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 خُصصت الأولى منها لموضوع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ماربورغ ضد الجنوب الشرقي الألماني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الاختلافات الفلسفية بين المدرستين الرئيسيتين للكانطية الجديدة بين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يونيو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يوليو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بأوسترون </w:t>
      </w:r>
      <w:r>
        <w:rPr>
          <w:rFonts w:eastAsia="IRNazanin" w:cs="IRNazanin"/>
          <w:b w:val="false"/>
          <w:bCs w:val="false"/>
          <w:i w:val="false"/>
          <w:iCs w:val="false"/>
          <w:color w:val="333333"/>
          <w:sz w:val="20"/>
          <w:szCs w:val="20"/>
        </w:rPr>
        <w:t>Ustrong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البولاندية ونظمت الندوة الثانية بين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نوفمبر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دسمبر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بفيينا، وكان موضوع النقاش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العلوم في الكانطية الجديدة المناهج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السجالات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النتائج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الندوة الثالثة فقد خصصت لـ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التاريخ في الكانطية الجديدة لماربورغ والجنوب الشرقي الألماني وراهنيته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ونُضمت بباريس من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وحسب علمنا فإن</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Massimo Ferrari: Cassirer, Schlick und der Neukantianismus Philosophische Streitfragen im Kontext</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المرجع السابق</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طوماس مورمان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الفلسفة العلمية في المنفى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كاسيرر ودائرة فيينا بعد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ميخائيل هيدلبيرغر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نفسه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ذهب إليه أو ستر رايخ أيضا، انظر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أزمة وأفول الكانطية الجديدة للجنوب الشرق لألمانيا </w:t>
      </w:r>
      <w:r>
        <w:rPr>
          <w:rFonts w:eastAsia="IRNazanin" w:cs="IRNazanin"/>
          <w:b w:val="false"/>
          <w:bCs w:val="false"/>
          <w:i w:val="false"/>
          <w:iCs w:val="false"/>
          <w:color w:val="333333"/>
          <w:sz w:val="20"/>
          <w:szCs w:val="20"/>
        </w:rPr>
        <w:t>Fulda .H.F . "Krise und Untergang des südwestdeutschen Neukantianismus</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هانس فريديريك فولدا أزمة وأفول الكانطية الجديدة الجنوب الشرقية الألمانية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إضافةً إلى نص آخر له في نفس الموضوع نشره بالمجلة الألمانية للفلسفة عام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انصهار اندماج هاينريك ريكرت في النازية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ص </w:t>
      </w:r>
      <w:r>
        <w:rPr>
          <w:rFonts w:eastAsia="IRNazanin" w:cs="IRNazanin"/>
          <w:b w:val="false"/>
          <w:bCs w:val="false"/>
          <w:i w:val="false"/>
          <w:iCs w:val="false"/>
          <w:color w:val="333333"/>
          <w:sz w:val="20"/>
          <w:szCs w:val="20"/>
        </w:rPr>
        <w:t>269253</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بحثنا حول العلمانية في مجلة الإستغراب العدد الثامن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بعد العلمانية ، صيف </w:t>
      </w:r>
      <w:r>
        <w:rPr>
          <w:rFonts w:eastAsia="IRNazanin" w:cs="IRNazanin"/>
          <w:b w:val="false"/>
          <w:bCs w:val="false"/>
          <w:i w:val="false"/>
          <w:iCs w:val="false"/>
          <w:color w:val="333333"/>
          <w:sz w:val="20"/>
          <w:szCs w:val="20"/>
        </w:rPr>
        <w:t>1438</w:t>
      </w:r>
      <w:r>
        <w:rPr>
          <w:rFonts w:ascii="IRNazanin" w:hAnsi="IRNazanin" w:eastAsia="IRNazanin"/>
          <w:b w:val="false"/>
          <w:b w:val="false"/>
          <w:bCs w:val="false"/>
          <w:i w:val="false"/>
          <w:i w:val="false"/>
          <w:iCs w:val="false"/>
          <w:color w:val="333333"/>
          <w:sz w:val="20"/>
          <w:sz w:val="20"/>
          <w:szCs w:val="20"/>
          <w:rtl w:val="true"/>
        </w:rPr>
        <w:t>هـ الموافق 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يوهانيس هيسن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الفلسفة الدينية للكانطية الجديدة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Die Religionsphilosophie .des Neukantianismus. Herder &amp; Co. Freiburg, 1924. S. 6</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Religion innerhalb der Grenzen der Humanität</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هذا الإطار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 Hessen. Die Stellung der Religion im systematischen Denken der</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 Hessen. Die Stellung der Religion im systematischen Denken der Marburger Schule. Diss. Berlin 1930..53 Hans-Ludwig Ollig 155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Die neukantische Religionsphilosophie der Gegenwart kritisch .gewürdigt. Langensalza, 1920</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نصه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Vom. Ewige im Menschen, Leipzig</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Religionsphilosophie Berlin</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Das Heilige, Bresla</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يوهانيس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هيسن الفلسفة الدينية للكانطية الجديدة </w:t>
      </w:r>
      <w:r>
        <w:rPr>
          <w:rFonts w:eastAsia="IRNazanin" w:cs="IRNazanin"/>
          <w:b w:val="false"/>
          <w:bCs w:val="false"/>
          <w:i w:val="false"/>
          <w:iCs w:val="false"/>
          <w:color w:val="333333"/>
          <w:sz w:val="20"/>
          <w:szCs w:val="20"/>
        </w:rPr>
        <w:t>Die Religionsphilosophie 1924 ,des Neukantianismus. Herder &amp; Co. Freiburg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 ذكرناه من قبل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نفسه،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في كتابه مفهوم الدين </w:t>
      </w:r>
      <w:r>
        <w:rPr>
          <w:rFonts w:eastAsia="IRNazanin" w:cs="IRNazanin"/>
          <w:b w:val="false"/>
          <w:bCs w:val="false"/>
          <w:i w:val="false"/>
          <w:iCs w:val="false"/>
          <w:color w:val="333333"/>
          <w:sz w:val="20"/>
          <w:szCs w:val="20"/>
        </w:rPr>
        <w:t>Der Begriff der Religion</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كتابه </w:t>
      </w:r>
      <w:r>
        <w:rPr>
          <w:rFonts w:eastAsia="IRNazanin" w:cs="IRNazanin"/>
          <w:b w:val="false"/>
          <w:bCs w:val="false"/>
          <w:i w:val="false"/>
          <w:iCs w:val="false"/>
          <w:color w:val="333333"/>
          <w:sz w:val="20"/>
          <w:szCs w:val="20"/>
        </w:rPr>
        <w:t>Der Sinn der Gegenwärtigen Kultur</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Religion innerhalb der Grenzen der Humanität, S</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يوهانيس هيسن المرجع السابق نفسه،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نفسه،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ما يخص تعريف المثالية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كيشانة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مفهومها وأنواعها وفلاسفتها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المركز الإسلامي للدراسات الإستراتيجية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العتبة العباسية المقدسة،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هـ الموافق 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ويُعتبر البحث شيئًا جدا، أحاط بالمفهوم في شموليته وحدوده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 CASSIRER, Kants Leben und Lehre. Berlin 1921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 de la PAQUERIE, Les arguments de l'athéisme, Paris, Librairie Bloud et Cie, 1909, p. 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ستُحدث ثورة كبرى، ثورة أنعم وأشمل من الإصلاح الذي جاء به لوثر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من حين قراءة كتابكم نقد العقل المحض، نرى أنه لا يمكن دحضه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فلسفتكم يجب أن تَبقى خالدةً لا تتغير، وكُتُبكم تُعيد لدين المسيح صفاءه الأولي بحيث إنّها لا تعطيه أيَّ هدف إلا القداسة كلّ العلوم تصبح أكثر تنظيماً ، أنقى وأكثر اعتدادًا، والعمل التشريعي خصوصا يربح ربحا لانهائيا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سنتطرق إلى هذه النقطة بتفصيل في ما بعد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موضوع رسالتنا للدكتوراه قبل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تقريبا بجامعة ستراسبورغ الفرنسية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الطفل 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الأسس النفسية والوجدانية والتربية على ظهور وتطور فكرة الله عند الطفل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وتطرقنا بإسهاب كان لوجهة نظر كانط عن الله وعن براهين وجوده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 HEINE, De l'Allemagne, Paris, Michel Lévy, 1856. T. I, p. 1276128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 KANT, Briefwechsel, in Kant's gesammelte Schriften, herausgegeben von königlich preußischen Akademie der Wissenschaften, Band X, zweite Abteilung, erster Band, Walter de Gruyter, Berlin und Leipzig 1922, pp. 175179- cit., p. 176.cfr, I. KANT, Epistolario filosofico, Il Melangol</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 KANT, Das Ende aller Dinge, in Werke, Bd XI, p. 190. «alsdann aber, weil das Christentum allgemeine Weltreligion zu sein zwar bestimmt, aber es zu werden von dem Schicksal nicht begünstigt sein würde, das (verkehrte) Ende aller Dinge in moralischer Rücksicht eintreten</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حسام شاكر في</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كارول برمبسي، المرجع السابق، ص</w:t>
      </w:r>
      <w:r>
        <w:rPr>
          <w:rFonts w:eastAsia="IRNazanin" w:cs="IRNazanin"/>
          <w:b w:val="false"/>
          <w:bCs w:val="false"/>
          <w:i w:val="false"/>
          <w:iCs w:val="false"/>
          <w:color w:val="333333"/>
          <w:sz w:val="20"/>
          <w:szCs w:val="20"/>
        </w:rPr>
        <w:t>36</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فتحي المسكيني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كانط والإسلام أو في حدود الكبرياء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مؤمنون بلا 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للدراسات والأبحاث </w:t>
      </w:r>
      <w:r>
        <w:rPr>
          <w:rFonts w:eastAsia="IRNazanin" w:cs="IRNazanin"/>
          <w:b w:val="false"/>
          <w:bCs w:val="false"/>
          <w:i w:val="false"/>
          <w:iCs w:val="false"/>
          <w:color w:val="333333"/>
          <w:sz w:val="20"/>
          <w:szCs w:val="20"/>
        </w:rPr>
        <w:t>2015</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كانط ملاحظات حول الشعور بالجميل والجليل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Kant. Beobachtungen</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المسكيني وترجمه عن نص كانط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ملاحظات حول الشعور بالجميل والجليل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كانط، دروس في الميتافيزيقا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واستشهد به المسكيني</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المرجع السابق</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كانط الدين في حدود مجلاد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فتحي المسكيني، داول للطباعة والترجمة والنشر بیروت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نفسه،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المسكيني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كيشانة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مفهومها وأنواعها وفلاسفتها المركز الإسلامي للدراسات الإستراتيجية العتبة العباسية المقدسة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xml:space="preserve">هـ الموافق لـ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وأشد ما يمكن أن يوجه إلى مثالية كانط من نقد دعوته المتبطنة بإنشاء دين عالمي تنضوي تحت لوائه كل الأديان؛ بحيث لا تكون هناك فوارق بين الأديان، ومن ثم كانت هذه الدعوة إلى دين الإنسانية مقدمةً للقضاء على الدين الإسلامي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هذا الإطار</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استشهد به بروکشطاین ،شروح، أخذناه عنه هنا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إيمانويل كانط، مشروع سلم ،دائم محاولة فلسفية، ترجمه وقدم له الدكتور نبيل الخوري، دار صادر، بيروت،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كتيب صغير ألفه كانط سنة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بعد نشر النسخة الأولى من نقد العقل الخالص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تأسيس ميتافيزيقا الأخلاق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نقد العقل العملي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نقد ملكة الحكم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بمعنى أن كتيب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 مشروع سلم دائم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بعد اكتمال فلسفة كانط النقدية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استثناء يمثله كوهن من مدرسة ماربورغ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خصص نصًا لهذا الموضوع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 السلم الدائم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دسمبر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بداية الحرب العالمية الثانية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الثامن المادة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ميثاق الأمم المتحدة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السابع عشر المادة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ميثاق الأمم المتحدة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مواقف وأعمال الفيلسوف النمساوي هانس كوكلر </w:t>
      </w:r>
      <w:r>
        <w:rPr>
          <w:rFonts w:eastAsia="IRNazanin" w:cs="IRNazanin"/>
          <w:b w:val="false"/>
          <w:bCs w:val="false"/>
          <w:i w:val="false"/>
          <w:iCs w:val="false"/>
          <w:color w:val="333333"/>
          <w:sz w:val="20"/>
          <w:szCs w:val="20"/>
        </w:rPr>
        <w:t>Hans Köchler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فى هذا الإطار مثلاً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بين أهم من اهتم بالموضوع هناك</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Theodor Schwarz. Irrationalismus und Humanismus? Kritik einer imperialistischen Ideologie (vom Standpunkt des Marxismus). Aufbruch, 1946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فريدريك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صقلية تميز عهده بالصراع مع البابوية من أجل السيطرة على إيطاليا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قاد الحملة الصليبية السادسة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وتوج نفسه ملكا على القدس عام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رجلاً مثقفاً، رعى الفنون وشجع العلم، أسس جامعة نابولي عام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 من جامعة ساليرنو أفضل جامعة طب في أوروبا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أعجب فريدريك الثاني بالثقافة العربية الإسلامية وشجع دراستها والترجمة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وأصبحت صقلية في عهده مركزا هاما لانتقال الحضارة الإسلامية إلى أوروبا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أغضب اهتمامه هذا رجال الدين المسيحيين فاتهموه بالهرطقة أو الخروج عن الدين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image" Target="media/image2.jpeg"/><Relationship Id="rId217" Type="http://schemas.openxmlformats.org/officeDocument/2006/relationships/image" Target="media/image2.jpeg"/><Relationship Id="rId218" Type="http://schemas.openxmlformats.org/officeDocument/2006/relationships/footer" Target="footer211.xml"/><Relationship Id="rId219" Type="http://schemas.openxmlformats.org/officeDocument/2006/relationships/footnotes" Target="footnotes.xml"/><Relationship Id="rId220" Type="http://schemas.openxmlformats.org/officeDocument/2006/relationships/numbering" Target="numbering.xml"/><Relationship Id="rId221" Type="http://schemas.openxmlformats.org/officeDocument/2006/relationships/fontTable" Target="fontTable.xml"/><Relationship Id="rId222" Type="http://schemas.openxmlformats.org/officeDocument/2006/relationships/settings" Target="settings.xml"/><Relationship Id="rId2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225</Pages>
  <Words>41608</Words>
  <Characters>213707</Characters>
  <CharactersWithSpaces>253661</CharactersWithSpaces>
  <Paragraphs>2015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2026-08-25T11:44:02Z</dcterms:created>
  <dc:creator>ghaemiyeh.com</dc:creator>
  <dc:description/>
  <dc:language>en-US</dc:language>
  <cp:lastModifiedBy/>
  <dcterms:modified xsi:type="dcterms:W3CDTF">2026-08-25T15:14:08Z</dcterms:modified>
  <cp:revision>1</cp:revision>
  <dc:subject/>
  <dc:title>سلسلة مصطلحات معاصرة جلد 31</dc:title>
</cp:coreProperties>
</file>

<file path=docProps/custom.xml><?xml version="1.0" encoding="utf-8"?>
<Properties xmlns="http://schemas.openxmlformats.org/officeDocument/2006/custom-properties" xmlns:vt="http://schemas.openxmlformats.org/officeDocument/2006/docPropsVTypes"/>
</file>